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6AE928" w14:textId="77777777" w:rsidR="005820C9" w:rsidRPr="003441E5" w:rsidRDefault="00F51C37" w:rsidP="00B14DFB">
      <w:pPr>
        <w:pStyle w:val="Title"/>
      </w:pPr>
      <w:r>
        <w:t>Competition in evolving communications markets</w:t>
      </w:r>
    </w:p>
    <w:p w14:paraId="367F6193" w14:textId="77777777" w:rsidR="009F4B9D" w:rsidRPr="003441E5" w:rsidRDefault="009F4B9D" w:rsidP="00B14DFB">
      <w:pPr>
        <w:pStyle w:val="Subtitle"/>
      </w:pPr>
      <w:r w:rsidRPr="003441E5">
        <w:t xml:space="preserve">Submission by the Australian Communications Consumer Action Network to the </w:t>
      </w:r>
      <w:r w:rsidR="00F51C37">
        <w:t>Australian Competition &amp; Consumer Commission</w:t>
      </w:r>
    </w:p>
    <w:p w14:paraId="4FCF072A" w14:textId="77777777" w:rsidR="009F4B9D" w:rsidRPr="003441E5" w:rsidRDefault="00F51C37" w:rsidP="00B14DFB">
      <w:pPr>
        <w:pStyle w:val="Subtitle"/>
      </w:pPr>
      <w:r>
        <w:t>October 2016</w:t>
      </w:r>
    </w:p>
    <w:p w14:paraId="5452AA07" w14:textId="77777777" w:rsidR="009F4B9D" w:rsidRPr="003441E5" w:rsidRDefault="009F4B9D" w:rsidP="00A13B92">
      <w:pPr>
        <w:rPr>
          <w:lang w:eastAsia="en-US"/>
        </w:rPr>
      </w:pPr>
      <w:r w:rsidRPr="003441E5">
        <w:rPr>
          <w:lang w:eastAsia="en-US"/>
        </w:rPr>
        <w:br w:type="page"/>
      </w:r>
    </w:p>
    <w:p w14:paraId="0251AB3C" w14:textId="77777777" w:rsidR="009F4B9D" w:rsidRPr="003441E5" w:rsidRDefault="009F4B9D" w:rsidP="00B14DFB">
      <w:pPr>
        <w:pStyle w:val="About"/>
      </w:pPr>
      <w:r w:rsidRPr="003441E5">
        <w:lastRenderedPageBreak/>
        <w:t xml:space="preserve">About ACCAN </w:t>
      </w:r>
    </w:p>
    <w:p w14:paraId="1222C45D" w14:textId="77777777" w:rsidR="009F4B9D" w:rsidRPr="003441E5" w:rsidRDefault="009F4B9D" w:rsidP="00B14DFB">
      <w:r w:rsidRPr="003441E5">
        <w:t xml:space="preserve">The Australian Communications Consumer Action Network (ACCAN) is the peak body that represents all consumers on communications issues including telecommunications, broadband and emerging new services. ACCAN provides a strong unified voice to industry and government as consumers work towards </w:t>
      </w:r>
      <w:r w:rsidRPr="003441E5">
        <w:rPr>
          <w:rFonts w:asciiTheme="minorHAnsi" w:hAnsiTheme="minorHAnsi" w:cstheme="minorHAnsi"/>
        </w:rPr>
        <w:t>availability</w:t>
      </w:r>
      <w:r w:rsidRPr="003441E5">
        <w:t>, accessibility and affordability of communications services for all Australians.</w:t>
      </w:r>
    </w:p>
    <w:p w14:paraId="5AD3D3AA" w14:textId="77777777" w:rsidR="00A615CC" w:rsidRPr="003441E5" w:rsidRDefault="00A615CC" w:rsidP="00A615CC">
      <w:r w:rsidRPr="003441E5">
        <w:t xml:space="preserve">Consumers need ACCAN to promote better consumer protection outcomes ensuring speedy responses to complaints and issues. ACCAN aims to empower consumers so that they are well informed and can make good choices about products and services. As a peak body, ACCAN will </w:t>
      </w:r>
      <w:r>
        <w:t>represent the views of</w:t>
      </w:r>
      <w:r w:rsidRPr="003441E5">
        <w:t xml:space="preserve"> its broad and diverse membership base to </w:t>
      </w:r>
      <w:r>
        <w:t>policy makers, government and industry</w:t>
      </w:r>
      <w:r w:rsidRPr="003441E5">
        <w:t xml:space="preserve"> to get better </w:t>
      </w:r>
      <w:r>
        <w:t xml:space="preserve">outcomes </w:t>
      </w:r>
      <w:r w:rsidRPr="003441E5">
        <w:t>for all communications consumers. </w:t>
      </w:r>
    </w:p>
    <w:p w14:paraId="0B6C143A" w14:textId="77777777" w:rsidR="009F4B9D" w:rsidRPr="003441E5" w:rsidRDefault="009F4B9D" w:rsidP="00B14DFB">
      <w:pPr>
        <w:pStyle w:val="About"/>
      </w:pPr>
      <w:r w:rsidRPr="003441E5">
        <w:t>Contact</w:t>
      </w:r>
    </w:p>
    <w:p w14:paraId="4C50A506" w14:textId="77777777" w:rsidR="00BF754D" w:rsidRDefault="00BF754D" w:rsidP="00955045">
      <w:pPr>
        <w:spacing w:after="0" w:afterAutospacing="0"/>
        <w:jc w:val="left"/>
      </w:pPr>
      <w:r>
        <w:t>PO Box 639,</w:t>
      </w:r>
    </w:p>
    <w:p w14:paraId="4CD7BA9C" w14:textId="77777777" w:rsidR="00BF754D" w:rsidRDefault="00BF754D" w:rsidP="00955045">
      <w:pPr>
        <w:spacing w:before="0" w:beforeAutospacing="0"/>
        <w:jc w:val="left"/>
      </w:pPr>
      <w:r>
        <w:t>Broadway</w:t>
      </w:r>
      <w:r w:rsidR="009F4B9D" w:rsidRPr="003441E5">
        <w:t xml:space="preserve"> NSW, 2007</w:t>
      </w:r>
      <w:r w:rsidR="009F4B9D" w:rsidRPr="003441E5">
        <w:br/>
        <w:t xml:space="preserve">Email: </w:t>
      </w:r>
      <w:hyperlink r:id="rId9" w:history="1">
        <w:r w:rsidR="009F4B9D" w:rsidRPr="003441E5">
          <w:rPr>
            <w:rStyle w:val="Hyperlink"/>
          </w:rPr>
          <w:t>info@accan.org.au</w:t>
        </w:r>
      </w:hyperlink>
      <w:r w:rsidR="009F4B9D" w:rsidRPr="003441E5">
        <w:rPr>
          <w:rStyle w:val="Hyperlink"/>
        </w:rPr>
        <w:br/>
      </w:r>
      <w:r w:rsidR="009F4B9D" w:rsidRPr="003441E5">
        <w:t>Phone: (02) 9288 4000</w:t>
      </w:r>
      <w:r w:rsidR="009F4B9D" w:rsidRPr="003441E5">
        <w:br/>
        <w:t>Fax: (02) 9288 4019</w:t>
      </w:r>
      <w:r w:rsidR="009F4B9D" w:rsidRPr="003441E5">
        <w:br/>
      </w:r>
      <w:r>
        <w:t xml:space="preserve">Contact us through the </w:t>
      </w:r>
      <w:hyperlink r:id="rId10" w:history="1">
        <w:r w:rsidRPr="00FE6EAF">
          <w:rPr>
            <w:rStyle w:val="Hyperlink"/>
          </w:rPr>
          <w:t>National Relay Service</w:t>
        </w:r>
      </w:hyperlink>
    </w:p>
    <w:p w14:paraId="0B1ECDF0" w14:textId="77777777" w:rsidR="009F4B9D" w:rsidRPr="003441E5" w:rsidRDefault="009F4B9D" w:rsidP="00BF754D">
      <w:pPr>
        <w:spacing w:before="0" w:beforeAutospacing="0"/>
      </w:pPr>
    </w:p>
    <w:sdt>
      <w:sdtPr>
        <w:rPr>
          <w:rFonts w:eastAsiaTheme="minorEastAsia" w:cstheme="minorBidi"/>
          <w:bCs w:val="0"/>
          <w:sz w:val="23"/>
          <w:szCs w:val="22"/>
          <w:lang w:eastAsia="en-AU"/>
        </w:rPr>
        <w:id w:val="-39521029"/>
        <w:docPartObj>
          <w:docPartGallery w:val="Table of Contents"/>
          <w:docPartUnique/>
        </w:docPartObj>
      </w:sdtPr>
      <w:sdtEndPr>
        <w:rPr>
          <w:b/>
          <w:noProof/>
          <w:sz w:val="24"/>
        </w:rPr>
      </w:sdtEndPr>
      <w:sdtContent>
        <w:p w14:paraId="37CF2CCE" w14:textId="77777777" w:rsidR="00EC1696" w:rsidRPr="003441E5" w:rsidRDefault="00EC1696">
          <w:pPr>
            <w:pStyle w:val="TOCHeading"/>
          </w:pPr>
          <w:r w:rsidRPr="003441E5">
            <w:t>Contents</w:t>
          </w:r>
        </w:p>
        <w:p w14:paraId="2057E701" w14:textId="77777777" w:rsidR="00D0486E" w:rsidRDefault="00EC1696">
          <w:pPr>
            <w:pStyle w:val="TOC1"/>
            <w:rPr>
              <w:rFonts w:asciiTheme="minorHAnsi" w:hAnsiTheme="minorHAnsi"/>
              <w:noProof/>
              <w:sz w:val="22"/>
              <w:lang w:val="en-IE" w:eastAsia="en-IE"/>
            </w:rPr>
          </w:pPr>
          <w:r w:rsidRPr="003441E5">
            <w:fldChar w:fldCharType="begin"/>
          </w:r>
          <w:r w:rsidRPr="003441E5">
            <w:instrText xml:space="preserve"> TOC \o "1-3" \h \z \u </w:instrText>
          </w:r>
          <w:r w:rsidRPr="003441E5">
            <w:fldChar w:fldCharType="separate"/>
          </w:r>
          <w:hyperlink w:anchor="_Toc465667585" w:history="1">
            <w:r w:rsidR="00D0486E" w:rsidRPr="00067883">
              <w:rPr>
                <w:rStyle w:val="Hyperlink"/>
                <w:noProof/>
              </w:rPr>
              <w:t>1.</w:t>
            </w:r>
            <w:r w:rsidR="00D0486E">
              <w:rPr>
                <w:rFonts w:asciiTheme="minorHAnsi" w:hAnsiTheme="minorHAnsi"/>
                <w:noProof/>
                <w:sz w:val="22"/>
                <w:lang w:val="en-IE" w:eastAsia="en-IE"/>
              </w:rPr>
              <w:tab/>
            </w:r>
            <w:r w:rsidR="00D0486E" w:rsidRPr="00067883">
              <w:rPr>
                <w:rStyle w:val="Hyperlink"/>
                <w:noProof/>
              </w:rPr>
              <w:t>Executive Summary</w:t>
            </w:r>
            <w:r w:rsidR="00D0486E">
              <w:rPr>
                <w:noProof/>
                <w:webHidden/>
              </w:rPr>
              <w:tab/>
            </w:r>
            <w:r w:rsidR="00D0486E">
              <w:rPr>
                <w:noProof/>
                <w:webHidden/>
              </w:rPr>
              <w:fldChar w:fldCharType="begin"/>
            </w:r>
            <w:r w:rsidR="00D0486E">
              <w:rPr>
                <w:noProof/>
                <w:webHidden/>
              </w:rPr>
              <w:instrText xml:space="preserve"> PAGEREF _Toc465667585 \h </w:instrText>
            </w:r>
            <w:r w:rsidR="00D0486E">
              <w:rPr>
                <w:noProof/>
                <w:webHidden/>
              </w:rPr>
            </w:r>
            <w:r w:rsidR="00D0486E">
              <w:rPr>
                <w:noProof/>
                <w:webHidden/>
              </w:rPr>
              <w:fldChar w:fldCharType="separate"/>
            </w:r>
            <w:r w:rsidR="0078655A">
              <w:rPr>
                <w:noProof/>
                <w:webHidden/>
              </w:rPr>
              <w:t>5</w:t>
            </w:r>
            <w:r w:rsidR="00D0486E">
              <w:rPr>
                <w:noProof/>
                <w:webHidden/>
              </w:rPr>
              <w:fldChar w:fldCharType="end"/>
            </w:r>
          </w:hyperlink>
        </w:p>
        <w:p w14:paraId="6745D060" w14:textId="77777777" w:rsidR="00D0486E" w:rsidRDefault="0078655A">
          <w:pPr>
            <w:pStyle w:val="TOC2"/>
            <w:rPr>
              <w:rFonts w:asciiTheme="minorHAnsi" w:hAnsiTheme="minorHAnsi"/>
              <w:sz w:val="22"/>
              <w:lang w:val="en-IE" w:eastAsia="en-IE"/>
            </w:rPr>
          </w:pPr>
          <w:hyperlink w:anchor="_Toc465667586" w:history="1">
            <w:r w:rsidR="00D0486E" w:rsidRPr="00067883">
              <w:rPr>
                <w:rStyle w:val="Hyperlink"/>
                <w:lang w:val="en-IE" w:bidi="hi-IN"/>
              </w:rPr>
              <w:t>1.1.</w:t>
            </w:r>
            <w:r w:rsidR="00D0486E">
              <w:rPr>
                <w:rFonts w:asciiTheme="minorHAnsi" w:hAnsiTheme="minorHAnsi"/>
                <w:sz w:val="22"/>
                <w:lang w:val="en-IE" w:eastAsia="en-IE"/>
              </w:rPr>
              <w:tab/>
            </w:r>
            <w:r w:rsidR="00D0486E" w:rsidRPr="00067883">
              <w:rPr>
                <w:rStyle w:val="Hyperlink"/>
                <w:lang w:val="en-IE" w:bidi="hi-IN"/>
              </w:rPr>
              <w:t>Summary of submission</w:t>
            </w:r>
            <w:r w:rsidR="00D0486E">
              <w:rPr>
                <w:webHidden/>
              </w:rPr>
              <w:tab/>
            </w:r>
            <w:r w:rsidR="00D0486E">
              <w:rPr>
                <w:webHidden/>
              </w:rPr>
              <w:fldChar w:fldCharType="begin"/>
            </w:r>
            <w:r w:rsidR="00D0486E">
              <w:rPr>
                <w:webHidden/>
              </w:rPr>
              <w:instrText xml:space="preserve"> PAGEREF _Toc465667586 \h </w:instrText>
            </w:r>
            <w:r w:rsidR="00D0486E">
              <w:rPr>
                <w:webHidden/>
              </w:rPr>
            </w:r>
            <w:r w:rsidR="00D0486E">
              <w:rPr>
                <w:webHidden/>
              </w:rPr>
              <w:fldChar w:fldCharType="separate"/>
            </w:r>
            <w:r>
              <w:rPr>
                <w:webHidden/>
              </w:rPr>
              <w:t>5</w:t>
            </w:r>
            <w:r w:rsidR="00D0486E">
              <w:rPr>
                <w:webHidden/>
              </w:rPr>
              <w:fldChar w:fldCharType="end"/>
            </w:r>
          </w:hyperlink>
        </w:p>
        <w:p w14:paraId="7C57E9DC" w14:textId="77777777" w:rsidR="00D0486E" w:rsidRDefault="0078655A">
          <w:pPr>
            <w:pStyle w:val="TOC3"/>
            <w:rPr>
              <w:rFonts w:asciiTheme="minorHAnsi" w:hAnsiTheme="minorHAnsi"/>
              <w:sz w:val="22"/>
              <w:lang w:val="en-IE" w:eastAsia="en-IE"/>
            </w:rPr>
          </w:pPr>
          <w:hyperlink w:anchor="_Toc465667587" w:history="1">
            <w:r w:rsidR="00D0486E" w:rsidRPr="00067883">
              <w:rPr>
                <w:rStyle w:val="Hyperlink"/>
                <w:rFonts w:eastAsia="Arial Unicode MS"/>
                <w:lang w:val="en-IE" w:bidi="hi-IN"/>
              </w:rPr>
              <w:t>1.1.1.</w:t>
            </w:r>
            <w:r w:rsidR="00D0486E">
              <w:rPr>
                <w:rFonts w:asciiTheme="minorHAnsi" w:hAnsiTheme="minorHAnsi"/>
                <w:sz w:val="22"/>
                <w:lang w:val="en-IE" w:eastAsia="en-IE"/>
              </w:rPr>
              <w:tab/>
            </w:r>
            <w:r w:rsidR="00D0486E" w:rsidRPr="00067883">
              <w:rPr>
                <w:rStyle w:val="Hyperlink"/>
                <w:rFonts w:eastAsia="Arial Unicode MS"/>
                <w:lang w:val="en-IE" w:bidi="hi-IN"/>
              </w:rPr>
              <w:t>Consumer trends and issues</w:t>
            </w:r>
            <w:r w:rsidR="00D0486E">
              <w:rPr>
                <w:webHidden/>
              </w:rPr>
              <w:tab/>
            </w:r>
            <w:r w:rsidR="00D0486E">
              <w:rPr>
                <w:webHidden/>
              </w:rPr>
              <w:fldChar w:fldCharType="begin"/>
            </w:r>
            <w:r w:rsidR="00D0486E">
              <w:rPr>
                <w:webHidden/>
              </w:rPr>
              <w:instrText xml:space="preserve"> PAGEREF _Toc465667587 \h </w:instrText>
            </w:r>
            <w:r w:rsidR="00D0486E">
              <w:rPr>
                <w:webHidden/>
              </w:rPr>
            </w:r>
            <w:r w:rsidR="00D0486E">
              <w:rPr>
                <w:webHidden/>
              </w:rPr>
              <w:fldChar w:fldCharType="separate"/>
            </w:r>
            <w:r>
              <w:rPr>
                <w:webHidden/>
              </w:rPr>
              <w:t>5</w:t>
            </w:r>
            <w:r w:rsidR="00D0486E">
              <w:rPr>
                <w:webHidden/>
              </w:rPr>
              <w:fldChar w:fldCharType="end"/>
            </w:r>
          </w:hyperlink>
        </w:p>
        <w:p w14:paraId="53B387D8" w14:textId="77777777" w:rsidR="00D0486E" w:rsidRDefault="0078655A">
          <w:pPr>
            <w:pStyle w:val="TOC3"/>
            <w:rPr>
              <w:rFonts w:asciiTheme="minorHAnsi" w:hAnsiTheme="minorHAnsi"/>
              <w:sz w:val="22"/>
              <w:lang w:val="en-IE" w:eastAsia="en-IE"/>
            </w:rPr>
          </w:pPr>
          <w:hyperlink w:anchor="_Toc465667588" w:history="1">
            <w:r w:rsidR="00D0486E" w:rsidRPr="00067883">
              <w:rPr>
                <w:rStyle w:val="Hyperlink"/>
                <w:rFonts w:eastAsia="Arial Unicode MS"/>
                <w:lang w:val="en-IE" w:bidi="hi-IN"/>
              </w:rPr>
              <w:t>1.1.2.</w:t>
            </w:r>
            <w:r w:rsidR="00D0486E">
              <w:rPr>
                <w:rFonts w:asciiTheme="minorHAnsi" w:hAnsiTheme="minorHAnsi"/>
                <w:sz w:val="22"/>
                <w:lang w:val="en-IE" w:eastAsia="en-IE"/>
              </w:rPr>
              <w:tab/>
            </w:r>
            <w:r w:rsidR="00D0486E" w:rsidRPr="00067883">
              <w:rPr>
                <w:rStyle w:val="Hyperlink"/>
                <w:rFonts w:eastAsia="Arial Unicode MS"/>
                <w:lang w:val="en-IE" w:bidi="hi-IN"/>
              </w:rPr>
              <w:t>Emerging services</w:t>
            </w:r>
            <w:r w:rsidR="00D0486E">
              <w:rPr>
                <w:webHidden/>
              </w:rPr>
              <w:tab/>
            </w:r>
            <w:r w:rsidR="00D0486E">
              <w:rPr>
                <w:webHidden/>
              </w:rPr>
              <w:fldChar w:fldCharType="begin"/>
            </w:r>
            <w:r w:rsidR="00D0486E">
              <w:rPr>
                <w:webHidden/>
              </w:rPr>
              <w:instrText xml:space="preserve"> PAGEREF _Toc465667588 \h </w:instrText>
            </w:r>
            <w:r w:rsidR="00D0486E">
              <w:rPr>
                <w:webHidden/>
              </w:rPr>
            </w:r>
            <w:r w:rsidR="00D0486E">
              <w:rPr>
                <w:webHidden/>
              </w:rPr>
              <w:fldChar w:fldCharType="separate"/>
            </w:r>
            <w:r>
              <w:rPr>
                <w:webHidden/>
              </w:rPr>
              <w:t>6</w:t>
            </w:r>
            <w:r w:rsidR="00D0486E">
              <w:rPr>
                <w:webHidden/>
              </w:rPr>
              <w:fldChar w:fldCharType="end"/>
            </w:r>
          </w:hyperlink>
        </w:p>
        <w:p w14:paraId="296F4B1A" w14:textId="77777777" w:rsidR="00D0486E" w:rsidRDefault="0078655A">
          <w:pPr>
            <w:pStyle w:val="TOC3"/>
            <w:rPr>
              <w:rFonts w:asciiTheme="minorHAnsi" w:hAnsiTheme="minorHAnsi"/>
              <w:sz w:val="22"/>
              <w:lang w:val="en-IE" w:eastAsia="en-IE"/>
            </w:rPr>
          </w:pPr>
          <w:hyperlink w:anchor="_Toc465667589" w:history="1">
            <w:r w:rsidR="00D0486E" w:rsidRPr="00067883">
              <w:rPr>
                <w:rStyle w:val="Hyperlink"/>
                <w:rFonts w:eastAsia="Arial Unicode MS"/>
                <w:lang w:val="en-IE" w:bidi="hi-IN"/>
              </w:rPr>
              <w:t>1.1.3.</w:t>
            </w:r>
            <w:r w:rsidR="00D0486E">
              <w:rPr>
                <w:rFonts w:asciiTheme="minorHAnsi" w:hAnsiTheme="minorHAnsi"/>
                <w:sz w:val="22"/>
                <w:lang w:val="en-IE" w:eastAsia="en-IE"/>
              </w:rPr>
              <w:tab/>
            </w:r>
            <w:r w:rsidR="00D0486E" w:rsidRPr="00067883">
              <w:rPr>
                <w:rStyle w:val="Hyperlink"/>
                <w:rFonts w:eastAsia="Arial Unicode MS"/>
                <w:lang w:val="en-IE" w:bidi="hi-IN"/>
              </w:rPr>
              <w:t>Fixed line voice and broadband services</w:t>
            </w:r>
            <w:r w:rsidR="00D0486E">
              <w:rPr>
                <w:webHidden/>
              </w:rPr>
              <w:tab/>
            </w:r>
            <w:r w:rsidR="00D0486E">
              <w:rPr>
                <w:webHidden/>
              </w:rPr>
              <w:fldChar w:fldCharType="begin"/>
            </w:r>
            <w:r w:rsidR="00D0486E">
              <w:rPr>
                <w:webHidden/>
              </w:rPr>
              <w:instrText xml:space="preserve"> PAGEREF _Toc465667589 \h </w:instrText>
            </w:r>
            <w:r w:rsidR="00D0486E">
              <w:rPr>
                <w:webHidden/>
              </w:rPr>
            </w:r>
            <w:r w:rsidR="00D0486E">
              <w:rPr>
                <w:webHidden/>
              </w:rPr>
              <w:fldChar w:fldCharType="separate"/>
            </w:r>
            <w:r>
              <w:rPr>
                <w:webHidden/>
              </w:rPr>
              <w:t>6</w:t>
            </w:r>
            <w:r w:rsidR="00D0486E">
              <w:rPr>
                <w:webHidden/>
              </w:rPr>
              <w:fldChar w:fldCharType="end"/>
            </w:r>
          </w:hyperlink>
        </w:p>
        <w:p w14:paraId="2DA0F1EC" w14:textId="77777777" w:rsidR="00D0486E" w:rsidRDefault="0078655A">
          <w:pPr>
            <w:pStyle w:val="TOC3"/>
            <w:rPr>
              <w:rFonts w:asciiTheme="minorHAnsi" w:hAnsiTheme="minorHAnsi"/>
              <w:sz w:val="22"/>
              <w:lang w:val="en-IE" w:eastAsia="en-IE"/>
            </w:rPr>
          </w:pPr>
          <w:hyperlink w:anchor="_Toc465667590" w:history="1">
            <w:r w:rsidR="00D0486E" w:rsidRPr="00067883">
              <w:rPr>
                <w:rStyle w:val="Hyperlink"/>
                <w:rFonts w:eastAsia="Arial Unicode MS"/>
                <w:lang w:val="en-IE" w:bidi="hi-IN"/>
              </w:rPr>
              <w:t>1.1.4.</w:t>
            </w:r>
            <w:r w:rsidR="00D0486E">
              <w:rPr>
                <w:rFonts w:asciiTheme="minorHAnsi" w:hAnsiTheme="minorHAnsi"/>
                <w:sz w:val="22"/>
                <w:lang w:val="en-IE" w:eastAsia="en-IE"/>
              </w:rPr>
              <w:tab/>
            </w:r>
            <w:r w:rsidR="00D0486E" w:rsidRPr="00067883">
              <w:rPr>
                <w:rStyle w:val="Hyperlink"/>
                <w:rFonts w:eastAsia="Arial Unicode MS"/>
                <w:lang w:val="en-IE" w:bidi="hi-IN"/>
              </w:rPr>
              <w:t>Mobile voice and broadband services</w:t>
            </w:r>
            <w:r w:rsidR="00D0486E">
              <w:rPr>
                <w:webHidden/>
              </w:rPr>
              <w:tab/>
            </w:r>
            <w:r w:rsidR="00D0486E">
              <w:rPr>
                <w:webHidden/>
              </w:rPr>
              <w:fldChar w:fldCharType="begin"/>
            </w:r>
            <w:r w:rsidR="00D0486E">
              <w:rPr>
                <w:webHidden/>
              </w:rPr>
              <w:instrText xml:space="preserve"> PAGEREF _Toc465667590 \h </w:instrText>
            </w:r>
            <w:r w:rsidR="00D0486E">
              <w:rPr>
                <w:webHidden/>
              </w:rPr>
            </w:r>
            <w:r w:rsidR="00D0486E">
              <w:rPr>
                <w:webHidden/>
              </w:rPr>
              <w:fldChar w:fldCharType="separate"/>
            </w:r>
            <w:r>
              <w:rPr>
                <w:webHidden/>
              </w:rPr>
              <w:t>6</w:t>
            </w:r>
            <w:r w:rsidR="00D0486E">
              <w:rPr>
                <w:webHidden/>
              </w:rPr>
              <w:fldChar w:fldCharType="end"/>
            </w:r>
          </w:hyperlink>
        </w:p>
        <w:p w14:paraId="126DBD89" w14:textId="77777777" w:rsidR="00D0486E" w:rsidRDefault="0078655A">
          <w:pPr>
            <w:pStyle w:val="TOC3"/>
            <w:rPr>
              <w:rFonts w:asciiTheme="minorHAnsi" w:hAnsiTheme="minorHAnsi"/>
              <w:sz w:val="22"/>
              <w:lang w:val="en-IE" w:eastAsia="en-IE"/>
            </w:rPr>
          </w:pPr>
          <w:hyperlink w:anchor="_Toc465667591" w:history="1">
            <w:r w:rsidR="00D0486E" w:rsidRPr="00067883">
              <w:rPr>
                <w:rStyle w:val="Hyperlink"/>
                <w:rFonts w:eastAsia="Arial Unicode MS"/>
                <w:lang w:val="en-IE" w:bidi="hi-IN"/>
              </w:rPr>
              <w:t>1.1.5.</w:t>
            </w:r>
            <w:r w:rsidR="00D0486E">
              <w:rPr>
                <w:rFonts w:asciiTheme="minorHAnsi" w:hAnsiTheme="minorHAnsi"/>
                <w:sz w:val="22"/>
                <w:lang w:val="en-IE" w:eastAsia="en-IE"/>
              </w:rPr>
              <w:tab/>
            </w:r>
            <w:r w:rsidR="00D0486E" w:rsidRPr="00067883">
              <w:rPr>
                <w:rStyle w:val="Hyperlink"/>
                <w:rFonts w:eastAsia="Arial Unicode MS"/>
                <w:lang w:val="en-IE" w:bidi="hi-IN"/>
              </w:rPr>
              <w:t>Interaction between fixed line and mobile services</w:t>
            </w:r>
            <w:r w:rsidR="00D0486E">
              <w:rPr>
                <w:webHidden/>
              </w:rPr>
              <w:tab/>
            </w:r>
            <w:r w:rsidR="00D0486E">
              <w:rPr>
                <w:webHidden/>
              </w:rPr>
              <w:fldChar w:fldCharType="begin"/>
            </w:r>
            <w:r w:rsidR="00D0486E">
              <w:rPr>
                <w:webHidden/>
              </w:rPr>
              <w:instrText xml:space="preserve"> PAGEREF _Toc465667591 \h </w:instrText>
            </w:r>
            <w:r w:rsidR="00D0486E">
              <w:rPr>
                <w:webHidden/>
              </w:rPr>
            </w:r>
            <w:r w:rsidR="00D0486E">
              <w:rPr>
                <w:webHidden/>
              </w:rPr>
              <w:fldChar w:fldCharType="separate"/>
            </w:r>
            <w:r>
              <w:rPr>
                <w:webHidden/>
              </w:rPr>
              <w:t>6</w:t>
            </w:r>
            <w:r w:rsidR="00D0486E">
              <w:rPr>
                <w:webHidden/>
              </w:rPr>
              <w:fldChar w:fldCharType="end"/>
            </w:r>
          </w:hyperlink>
        </w:p>
        <w:p w14:paraId="170CD93C" w14:textId="77777777" w:rsidR="00D0486E" w:rsidRDefault="0078655A">
          <w:pPr>
            <w:pStyle w:val="TOC1"/>
            <w:rPr>
              <w:rFonts w:asciiTheme="minorHAnsi" w:hAnsiTheme="minorHAnsi"/>
              <w:noProof/>
              <w:sz w:val="22"/>
              <w:lang w:val="en-IE" w:eastAsia="en-IE"/>
            </w:rPr>
          </w:pPr>
          <w:hyperlink w:anchor="_Toc465667592" w:history="1">
            <w:r w:rsidR="00D0486E" w:rsidRPr="00067883">
              <w:rPr>
                <w:rStyle w:val="Hyperlink"/>
                <w:rFonts w:eastAsia="Arial Unicode MS"/>
                <w:noProof/>
                <w:lang w:val="en-IE" w:bidi="hi-IN"/>
              </w:rPr>
              <w:t>2.</w:t>
            </w:r>
            <w:r w:rsidR="00D0486E">
              <w:rPr>
                <w:rFonts w:asciiTheme="minorHAnsi" w:hAnsiTheme="minorHAnsi"/>
                <w:noProof/>
                <w:sz w:val="22"/>
                <w:lang w:val="en-IE" w:eastAsia="en-IE"/>
              </w:rPr>
              <w:tab/>
            </w:r>
            <w:r w:rsidR="00D0486E" w:rsidRPr="00067883">
              <w:rPr>
                <w:rStyle w:val="Hyperlink"/>
                <w:rFonts w:eastAsia="Arial Unicode MS"/>
                <w:noProof/>
                <w:lang w:val="en-IE" w:bidi="hi-IN"/>
              </w:rPr>
              <w:t>Consumer trends and issues</w:t>
            </w:r>
            <w:r w:rsidR="00D0486E">
              <w:rPr>
                <w:noProof/>
                <w:webHidden/>
              </w:rPr>
              <w:tab/>
            </w:r>
            <w:r w:rsidR="00D0486E">
              <w:rPr>
                <w:noProof/>
                <w:webHidden/>
              </w:rPr>
              <w:fldChar w:fldCharType="begin"/>
            </w:r>
            <w:r w:rsidR="00D0486E">
              <w:rPr>
                <w:noProof/>
                <w:webHidden/>
              </w:rPr>
              <w:instrText xml:space="preserve"> PAGEREF _Toc465667592 \h </w:instrText>
            </w:r>
            <w:r w:rsidR="00D0486E">
              <w:rPr>
                <w:noProof/>
                <w:webHidden/>
              </w:rPr>
            </w:r>
            <w:r w:rsidR="00D0486E">
              <w:rPr>
                <w:noProof/>
                <w:webHidden/>
              </w:rPr>
              <w:fldChar w:fldCharType="separate"/>
            </w:r>
            <w:r>
              <w:rPr>
                <w:noProof/>
                <w:webHidden/>
              </w:rPr>
              <w:t>7</w:t>
            </w:r>
            <w:r w:rsidR="00D0486E">
              <w:rPr>
                <w:noProof/>
                <w:webHidden/>
              </w:rPr>
              <w:fldChar w:fldCharType="end"/>
            </w:r>
          </w:hyperlink>
        </w:p>
        <w:p w14:paraId="62F68991" w14:textId="77777777" w:rsidR="00D0486E" w:rsidRDefault="0078655A">
          <w:pPr>
            <w:pStyle w:val="TOC2"/>
            <w:rPr>
              <w:rFonts w:asciiTheme="minorHAnsi" w:hAnsiTheme="minorHAnsi"/>
              <w:sz w:val="22"/>
              <w:lang w:val="en-IE" w:eastAsia="en-IE"/>
            </w:rPr>
          </w:pPr>
          <w:hyperlink w:anchor="_Toc465667593" w:history="1">
            <w:r w:rsidR="00D0486E" w:rsidRPr="00067883">
              <w:rPr>
                <w:rStyle w:val="Hyperlink"/>
                <w:lang w:val="en-IE" w:bidi="hi-IN"/>
              </w:rPr>
              <w:t>2.1.</w:t>
            </w:r>
            <w:r w:rsidR="00D0486E">
              <w:rPr>
                <w:rFonts w:asciiTheme="minorHAnsi" w:hAnsiTheme="minorHAnsi"/>
                <w:sz w:val="22"/>
                <w:lang w:val="en-IE" w:eastAsia="en-IE"/>
              </w:rPr>
              <w:tab/>
            </w:r>
            <w:r w:rsidR="00D0486E" w:rsidRPr="00067883">
              <w:rPr>
                <w:rStyle w:val="Hyperlink"/>
                <w:lang w:val="en-IE" w:bidi="hi-IN"/>
              </w:rPr>
              <w:t>Response to question 1:</w:t>
            </w:r>
            <w:r w:rsidR="00D0486E">
              <w:rPr>
                <w:webHidden/>
              </w:rPr>
              <w:tab/>
            </w:r>
            <w:r w:rsidR="00D0486E">
              <w:rPr>
                <w:webHidden/>
              </w:rPr>
              <w:fldChar w:fldCharType="begin"/>
            </w:r>
            <w:r w:rsidR="00D0486E">
              <w:rPr>
                <w:webHidden/>
              </w:rPr>
              <w:instrText xml:space="preserve"> PAGEREF _Toc465667593 \h </w:instrText>
            </w:r>
            <w:r w:rsidR="00D0486E">
              <w:rPr>
                <w:webHidden/>
              </w:rPr>
            </w:r>
            <w:r w:rsidR="00D0486E">
              <w:rPr>
                <w:webHidden/>
              </w:rPr>
              <w:fldChar w:fldCharType="separate"/>
            </w:r>
            <w:r>
              <w:rPr>
                <w:webHidden/>
              </w:rPr>
              <w:t>7</w:t>
            </w:r>
            <w:r w:rsidR="00D0486E">
              <w:rPr>
                <w:webHidden/>
              </w:rPr>
              <w:fldChar w:fldCharType="end"/>
            </w:r>
          </w:hyperlink>
        </w:p>
        <w:p w14:paraId="2708776A" w14:textId="77777777" w:rsidR="00D0486E" w:rsidRDefault="0078655A">
          <w:pPr>
            <w:pStyle w:val="TOC2"/>
            <w:rPr>
              <w:rFonts w:asciiTheme="minorHAnsi" w:hAnsiTheme="minorHAnsi"/>
              <w:sz w:val="22"/>
              <w:lang w:val="en-IE" w:eastAsia="en-IE"/>
            </w:rPr>
          </w:pPr>
          <w:hyperlink w:anchor="_Toc465667594" w:history="1">
            <w:r w:rsidR="00D0486E" w:rsidRPr="00067883">
              <w:rPr>
                <w:rStyle w:val="Hyperlink"/>
                <w:lang w:val="en-IE" w:bidi="hi-IN"/>
              </w:rPr>
              <w:t>2.2.</w:t>
            </w:r>
            <w:r w:rsidR="00D0486E">
              <w:rPr>
                <w:rFonts w:asciiTheme="minorHAnsi" w:hAnsiTheme="minorHAnsi"/>
                <w:sz w:val="22"/>
                <w:lang w:val="en-IE" w:eastAsia="en-IE"/>
              </w:rPr>
              <w:tab/>
            </w:r>
            <w:r w:rsidR="00D0486E" w:rsidRPr="00067883">
              <w:rPr>
                <w:rStyle w:val="Hyperlink"/>
                <w:lang w:val="en-IE" w:bidi="hi-IN"/>
              </w:rPr>
              <w:t>Response to question 2:</w:t>
            </w:r>
            <w:r w:rsidR="00D0486E">
              <w:rPr>
                <w:webHidden/>
              </w:rPr>
              <w:tab/>
            </w:r>
            <w:r w:rsidR="00D0486E">
              <w:rPr>
                <w:webHidden/>
              </w:rPr>
              <w:fldChar w:fldCharType="begin"/>
            </w:r>
            <w:r w:rsidR="00D0486E">
              <w:rPr>
                <w:webHidden/>
              </w:rPr>
              <w:instrText xml:space="preserve"> PAGEREF _Toc465667594 \h </w:instrText>
            </w:r>
            <w:r w:rsidR="00D0486E">
              <w:rPr>
                <w:webHidden/>
              </w:rPr>
            </w:r>
            <w:r w:rsidR="00D0486E">
              <w:rPr>
                <w:webHidden/>
              </w:rPr>
              <w:fldChar w:fldCharType="separate"/>
            </w:r>
            <w:r>
              <w:rPr>
                <w:webHidden/>
              </w:rPr>
              <w:t>8</w:t>
            </w:r>
            <w:r w:rsidR="00D0486E">
              <w:rPr>
                <w:webHidden/>
              </w:rPr>
              <w:fldChar w:fldCharType="end"/>
            </w:r>
          </w:hyperlink>
        </w:p>
        <w:p w14:paraId="0AD9DB07" w14:textId="77777777" w:rsidR="00D0486E" w:rsidRDefault="0078655A">
          <w:pPr>
            <w:pStyle w:val="TOC2"/>
            <w:rPr>
              <w:rFonts w:asciiTheme="minorHAnsi" w:hAnsiTheme="minorHAnsi"/>
              <w:sz w:val="22"/>
              <w:lang w:val="en-IE" w:eastAsia="en-IE"/>
            </w:rPr>
          </w:pPr>
          <w:hyperlink w:anchor="_Toc465667595" w:history="1">
            <w:r w:rsidR="00D0486E" w:rsidRPr="00067883">
              <w:rPr>
                <w:rStyle w:val="Hyperlink"/>
                <w:lang w:val="en-IE" w:bidi="hi-IN"/>
              </w:rPr>
              <w:t>2.3.</w:t>
            </w:r>
            <w:r w:rsidR="00D0486E">
              <w:rPr>
                <w:rFonts w:asciiTheme="minorHAnsi" w:hAnsiTheme="minorHAnsi"/>
                <w:sz w:val="22"/>
                <w:lang w:val="en-IE" w:eastAsia="en-IE"/>
              </w:rPr>
              <w:tab/>
            </w:r>
            <w:r w:rsidR="00D0486E" w:rsidRPr="00067883">
              <w:rPr>
                <w:rStyle w:val="Hyperlink"/>
                <w:lang w:val="en-IE" w:bidi="hi-IN"/>
              </w:rPr>
              <w:t>Response to question 3:</w:t>
            </w:r>
            <w:r w:rsidR="00D0486E">
              <w:rPr>
                <w:webHidden/>
              </w:rPr>
              <w:tab/>
            </w:r>
            <w:r w:rsidR="00D0486E">
              <w:rPr>
                <w:webHidden/>
              </w:rPr>
              <w:fldChar w:fldCharType="begin"/>
            </w:r>
            <w:r w:rsidR="00D0486E">
              <w:rPr>
                <w:webHidden/>
              </w:rPr>
              <w:instrText xml:space="preserve"> PAGEREF _Toc465667595 \h </w:instrText>
            </w:r>
            <w:r w:rsidR="00D0486E">
              <w:rPr>
                <w:webHidden/>
              </w:rPr>
            </w:r>
            <w:r w:rsidR="00D0486E">
              <w:rPr>
                <w:webHidden/>
              </w:rPr>
              <w:fldChar w:fldCharType="separate"/>
            </w:r>
            <w:r>
              <w:rPr>
                <w:webHidden/>
              </w:rPr>
              <w:t>9</w:t>
            </w:r>
            <w:r w:rsidR="00D0486E">
              <w:rPr>
                <w:webHidden/>
              </w:rPr>
              <w:fldChar w:fldCharType="end"/>
            </w:r>
          </w:hyperlink>
        </w:p>
        <w:p w14:paraId="62B453E3" w14:textId="77777777" w:rsidR="00D0486E" w:rsidRDefault="0078655A">
          <w:pPr>
            <w:pStyle w:val="TOC3"/>
            <w:rPr>
              <w:rFonts w:asciiTheme="minorHAnsi" w:hAnsiTheme="minorHAnsi"/>
              <w:sz w:val="22"/>
              <w:lang w:val="en-IE" w:eastAsia="en-IE"/>
            </w:rPr>
          </w:pPr>
          <w:hyperlink w:anchor="_Toc465667596" w:history="1">
            <w:r w:rsidR="00D0486E" w:rsidRPr="00067883">
              <w:rPr>
                <w:rStyle w:val="Hyperlink"/>
                <w:rFonts w:eastAsia="Arial Unicode MS"/>
                <w:lang w:val="en-IE" w:bidi="hi-IN"/>
              </w:rPr>
              <w:t>2.3.1.</w:t>
            </w:r>
            <w:r w:rsidR="00D0486E">
              <w:rPr>
                <w:rFonts w:asciiTheme="minorHAnsi" w:hAnsiTheme="minorHAnsi"/>
                <w:sz w:val="22"/>
                <w:lang w:val="en-IE" w:eastAsia="en-IE"/>
              </w:rPr>
              <w:tab/>
            </w:r>
            <w:r w:rsidR="00D0486E" w:rsidRPr="00067883">
              <w:rPr>
                <w:rStyle w:val="Hyperlink"/>
                <w:rFonts w:eastAsia="Arial Unicode MS"/>
                <w:lang w:val="en-IE" w:bidi="hi-IN"/>
              </w:rPr>
              <w:t>Meet capacity demand in an affordable manner</w:t>
            </w:r>
            <w:r w:rsidR="00D0486E">
              <w:rPr>
                <w:webHidden/>
              </w:rPr>
              <w:tab/>
            </w:r>
            <w:r w:rsidR="00D0486E">
              <w:rPr>
                <w:webHidden/>
              </w:rPr>
              <w:fldChar w:fldCharType="begin"/>
            </w:r>
            <w:r w:rsidR="00D0486E">
              <w:rPr>
                <w:webHidden/>
              </w:rPr>
              <w:instrText xml:space="preserve"> PAGEREF _Toc465667596 \h </w:instrText>
            </w:r>
            <w:r w:rsidR="00D0486E">
              <w:rPr>
                <w:webHidden/>
              </w:rPr>
            </w:r>
            <w:r w:rsidR="00D0486E">
              <w:rPr>
                <w:webHidden/>
              </w:rPr>
              <w:fldChar w:fldCharType="separate"/>
            </w:r>
            <w:r>
              <w:rPr>
                <w:webHidden/>
              </w:rPr>
              <w:t>9</w:t>
            </w:r>
            <w:r w:rsidR="00D0486E">
              <w:rPr>
                <w:webHidden/>
              </w:rPr>
              <w:fldChar w:fldCharType="end"/>
            </w:r>
          </w:hyperlink>
        </w:p>
        <w:p w14:paraId="3B031C15" w14:textId="77777777" w:rsidR="00D0486E" w:rsidRDefault="0078655A">
          <w:pPr>
            <w:pStyle w:val="TOC3"/>
            <w:rPr>
              <w:rFonts w:asciiTheme="minorHAnsi" w:hAnsiTheme="minorHAnsi"/>
              <w:sz w:val="22"/>
              <w:lang w:val="en-IE" w:eastAsia="en-IE"/>
            </w:rPr>
          </w:pPr>
          <w:hyperlink w:anchor="_Toc465667597" w:history="1">
            <w:r w:rsidR="00D0486E" w:rsidRPr="00067883">
              <w:rPr>
                <w:rStyle w:val="Hyperlink"/>
                <w:rFonts w:eastAsia="Arial Unicode MS"/>
                <w:lang w:bidi="hi-IN"/>
              </w:rPr>
              <w:t>2.3.2.</w:t>
            </w:r>
            <w:r w:rsidR="00D0486E">
              <w:rPr>
                <w:rFonts w:asciiTheme="minorHAnsi" w:hAnsiTheme="minorHAnsi"/>
                <w:sz w:val="22"/>
                <w:lang w:val="en-IE" w:eastAsia="en-IE"/>
              </w:rPr>
              <w:tab/>
            </w:r>
            <w:r w:rsidR="00D0486E" w:rsidRPr="00067883">
              <w:rPr>
                <w:rStyle w:val="Hyperlink"/>
                <w:rFonts w:eastAsia="Arial Unicode MS"/>
                <w:lang w:bidi="hi-IN"/>
              </w:rPr>
              <w:t>Review of provider and plan</w:t>
            </w:r>
            <w:r w:rsidR="00D0486E">
              <w:rPr>
                <w:webHidden/>
              </w:rPr>
              <w:tab/>
            </w:r>
            <w:r w:rsidR="00D0486E">
              <w:rPr>
                <w:webHidden/>
              </w:rPr>
              <w:fldChar w:fldCharType="begin"/>
            </w:r>
            <w:r w:rsidR="00D0486E">
              <w:rPr>
                <w:webHidden/>
              </w:rPr>
              <w:instrText xml:space="preserve"> PAGEREF _Toc465667597 \h </w:instrText>
            </w:r>
            <w:r w:rsidR="00D0486E">
              <w:rPr>
                <w:webHidden/>
              </w:rPr>
            </w:r>
            <w:r w:rsidR="00D0486E">
              <w:rPr>
                <w:webHidden/>
              </w:rPr>
              <w:fldChar w:fldCharType="separate"/>
            </w:r>
            <w:r>
              <w:rPr>
                <w:webHidden/>
              </w:rPr>
              <w:t>9</w:t>
            </w:r>
            <w:r w:rsidR="00D0486E">
              <w:rPr>
                <w:webHidden/>
              </w:rPr>
              <w:fldChar w:fldCharType="end"/>
            </w:r>
          </w:hyperlink>
        </w:p>
        <w:p w14:paraId="01592BB2" w14:textId="77777777" w:rsidR="00D0486E" w:rsidRDefault="0078655A">
          <w:pPr>
            <w:pStyle w:val="TOC3"/>
            <w:rPr>
              <w:rFonts w:asciiTheme="minorHAnsi" w:hAnsiTheme="minorHAnsi"/>
              <w:sz w:val="22"/>
              <w:lang w:val="en-IE" w:eastAsia="en-IE"/>
            </w:rPr>
          </w:pPr>
          <w:hyperlink w:anchor="_Toc465667598" w:history="1">
            <w:r w:rsidR="00D0486E" w:rsidRPr="00067883">
              <w:rPr>
                <w:rStyle w:val="Hyperlink"/>
                <w:rFonts w:eastAsia="Arial Unicode MS"/>
                <w:lang w:bidi="hi-IN"/>
              </w:rPr>
              <w:t>2.3.3.</w:t>
            </w:r>
            <w:r w:rsidR="00D0486E">
              <w:rPr>
                <w:rFonts w:asciiTheme="minorHAnsi" w:hAnsiTheme="minorHAnsi"/>
                <w:sz w:val="22"/>
                <w:lang w:val="en-IE" w:eastAsia="en-IE"/>
              </w:rPr>
              <w:tab/>
            </w:r>
            <w:r w:rsidR="00D0486E" w:rsidRPr="00067883">
              <w:rPr>
                <w:rStyle w:val="Hyperlink"/>
                <w:rFonts w:eastAsia="Arial Unicode MS"/>
                <w:lang w:bidi="hi-IN"/>
              </w:rPr>
              <w:t>Early termination fees</w:t>
            </w:r>
            <w:r w:rsidR="00D0486E">
              <w:rPr>
                <w:webHidden/>
              </w:rPr>
              <w:tab/>
            </w:r>
            <w:r w:rsidR="00D0486E">
              <w:rPr>
                <w:webHidden/>
              </w:rPr>
              <w:fldChar w:fldCharType="begin"/>
            </w:r>
            <w:r w:rsidR="00D0486E">
              <w:rPr>
                <w:webHidden/>
              </w:rPr>
              <w:instrText xml:space="preserve"> PAGEREF _Toc465667598 \h </w:instrText>
            </w:r>
            <w:r w:rsidR="00D0486E">
              <w:rPr>
                <w:webHidden/>
              </w:rPr>
            </w:r>
            <w:r w:rsidR="00D0486E">
              <w:rPr>
                <w:webHidden/>
              </w:rPr>
              <w:fldChar w:fldCharType="separate"/>
            </w:r>
            <w:r>
              <w:rPr>
                <w:webHidden/>
              </w:rPr>
              <w:t>9</w:t>
            </w:r>
            <w:r w:rsidR="00D0486E">
              <w:rPr>
                <w:webHidden/>
              </w:rPr>
              <w:fldChar w:fldCharType="end"/>
            </w:r>
          </w:hyperlink>
        </w:p>
        <w:p w14:paraId="54EE0BE0" w14:textId="77777777" w:rsidR="00D0486E" w:rsidRDefault="0078655A">
          <w:pPr>
            <w:pStyle w:val="TOC3"/>
            <w:rPr>
              <w:rFonts w:asciiTheme="minorHAnsi" w:hAnsiTheme="minorHAnsi"/>
              <w:sz w:val="22"/>
              <w:lang w:val="en-IE" w:eastAsia="en-IE"/>
            </w:rPr>
          </w:pPr>
          <w:hyperlink w:anchor="_Toc465667599" w:history="1">
            <w:r w:rsidR="00D0486E" w:rsidRPr="00067883">
              <w:rPr>
                <w:rStyle w:val="Hyperlink"/>
                <w:rFonts w:eastAsia="Arial Unicode MS"/>
                <w:lang w:val="en-IE" w:bidi="hi-IN"/>
              </w:rPr>
              <w:t>2.3.4.</w:t>
            </w:r>
            <w:r w:rsidR="00D0486E">
              <w:rPr>
                <w:rFonts w:asciiTheme="minorHAnsi" w:hAnsiTheme="minorHAnsi"/>
                <w:sz w:val="22"/>
                <w:lang w:val="en-IE" w:eastAsia="en-IE"/>
              </w:rPr>
              <w:tab/>
            </w:r>
            <w:r w:rsidR="00D0486E" w:rsidRPr="00067883">
              <w:rPr>
                <w:rStyle w:val="Hyperlink"/>
                <w:rFonts w:eastAsia="Arial Unicode MS"/>
                <w:lang w:val="en-IE" w:bidi="hi-IN"/>
              </w:rPr>
              <w:t>Conveying the difference</w:t>
            </w:r>
            <w:r w:rsidR="00D0486E">
              <w:rPr>
                <w:webHidden/>
              </w:rPr>
              <w:tab/>
            </w:r>
            <w:r w:rsidR="00D0486E">
              <w:rPr>
                <w:webHidden/>
              </w:rPr>
              <w:fldChar w:fldCharType="begin"/>
            </w:r>
            <w:r w:rsidR="00D0486E">
              <w:rPr>
                <w:webHidden/>
              </w:rPr>
              <w:instrText xml:space="preserve"> PAGEREF _Toc465667599 \h </w:instrText>
            </w:r>
            <w:r w:rsidR="00D0486E">
              <w:rPr>
                <w:webHidden/>
              </w:rPr>
            </w:r>
            <w:r w:rsidR="00D0486E">
              <w:rPr>
                <w:webHidden/>
              </w:rPr>
              <w:fldChar w:fldCharType="separate"/>
            </w:r>
            <w:r>
              <w:rPr>
                <w:webHidden/>
              </w:rPr>
              <w:t>11</w:t>
            </w:r>
            <w:r w:rsidR="00D0486E">
              <w:rPr>
                <w:webHidden/>
              </w:rPr>
              <w:fldChar w:fldCharType="end"/>
            </w:r>
          </w:hyperlink>
        </w:p>
        <w:p w14:paraId="4B4A83C4" w14:textId="77777777" w:rsidR="00D0486E" w:rsidRDefault="0078655A">
          <w:pPr>
            <w:pStyle w:val="TOC3"/>
            <w:rPr>
              <w:rFonts w:asciiTheme="minorHAnsi" w:hAnsiTheme="minorHAnsi"/>
              <w:sz w:val="22"/>
              <w:lang w:val="en-IE" w:eastAsia="en-IE"/>
            </w:rPr>
          </w:pPr>
          <w:hyperlink w:anchor="_Toc465667600" w:history="1">
            <w:r w:rsidR="00D0486E" w:rsidRPr="00067883">
              <w:rPr>
                <w:rStyle w:val="Hyperlink"/>
                <w:rFonts w:eastAsia="Arial Unicode MS"/>
                <w:lang w:val="en-IE" w:bidi="hi-IN"/>
              </w:rPr>
              <w:t>2.3.5.</w:t>
            </w:r>
            <w:r w:rsidR="00D0486E">
              <w:rPr>
                <w:rFonts w:asciiTheme="minorHAnsi" w:hAnsiTheme="minorHAnsi"/>
                <w:sz w:val="22"/>
                <w:lang w:val="en-IE" w:eastAsia="en-IE"/>
              </w:rPr>
              <w:tab/>
            </w:r>
            <w:r w:rsidR="00D0486E" w:rsidRPr="00067883">
              <w:rPr>
                <w:rStyle w:val="Hyperlink"/>
                <w:rFonts w:eastAsia="Arial Unicode MS"/>
                <w:lang w:val="en-IE" w:bidi="hi-IN"/>
              </w:rPr>
              <w:t>Search Costs and niche products and services</w:t>
            </w:r>
            <w:r w:rsidR="00D0486E">
              <w:rPr>
                <w:webHidden/>
              </w:rPr>
              <w:tab/>
            </w:r>
            <w:r w:rsidR="00D0486E">
              <w:rPr>
                <w:webHidden/>
              </w:rPr>
              <w:fldChar w:fldCharType="begin"/>
            </w:r>
            <w:r w:rsidR="00D0486E">
              <w:rPr>
                <w:webHidden/>
              </w:rPr>
              <w:instrText xml:space="preserve"> PAGEREF _Toc465667600 \h </w:instrText>
            </w:r>
            <w:r w:rsidR="00D0486E">
              <w:rPr>
                <w:webHidden/>
              </w:rPr>
            </w:r>
            <w:r w:rsidR="00D0486E">
              <w:rPr>
                <w:webHidden/>
              </w:rPr>
              <w:fldChar w:fldCharType="separate"/>
            </w:r>
            <w:r>
              <w:rPr>
                <w:webHidden/>
              </w:rPr>
              <w:t>12</w:t>
            </w:r>
            <w:r w:rsidR="00D0486E">
              <w:rPr>
                <w:webHidden/>
              </w:rPr>
              <w:fldChar w:fldCharType="end"/>
            </w:r>
          </w:hyperlink>
        </w:p>
        <w:p w14:paraId="04ADD105" w14:textId="77777777" w:rsidR="00D0486E" w:rsidRDefault="0078655A">
          <w:pPr>
            <w:pStyle w:val="TOC3"/>
            <w:rPr>
              <w:rFonts w:asciiTheme="minorHAnsi" w:hAnsiTheme="minorHAnsi"/>
              <w:sz w:val="22"/>
              <w:lang w:val="en-IE" w:eastAsia="en-IE"/>
            </w:rPr>
          </w:pPr>
          <w:hyperlink w:anchor="_Toc465667601" w:history="1">
            <w:r w:rsidR="00D0486E" w:rsidRPr="00067883">
              <w:rPr>
                <w:rStyle w:val="Hyperlink"/>
                <w:rFonts w:eastAsia="Arial Unicode MS"/>
                <w:lang w:val="en-IE" w:bidi="hi-IN"/>
              </w:rPr>
              <w:t>2.3.6.</w:t>
            </w:r>
            <w:r w:rsidR="00D0486E">
              <w:rPr>
                <w:rFonts w:asciiTheme="minorHAnsi" w:hAnsiTheme="minorHAnsi"/>
                <w:sz w:val="22"/>
                <w:lang w:val="en-IE" w:eastAsia="en-IE"/>
              </w:rPr>
              <w:tab/>
            </w:r>
            <w:r w:rsidR="00D0486E" w:rsidRPr="00067883">
              <w:rPr>
                <w:rStyle w:val="Hyperlink"/>
                <w:rFonts w:eastAsia="Arial Unicode MS"/>
                <w:lang w:val="en-IE" w:bidi="hi-IN"/>
              </w:rPr>
              <w:t>Service Guarantees</w:t>
            </w:r>
            <w:r w:rsidR="00D0486E">
              <w:rPr>
                <w:webHidden/>
              </w:rPr>
              <w:tab/>
            </w:r>
            <w:r w:rsidR="00D0486E">
              <w:rPr>
                <w:webHidden/>
              </w:rPr>
              <w:fldChar w:fldCharType="begin"/>
            </w:r>
            <w:r w:rsidR="00D0486E">
              <w:rPr>
                <w:webHidden/>
              </w:rPr>
              <w:instrText xml:space="preserve"> PAGEREF _Toc465667601 \h </w:instrText>
            </w:r>
            <w:r w:rsidR="00D0486E">
              <w:rPr>
                <w:webHidden/>
              </w:rPr>
            </w:r>
            <w:r w:rsidR="00D0486E">
              <w:rPr>
                <w:webHidden/>
              </w:rPr>
              <w:fldChar w:fldCharType="separate"/>
            </w:r>
            <w:r>
              <w:rPr>
                <w:webHidden/>
              </w:rPr>
              <w:t>12</w:t>
            </w:r>
            <w:r w:rsidR="00D0486E">
              <w:rPr>
                <w:webHidden/>
              </w:rPr>
              <w:fldChar w:fldCharType="end"/>
            </w:r>
          </w:hyperlink>
        </w:p>
        <w:p w14:paraId="1B3865FD" w14:textId="77777777" w:rsidR="00D0486E" w:rsidRDefault="0078655A">
          <w:pPr>
            <w:pStyle w:val="TOC2"/>
            <w:rPr>
              <w:rFonts w:asciiTheme="minorHAnsi" w:hAnsiTheme="minorHAnsi"/>
              <w:sz w:val="22"/>
              <w:lang w:val="en-IE" w:eastAsia="en-IE"/>
            </w:rPr>
          </w:pPr>
          <w:hyperlink w:anchor="_Toc465667602" w:history="1">
            <w:r w:rsidR="00D0486E" w:rsidRPr="00067883">
              <w:rPr>
                <w:rStyle w:val="Hyperlink"/>
                <w:lang w:val="en-IE" w:bidi="hi-IN"/>
              </w:rPr>
              <w:t>2.4.</w:t>
            </w:r>
            <w:r w:rsidR="00D0486E">
              <w:rPr>
                <w:rFonts w:asciiTheme="minorHAnsi" w:hAnsiTheme="minorHAnsi"/>
                <w:sz w:val="22"/>
                <w:lang w:val="en-IE" w:eastAsia="en-IE"/>
              </w:rPr>
              <w:tab/>
            </w:r>
            <w:r w:rsidR="00D0486E" w:rsidRPr="00067883">
              <w:rPr>
                <w:rStyle w:val="Hyperlink"/>
                <w:lang w:val="en-IE" w:bidi="hi-IN"/>
              </w:rPr>
              <w:t>Response to question 4:</w:t>
            </w:r>
            <w:r w:rsidR="00D0486E">
              <w:rPr>
                <w:webHidden/>
              </w:rPr>
              <w:tab/>
            </w:r>
            <w:r w:rsidR="00D0486E">
              <w:rPr>
                <w:webHidden/>
              </w:rPr>
              <w:fldChar w:fldCharType="begin"/>
            </w:r>
            <w:r w:rsidR="00D0486E">
              <w:rPr>
                <w:webHidden/>
              </w:rPr>
              <w:instrText xml:space="preserve"> PAGEREF _Toc465667602 \h </w:instrText>
            </w:r>
            <w:r w:rsidR="00D0486E">
              <w:rPr>
                <w:webHidden/>
              </w:rPr>
            </w:r>
            <w:r w:rsidR="00D0486E">
              <w:rPr>
                <w:webHidden/>
              </w:rPr>
              <w:fldChar w:fldCharType="separate"/>
            </w:r>
            <w:r>
              <w:rPr>
                <w:webHidden/>
              </w:rPr>
              <w:t>14</w:t>
            </w:r>
            <w:r w:rsidR="00D0486E">
              <w:rPr>
                <w:webHidden/>
              </w:rPr>
              <w:fldChar w:fldCharType="end"/>
            </w:r>
          </w:hyperlink>
        </w:p>
        <w:p w14:paraId="5DAD6516" w14:textId="77777777" w:rsidR="00D0486E" w:rsidRDefault="0078655A">
          <w:pPr>
            <w:pStyle w:val="TOC3"/>
            <w:rPr>
              <w:rFonts w:asciiTheme="minorHAnsi" w:hAnsiTheme="minorHAnsi"/>
              <w:sz w:val="22"/>
              <w:lang w:val="en-IE" w:eastAsia="en-IE"/>
            </w:rPr>
          </w:pPr>
          <w:hyperlink w:anchor="_Toc465667603" w:history="1">
            <w:r w:rsidR="00D0486E" w:rsidRPr="00067883">
              <w:rPr>
                <w:rStyle w:val="Hyperlink"/>
                <w:rFonts w:eastAsia="Arial Unicode MS"/>
                <w:lang w:val="en-IE" w:bidi="hi-IN"/>
              </w:rPr>
              <w:t>2.4.1.</w:t>
            </w:r>
            <w:r w:rsidR="00D0486E">
              <w:rPr>
                <w:rFonts w:asciiTheme="minorHAnsi" w:hAnsiTheme="minorHAnsi"/>
                <w:sz w:val="22"/>
                <w:lang w:val="en-IE" w:eastAsia="en-IE"/>
              </w:rPr>
              <w:tab/>
            </w:r>
            <w:r w:rsidR="00D0486E" w:rsidRPr="00067883">
              <w:rPr>
                <w:rStyle w:val="Hyperlink"/>
                <w:rFonts w:eastAsia="Arial Unicode MS"/>
                <w:lang w:val="en-IE" w:bidi="hi-IN"/>
              </w:rPr>
              <w:t>Individual use data</w:t>
            </w:r>
            <w:r w:rsidR="00D0486E">
              <w:rPr>
                <w:webHidden/>
              </w:rPr>
              <w:tab/>
            </w:r>
            <w:r w:rsidR="00D0486E">
              <w:rPr>
                <w:webHidden/>
              </w:rPr>
              <w:fldChar w:fldCharType="begin"/>
            </w:r>
            <w:r w:rsidR="00D0486E">
              <w:rPr>
                <w:webHidden/>
              </w:rPr>
              <w:instrText xml:space="preserve"> PAGEREF _Toc465667603 \h </w:instrText>
            </w:r>
            <w:r w:rsidR="00D0486E">
              <w:rPr>
                <w:webHidden/>
              </w:rPr>
            </w:r>
            <w:r w:rsidR="00D0486E">
              <w:rPr>
                <w:webHidden/>
              </w:rPr>
              <w:fldChar w:fldCharType="separate"/>
            </w:r>
            <w:r>
              <w:rPr>
                <w:webHidden/>
              </w:rPr>
              <w:t>14</w:t>
            </w:r>
            <w:r w:rsidR="00D0486E">
              <w:rPr>
                <w:webHidden/>
              </w:rPr>
              <w:fldChar w:fldCharType="end"/>
            </w:r>
          </w:hyperlink>
        </w:p>
        <w:p w14:paraId="600BF673" w14:textId="77777777" w:rsidR="00D0486E" w:rsidRDefault="0078655A">
          <w:pPr>
            <w:pStyle w:val="TOC3"/>
            <w:rPr>
              <w:rFonts w:asciiTheme="minorHAnsi" w:hAnsiTheme="minorHAnsi"/>
              <w:sz w:val="22"/>
              <w:lang w:val="en-IE" w:eastAsia="en-IE"/>
            </w:rPr>
          </w:pPr>
          <w:hyperlink w:anchor="_Toc465667604" w:history="1">
            <w:r w:rsidR="00D0486E" w:rsidRPr="00067883">
              <w:rPr>
                <w:rStyle w:val="Hyperlink"/>
                <w:rFonts w:eastAsia="Arial Unicode MS"/>
                <w:lang w:val="en-IE" w:bidi="hi-IN"/>
              </w:rPr>
              <w:t>2.4.2.</w:t>
            </w:r>
            <w:r w:rsidR="00D0486E">
              <w:rPr>
                <w:rFonts w:asciiTheme="minorHAnsi" w:hAnsiTheme="minorHAnsi"/>
                <w:sz w:val="22"/>
                <w:lang w:val="en-IE" w:eastAsia="en-IE"/>
              </w:rPr>
              <w:tab/>
            </w:r>
            <w:r w:rsidR="00D0486E" w:rsidRPr="00067883">
              <w:rPr>
                <w:rStyle w:val="Hyperlink"/>
                <w:rFonts w:eastAsia="Arial Unicode MS"/>
                <w:lang w:val="en-IE" w:bidi="hi-IN"/>
              </w:rPr>
              <w:t>Clarity over offerings</w:t>
            </w:r>
            <w:r w:rsidR="00D0486E">
              <w:rPr>
                <w:webHidden/>
              </w:rPr>
              <w:tab/>
            </w:r>
            <w:r w:rsidR="00D0486E">
              <w:rPr>
                <w:webHidden/>
              </w:rPr>
              <w:fldChar w:fldCharType="begin"/>
            </w:r>
            <w:r w:rsidR="00D0486E">
              <w:rPr>
                <w:webHidden/>
              </w:rPr>
              <w:instrText xml:space="preserve"> PAGEREF _Toc465667604 \h </w:instrText>
            </w:r>
            <w:r w:rsidR="00D0486E">
              <w:rPr>
                <w:webHidden/>
              </w:rPr>
            </w:r>
            <w:r w:rsidR="00D0486E">
              <w:rPr>
                <w:webHidden/>
              </w:rPr>
              <w:fldChar w:fldCharType="separate"/>
            </w:r>
            <w:r>
              <w:rPr>
                <w:webHidden/>
              </w:rPr>
              <w:t>16</w:t>
            </w:r>
            <w:r w:rsidR="00D0486E">
              <w:rPr>
                <w:webHidden/>
              </w:rPr>
              <w:fldChar w:fldCharType="end"/>
            </w:r>
          </w:hyperlink>
        </w:p>
        <w:p w14:paraId="45FA847A" w14:textId="77777777" w:rsidR="00D0486E" w:rsidRDefault="0078655A">
          <w:pPr>
            <w:pStyle w:val="TOC3"/>
            <w:rPr>
              <w:rFonts w:asciiTheme="minorHAnsi" w:hAnsiTheme="minorHAnsi"/>
              <w:sz w:val="22"/>
              <w:lang w:val="en-IE" w:eastAsia="en-IE"/>
            </w:rPr>
          </w:pPr>
          <w:hyperlink w:anchor="_Toc465667605" w:history="1">
            <w:r w:rsidR="00D0486E" w:rsidRPr="00067883">
              <w:rPr>
                <w:rStyle w:val="Hyperlink"/>
                <w:rFonts w:eastAsia="Arial Unicode MS"/>
                <w:lang w:val="en-IE" w:bidi="hi-IN"/>
              </w:rPr>
              <w:t>2.4.3.</w:t>
            </w:r>
            <w:r w:rsidR="00D0486E">
              <w:rPr>
                <w:rFonts w:asciiTheme="minorHAnsi" w:hAnsiTheme="minorHAnsi"/>
                <w:sz w:val="22"/>
                <w:lang w:val="en-IE" w:eastAsia="en-IE"/>
              </w:rPr>
              <w:tab/>
            </w:r>
            <w:r w:rsidR="00D0486E" w:rsidRPr="00067883">
              <w:rPr>
                <w:rStyle w:val="Hyperlink"/>
                <w:rFonts w:eastAsia="Arial Unicode MS"/>
                <w:lang w:val="en-IE" w:bidi="hi-IN"/>
              </w:rPr>
              <w:t>Comparator websites</w:t>
            </w:r>
            <w:r w:rsidR="00D0486E">
              <w:rPr>
                <w:webHidden/>
              </w:rPr>
              <w:tab/>
            </w:r>
            <w:r w:rsidR="00D0486E">
              <w:rPr>
                <w:webHidden/>
              </w:rPr>
              <w:fldChar w:fldCharType="begin"/>
            </w:r>
            <w:r w:rsidR="00D0486E">
              <w:rPr>
                <w:webHidden/>
              </w:rPr>
              <w:instrText xml:space="preserve"> PAGEREF _Toc465667605 \h </w:instrText>
            </w:r>
            <w:r w:rsidR="00D0486E">
              <w:rPr>
                <w:webHidden/>
              </w:rPr>
            </w:r>
            <w:r w:rsidR="00D0486E">
              <w:rPr>
                <w:webHidden/>
              </w:rPr>
              <w:fldChar w:fldCharType="separate"/>
            </w:r>
            <w:r>
              <w:rPr>
                <w:webHidden/>
              </w:rPr>
              <w:t>16</w:t>
            </w:r>
            <w:r w:rsidR="00D0486E">
              <w:rPr>
                <w:webHidden/>
              </w:rPr>
              <w:fldChar w:fldCharType="end"/>
            </w:r>
          </w:hyperlink>
        </w:p>
        <w:p w14:paraId="36B908F9" w14:textId="77777777" w:rsidR="00D0486E" w:rsidRDefault="0078655A">
          <w:pPr>
            <w:pStyle w:val="TOC3"/>
            <w:rPr>
              <w:rFonts w:asciiTheme="minorHAnsi" w:hAnsiTheme="minorHAnsi"/>
              <w:sz w:val="22"/>
              <w:lang w:val="en-IE" w:eastAsia="en-IE"/>
            </w:rPr>
          </w:pPr>
          <w:hyperlink w:anchor="_Toc465667606" w:history="1">
            <w:r w:rsidR="00D0486E" w:rsidRPr="00067883">
              <w:rPr>
                <w:rStyle w:val="Hyperlink"/>
                <w:rFonts w:eastAsia="Arial Unicode MS"/>
                <w:lang w:val="en-IE" w:bidi="hi-IN"/>
              </w:rPr>
              <w:t>2.4.4.</w:t>
            </w:r>
            <w:r w:rsidR="00D0486E">
              <w:rPr>
                <w:rFonts w:asciiTheme="minorHAnsi" w:hAnsiTheme="minorHAnsi"/>
                <w:sz w:val="22"/>
                <w:lang w:val="en-IE" w:eastAsia="en-IE"/>
              </w:rPr>
              <w:tab/>
            </w:r>
            <w:r w:rsidR="00D0486E" w:rsidRPr="00067883">
              <w:rPr>
                <w:rStyle w:val="Hyperlink"/>
                <w:rFonts w:eastAsia="Arial Unicode MS"/>
                <w:lang w:val="en-IE" w:bidi="hi-IN"/>
              </w:rPr>
              <w:t>Service performance and speed attributes</w:t>
            </w:r>
            <w:r w:rsidR="00D0486E">
              <w:rPr>
                <w:webHidden/>
              </w:rPr>
              <w:tab/>
            </w:r>
            <w:r w:rsidR="00D0486E">
              <w:rPr>
                <w:webHidden/>
              </w:rPr>
              <w:fldChar w:fldCharType="begin"/>
            </w:r>
            <w:r w:rsidR="00D0486E">
              <w:rPr>
                <w:webHidden/>
              </w:rPr>
              <w:instrText xml:space="preserve"> PAGEREF _Toc465667606 \h </w:instrText>
            </w:r>
            <w:r w:rsidR="00D0486E">
              <w:rPr>
                <w:webHidden/>
              </w:rPr>
            </w:r>
            <w:r w:rsidR="00D0486E">
              <w:rPr>
                <w:webHidden/>
              </w:rPr>
              <w:fldChar w:fldCharType="separate"/>
            </w:r>
            <w:r>
              <w:rPr>
                <w:webHidden/>
              </w:rPr>
              <w:t>18</w:t>
            </w:r>
            <w:r w:rsidR="00D0486E">
              <w:rPr>
                <w:webHidden/>
              </w:rPr>
              <w:fldChar w:fldCharType="end"/>
            </w:r>
          </w:hyperlink>
        </w:p>
        <w:p w14:paraId="739A0B53" w14:textId="77777777" w:rsidR="00D0486E" w:rsidRDefault="0078655A">
          <w:pPr>
            <w:pStyle w:val="TOC3"/>
            <w:rPr>
              <w:rFonts w:asciiTheme="minorHAnsi" w:hAnsiTheme="minorHAnsi"/>
              <w:sz w:val="22"/>
              <w:lang w:val="en-IE" w:eastAsia="en-IE"/>
            </w:rPr>
          </w:pPr>
          <w:hyperlink w:anchor="_Toc465667607" w:history="1">
            <w:r w:rsidR="00D0486E" w:rsidRPr="00067883">
              <w:rPr>
                <w:rStyle w:val="Hyperlink"/>
                <w:lang w:val="en-IE" w:bidi="hi-IN"/>
              </w:rPr>
              <w:t>2.4.5.</w:t>
            </w:r>
            <w:r w:rsidR="00D0486E">
              <w:rPr>
                <w:rFonts w:asciiTheme="minorHAnsi" w:hAnsiTheme="minorHAnsi"/>
                <w:sz w:val="22"/>
                <w:lang w:val="en-IE" w:eastAsia="en-IE"/>
              </w:rPr>
              <w:tab/>
            </w:r>
            <w:r w:rsidR="00D0486E" w:rsidRPr="00067883">
              <w:rPr>
                <w:rStyle w:val="Hyperlink"/>
                <w:lang w:val="en-IE" w:bidi="hi-IN"/>
              </w:rPr>
              <w:t>Complaint Statistics</w:t>
            </w:r>
            <w:r w:rsidR="00D0486E">
              <w:rPr>
                <w:webHidden/>
              </w:rPr>
              <w:tab/>
            </w:r>
            <w:r w:rsidR="00D0486E">
              <w:rPr>
                <w:webHidden/>
              </w:rPr>
              <w:fldChar w:fldCharType="begin"/>
            </w:r>
            <w:r w:rsidR="00D0486E">
              <w:rPr>
                <w:webHidden/>
              </w:rPr>
              <w:instrText xml:space="preserve"> PAGEREF _Toc465667607 \h </w:instrText>
            </w:r>
            <w:r w:rsidR="00D0486E">
              <w:rPr>
                <w:webHidden/>
              </w:rPr>
            </w:r>
            <w:r w:rsidR="00D0486E">
              <w:rPr>
                <w:webHidden/>
              </w:rPr>
              <w:fldChar w:fldCharType="separate"/>
            </w:r>
            <w:r>
              <w:rPr>
                <w:webHidden/>
              </w:rPr>
              <w:t>19</w:t>
            </w:r>
            <w:r w:rsidR="00D0486E">
              <w:rPr>
                <w:webHidden/>
              </w:rPr>
              <w:fldChar w:fldCharType="end"/>
            </w:r>
          </w:hyperlink>
        </w:p>
        <w:p w14:paraId="77B16B4E" w14:textId="77777777" w:rsidR="00D0486E" w:rsidRDefault="0078655A">
          <w:pPr>
            <w:pStyle w:val="TOC2"/>
            <w:rPr>
              <w:rFonts w:asciiTheme="minorHAnsi" w:hAnsiTheme="minorHAnsi"/>
              <w:sz w:val="22"/>
              <w:lang w:val="en-IE" w:eastAsia="en-IE"/>
            </w:rPr>
          </w:pPr>
          <w:hyperlink w:anchor="_Toc465667608" w:history="1">
            <w:r w:rsidR="00D0486E" w:rsidRPr="00067883">
              <w:rPr>
                <w:rStyle w:val="Hyperlink"/>
                <w:lang w:val="en-IE" w:bidi="hi-IN"/>
              </w:rPr>
              <w:t>2.5.</w:t>
            </w:r>
            <w:r w:rsidR="00D0486E">
              <w:rPr>
                <w:rFonts w:asciiTheme="minorHAnsi" w:hAnsiTheme="minorHAnsi"/>
                <w:sz w:val="22"/>
                <w:lang w:val="en-IE" w:eastAsia="en-IE"/>
              </w:rPr>
              <w:tab/>
            </w:r>
            <w:r w:rsidR="00D0486E" w:rsidRPr="00067883">
              <w:rPr>
                <w:rStyle w:val="Hyperlink"/>
                <w:lang w:val="en-IE" w:bidi="hi-IN"/>
              </w:rPr>
              <w:t>Response to question 5:</w:t>
            </w:r>
            <w:r w:rsidR="00D0486E">
              <w:rPr>
                <w:webHidden/>
              </w:rPr>
              <w:tab/>
            </w:r>
            <w:r w:rsidR="00D0486E">
              <w:rPr>
                <w:webHidden/>
              </w:rPr>
              <w:fldChar w:fldCharType="begin"/>
            </w:r>
            <w:r w:rsidR="00D0486E">
              <w:rPr>
                <w:webHidden/>
              </w:rPr>
              <w:instrText xml:space="preserve"> PAGEREF _Toc465667608 \h </w:instrText>
            </w:r>
            <w:r w:rsidR="00D0486E">
              <w:rPr>
                <w:webHidden/>
              </w:rPr>
            </w:r>
            <w:r w:rsidR="00D0486E">
              <w:rPr>
                <w:webHidden/>
              </w:rPr>
              <w:fldChar w:fldCharType="separate"/>
            </w:r>
            <w:r>
              <w:rPr>
                <w:webHidden/>
              </w:rPr>
              <w:t>19</w:t>
            </w:r>
            <w:r w:rsidR="00D0486E">
              <w:rPr>
                <w:webHidden/>
              </w:rPr>
              <w:fldChar w:fldCharType="end"/>
            </w:r>
          </w:hyperlink>
        </w:p>
        <w:p w14:paraId="6C6E8EC9" w14:textId="77777777" w:rsidR="00D0486E" w:rsidRDefault="0078655A">
          <w:pPr>
            <w:pStyle w:val="TOC2"/>
            <w:rPr>
              <w:rFonts w:asciiTheme="minorHAnsi" w:hAnsiTheme="minorHAnsi"/>
              <w:sz w:val="22"/>
              <w:lang w:val="en-IE" w:eastAsia="en-IE"/>
            </w:rPr>
          </w:pPr>
          <w:hyperlink w:anchor="_Toc465667609" w:history="1">
            <w:r w:rsidR="00D0486E" w:rsidRPr="00067883">
              <w:rPr>
                <w:rStyle w:val="Hyperlink"/>
                <w:lang w:val="en-IE" w:bidi="hi-IN"/>
              </w:rPr>
              <w:t>2.6.</w:t>
            </w:r>
            <w:r w:rsidR="00D0486E">
              <w:rPr>
                <w:rFonts w:asciiTheme="minorHAnsi" w:hAnsiTheme="minorHAnsi"/>
                <w:sz w:val="22"/>
                <w:lang w:val="en-IE" w:eastAsia="en-IE"/>
              </w:rPr>
              <w:tab/>
            </w:r>
            <w:r w:rsidR="00D0486E" w:rsidRPr="00067883">
              <w:rPr>
                <w:rStyle w:val="Hyperlink"/>
                <w:lang w:val="en-IE" w:bidi="hi-IN"/>
              </w:rPr>
              <w:t>Response to question 6:</w:t>
            </w:r>
            <w:r w:rsidR="00D0486E">
              <w:rPr>
                <w:webHidden/>
              </w:rPr>
              <w:tab/>
            </w:r>
            <w:r w:rsidR="00D0486E">
              <w:rPr>
                <w:webHidden/>
              </w:rPr>
              <w:fldChar w:fldCharType="begin"/>
            </w:r>
            <w:r w:rsidR="00D0486E">
              <w:rPr>
                <w:webHidden/>
              </w:rPr>
              <w:instrText xml:space="preserve"> PAGEREF _Toc465667609 \h </w:instrText>
            </w:r>
            <w:r w:rsidR="00D0486E">
              <w:rPr>
                <w:webHidden/>
              </w:rPr>
            </w:r>
            <w:r w:rsidR="00D0486E">
              <w:rPr>
                <w:webHidden/>
              </w:rPr>
              <w:fldChar w:fldCharType="separate"/>
            </w:r>
            <w:r>
              <w:rPr>
                <w:webHidden/>
              </w:rPr>
              <w:t>21</w:t>
            </w:r>
            <w:r w:rsidR="00D0486E">
              <w:rPr>
                <w:webHidden/>
              </w:rPr>
              <w:fldChar w:fldCharType="end"/>
            </w:r>
          </w:hyperlink>
        </w:p>
        <w:p w14:paraId="6868B42C" w14:textId="77777777" w:rsidR="00D0486E" w:rsidRDefault="0078655A">
          <w:pPr>
            <w:pStyle w:val="TOC3"/>
            <w:rPr>
              <w:rFonts w:asciiTheme="minorHAnsi" w:hAnsiTheme="minorHAnsi"/>
              <w:sz w:val="22"/>
              <w:lang w:val="en-IE" w:eastAsia="en-IE"/>
            </w:rPr>
          </w:pPr>
          <w:hyperlink w:anchor="_Toc465667610" w:history="1">
            <w:r w:rsidR="00D0486E" w:rsidRPr="00067883">
              <w:rPr>
                <w:rStyle w:val="Hyperlink"/>
                <w:rFonts w:eastAsia="Arial Unicode MS"/>
                <w:lang w:val="en-IE" w:bidi="hi-IN"/>
              </w:rPr>
              <w:t>2.6.1.</w:t>
            </w:r>
            <w:r w:rsidR="00D0486E">
              <w:rPr>
                <w:rFonts w:asciiTheme="minorHAnsi" w:hAnsiTheme="minorHAnsi"/>
                <w:sz w:val="22"/>
                <w:lang w:val="en-IE" w:eastAsia="en-IE"/>
              </w:rPr>
              <w:tab/>
            </w:r>
            <w:r w:rsidR="00D0486E" w:rsidRPr="00067883">
              <w:rPr>
                <w:rStyle w:val="Hyperlink"/>
                <w:rFonts w:eastAsia="Arial Unicode MS"/>
                <w:lang w:val="en-IE" w:bidi="hi-IN"/>
              </w:rPr>
              <w:t>Resolving problems with goods and services</w:t>
            </w:r>
            <w:r w:rsidR="00D0486E">
              <w:rPr>
                <w:webHidden/>
              </w:rPr>
              <w:tab/>
            </w:r>
            <w:r w:rsidR="00D0486E">
              <w:rPr>
                <w:webHidden/>
              </w:rPr>
              <w:fldChar w:fldCharType="begin"/>
            </w:r>
            <w:r w:rsidR="00D0486E">
              <w:rPr>
                <w:webHidden/>
              </w:rPr>
              <w:instrText xml:space="preserve"> PAGEREF _Toc465667610 \h </w:instrText>
            </w:r>
            <w:r w:rsidR="00D0486E">
              <w:rPr>
                <w:webHidden/>
              </w:rPr>
            </w:r>
            <w:r w:rsidR="00D0486E">
              <w:rPr>
                <w:webHidden/>
              </w:rPr>
              <w:fldChar w:fldCharType="separate"/>
            </w:r>
            <w:r>
              <w:rPr>
                <w:webHidden/>
              </w:rPr>
              <w:t>21</w:t>
            </w:r>
            <w:r w:rsidR="00D0486E">
              <w:rPr>
                <w:webHidden/>
              </w:rPr>
              <w:fldChar w:fldCharType="end"/>
            </w:r>
          </w:hyperlink>
        </w:p>
        <w:p w14:paraId="13D4DF44" w14:textId="77777777" w:rsidR="00D0486E" w:rsidRDefault="0078655A">
          <w:pPr>
            <w:pStyle w:val="TOC1"/>
            <w:rPr>
              <w:rFonts w:asciiTheme="minorHAnsi" w:hAnsiTheme="minorHAnsi"/>
              <w:noProof/>
              <w:sz w:val="22"/>
              <w:lang w:val="en-IE" w:eastAsia="en-IE"/>
            </w:rPr>
          </w:pPr>
          <w:hyperlink w:anchor="_Toc465667611" w:history="1">
            <w:r w:rsidR="00D0486E" w:rsidRPr="00067883">
              <w:rPr>
                <w:rStyle w:val="Hyperlink"/>
                <w:rFonts w:eastAsia="Arial Unicode MS"/>
                <w:noProof/>
                <w:lang w:val="en-IE" w:bidi="hi-IN"/>
              </w:rPr>
              <w:t>3.</w:t>
            </w:r>
            <w:r w:rsidR="00D0486E">
              <w:rPr>
                <w:rFonts w:asciiTheme="minorHAnsi" w:hAnsiTheme="minorHAnsi"/>
                <w:noProof/>
                <w:sz w:val="22"/>
                <w:lang w:val="en-IE" w:eastAsia="en-IE"/>
              </w:rPr>
              <w:tab/>
            </w:r>
            <w:r w:rsidR="00D0486E" w:rsidRPr="00067883">
              <w:rPr>
                <w:rStyle w:val="Hyperlink"/>
                <w:rFonts w:eastAsia="Arial Unicode MS"/>
                <w:noProof/>
                <w:lang w:val="en-IE" w:bidi="hi-IN"/>
              </w:rPr>
              <w:t>Emerging services</w:t>
            </w:r>
            <w:r w:rsidR="00D0486E">
              <w:rPr>
                <w:noProof/>
                <w:webHidden/>
              </w:rPr>
              <w:tab/>
            </w:r>
            <w:r w:rsidR="00D0486E">
              <w:rPr>
                <w:noProof/>
                <w:webHidden/>
              </w:rPr>
              <w:fldChar w:fldCharType="begin"/>
            </w:r>
            <w:r w:rsidR="00D0486E">
              <w:rPr>
                <w:noProof/>
                <w:webHidden/>
              </w:rPr>
              <w:instrText xml:space="preserve"> PAGEREF _Toc465667611 \h </w:instrText>
            </w:r>
            <w:r w:rsidR="00D0486E">
              <w:rPr>
                <w:noProof/>
                <w:webHidden/>
              </w:rPr>
            </w:r>
            <w:r w:rsidR="00D0486E">
              <w:rPr>
                <w:noProof/>
                <w:webHidden/>
              </w:rPr>
              <w:fldChar w:fldCharType="separate"/>
            </w:r>
            <w:r>
              <w:rPr>
                <w:noProof/>
                <w:webHidden/>
              </w:rPr>
              <w:t>23</w:t>
            </w:r>
            <w:r w:rsidR="00D0486E">
              <w:rPr>
                <w:noProof/>
                <w:webHidden/>
              </w:rPr>
              <w:fldChar w:fldCharType="end"/>
            </w:r>
          </w:hyperlink>
        </w:p>
        <w:p w14:paraId="68860107" w14:textId="77777777" w:rsidR="00D0486E" w:rsidRDefault="0078655A">
          <w:pPr>
            <w:pStyle w:val="TOC2"/>
            <w:rPr>
              <w:rFonts w:asciiTheme="minorHAnsi" w:hAnsiTheme="minorHAnsi"/>
              <w:sz w:val="22"/>
              <w:lang w:val="en-IE" w:eastAsia="en-IE"/>
            </w:rPr>
          </w:pPr>
          <w:hyperlink w:anchor="_Toc465667612" w:history="1">
            <w:r w:rsidR="00D0486E" w:rsidRPr="00067883">
              <w:rPr>
                <w:rStyle w:val="Hyperlink"/>
                <w:lang w:val="en-IE" w:bidi="hi-IN"/>
              </w:rPr>
              <w:t>3.1.</w:t>
            </w:r>
            <w:r w:rsidR="00D0486E">
              <w:rPr>
                <w:rFonts w:asciiTheme="minorHAnsi" w:hAnsiTheme="minorHAnsi"/>
                <w:sz w:val="22"/>
                <w:lang w:val="en-IE" w:eastAsia="en-IE"/>
              </w:rPr>
              <w:tab/>
            </w:r>
            <w:r w:rsidR="00D0486E" w:rsidRPr="00067883">
              <w:rPr>
                <w:rStyle w:val="Hyperlink"/>
                <w:lang w:val="en-IE" w:bidi="hi-IN"/>
              </w:rPr>
              <w:t>Response to question 7:</w:t>
            </w:r>
            <w:r w:rsidR="00D0486E">
              <w:rPr>
                <w:webHidden/>
              </w:rPr>
              <w:tab/>
            </w:r>
            <w:r w:rsidR="00D0486E">
              <w:rPr>
                <w:webHidden/>
              </w:rPr>
              <w:fldChar w:fldCharType="begin"/>
            </w:r>
            <w:r w:rsidR="00D0486E">
              <w:rPr>
                <w:webHidden/>
              </w:rPr>
              <w:instrText xml:space="preserve"> PAGEREF _Toc465667612 \h </w:instrText>
            </w:r>
            <w:r w:rsidR="00D0486E">
              <w:rPr>
                <w:webHidden/>
              </w:rPr>
            </w:r>
            <w:r w:rsidR="00D0486E">
              <w:rPr>
                <w:webHidden/>
              </w:rPr>
              <w:fldChar w:fldCharType="separate"/>
            </w:r>
            <w:r>
              <w:rPr>
                <w:webHidden/>
              </w:rPr>
              <w:t>24</w:t>
            </w:r>
            <w:r w:rsidR="00D0486E">
              <w:rPr>
                <w:webHidden/>
              </w:rPr>
              <w:fldChar w:fldCharType="end"/>
            </w:r>
          </w:hyperlink>
        </w:p>
        <w:p w14:paraId="77E254C3" w14:textId="77777777" w:rsidR="00D0486E" w:rsidRDefault="0078655A">
          <w:pPr>
            <w:pStyle w:val="TOC3"/>
            <w:rPr>
              <w:rFonts w:asciiTheme="minorHAnsi" w:hAnsiTheme="minorHAnsi"/>
              <w:sz w:val="22"/>
              <w:lang w:val="en-IE" w:eastAsia="en-IE"/>
            </w:rPr>
          </w:pPr>
          <w:hyperlink w:anchor="_Toc465667613" w:history="1">
            <w:r w:rsidR="00D0486E" w:rsidRPr="00067883">
              <w:rPr>
                <w:rStyle w:val="Hyperlink"/>
                <w:rFonts w:eastAsia="Arial Unicode MS"/>
                <w:lang w:val="en-IE" w:bidi="hi-IN"/>
              </w:rPr>
              <w:t>3.1.1.</w:t>
            </w:r>
            <w:r w:rsidR="00D0486E">
              <w:rPr>
                <w:rFonts w:asciiTheme="minorHAnsi" w:hAnsiTheme="minorHAnsi"/>
                <w:sz w:val="22"/>
                <w:lang w:val="en-IE" w:eastAsia="en-IE"/>
              </w:rPr>
              <w:tab/>
            </w:r>
            <w:r w:rsidR="00D0486E" w:rsidRPr="00067883">
              <w:rPr>
                <w:rStyle w:val="Hyperlink"/>
                <w:rFonts w:eastAsia="Arial Unicode MS"/>
                <w:lang w:val="en-IE" w:bidi="hi-IN"/>
              </w:rPr>
              <w:t>Barriers at the network element level</w:t>
            </w:r>
            <w:r w:rsidR="00D0486E">
              <w:rPr>
                <w:webHidden/>
              </w:rPr>
              <w:tab/>
            </w:r>
            <w:r w:rsidR="00D0486E">
              <w:rPr>
                <w:webHidden/>
              </w:rPr>
              <w:fldChar w:fldCharType="begin"/>
            </w:r>
            <w:r w:rsidR="00D0486E">
              <w:rPr>
                <w:webHidden/>
              </w:rPr>
              <w:instrText xml:space="preserve"> PAGEREF _Toc465667613 \h </w:instrText>
            </w:r>
            <w:r w:rsidR="00D0486E">
              <w:rPr>
                <w:webHidden/>
              </w:rPr>
            </w:r>
            <w:r w:rsidR="00D0486E">
              <w:rPr>
                <w:webHidden/>
              </w:rPr>
              <w:fldChar w:fldCharType="separate"/>
            </w:r>
            <w:r>
              <w:rPr>
                <w:webHidden/>
              </w:rPr>
              <w:t>24</w:t>
            </w:r>
            <w:r w:rsidR="00D0486E">
              <w:rPr>
                <w:webHidden/>
              </w:rPr>
              <w:fldChar w:fldCharType="end"/>
            </w:r>
          </w:hyperlink>
        </w:p>
        <w:p w14:paraId="40DABA45" w14:textId="77777777" w:rsidR="00D0486E" w:rsidRDefault="0078655A">
          <w:pPr>
            <w:pStyle w:val="TOC3"/>
            <w:rPr>
              <w:rFonts w:asciiTheme="minorHAnsi" w:hAnsiTheme="minorHAnsi"/>
              <w:sz w:val="22"/>
              <w:lang w:val="en-IE" w:eastAsia="en-IE"/>
            </w:rPr>
          </w:pPr>
          <w:hyperlink w:anchor="_Toc465667614" w:history="1">
            <w:r w:rsidR="00D0486E" w:rsidRPr="00067883">
              <w:rPr>
                <w:rStyle w:val="Hyperlink"/>
                <w:rFonts w:eastAsia="Arial Unicode MS"/>
                <w:lang w:val="en-IE" w:bidi="hi-IN"/>
              </w:rPr>
              <w:t>3.1.2.</w:t>
            </w:r>
            <w:r w:rsidR="00D0486E">
              <w:rPr>
                <w:rFonts w:asciiTheme="minorHAnsi" w:hAnsiTheme="minorHAnsi"/>
                <w:sz w:val="22"/>
                <w:lang w:val="en-IE" w:eastAsia="en-IE"/>
              </w:rPr>
              <w:tab/>
            </w:r>
            <w:r w:rsidR="00D0486E" w:rsidRPr="00067883">
              <w:rPr>
                <w:rStyle w:val="Hyperlink"/>
                <w:rFonts w:eastAsia="Arial Unicode MS"/>
                <w:lang w:val="en-IE" w:bidi="hi-IN"/>
              </w:rPr>
              <w:t>Default apps by carriers, device manufacturers and operating system owners</w:t>
            </w:r>
            <w:r w:rsidR="00D0486E">
              <w:rPr>
                <w:webHidden/>
              </w:rPr>
              <w:tab/>
            </w:r>
            <w:r w:rsidR="00D0486E">
              <w:rPr>
                <w:webHidden/>
              </w:rPr>
              <w:fldChar w:fldCharType="begin"/>
            </w:r>
            <w:r w:rsidR="00D0486E">
              <w:rPr>
                <w:webHidden/>
              </w:rPr>
              <w:instrText xml:space="preserve"> PAGEREF _Toc465667614 \h </w:instrText>
            </w:r>
            <w:r w:rsidR="00D0486E">
              <w:rPr>
                <w:webHidden/>
              </w:rPr>
            </w:r>
            <w:r w:rsidR="00D0486E">
              <w:rPr>
                <w:webHidden/>
              </w:rPr>
              <w:fldChar w:fldCharType="separate"/>
            </w:r>
            <w:r>
              <w:rPr>
                <w:webHidden/>
              </w:rPr>
              <w:t>24</w:t>
            </w:r>
            <w:r w:rsidR="00D0486E">
              <w:rPr>
                <w:webHidden/>
              </w:rPr>
              <w:fldChar w:fldCharType="end"/>
            </w:r>
          </w:hyperlink>
        </w:p>
        <w:p w14:paraId="2228C575" w14:textId="77777777" w:rsidR="00D0486E" w:rsidRDefault="0078655A">
          <w:pPr>
            <w:pStyle w:val="TOC3"/>
            <w:rPr>
              <w:rFonts w:asciiTheme="minorHAnsi" w:hAnsiTheme="minorHAnsi"/>
              <w:sz w:val="22"/>
              <w:lang w:val="en-IE" w:eastAsia="en-IE"/>
            </w:rPr>
          </w:pPr>
          <w:hyperlink w:anchor="_Toc465667615" w:history="1">
            <w:r w:rsidR="00D0486E" w:rsidRPr="00067883">
              <w:rPr>
                <w:rStyle w:val="Hyperlink"/>
                <w:rFonts w:eastAsia="Arial Unicode MS"/>
                <w:lang w:val="en-IE" w:bidi="hi-IN"/>
              </w:rPr>
              <w:t>3.1.3.</w:t>
            </w:r>
            <w:r w:rsidR="00D0486E">
              <w:rPr>
                <w:rFonts w:asciiTheme="minorHAnsi" w:hAnsiTheme="minorHAnsi"/>
                <w:sz w:val="22"/>
                <w:lang w:val="en-IE" w:eastAsia="en-IE"/>
              </w:rPr>
              <w:tab/>
            </w:r>
            <w:r w:rsidR="00D0486E" w:rsidRPr="00067883">
              <w:rPr>
                <w:rStyle w:val="Hyperlink"/>
                <w:rFonts w:eastAsia="Arial Unicode MS"/>
                <w:lang w:val="en-IE" w:bidi="hi-IN"/>
              </w:rPr>
              <w:t>App Store developer guidelines</w:t>
            </w:r>
            <w:r w:rsidR="00D0486E">
              <w:rPr>
                <w:webHidden/>
              </w:rPr>
              <w:tab/>
            </w:r>
            <w:r w:rsidR="00D0486E">
              <w:rPr>
                <w:webHidden/>
              </w:rPr>
              <w:fldChar w:fldCharType="begin"/>
            </w:r>
            <w:r w:rsidR="00D0486E">
              <w:rPr>
                <w:webHidden/>
              </w:rPr>
              <w:instrText xml:space="preserve"> PAGEREF _Toc465667615 \h </w:instrText>
            </w:r>
            <w:r w:rsidR="00D0486E">
              <w:rPr>
                <w:webHidden/>
              </w:rPr>
            </w:r>
            <w:r w:rsidR="00D0486E">
              <w:rPr>
                <w:webHidden/>
              </w:rPr>
              <w:fldChar w:fldCharType="separate"/>
            </w:r>
            <w:r>
              <w:rPr>
                <w:webHidden/>
              </w:rPr>
              <w:t>25</w:t>
            </w:r>
            <w:r w:rsidR="00D0486E">
              <w:rPr>
                <w:webHidden/>
              </w:rPr>
              <w:fldChar w:fldCharType="end"/>
            </w:r>
          </w:hyperlink>
        </w:p>
        <w:p w14:paraId="112BCB8F" w14:textId="77777777" w:rsidR="00D0486E" w:rsidRDefault="0078655A">
          <w:pPr>
            <w:pStyle w:val="TOC3"/>
            <w:rPr>
              <w:rFonts w:asciiTheme="minorHAnsi" w:hAnsiTheme="minorHAnsi"/>
              <w:sz w:val="22"/>
              <w:lang w:val="en-IE" w:eastAsia="en-IE"/>
            </w:rPr>
          </w:pPr>
          <w:hyperlink w:anchor="_Toc465667616" w:history="1">
            <w:r w:rsidR="00D0486E" w:rsidRPr="00067883">
              <w:rPr>
                <w:rStyle w:val="Hyperlink"/>
                <w:rFonts w:eastAsia="Arial Unicode MS"/>
                <w:lang w:val="en-IE" w:bidi="hi-IN"/>
              </w:rPr>
              <w:t>3.1.4.</w:t>
            </w:r>
            <w:r w:rsidR="00D0486E">
              <w:rPr>
                <w:rFonts w:asciiTheme="minorHAnsi" w:hAnsiTheme="minorHAnsi"/>
                <w:sz w:val="22"/>
                <w:lang w:val="en-IE" w:eastAsia="en-IE"/>
              </w:rPr>
              <w:tab/>
            </w:r>
            <w:r w:rsidR="00D0486E" w:rsidRPr="00067883">
              <w:rPr>
                <w:rStyle w:val="Hyperlink"/>
                <w:rFonts w:eastAsia="Arial Unicode MS"/>
                <w:lang w:val="en-IE" w:bidi="hi-IN"/>
              </w:rPr>
              <w:t>Access to all device features</w:t>
            </w:r>
            <w:r w:rsidR="00D0486E">
              <w:rPr>
                <w:webHidden/>
              </w:rPr>
              <w:tab/>
            </w:r>
            <w:r w:rsidR="00D0486E">
              <w:rPr>
                <w:webHidden/>
              </w:rPr>
              <w:fldChar w:fldCharType="begin"/>
            </w:r>
            <w:r w:rsidR="00D0486E">
              <w:rPr>
                <w:webHidden/>
              </w:rPr>
              <w:instrText xml:space="preserve"> PAGEREF _Toc465667616 \h </w:instrText>
            </w:r>
            <w:r w:rsidR="00D0486E">
              <w:rPr>
                <w:webHidden/>
              </w:rPr>
            </w:r>
            <w:r w:rsidR="00D0486E">
              <w:rPr>
                <w:webHidden/>
              </w:rPr>
              <w:fldChar w:fldCharType="separate"/>
            </w:r>
            <w:r>
              <w:rPr>
                <w:webHidden/>
              </w:rPr>
              <w:t>25</w:t>
            </w:r>
            <w:r w:rsidR="00D0486E">
              <w:rPr>
                <w:webHidden/>
              </w:rPr>
              <w:fldChar w:fldCharType="end"/>
            </w:r>
          </w:hyperlink>
        </w:p>
        <w:p w14:paraId="582CED50" w14:textId="77777777" w:rsidR="00D0486E" w:rsidRDefault="0078655A">
          <w:pPr>
            <w:pStyle w:val="TOC2"/>
            <w:rPr>
              <w:rFonts w:asciiTheme="minorHAnsi" w:hAnsiTheme="minorHAnsi"/>
              <w:sz w:val="22"/>
              <w:lang w:val="en-IE" w:eastAsia="en-IE"/>
            </w:rPr>
          </w:pPr>
          <w:hyperlink w:anchor="_Toc465667617" w:history="1">
            <w:r w:rsidR="00D0486E" w:rsidRPr="00067883">
              <w:rPr>
                <w:rStyle w:val="Hyperlink"/>
                <w:lang w:val="en-IE" w:bidi="hi-IN"/>
              </w:rPr>
              <w:t>3.2.</w:t>
            </w:r>
            <w:r w:rsidR="00D0486E">
              <w:rPr>
                <w:rFonts w:asciiTheme="minorHAnsi" w:hAnsiTheme="minorHAnsi"/>
                <w:sz w:val="22"/>
                <w:lang w:val="en-IE" w:eastAsia="en-IE"/>
              </w:rPr>
              <w:tab/>
            </w:r>
            <w:r w:rsidR="00D0486E" w:rsidRPr="00067883">
              <w:rPr>
                <w:rStyle w:val="Hyperlink"/>
                <w:lang w:val="en-IE" w:bidi="hi-IN"/>
              </w:rPr>
              <w:t>Response to question 8:</w:t>
            </w:r>
            <w:r w:rsidR="00D0486E">
              <w:rPr>
                <w:webHidden/>
              </w:rPr>
              <w:tab/>
            </w:r>
            <w:r w:rsidR="00D0486E">
              <w:rPr>
                <w:webHidden/>
              </w:rPr>
              <w:fldChar w:fldCharType="begin"/>
            </w:r>
            <w:r w:rsidR="00D0486E">
              <w:rPr>
                <w:webHidden/>
              </w:rPr>
              <w:instrText xml:space="preserve"> PAGEREF _Toc465667617 \h </w:instrText>
            </w:r>
            <w:r w:rsidR="00D0486E">
              <w:rPr>
                <w:webHidden/>
              </w:rPr>
            </w:r>
            <w:r w:rsidR="00D0486E">
              <w:rPr>
                <w:webHidden/>
              </w:rPr>
              <w:fldChar w:fldCharType="separate"/>
            </w:r>
            <w:r>
              <w:rPr>
                <w:webHidden/>
              </w:rPr>
              <w:t>26</w:t>
            </w:r>
            <w:r w:rsidR="00D0486E">
              <w:rPr>
                <w:webHidden/>
              </w:rPr>
              <w:fldChar w:fldCharType="end"/>
            </w:r>
          </w:hyperlink>
        </w:p>
        <w:p w14:paraId="4E98F106" w14:textId="77777777" w:rsidR="00D0486E" w:rsidRDefault="0078655A">
          <w:pPr>
            <w:pStyle w:val="TOC2"/>
            <w:rPr>
              <w:rFonts w:asciiTheme="minorHAnsi" w:hAnsiTheme="minorHAnsi"/>
              <w:sz w:val="22"/>
              <w:lang w:val="en-IE" w:eastAsia="en-IE"/>
            </w:rPr>
          </w:pPr>
          <w:hyperlink w:anchor="_Toc465667618" w:history="1">
            <w:r w:rsidR="00D0486E" w:rsidRPr="00067883">
              <w:rPr>
                <w:rStyle w:val="Hyperlink"/>
                <w:lang w:val="en-IE" w:bidi="hi-IN"/>
              </w:rPr>
              <w:t>3.3.</w:t>
            </w:r>
            <w:r w:rsidR="00D0486E">
              <w:rPr>
                <w:rFonts w:asciiTheme="minorHAnsi" w:hAnsiTheme="minorHAnsi"/>
                <w:sz w:val="22"/>
                <w:lang w:val="en-IE" w:eastAsia="en-IE"/>
              </w:rPr>
              <w:tab/>
            </w:r>
            <w:r w:rsidR="00D0486E" w:rsidRPr="00067883">
              <w:rPr>
                <w:rStyle w:val="Hyperlink"/>
                <w:lang w:val="en-IE" w:bidi="hi-IN"/>
              </w:rPr>
              <w:t>Response to question 9 and 12:</w:t>
            </w:r>
            <w:r w:rsidR="00D0486E">
              <w:rPr>
                <w:webHidden/>
              </w:rPr>
              <w:tab/>
            </w:r>
            <w:r w:rsidR="00D0486E">
              <w:rPr>
                <w:webHidden/>
              </w:rPr>
              <w:fldChar w:fldCharType="begin"/>
            </w:r>
            <w:r w:rsidR="00D0486E">
              <w:rPr>
                <w:webHidden/>
              </w:rPr>
              <w:instrText xml:space="preserve"> PAGEREF _Toc465667618 \h </w:instrText>
            </w:r>
            <w:r w:rsidR="00D0486E">
              <w:rPr>
                <w:webHidden/>
              </w:rPr>
            </w:r>
            <w:r w:rsidR="00D0486E">
              <w:rPr>
                <w:webHidden/>
              </w:rPr>
              <w:fldChar w:fldCharType="separate"/>
            </w:r>
            <w:r>
              <w:rPr>
                <w:webHidden/>
              </w:rPr>
              <w:t>26</w:t>
            </w:r>
            <w:r w:rsidR="00D0486E">
              <w:rPr>
                <w:webHidden/>
              </w:rPr>
              <w:fldChar w:fldCharType="end"/>
            </w:r>
          </w:hyperlink>
        </w:p>
        <w:p w14:paraId="5C6360A6" w14:textId="77777777" w:rsidR="00D0486E" w:rsidRDefault="0078655A">
          <w:pPr>
            <w:pStyle w:val="TOC3"/>
            <w:rPr>
              <w:rFonts w:asciiTheme="minorHAnsi" w:hAnsiTheme="minorHAnsi"/>
              <w:sz w:val="22"/>
              <w:lang w:val="en-IE" w:eastAsia="en-IE"/>
            </w:rPr>
          </w:pPr>
          <w:hyperlink w:anchor="_Toc465667619" w:history="1">
            <w:r w:rsidR="00D0486E" w:rsidRPr="00067883">
              <w:rPr>
                <w:rStyle w:val="Hyperlink"/>
                <w:rFonts w:eastAsia="Arial Unicode MS"/>
                <w:lang w:val="en-IE" w:bidi="hi-IN"/>
              </w:rPr>
              <w:t>3.3.1.</w:t>
            </w:r>
            <w:r w:rsidR="00D0486E">
              <w:rPr>
                <w:rFonts w:asciiTheme="minorHAnsi" w:hAnsiTheme="minorHAnsi"/>
                <w:sz w:val="22"/>
                <w:lang w:val="en-IE" w:eastAsia="en-IE"/>
              </w:rPr>
              <w:tab/>
            </w:r>
            <w:r w:rsidR="00D0486E" w:rsidRPr="00067883">
              <w:rPr>
                <w:rStyle w:val="Hyperlink"/>
                <w:rFonts w:eastAsia="Arial Unicode MS"/>
                <w:lang w:val="en-IE" w:bidi="hi-IN"/>
              </w:rPr>
              <w:t>Exclusive access to content and unmetered data</w:t>
            </w:r>
            <w:r w:rsidR="00D0486E">
              <w:rPr>
                <w:webHidden/>
              </w:rPr>
              <w:tab/>
            </w:r>
            <w:r w:rsidR="00D0486E">
              <w:rPr>
                <w:webHidden/>
              </w:rPr>
              <w:fldChar w:fldCharType="begin"/>
            </w:r>
            <w:r w:rsidR="00D0486E">
              <w:rPr>
                <w:webHidden/>
              </w:rPr>
              <w:instrText xml:space="preserve"> PAGEREF _Toc465667619 \h </w:instrText>
            </w:r>
            <w:r w:rsidR="00D0486E">
              <w:rPr>
                <w:webHidden/>
              </w:rPr>
            </w:r>
            <w:r w:rsidR="00D0486E">
              <w:rPr>
                <w:webHidden/>
              </w:rPr>
              <w:fldChar w:fldCharType="separate"/>
            </w:r>
            <w:r>
              <w:rPr>
                <w:webHidden/>
              </w:rPr>
              <w:t>27</w:t>
            </w:r>
            <w:r w:rsidR="00D0486E">
              <w:rPr>
                <w:webHidden/>
              </w:rPr>
              <w:fldChar w:fldCharType="end"/>
            </w:r>
          </w:hyperlink>
        </w:p>
        <w:p w14:paraId="6B7FA89A" w14:textId="77777777" w:rsidR="00D0486E" w:rsidRDefault="0078655A">
          <w:pPr>
            <w:pStyle w:val="TOC3"/>
            <w:rPr>
              <w:rFonts w:asciiTheme="minorHAnsi" w:hAnsiTheme="minorHAnsi"/>
              <w:sz w:val="22"/>
              <w:lang w:val="en-IE" w:eastAsia="en-IE"/>
            </w:rPr>
          </w:pPr>
          <w:hyperlink w:anchor="_Toc465667620" w:history="1">
            <w:r w:rsidR="00D0486E" w:rsidRPr="00067883">
              <w:rPr>
                <w:rStyle w:val="Hyperlink"/>
                <w:rFonts w:eastAsia="Arial Unicode MS"/>
                <w:lang w:val="en-IE" w:bidi="hi-IN"/>
              </w:rPr>
              <w:t>3.3.2.</w:t>
            </w:r>
            <w:r w:rsidR="00D0486E">
              <w:rPr>
                <w:rFonts w:asciiTheme="minorHAnsi" w:hAnsiTheme="minorHAnsi"/>
                <w:sz w:val="22"/>
                <w:lang w:val="en-IE" w:eastAsia="en-IE"/>
              </w:rPr>
              <w:tab/>
            </w:r>
            <w:r w:rsidR="00D0486E" w:rsidRPr="00067883">
              <w:rPr>
                <w:rStyle w:val="Hyperlink"/>
                <w:rFonts w:eastAsia="Arial Unicode MS"/>
                <w:lang w:val="en-IE" w:bidi="hi-IN"/>
              </w:rPr>
              <w:t>Network neutrality</w:t>
            </w:r>
            <w:r w:rsidR="00D0486E">
              <w:rPr>
                <w:webHidden/>
              </w:rPr>
              <w:tab/>
            </w:r>
            <w:r w:rsidR="00D0486E">
              <w:rPr>
                <w:webHidden/>
              </w:rPr>
              <w:fldChar w:fldCharType="begin"/>
            </w:r>
            <w:r w:rsidR="00D0486E">
              <w:rPr>
                <w:webHidden/>
              </w:rPr>
              <w:instrText xml:space="preserve"> PAGEREF _Toc465667620 \h </w:instrText>
            </w:r>
            <w:r w:rsidR="00D0486E">
              <w:rPr>
                <w:webHidden/>
              </w:rPr>
            </w:r>
            <w:r w:rsidR="00D0486E">
              <w:rPr>
                <w:webHidden/>
              </w:rPr>
              <w:fldChar w:fldCharType="separate"/>
            </w:r>
            <w:r>
              <w:rPr>
                <w:webHidden/>
              </w:rPr>
              <w:t>28</w:t>
            </w:r>
            <w:r w:rsidR="00D0486E">
              <w:rPr>
                <w:webHidden/>
              </w:rPr>
              <w:fldChar w:fldCharType="end"/>
            </w:r>
          </w:hyperlink>
        </w:p>
        <w:p w14:paraId="1B741628" w14:textId="77777777" w:rsidR="00D0486E" w:rsidRDefault="0078655A">
          <w:pPr>
            <w:pStyle w:val="TOC2"/>
            <w:rPr>
              <w:rFonts w:asciiTheme="minorHAnsi" w:hAnsiTheme="minorHAnsi"/>
              <w:sz w:val="22"/>
              <w:lang w:val="en-IE" w:eastAsia="en-IE"/>
            </w:rPr>
          </w:pPr>
          <w:hyperlink w:anchor="_Toc465667621" w:history="1">
            <w:r w:rsidR="00D0486E" w:rsidRPr="00067883">
              <w:rPr>
                <w:rStyle w:val="Hyperlink"/>
                <w:lang w:val="en-IE" w:bidi="hi-IN"/>
              </w:rPr>
              <w:t>3.4.</w:t>
            </w:r>
            <w:r w:rsidR="00D0486E">
              <w:rPr>
                <w:rFonts w:asciiTheme="minorHAnsi" w:hAnsiTheme="minorHAnsi"/>
                <w:sz w:val="22"/>
                <w:lang w:val="en-IE" w:eastAsia="en-IE"/>
              </w:rPr>
              <w:tab/>
            </w:r>
            <w:r w:rsidR="00D0486E" w:rsidRPr="00067883">
              <w:rPr>
                <w:rStyle w:val="Hyperlink"/>
                <w:lang w:val="en-IE" w:bidi="hi-IN"/>
              </w:rPr>
              <w:t>Response to question 10:</w:t>
            </w:r>
            <w:r w:rsidR="00D0486E">
              <w:rPr>
                <w:webHidden/>
              </w:rPr>
              <w:tab/>
            </w:r>
            <w:r w:rsidR="00D0486E">
              <w:rPr>
                <w:webHidden/>
              </w:rPr>
              <w:fldChar w:fldCharType="begin"/>
            </w:r>
            <w:r w:rsidR="00D0486E">
              <w:rPr>
                <w:webHidden/>
              </w:rPr>
              <w:instrText xml:space="preserve"> PAGEREF _Toc465667621 \h </w:instrText>
            </w:r>
            <w:r w:rsidR="00D0486E">
              <w:rPr>
                <w:webHidden/>
              </w:rPr>
            </w:r>
            <w:r w:rsidR="00D0486E">
              <w:rPr>
                <w:webHidden/>
              </w:rPr>
              <w:fldChar w:fldCharType="separate"/>
            </w:r>
            <w:r>
              <w:rPr>
                <w:webHidden/>
              </w:rPr>
              <w:t>30</w:t>
            </w:r>
            <w:r w:rsidR="00D0486E">
              <w:rPr>
                <w:webHidden/>
              </w:rPr>
              <w:fldChar w:fldCharType="end"/>
            </w:r>
          </w:hyperlink>
        </w:p>
        <w:p w14:paraId="4F82B9E6" w14:textId="77777777" w:rsidR="00D0486E" w:rsidRDefault="0078655A">
          <w:pPr>
            <w:pStyle w:val="TOC2"/>
            <w:rPr>
              <w:rFonts w:asciiTheme="minorHAnsi" w:hAnsiTheme="minorHAnsi"/>
              <w:sz w:val="22"/>
              <w:lang w:val="en-IE" w:eastAsia="en-IE"/>
            </w:rPr>
          </w:pPr>
          <w:hyperlink w:anchor="_Toc465667622" w:history="1">
            <w:r w:rsidR="00D0486E" w:rsidRPr="00067883">
              <w:rPr>
                <w:rStyle w:val="Hyperlink"/>
                <w:lang w:val="en-IE" w:bidi="hi-IN"/>
              </w:rPr>
              <w:t>3.5.</w:t>
            </w:r>
            <w:r w:rsidR="00D0486E">
              <w:rPr>
                <w:rFonts w:asciiTheme="minorHAnsi" w:hAnsiTheme="minorHAnsi"/>
                <w:sz w:val="22"/>
                <w:lang w:val="en-IE" w:eastAsia="en-IE"/>
              </w:rPr>
              <w:tab/>
            </w:r>
            <w:r w:rsidR="00D0486E" w:rsidRPr="00067883">
              <w:rPr>
                <w:rStyle w:val="Hyperlink"/>
                <w:lang w:val="en-IE" w:bidi="hi-IN"/>
              </w:rPr>
              <w:t>Response to question 11:</w:t>
            </w:r>
            <w:r w:rsidR="00D0486E">
              <w:rPr>
                <w:webHidden/>
              </w:rPr>
              <w:tab/>
            </w:r>
            <w:r w:rsidR="00D0486E">
              <w:rPr>
                <w:webHidden/>
              </w:rPr>
              <w:fldChar w:fldCharType="begin"/>
            </w:r>
            <w:r w:rsidR="00D0486E">
              <w:rPr>
                <w:webHidden/>
              </w:rPr>
              <w:instrText xml:space="preserve"> PAGEREF _Toc465667622 \h </w:instrText>
            </w:r>
            <w:r w:rsidR="00D0486E">
              <w:rPr>
                <w:webHidden/>
              </w:rPr>
            </w:r>
            <w:r w:rsidR="00D0486E">
              <w:rPr>
                <w:webHidden/>
              </w:rPr>
              <w:fldChar w:fldCharType="separate"/>
            </w:r>
            <w:r>
              <w:rPr>
                <w:webHidden/>
              </w:rPr>
              <w:t>30</w:t>
            </w:r>
            <w:r w:rsidR="00D0486E">
              <w:rPr>
                <w:webHidden/>
              </w:rPr>
              <w:fldChar w:fldCharType="end"/>
            </w:r>
          </w:hyperlink>
        </w:p>
        <w:p w14:paraId="65227D53" w14:textId="77777777" w:rsidR="00D0486E" w:rsidRDefault="0078655A">
          <w:pPr>
            <w:pStyle w:val="TOC2"/>
            <w:rPr>
              <w:rFonts w:asciiTheme="minorHAnsi" w:hAnsiTheme="minorHAnsi"/>
              <w:sz w:val="22"/>
              <w:lang w:val="en-IE" w:eastAsia="en-IE"/>
            </w:rPr>
          </w:pPr>
          <w:hyperlink w:anchor="_Toc465667623" w:history="1">
            <w:r w:rsidR="00D0486E" w:rsidRPr="00067883">
              <w:rPr>
                <w:rStyle w:val="Hyperlink"/>
                <w:lang w:val="en-IE" w:bidi="hi-IN"/>
              </w:rPr>
              <w:t>3.6.</w:t>
            </w:r>
            <w:r w:rsidR="00D0486E">
              <w:rPr>
                <w:rFonts w:asciiTheme="minorHAnsi" w:hAnsiTheme="minorHAnsi"/>
                <w:sz w:val="22"/>
                <w:lang w:val="en-IE" w:eastAsia="en-IE"/>
              </w:rPr>
              <w:tab/>
            </w:r>
            <w:r w:rsidR="00D0486E" w:rsidRPr="00067883">
              <w:rPr>
                <w:rStyle w:val="Hyperlink"/>
                <w:lang w:val="en-IE" w:bidi="hi-IN"/>
              </w:rPr>
              <w:t>Response to question 13:</w:t>
            </w:r>
            <w:r w:rsidR="00D0486E">
              <w:rPr>
                <w:webHidden/>
              </w:rPr>
              <w:tab/>
            </w:r>
            <w:r w:rsidR="00D0486E">
              <w:rPr>
                <w:webHidden/>
              </w:rPr>
              <w:fldChar w:fldCharType="begin"/>
            </w:r>
            <w:r w:rsidR="00D0486E">
              <w:rPr>
                <w:webHidden/>
              </w:rPr>
              <w:instrText xml:space="preserve"> PAGEREF _Toc465667623 \h </w:instrText>
            </w:r>
            <w:r w:rsidR="00D0486E">
              <w:rPr>
                <w:webHidden/>
              </w:rPr>
            </w:r>
            <w:r w:rsidR="00D0486E">
              <w:rPr>
                <w:webHidden/>
              </w:rPr>
              <w:fldChar w:fldCharType="separate"/>
            </w:r>
            <w:r>
              <w:rPr>
                <w:webHidden/>
              </w:rPr>
              <w:t>30</w:t>
            </w:r>
            <w:r w:rsidR="00D0486E">
              <w:rPr>
                <w:webHidden/>
              </w:rPr>
              <w:fldChar w:fldCharType="end"/>
            </w:r>
          </w:hyperlink>
        </w:p>
        <w:p w14:paraId="772ED202" w14:textId="77777777" w:rsidR="00D0486E" w:rsidRDefault="0078655A">
          <w:pPr>
            <w:pStyle w:val="TOC2"/>
            <w:rPr>
              <w:rFonts w:asciiTheme="minorHAnsi" w:hAnsiTheme="minorHAnsi"/>
              <w:sz w:val="22"/>
              <w:lang w:val="en-IE" w:eastAsia="en-IE"/>
            </w:rPr>
          </w:pPr>
          <w:hyperlink w:anchor="_Toc465667624" w:history="1">
            <w:r w:rsidR="00D0486E" w:rsidRPr="00067883">
              <w:rPr>
                <w:rStyle w:val="Hyperlink"/>
                <w:lang w:val="en-IE" w:bidi="hi-IN"/>
              </w:rPr>
              <w:t>3.7.</w:t>
            </w:r>
            <w:r w:rsidR="00D0486E">
              <w:rPr>
                <w:rFonts w:asciiTheme="minorHAnsi" w:hAnsiTheme="minorHAnsi"/>
                <w:sz w:val="22"/>
                <w:lang w:val="en-IE" w:eastAsia="en-IE"/>
              </w:rPr>
              <w:tab/>
            </w:r>
            <w:r w:rsidR="00D0486E" w:rsidRPr="00067883">
              <w:rPr>
                <w:rStyle w:val="Hyperlink"/>
                <w:lang w:val="en-IE" w:bidi="hi-IN"/>
              </w:rPr>
              <w:t>Response to question 15:</w:t>
            </w:r>
            <w:r w:rsidR="00D0486E">
              <w:rPr>
                <w:webHidden/>
              </w:rPr>
              <w:tab/>
            </w:r>
            <w:r w:rsidR="00D0486E">
              <w:rPr>
                <w:webHidden/>
              </w:rPr>
              <w:fldChar w:fldCharType="begin"/>
            </w:r>
            <w:r w:rsidR="00D0486E">
              <w:rPr>
                <w:webHidden/>
              </w:rPr>
              <w:instrText xml:space="preserve"> PAGEREF _Toc465667624 \h </w:instrText>
            </w:r>
            <w:r w:rsidR="00D0486E">
              <w:rPr>
                <w:webHidden/>
              </w:rPr>
            </w:r>
            <w:r w:rsidR="00D0486E">
              <w:rPr>
                <w:webHidden/>
              </w:rPr>
              <w:fldChar w:fldCharType="separate"/>
            </w:r>
            <w:r>
              <w:rPr>
                <w:webHidden/>
              </w:rPr>
              <w:t>32</w:t>
            </w:r>
            <w:r w:rsidR="00D0486E">
              <w:rPr>
                <w:webHidden/>
              </w:rPr>
              <w:fldChar w:fldCharType="end"/>
            </w:r>
          </w:hyperlink>
        </w:p>
        <w:p w14:paraId="5A3B9667" w14:textId="77777777" w:rsidR="00D0486E" w:rsidRDefault="0078655A">
          <w:pPr>
            <w:pStyle w:val="TOC2"/>
            <w:rPr>
              <w:rFonts w:asciiTheme="minorHAnsi" w:hAnsiTheme="minorHAnsi"/>
              <w:sz w:val="22"/>
              <w:lang w:val="en-IE" w:eastAsia="en-IE"/>
            </w:rPr>
          </w:pPr>
          <w:hyperlink w:anchor="_Toc465667625" w:history="1">
            <w:r w:rsidR="00D0486E" w:rsidRPr="00067883">
              <w:rPr>
                <w:rStyle w:val="Hyperlink"/>
                <w:lang w:val="en-IE" w:bidi="hi-IN"/>
              </w:rPr>
              <w:t>3.8.</w:t>
            </w:r>
            <w:r w:rsidR="00D0486E">
              <w:rPr>
                <w:rFonts w:asciiTheme="minorHAnsi" w:hAnsiTheme="minorHAnsi"/>
                <w:sz w:val="22"/>
                <w:lang w:val="en-IE" w:eastAsia="en-IE"/>
              </w:rPr>
              <w:tab/>
            </w:r>
            <w:r w:rsidR="00D0486E" w:rsidRPr="00067883">
              <w:rPr>
                <w:rStyle w:val="Hyperlink"/>
                <w:lang w:val="en-IE" w:bidi="hi-IN"/>
              </w:rPr>
              <w:t>Response to question 16:</w:t>
            </w:r>
            <w:r w:rsidR="00D0486E">
              <w:rPr>
                <w:webHidden/>
              </w:rPr>
              <w:tab/>
            </w:r>
            <w:r w:rsidR="00D0486E">
              <w:rPr>
                <w:webHidden/>
              </w:rPr>
              <w:fldChar w:fldCharType="begin"/>
            </w:r>
            <w:r w:rsidR="00D0486E">
              <w:rPr>
                <w:webHidden/>
              </w:rPr>
              <w:instrText xml:space="preserve"> PAGEREF _Toc465667625 \h </w:instrText>
            </w:r>
            <w:r w:rsidR="00D0486E">
              <w:rPr>
                <w:webHidden/>
              </w:rPr>
            </w:r>
            <w:r w:rsidR="00D0486E">
              <w:rPr>
                <w:webHidden/>
              </w:rPr>
              <w:fldChar w:fldCharType="separate"/>
            </w:r>
            <w:r>
              <w:rPr>
                <w:webHidden/>
              </w:rPr>
              <w:t>32</w:t>
            </w:r>
            <w:r w:rsidR="00D0486E">
              <w:rPr>
                <w:webHidden/>
              </w:rPr>
              <w:fldChar w:fldCharType="end"/>
            </w:r>
          </w:hyperlink>
        </w:p>
        <w:p w14:paraId="3B05DB0A" w14:textId="77777777" w:rsidR="00D0486E" w:rsidRDefault="0078655A">
          <w:pPr>
            <w:pStyle w:val="TOC2"/>
            <w:rPr>
              <w:rFonts w:asciiTheme="minorHAnsi" w:hAnsiTheme="minorHAnsi"/>
              <w:sz w:val="22"/>
              <w:lang w:val="en-IE" w:eastAsia="en-IE"/>
            </w:rPr>
          </w:pPr>
          <w:hyperlink w:anchor="_Toc465667626" w:history="1">
            <w:r w:rsidR="00D0486E" w:rsidRPr="00067883">
              <w:rPr>
                <w:rStyle w:val="Hyperlink"/>
                <w:lang w:val="en-IE" w:bidi="hi-IN"/>
              </w:rPr>
              <w:t>3.9.</w:t>
            </w:r>
            <w:r w:rsidR="00D0486E">
              <w:rPr>
                <w:rFonts w:asciiTheme="minorHAnsi" w:hAnsiTheme="minorHAnsi"/>
                <w:sz w:val="22"/>
                <w:lang w:val="en-IE" w:eastAsia="en-IE"/>
              </w:rPr>
              <w:tab/>
            </w:r>
            <w:r w:rsidR="00D0486E" w:rsidRPr="00067883">
              <w:rPr>
                <w:rStyle w:val="Hyperlink"/>
                <w:lang w:val="en-IE" w:bidi="hi-IN"/>
              </w:rPr>
              <w:t>Response to question 17:</w:t>
            </w:r>
            <w:r w:rsidR="00D0486E">
              <w:rPr>
                <w:webHidden/>
              </w:rPr>
              <w:tab/>
            </w:r>
            <w:r w:rsidR="00D0486E">
              <w:rPr>
                <w:webHidden/>
              </w:rPr>
              <w:fldChar w:fldCharType="begin"/>
            </w:r>
            <w:r w:rsidR="00D0486E">
              <w:rPr>
                <w:webHidden/>
              </w:rPr>
              <w:instrText xml:space="preserve"> PAGEREF _Toc465667626 \h </w:instrText>
            </w:r>
            <w:r w:rsidR="00D0486E">
              <w:rPr>
                <w:webHidden/>
              </w:rPr>
            </w:r>
            <w:r w:rsidR="00D0486E">
              <w:rPr>
                <w:webHidden/>
              </w:rPr>
              <w:fldChar w:fldCharType="separate"/>
            </w:r>
            <w:r>
              <w:rPr>
                <w:webHidden/>
              </w:rPr>
              <w:t>32</w:t>
            </w:r>
            <w:r w:rsidR="00D0486E">
              <w:rPr>
                <w:webHidden/>
              </w:rPr>
              <w:fldChar w:fldCharType="end"/>
            </w:r>
          </w:hyperlink>
        </w:p>
        <w:p w14:paraId="6AB0DE81" w14:textId="77777777" w:rsidR="00D0486E" w:rsidRDefault="0078655A">
          <w:pPr>
            <w:pStyle w:val="TOC2"/>
            <w:rPr>
              <w:rFonts w:asciiTheme="minorHAnsi" w:hAnsiTheme="minorHAnsi"/>
              <w:sz w:val="22"/>
              <w:lang w:val="en-IE" w:eastAsia="en-IE"/>
            </w:rPr>
          </w:pPr>
          <w:hyperlink w:anchor="_Toc465667627" w:history="1">
            <w:r w:rsidR="00D0486E" w:rsidRPr="00067883">
              <w:rPr>
                <w:rStyle w:val="Hyperlink"/>
                <w:lang w:val="en-IE" w:bidi="hi-IN"/>
              </w:rPr>
              <w:t>3.10.</w:t>
            </w:r>
            <w:r w:rsidR="00D0486E">
              <w:rPr>
                <w:rFonts w:asciiTheme="minorHAnsi" w:hAnsiTheme="minorHAnsi"/>
                <w:sz w:val="22"/>
                <w:lang w:val="en-IE" w:eastAsia="en-IE"/>
              </w:rPr>
              <w:tab/>
            </w:r>
            <w:r w:rsidR="00D0486E" w:rsidRPr="00067883">
              <w:rPr>
                <w:rStyle w:val="Hyperlink"/>
                <w:lang w:val="en-IE" w:bidi="hi-IN"/>
              </w:rPr>
              <w:t>Response to question 18:</w:t>
            </w:r>
            <w:r w:rsidR="00D0486E">
              <w:rPr>
                <w:webHidden/>
              </w:rPr>
              <w:tab/>
            </w:r>
            <w:r w:rsidR="00D0486E">
              <w:rPr>
                <w:webHidden/>
              </w:rPr>
              <w:fldChar w:fldCharType="begin"/>
            </w:r>
            <w:r w:rsidR="00D0486E">
              <w:rPr>
                <w:webHidden/>
              </w:rPr>
              <w:instrText xml:space="preserve"> PAGEREF _Toc465667627 \h </w:instrText>
            </w:r>
            <w:r w:rsidR="00D0486E">
              <w:rPr>
                <w:webHidden/>
              </w:rPr>
            </w:r>
            <w:r w:rsidR="00D0486E">
              <w:rPr>
                <w:webHidden/>
              </w:rPr>
              <w:fldChar w:fldCharType="separate"/>
            </w:r>
            <w:r>
              <w:rPr>
                <w:webHidden/>
              </w:rPr>
              <w:t>33</w:t>
            </w:r>
            <w:r w:rsidR="00D0486E">
              <w:rPr>
                <w:webHidden/>
              </w:rPr>
              <w:fldChar w:fldCharType="end"/>
            </w:r>
          </w:hyperlink>
        </w:p>
        <w:p w14:paraId="1E54ECD5" w14:textId="77777777" w:rsidR="00D0486E" w:rsidRDefault="0078655A">
          <w:pPr>
            <w:pStyle w:val="TOC2"/>
            <w:rPr>
              <w:rFonts w:asciiTheme="minorHAnsi" w:hAnsiTheme="minorHAnsi"/>
              <w:sz w:val="22"/>
              <w:lang w:val="en-IE" w:eastAsia="en-IE"/>
            </w:rPr>
          </w:pPr>
          <w:hyperlink w:anchor="_Toc465667628" w:history="1">
            <w:r w:rsidR="00D0486E" w:rsidRPr="00067883">
              <w:rPr>
                <w:rStyle w:val="Hyperlink"/>
                <w:lang w:val="en-IE" w:bidi="hi-IN"/>
              </w:rPr>
              <w:t>3.11.</w:t>
            </w:r>
            <w:r w:rsidR="00D0486E">
              <w:rPr>
                <w:rFonts w:asciiTheme="minorHAnsi" w:hAnsiTheme="minorHAnsi"/>
                <w:sz w:val="22"/>
                <w:lang w:val="en-IE" w:eastAsia="en-IE"/>
              </w:rPr>
              <w:tab/>
            </w:r>
            <w:r w:rsidR="00D0486E" w:rsidRPr="00067883">
              <w:rPr>
                <w:rStyle w:val="Hyperlink"/>
                <w:lang w:val="en-IE" w:bidi="hi-IN"/>
              </w:rPr>
              <w:t>Response to question 19:</w:t>
            </w:r>
            <w:r w:rsidR="00D0486E">
              <w:rPr>
                <w:webHidden/>
              </w:rPr>
              <w:tab/>
            </w:r>
            <w:r w:rsidR="00D0486E">
              <w:rPr>
                <w:webHidden/>
              </w:rPr>
              <w:fldChar w:fldCharType="begin"/>
            </w:r>
            <w:r w:rsidR="00D0486E">
              <w:rPr>
                <w:webHidden/>
              </w:rPr>
              <w:instrText xml:space="preserve"> PAGEREF _Toc465667628 \h </w:instrText>
            </w:r>
            <w:r w:rsidR="00D0486E">
              <w:rPr>
                <w:webHidden/>
              </w:rPr>
            </w:r>
            <w:r w:rsidR="00D0486E">
              <w:rPr>
                <w:webHidden/>
              </w:rPr>
              <w:fldChar w:fldCharType="separate"/>
            </w:r>
            <w:r>
              <w:rPr>
                <w:webHidden/>
              </w:rPr>
              <w:t>33</w:t>
            </w:r>
            <w:r w:rsidR="00D0486E">
              <w:rPr>
                <w:webHidden/>
              </w:rPr>
              <w:fldChar w:fldCharType="end"/>
            </w:r>
          </w:hyperlink>
        </w:p>
        <w:p w14:paraId="3B0E656C" w14:textId="77777777" w:rsidR="00D0486E" w:rsidRDefault="0078655A">
          <w:pPr>
            <w:pStyle w:val="TOC2"/>
            <w:rPr>
              <w:rFonts w:asciiTheme="minorHAnsi" w:hAnsiTheme="minorHAnsi"/>
              <w:sz w:val="22"/>
              <w:lang w:val="en-IE" w:eastAsia="en-IE"/>
            </w:rPr>
          </w:pPr>
          <w:hyperlink w:anchor="_Toc465667629" w:history="1">
            <w:r w:rsidR="00D0486E" w:rsidRPr="00067883">
              <w:rPr>
                <w:rStyle w:val="Hyperlink"/>
                <w:lang w:val="en-IE" w:bidi="hi-IN"/>
              </w:rPr>
              <w:t>3.12.</w:t>
            </w:r>
            <w:r w:rsidR="00D0486E">
              <w:rPr>
                <w:rFonts w:asciiTheme="minorHAnsi" w:hAnsiTheme="minorHAnsi"/>
                <w:sz w:val="22"/>
                <w:lang w:val="en-IE" w:eastAsia="en-IE"/>
              </w:rPr>
              <w:tab/>
            </w:r>
            <w:r w:rsidR="00D0486E" w:rsidRPr="00067883">
              <w:rPr>
                <w:rStyle w:val="Hyperlink"/>
                <w:lang w:val="en-IE" w:bidi="hi-IN"/>
              </w:rPr>
              <w:t>Response to question 20:</w:t>
            </w:r>
            <w:r w:rsidR="00D0486E">
              <w:rPr>
                <w:webHidden/>
              </w:rPr>
              <w:tab/>
            </w:r>
            <w:r w:rsidR="00D0486E">
              <w:rPr>
                <w:webHidden/>
              </w:rPr>
              <w:fldChar w:fldCharType="begin"/>
            </w:r>
            <w:r w:rsidR="00D0486E">
              <w:rPr>
                <w:webHidden/>
              </w:rPr>
              <w:instrText xml:space="preserve"> PAGEREF _Toc465667629 \h </w:instrText>
            </w:r>
            <w:r w:rsidR="00D0486E">
              <w:rPr>
                <w:webHidden/>
              </w:rPr>
            </w:r>
            <w:r w:rsidR="00D0486E">
              <w:rPr>
                <w:webHidden/>
              </w:rPr>
              <w:fldChar w:fldCharType="separate"/>
            </w:r>
            <w:r>
              <w:rPr>
                <w:webHidden/>
              </w:rPr>
              <w:t>34</w:t>
            </w:r>
            <w:r w:rsidR="00D0486E">
              <w:rPr>
                <w:webHidden/>
              </w:rPr>
              <w:fldChar w:fldCharType="end"/>
            </w:r>
          </w:hyperlink>
        </w:p>
        <w:p w14:paraId="3255A2FF" w14:textId="77777777" w:rsidR="00D0486E" w:rsidRDefault="0078655A">
          <w:pPr>
            <w:pStyle w:val="TOC1"/>
            <w:rPr>
              <w:rFonts w:asciiTheme="minorHAnsi" w:hAnsiTheme="minorHAnsi"/>
              <w:noProof/>
              <w:sz w:val="22"/>
              <w:lang w:val="en-IE" w:eastAsia="en-IE"/>
            </w:rPr>
          </w:pPr>
          <w:hyperlink w:anchor="_Toc465667630" w:history="1">
            <w:r w:rsidR="00D0486E" w:rsidRPr="00067883">
              <w:rPr>
                <w:rStyle w:val="Hyperlink"/>
                <w:rFonts w:eastAsia="Arial Unicode MS"/>
                <w:noProof/>
                <w:lang w:val="en-IE" w:bidi="hi-IN"/>
              </w:rPr>
              <w:t>4.</w:t>
            </w:r>
            <w:r w:rsidR="00D0486E">
              <w:rPr>
                <w:rFonts w:asciiTheme="minorHAnsi" w:hAnsiTheme="minorHAnsi"/>
                <w:noProof/>
                <w:sz w:val="22"/>
                <w:lang w:val="en-IE" w:eastAsia="en-IE"/>
              </w:rPr>
              <w:tab/>
            </w:r>
            <w:r w:rsidR="00D0486E" w:rsidRPr="00067883">
              <w:rPr>
                <w:rStyle w:val="Hyperlink"/>
                <w:rFonts w:eastAsia="Arial Unicode MS"/>
                <w:noProof/>
                <w:lang w:val="en-IE" w:bidi="hi-IN"/>
              </w:rPr>
              <w:t>Fixed-line voice and broadband services</w:t>
            </w:r>
            <w:r w:rsidR="00D0486E">
              <w:rPr>
                <w:noProof/>
                <w:webHidden/>
              </w:rPr>
              <w:tab/>
            </w:r>
            <w:r w:rsidR="00D0486E">
              <w:rPr>
                <w:noProof/>
                <w:webHidden/>
              </w:rPr>
              <w:fldChar w:fldCharType="begin"/>
            </w:r>
            <w:r w:rsidR="00D0486E">
              <w:rPr>
                <w:noProof/>
                <w:webHidden/>
              </w:rPr>
              <w:instrText xml:space="preserve"> PAGEREF _Toc465667630 \h </w:instrText>
            </w:r>
            <w:r w:rsidR="00D0486E">
              <w:rPr>
                <w:noProof/>
                <w:webHidden/>
              </w:rPr>
            </w:r>
            <w:r w:rsidR="00D0486E">
              <w:rPr>
                <w:noProof/>
                <w:webHidden/>
              </w:rPr>
              <w:fldChar w:fldCharType="separate"/>
            </w:r>
            <w:r>
              <w:rPr>
                <w:noProof/>
                <w:webHidden/>
              </w:rPr>
              <w:t>36</w:t>
            </w:r>
            <w:r w:rsidR="00D0486E">
              <w:rPr>
                <w:noProof/>
                <w:webHidden/>
              </w:rPr>
              <w:fldChar w:fldCharType="end"/>
            </w:r>
          </w:hyperlink>
        </w:p>
        <w:p w14:paraId="1A5AE469" w14:textId="77777777" w:rsidR="00D0486E" w:rsidRDefault="0078655A">
          <w:pPr>
            <w:pStyle w:val="TOC2"/>
            <w:rPr>
              <w:rFonts w:asciiTheme="minorHAnsi" w:hAnsiTheme="minorHAnsi"/>
              <w:sz w:val="22"/>
              <w:lang w:val="en-IE" w:eastAsia="en-IE"/>
            </w:rPr>
          </w:pPr>
          <w:hyperlink w:anchor="_Toc465667631" w:history="1">
            <w:r w:rsidR="00D0486E" w:rsidRPr="00067883">
              <w:rPr>
                <w:rStyle w:val="Hyperlink"/>
                <w:lang w:val="en-IE" w:bidi="hi-IN"/>
              </w:rPr>
              <w:t>4.1.</w:t>
            </w:r>
            <w:r w:rsidR="00D0486E">
              <w:rPr>
                <w:rFonts w:asciiTheme="minorHAnsi" w:hAnsiTheme="minorHAnsi"/>
                <w:sz w:val="22"/>
                <w:lang w:val="en-IE" w:eastAsia="en-IE"/>
              </w:rPr>
              <w:tab/>
            </w:r>
            <w:r w:rsidR="00D0486E" w:rsidRPr="00067883">
              <w:rPr>
                <w:rStyle w:val="Hyperlink"/>
                <w:lang w:val="en-IE" w:bidi="hi-IN"/>
              </w:rPr>
              <w:t>Response to question 22:</w:t>
            </w:r>
            <w:r w:rsidR="00D0486E">
              <w:rPr>
                <w:webHidden/>
              </w:rPr>
              <w:tab/>
            </w:r>
            <w:r w:rsidR="00D0486E">
              <w:rPr>
                <w:webHidden/>
              </w:rPr>
              <w:fldChar w:fldCharType="begin"/>
            </w:r>
            <w:r w:rsidR="00D0486E">
              <w:rPr>
                <w:webHidden/>
              </w:rPr>
              <w:instrText xml:space="preserve"> PAGEREF _Toc465667631 \h </w:instrText>
            </w:r>
            <w:r w:rsidR="00D0486E">
              <w:rPr>
                <w:webHidden/>
              </w:rPr>
            </w:r>
            <w:r w:rsidR="00D0486E">
              <w:rPr>
                <w:webHidden/>
              </w:rPr>
              <w:fldChar w:fldCharType="separate"/>
            </w:r>
            <w:r>
              <w:rPr>
                <w:webHidden/>
              </w:rPr>
              <w:t>36</w:t>
            </w:r>
            <w:r w:rsidR="00D0486E">
              <w:rPr>
                <w:webHidden/>
              </w:rPr>
              <w:fldChar w:fldCharType="end"/>
            </w:r>
          </w:hyperlink>
        </w:p>
        <w:p w14:paraId="2BF94678" w14:textId="77777777" w:rsidR="00D0486E" w:rsidRDefault="0078655A">
          <w:pPr>
            <w:pStyle w:val="TOC2"/>
            <w:rPr>
              <w:rFonts w:asciiTheme="minorHAnsi" w:hAnsiTheme="minorHAnsi"/>
              <w:sz w:val="22"/>
              <w:lang w:val="en-IE" w:eastAsia="en-IE"/>
            </w:rPr>
          </w:pPr>
          <w:hyperlink w:anchor="_Toc465667632" w:history="1">
            <w:r w:rsidR="00D0486E" w:rsidRPr="00067883">
              <w:rPr>
                <w:rStyle w:val="Hyperlink"/>
                <w:lang w:val="en-IE" w:bidi="hi-IN"/>
              </w:rPr>
              <w:t>4.2.</w:t>
            </w:r>
            <w:r w:rsidR="00D0486E">
              <w:rPr>
                <w:rFonts w:asciiTheme="minorHAnsi" w:hAnsiTheme="minorHAnsi"/>
                <w:sz w:val="22"/>
                <w:lang w:val="en-IE" w:eastAsia="en-IE"/>
              </w:rPr>
              <w:tab/>
            </w:r>
            <w:r w:rsidR="00D0486E" w:rsidRPr="00067883">
              <w:rPr>
                <w:rStyle w:val="Hyperlink"/>
                <w:lang w:val="en-IE" w:bidi="hi-IN"/>
              </w:rPr>
              <w:t>Response to question 23:</w:t>
            </w:r>
            <w:r w:rsidR="00D0486E">
              <w:rPr>
                <w:webHidden/>
              </w:rPr>
              <w:tab/>
            </w:r>
            <w:r w:rsidR="00D0486E">
              <w:rPr>
                <w:webHidden/>
              </w:rPr>
              <w:fldChar w:fldCharType="begin"/>
            </w:r>
            <w:r w:rsidR="00D0486E">
              <w:rPr>
                <w:webHidden/>
              </w:rPr>
              <w:instrText xml:space="preserve"> PAGEREF _Toc465667632 \h </w:instrText>
            </w:r>
            <w:r w:rsidR="00D0486E">
              <w:rPr>
                <w:webHidden/>
              </w:rPr>
            </w:r>
            <w:r w:rsidR="00D0486E">
              <w:rPr>
                <w:webHidden/>
              </w:rPr>
              <w:fldChar w:fldCharType="separate"/>
            </w:r>
            <w:r>
              <w:rPr>
                <w:webHidden/>
              </w:rPr>
              <w:t>37</w:t>
            </w:r>
            <w:r w:rsidR="00D0486E">
              <w:rPr>
                <w:webHidden/>
              </w:rPr>
              <w:fldChar w:fldCharType="end"/>
            </w:r>
          </w:hyperlink>
        </w:p>
        <w:p w14:paraId="15113786" w14:textId="77777777" w:rsidR="00D0486E" w:rsidRDefault="0078655A">
          <w:pPr>
            <w:pStyle w:val="TOC2"/>
            <w:rPr>
              <w:rFonts w:asciiTheme="minorHAnsi" w:hAnsiTheme="minorHAnsi"/>
              <w:sz w:val="22"/>
              <w:lang w:val="en-IE" w:eastAsia="en-IE"/>
            </w:rPr>
          </w:pPr>
          <w:hyperlink w:anchor="_Toc465667633" w:history="1">
            <w:r w:rsidR="00D0486E" w:rsidRPr="00067883">
              <w:rPr>
                <w:rStyle w:val="Hyperlink"/>
                <w:lang w:val="en-IE" w:bidi="hi-IN"/>
              </w:rPr>
              <w:t>4.3.</w:t>
            </w:r>
            <w:r w:rsidR="00D0486E">
              <w:rPr>
                <w:rFonts w:asciiTheme="minorHAnsi" w:hAnsiTheme="minorHAnsi"/>
                <w:sz w:val="22"/>
                <w:lang w:val="en-IE" w:eastAsia="en-IE"/>
              </w:rPr>
              <w:tab/>
            </w:r>
            <w:r w:rsidR="00D0486E" w:rsidRPr="00067883">
              <w:rPr>
                <w:rStyle w:val="Hyperlink"/>
                <w:lang w:val="en-IE" w:bidi="hi-IN"/>
              </w:rPr>
              <w:t>Response to question 29:</w:t>
            </w:r>
            <w:r w:rsidR="00D0486E">
              <w:rPr>
                <w:webHidden/>
              </w:rPr>
              <w:tab/>
            </w:r>
            <w:r w:rsidR="00D0486E">
              <w:rPr>
                <w:webHidden/>
              </w:rPr>
              <w:fldChar w:fldCharType="begin"/>
            </w:r>
            <w:r w:rsidR="00D0486E">
              <w:rPr>
                <w:webHidden/>
              </w:rPr>
              <w:instrText xml:space="preserve"> PAGEREF _Toc465667633 \h </w:instrText>
            </w:r>
            <w:r w:rsidR="00D0486E">
              <w:rPr>
                <w:webHidden/>
              </w:rPr>
            </w:r>
            <w:r w:rsidR="00D0486E">
              <w:rPr>
                <w:webHidden/>
              </w:rPr>
              <w:fldChar w:fldCharType="separate"/>
            </w:r>
            <w:r>
              <w:rPr>
                <w:webHidden/>
              </w:rPr>
              <w:t>37</w:t>
            </w:r>
            <w:r w:rsidR="00D0486E">
              <w:rPr>
                <w:webHidden/>
              </w:rPr>
              <w:fldChar w:fldCharType="end"/>
            </w:r>
          </w:hyperlink>
        </w:p>
        <w:p w14:paraId="508BBF8F" w14:textId="77777777" w:rsidR="00D0486E" w:rsidRDefault="0078655A">
          <w:pPr>
            <w:pStyle w:val="TOC2"/>
            <w:rPr>
              <w:rFonts w:asciiTheme="minorHAnsi" w:hAnsiTheme="minorHAnsi"/>
              <w:sz w:val="22"/>
              <w:lang w:val="en-IE" w:eastAsia="en-IE"/>
            </w:rPr>
          </w:pPr>
          <w:hyperlink w:anchor="_Toc465667634" w:history="1">
            <w:r w:rsidR="00D0486E" w:rsidRPr="00067883">
              <w:rPr>
                <w:rStyle w:val="Hyperlink"/>
                <w:lang w:val="en-IE" w:bidi="hi-IN"/>
              </w:rPr>
              <w:t>4.4.</w:t>
            </w:r>
            <w:r w:rsidR="00D0486E">
              <w:rPr>
                <w:rFonts w:asciiTheme="minorHAnsi" w:hAnsiTheme="minorHAnsi"/>
                <w:sz w:val="22"/>
                <w:lang w:val="en-IE" w:eastAsia="en-IE"/>
              </w:rPr>
              <w:tab/>
            </w:r>
            <w:r w:rsidR="00D0486E" w:rsidRPr="00067883">
              <w:rPr>
                <w:rStyle w:val="Hyperlink"/>
                <w:lang w:val="en-IE" w:bidi="hi-IN"/>
              </w:rPr>
              <w:t>Response to question 30:</w:t>
            </w:r>
            <w:r w:rsidR="00D0486E">
              <w:rPr>
                <w:webHidden/>
              </w:rPr>
              <w:tab/>
            </w:r>
            <w:r w:rsidR="00D0486E">
              <w:rPr>
                <w:webHidden/>
              </w:rPr>
              <w:fldChar w:fldCharType="begin"/>
            </w:r>
            <w:r w:rsidR="00D0486E">
              <w:rPr>
                <w:webHidden/>
              </w:rPr>
              <w:instrText xml:space="preserve"> PAGEREF _Toc465667634 \h </w:instrText>
            </w:r>
            <w:r w:rsidR="00D0486E">
              <w:rPr>
                <w:webHidden/>
              </w:rPr>
            </w:r>
            <w:r w:rsidR="00D0486E">
              <w:rPr>
                <w:webHidden/>
              </w:rPr>
              <w:fldChar w:fldCharType="separate"/>
            </w:r>
            <w:r>
              <w:rPr>
                <w:webHidden/>
              </w:rPr>
              <w:t>38</w:t>
            </w:r>
            <w:r w:rsidR="00D0486E">
              <w:rPr>
                <w:webHidden/>
              </w:rPr>
              <w:fldChar w:fldCharType="end"/>
            </w:r>
          </w:hyperlink>
        </w:p>
        <w:p w14:paraId="1C40AD6A" w14:textId="77777777" w:rsidR="00D0486E" w:rsidRDefault="0078655A">
          <w:pPr>
            <w:pStyle w:val="TOC2"/>
            <w:rPr>
              <w:rFonts w:asciiTheme="minorHAnsi" w:hAnsiTheme="minorHAnsi"/>
              <w:sz w:val="22"/>
              <w:lang w:val="en-IE" w:eastAsia="en-IE"/>
            </w:rPr>
          </w:pPr>
          <w:hyperlink w:anchor="_Toc465667635" w:history="1">
            <w:r w:rsidR="00D0486E" w:rsidRPr="00067883">
              <w:rPr>
                <w:rStyle w:val="Hyperlink"/>
                <w:lang w:val="en-IE" w:bidi="hi-IN"/>
              </w:rPr>
              <w:t>4.5.</w:t>
            </w:r>
            <w:r w:rsidR="00D0486E">
              <w:rPr>
                <w:rFonts w:asciiTheme="minorHAnsi" w:hAnsiTheme="minorHAnsi"/>
                <w:sz w:val="22"/>
                <w:lang w:val="en-IE" w:eastAsia="en-IE"/>
              </w:rPr>
              <w:tab/>
            </w:r>
            <w:r w:rsidR="00D0486E" w:rsidRPr="00067883">
              <w:rPr>
                <w:rStyle w:val="Hyperlink"/>
                <w:lang w:val="en-IE" w:bidi="hi-IN"/>
              </w:rPr>
              <w:t>Response to question 33 &amp; 34:</w:t>
            </w:r>
            <w:r w:rsidR="00D0486E">
              <w:rPr>
                <w:webHidden/>
              </w:rPr>
              <w:tab/>
            </w:r>
            <w:r w:rsidR="00D0486E">
              <w:rPr>
                <w:webHidden/>
              </w:rPr>
              <w:fldChar w:fldCharType="begin"/>
            </w:r>
            <w:r w:rsidR="00D0486E">
              <w:rPr>
                <w:webHidden/>
              </w:rPr>
              <w:instrText xml:space="preserve"> PAGEREF _Toc465667635 \h </w:instrText>
            </w:r>
            <w:r w:rsidR="00D0486E">
              <w:rPr>
                <w:webHidden/>
              </w:rPr>
            </w:r>
            <w:r w:rsidR="00D0486E">
              <w:rPr>
                <w:webHidden/>
              </w:rPr>
              <w:fldChar w:fldCharType="separate"/>
            </w:r>
            <w:r>
              <w:rPr>
                <w:webHidden/>
              </w:rPr>
              <w:t>38</w:t>
            </w:r>
            <w:r w:rsidR="00D0486E">
              <w:rPr>
                <w:webHidden/>
              </w:rPr>
              <w:fldChar w:fldCharType="end"/>
            </w:r>
          </w:hyperlink>
        </w:p>
        <w:p w14:paraId="78497486" w14:textId="77777777" w:rsidR="00D0486E" w:rsidRDefault="0078655A">
          <w:pPr>
            <w:pStyle w:val="TOC1"/>
            <w:rPr>
              <w:rFonts w:asciiTheme="minorHAnsi" w:hAnsiTheme="minorHAnsi"/>
              <w:noProof/>
              <w:sz w:val="22"/>
              <w:lang w:val="en-IE" w:eastAsia="en-IE"/>
            </w:rPr>
          </w:pPr>
          <w:hyperlink w:anchor="_Toc465667636" w:history="1">
            <w:r w:rsidR="00D0486E" w:rsidRPr="00067883">
              <w:rPr>
                <w:rStyle w:val="Hyperlink"/>
                <w:rFonts w:eastAsia="Arial Unicode MS"/>
                <w:noProof/>
                <w:lang w:val="en-IE" w:bidi="hi-IN"/>
              </w:rPr>
              <w:t>5.</w:t>
            </w:r>
            <w:r w:rsidR="00D0486E">
              <w:rPr>
                <w:rFonts w:asciiTheme="minorHAnsi" w:hAnsiTheme="minorHAnsi"/>
                <w:noProof/>
                <w:sz w:val="22"/>
                <w:lang w:val="en-IE" w:eastAsia="en-IE"/>
              </w:rPr>
              <w:tab/>
            </w:r>
            <w:r w:rsidR="00D0486E" w:rsidRPr="00067883">
              <w:rPr>
                <w:rStyle w:val="Hyperlink"/>
                <w:rFonts w:eastAsia="Arial Unicode MS"/>
                <w:noProof/>
                <w:lang w:val="en-IE" w:bidi="hi-IN"/>
              </w:rPr>
              <w:t>Mobile voice and broadband services</w:t>
            </w:r>
            <w:r w:rsidR="00D0486E">
              <w:rPr>
                <w:noProof/>
                <w:webHidden/>
              </w:rPr>
              <w:tab/>
            </w:r>
            <w:r w:rsidR="00D0486E">
              <w:rPr>
                <w:noProof/>
                <w:webHidden/>
              </w:rPr>
              <w:fldChar w:fldCharType="begin"/>
            </w:r>
            <w:r w:rsidR="00D0486E">
              <w:rPr>
                <w:noProof/>
                <w:webHidden/>
              </w:rPr>
              <w:instrText xml:space="preserve"> PAGEREF _Toc465667636 \h </w:instrText>
            </w:r>
            <w:r w:rsidR="00D0486E">
              <w:rPr>
                <w:noProof/>
                <w:webHidden/>
              </w:rPr>
            </w:r>
            <w:r w:rsidR="00D0486E">
              <w:rPr>
                <w:noProof/>
                <w:webHidden/>
              </w:rPr>
              <w:fldChar w:fldCharType="separate"/>
            </w:r>
            <w:r>
              <w:rPr>
                <w:noProof/>
                <w:webHidden/>
              </w:rPr>
              <w:t>40</w:t>
            </w:r>
            <w:r w:rsidR="00D0486E">
              <w:rPr>
                <w:noProof/>
                <w:webHidden/>
              </w:rPr>
              <w:fldChar w:fldCharType="end"/>
            </w:r>
          </w:hyperlink>
        </w:p>
        <w:p w14:paraId="350841A6" w14:textId="77777777" w:rsidR="00D0486E" w:rsidRDefault="0078655A">
          <w:pPr>
            <w:pStyle w:val="TOC2"/>
            <w:rPr>
              <w:rFonts w:asciiTheme="minorHAnsi" w:hAnsiTheme="minorHAnsi"/>
              <w:sz w:val="22"/>
              <w:lang w:val="en-IE" w:eastAsia="en-IE"/>
            </w:rPr>
          </w:pPr>
          <w:hyperlink w:anchor="_Toc465667637" w:history="1">
            <w:r w:rsidR="00D0486E" w:rsidRPr="00067883">
              <w:rPr>
                <w:rStyle w:val="Hyperlink"/>
                <w:lang w:val="en-IE" w:bidi="hi-IN"/>
              </w:rPr>
              <w:t>5.1.</w:t>
            </w:r>
            <w:r w:rsidR="00D0486E">
              <w:rPr>
                <w:rFonts w:asciiTheme="minorHAnsi" w:hAnsiTheme="minorHAnsi"/>
                <w:sz w:val="22"/>
                <w:lang w:val="en-IE" w:eastAsia="en-IE"/>
              </w:rPr>
              <w:tab/>
            </w:r>
            <w:r w:rsidR="00D0486E" w:rsidRPr="00067883">
              <w:rPr>
                <w:rStyle w:val="Hyperlink"/>
                <w:lang w:val="en-IE" w:bidi="hi-IN"/>
              </w:rPr>
              <w:t>Response to question 40:</w:t>
            </w:r>
            <w:r w:rsidR="00D0486E">
              <w:rPr>
                <w:webHidden/>
              </w:rPr>
              <w:tab/>
            </w:r>
            <w:r w:rsidR="00D0486E">
              <w:rPr>
                <w:webHidden/>
              </w:rPr>
              <w:fldChar w:fldCharType="begin"/>
            </w:r>
            <w:r w:rsidR="00D0486E">
              <w:rPr>
                <w:webHidden/>
              </w:rPr>
              <w:instrText xml:space="preserve"> PAGEREF _Toc465667637 \h </w:instrText>
            </w:r>
            <w:r w:rsidR="00D0486E">
              <w:rPr>
                <w:webHidden/>
              </w:rPr>
            </w:r>
            <w:r w:rsidR="00D0486E">
              <w:rPr>
                <w:webHidden/>
              </w:rPr>
              <w:fldChar w:fldCharType="separate"/>
            </w:r>
            <w:r>
              <w:rPr>
                <w:webHidden/>
              </w:rPr>
              <w:t>40</w:t>
            </w:r>
            <w:r w:rsidR="00D0486E">
              <w:rPr>
                <w:webHidden/>
              </w:rPr>
              <w:fldChar w:fldCharType="end"/>
            </w:r>
          </w:hyperlink>
        </w:p>
        <w:p w14:paraId="18CB58A5" w14:textId="77777777" w:rsidR="00D0486E" w:rsidRDefault="0078655A">
          <w:pPr>
            <w:pStyle w:val="TOC1"/>
            <w:rPr>
              <w:rFonts w:asciiTheme="minorHAnsi" w:hAnsiTheme="minorHAnsi"/>
              <w:noProof/>
              <w:sz w:val="22"/>
              <w:lang w:val="en-IE" w:eastAsia="en-IE"/>
            </w:rPr>
          </w:pPr>
          <w:hyperlink w:anchor="_Toc465667638" w:history="1">
            <w:r w:rsidR="00D0486E" w:rsidRPr="00067883">
              <w:rPr>
                <w:rStyle w:val="Hyperlink"/>
                <w:rFonts w:eastAsia="Arial Unicode MS"/>
                <w:noProof/>
                <w:lang w:val="en-IE" w:bidi="hi-IN"/>
              </w:rPr>
              <w:t>6.</w:t>
            </w:r>
            <w:r w:rsidR="00D0486E">
              <w:rPr>
                <w:rFonts w:asciiTheme="minorHAnsi" w:hAnsiTheme="minorHAnsi"/>
                <w:noProof/>
                <w:sz w:val="22"/>
                <w:lang w:val="en-IE" w:eastAsia="en-IE"/>
              </w:rPr>
              <w:tab/>
            </w:r>
            <w:r w:rsidR="00D0486E" w:rsidRPr="00067883">
              <w:rPr>
                <w:rStyle w:val="Hyperlink"/>
                <w:rFonts w:eastAsia="Arial Unicode MS"/>
                <w:noProof/>
                <w:lang w:val="en-IE" w:bidi="hi-IN"/>
              </w:rPr>
              <w:t>Interaction between fixed line and mobile services</w:t>
            </w:r>
            <w:r w:rsidR="00D0486E">
              <w:rPr>
                <w:noProof/>
                <w:webHidden/>
              </w:rPr>
              <w:tab/>
            </w:r>
            <w:r w:rsidR="00D0486E">
              <w:rPr>
                <w:noProof/>
                <w:webHidden/>
              </w:rPr>
              <w:fldChar w:fldCharType="begin"/>
            </w:r>
            <w:r w:rsidR="00D0486E">
              <w:rPr>
                <w:noProof/>
                <w:webHidden/>
              </w:rPr>
              <w:instrText xml:space="preserve"> PAGEREF _Toc465667638 \h </w:instrText>
            </w:r>
            <w:r w:rsidR="00D0486E">
              <w:rPr>
                <w:noProof/>
                <w:webHidden/>
              </w:rPr>
            </w:r>
            <w:r w:rsidR="00D0486E">
              <w:rPr>
                <w:noProof/>
                <w:webHidden/>
              </w:rPr>
              <w:fldChar w:fldCharType="separate"/>
            </w:r>
            <w:r>
              <w:rPr>
                <w:noProof/>
                <w:webHidden/>
              </w:rPr>
              <w:t>42</w:t>
            </w:r>
            <w:r w:rsidR="00D0486E">
              <w:rPr>
                <w:noProof/>
                <w:webHidden/>
              </w:rPr>
              <w:fldChar w:fldCharType="end"/>
            </w:r>
          </w:hyperlink>
        </w:p>
        <w:p w14:paraId="4C147587" w14:textId="77777777" w:rsidR="00D0486E" w:rsidRDefault="0078655A">
          <w:pPr>
            <w:pStyle w:val="TOC2"/>
            <w:rPr>
              <w:rFonts w:asciiTheme="minorHAnsi" w:hAnsiTheme="minorHAnsi"/>
              <w:sz w:val="22"/>
              <w:lang w:val="en-IE" w:eastAsia="en-IE"/>
            </w:rPr>
          </w:pPr>
          <w:hyperlink w:anchor="_Toc465667639" w:history="1">
            <w:r w:rsidR="00D0486E" w:rsidRPr="00067883">
              <w:rPr>
                <w:rStyle w:val="Hyperlink"/>
                <w:lang w:val="en-IE" w:bidi="hi-IN"/>
              </w:rPr>
              <w:t>6.1.</w:t>
            </w:r>
            <w:r w:rsidR="00D0486E">
              <w:rPr>
                <w:rFonts w:asciiTheme="minorHAnsi" w:hAnsiTheme="minorHAnsi"/>
                <w:sz w:val="22"/>
                <w:lang w:val="en-IE" w:eastAsia="en-IE"/>
              </w:rPr>
              <w:tab/>
            </w:r>
            <w:r w:rsidR="00D0486E" w:rsidRPr="00067883">
              <w:rPr>
                <w:rStyle w:val="Hyperlink"/>
                <w:lang w:val="en-IE" w:bidi="hi-IN"/>
              </w:rPr>
              <w:t>Response to question 52:</w:t>
            </w:r>
            <w:r w:rsidR="00D0486E">
              <w:rPr>
                <w:webHidden/>
              </w:rPr>
              <w:tab/>
            </w:r>
            <w:r w:rsidR="00D0486E">
              <w:rPr>
                <w:webHidden/>
              </w:rPr>
              <w:fldChar w:fldCharType="begin"/>
            </w:r>
            <w:r w:rsidR="00D0486E">
              <w:rPr>
                <w:webHidden/>
              </w:rPr>
              <w:instrText xml:space="preserve"> PAGEREF _Toc465667639 \h </w:instrText>
            </w:r>
            <w:r w:rsidR="00D0486E">
              <w:rPr>
                <w:webHidden/>
              </w:rPr>
            </w:r>
            <w:r w:rsidR="00D0486E">
              <w:rPr>
                <w:webHidden/>
              </w:rPr>
              <w:fldChar w:fldCharType="separate"/>
            </w:r>
            <w:r>
              <w:rPr>
                <w:webHidden/>
              </w:rPr>
              <w:t>42</w:t>
            </w:r>
            <w:r w:rsidR="00D0486E">
              <w:rPr>
                <w:webHidden/>
              </w:rPr>
              <w:fldChar w:fldCharType="end"/>
            </w:r>
          </w:hyperlink>
        </w:p>
        <w:p w14:paraId="47ED8FBD" w14:textId="77777777" w:rsidR="00D0486E" w:rsidRDefault="0078655A">
          <w:pPr>
            <w:pStyle w:val="TOC2"/>
            <w:rPr>
              <w:rFonts w:asciiTheme="minorHAnsi" w:hAnsiTheme="minorHAnsi"/>
              <w:sz w:val="22"/>
              <w:lang w:val="en-IE" w:eastAsia="en-IE"/>
            </w:rPr>
          </w:pPr>
          <w:hyperlink w:anchor="_Toc465667640" w:history="1">
            <w:r w:rsidR="00D0486E" w:rsidRPr="00067883">
              <w:rPr>
                <w:rStyle w:val="Hyperlink"/>
                <w:lang w:val="en-IE" w:bidi="hi-IN"/>
              </w:rPr>
              <w:t>6.2.</w:t>
            </w:r>
            <w:r w:rsidR="00D0486E">
              <w:rPr>
                <w:rFonts w:asciiTheme="minorHAnsi" w:hAnsiTheme="minorHAnsi"/>
                <w:sz w:val="22"/>
                <w:lang w:val="en-IE" w:eastAsia="en-IE"/>
              </w:rPr>
              <w:tab/>
            </w:r>
            <w:r w:rsidR="00D0486E" w:rsidRPr="00067883">
              <w:rPr>
                <w:rStyle w:val="Hyperlink"/>
                <w:lang w:val="en-IE" w:bidi="hi-IN"/>
              </w:rPr>
              <w:t>Response to question 54:</w:t>
            </w:r>
            <w:r w:rsidR="00D0486E">
              <w:rPr>
                <w:webHidden/>
              </w:rPr>
              <w:tab/>
            </w:r>
            <w:r w:rsidR="00D0486E">
              <w:rPr>
                <w:webHidden/>
              </w:rPr>
              <w:fldChar w:fldCharType="begin"/>
            </w:r>
            <w:r w:rsidR="00D0486E">
              <w:rPr>
                <w:webHidden/>
              </w:rPr>
              <w:instrText xml:space="preserve"> PAGEREF _Toc465667640 \h </w:instrText>
            </w:r>
            <w:r w:rsidR="00D0486E">
              <w:rPr>
                <w:webHidden/>
              </w:rPr>
            </w:r>
            <w:r w:rsidR="00D0486E">
              <w:rPr>
                <w:webHidden/>
              </w:rPr>
              <w:fldChar w:fldCharType="separate"/>
            </w:r>
            <w:r>
              <w:rPr>
                <w:webHidden/>
              </w:rPr>
              <w:t>42</w:t>
            </w:r>
            <w:r w:rsidR="00D0486E">
              <w:rPr>
                <w:webHidden/>
              </w:rPr>
              <w:fldChar w:fldCharType="end"/>
            </w:r>
          </w:hyperlink>
        </w:p>
        <w:p w14:paraId="7FB01B60" w14:textId="77777777" w:rsidR="00D0486E" w:rsidRDefault="0078655A">
          <w:pPr>
            <w:pStyle w:val="TOC2"/>
            <w:rPr>
              <w:rFonts w:asciiTheme="minorHAnsi" w:hAnsiTheme="minorHAnsi"/>
              <w:sz w:val="22"/>
              <w:lang w:val="en-IE" w:eastAsia="en-IE"/>
            </w:rPr>
          </w:pPr>
          <w:hyperlink w:anchor="_Toc465667641" w:history="1">
            <w:r w:rsidR="00D0486E" w:rsidRPr="00067883">
              <w:rPr>
                <w:rStyle w:val="Hyperlink"/>
                <w:lang w:val="en-IE" w:bidi="hi-IN"/>
              </w:rPr>
              <w:t>6.3.</w:t>
            </w:r>
            <w:r w:rsidR="00D0486E">
              <w:rPr>
                <w:rFonts w:asciiTheme="minorHAnsi" w:hAnsiTheme="minorHAnsi"/>
                <w:sz w:val="22"/>
                <w:lang w:val="en-IE" w:eastAsia="en-IE"/>
              </w:rPr>
              <w:tab/>
            </w:r>
            <w:r w:rsidR="00D0486E" w:rsidRPr="00067883">
              <w:rPr>
                <w:rStyle w:val="Hyperlink"/>
                <w:lang w:val="en-IE" w:bidi="hi-IN"/>
              </w:rPr>
              <w:t>Response to question 55:</w:t>
            </w:r>
            <w:r w:rsidR="00D0486E">
              <w:rPr>
                <w:webHidden/>
              </w:rPr>
              <w:tab/>
            </w:r>
            <w:r w:rsidR="00D0486E">
              <w:rPr>
                <w:webHidden/>
              </w:rPr>
              <w:fldChar w:fldCharType="begin"/>
            </w:r>
            <w:r w:rsidR="00D0486E">
              <w:rPr>
                <w:webHidden/>
              </w:rPr>
              <w:instrText xml:space="preserve"> PAGEREF _Toc465667641 \h </w:instrText>
            </w:r>
            <w:r w:rsidR="00D0486E">
              <w:rPr>
                <w:webHidden/>
              </w:rPr>
            </w:r>
            <w:r w:rsidR="00D0486E">
              <w:rPr>
                <w:webHidden/>
              </w:rPr>
              <w:fldChar w:fldCharType="separate"/>
            </w:r>
            <w:r>
              <w:rPr>
                <w:webHidden/>
              </w:rPr>
              <w:t>42</w:t>
            </w:r>
            <w:r w:rsidR="00D0486E">
              <w:rPr>
                <w:webHidden/>
              </w:rPr>
              <w:fldChar w:fldCharType="end"/>
            </w:r>
          </w:hyperlink>
        </w:p>
        <w:p w14:paraId="4434A39E" w14:textId="77777777" w:rsidR="00EC1696" w:rsidRPr="003441E5" w:rsidRDefault="00EC1696">
          <w:r w:rsidRPr="003441E5">
            <w:rPr>
              <w:b/>
              <w:bCs/>
              <w:noProof/>
            </w:rPr>
            <w:fldChar w:fldCharType="end"/>
          </w:r>
        </w:p>
      </w:sdtContent>
    </w:sdt>
    <w:p w14:paraId="67200672" w14:textId="77777777" w:rsidR="00027253" w:rsidRDefault="004B7462" w:rsidP="002A629E">
      <w:pPr>
        <w:pStyle w:val="Heading1"/>
      </w:pPr>
      <w:bookmarkStart w:id="0" w:name="_Toc351382481"/>
      <w:bookmarkStart w:id="1" w:name="_Toc465667585"/>
      <w:r w:rsidRPr="003441E5">
        <w:lastRenderedPageBreak/>
        <w:t>Executive S</w:t>
      </w:r>
      <w:r w:rsidR="00A022BC" w:rsidRPr="003441E5">
        <w:t>ummary</w:t>
      </w:r>
      <w:bookmarkEnd w:id="0"/>
      <w:bookmarkEnd w:id="1"/>
    </w:p>
    <w:p w14:paraId="52A42951" w14:textId="77777777" w:rsidR="00EF4492" w:rsidRPr="00EF4492" w:rsidRDefault="00EF4492" w:rsidP="002F652F">
      <w:pPr>
        <w:rPr>
          <w:rFonts w:eastAsia="Arial Unicode MS"/>
          <w:lang w:val="en-IE" w:eastAsia="hi-IN" w:bidi="hi-IN"/>
        </w:rPr>
      </w:pPr>
      <w:r w:rsidRPr="00EF4492">
        <w:rPr>
          <w:rFonts w:eastAsia="Arial Unicode MS"/>
          <w:lang w:val="en-IE" w:eastAsia="hi-IN" w:bidi="hi-IN"/>
        </w:rPr>
        <w:t xml:space="preserve">Australian Communications Consumer Action Network (ACCAN) would like to thank the Australian Competition and Consumer Commission (ACCC) for the opportunity to submit to its competition in evolving communications markets issues paper. </w:t>
      </w:r>
    </w:p>
    <w:p w14:paraId="7ED1E376" w14:textId="4F0EEEBF" w:rsidR="00EF4492" w:rsidRPr="00EF4492" w:rsidRDefault="00EF4492" w:rsidP="002F652F">
      <w:pPr>
        <w:rPr>
          <w:rFonts w:eastAsia="Arial Unicode MS" w:cs="font391"/>
          <w:kern w:val="1"/>
          <w:szCs w:val="24"/>
          <w:lang w:val="en-IE" w:eastAsia="hi-IN" w:bidi="hi-IN"/>
        </w:rPr>
      </w:pPr>
      <w:r w:rsidRPr="00EF4492">
        <w:rPr>
          <w:rFonts w:eastAsia="Arial Unicode MS" w:cs="font391"/>
          <w:kern w:val="1"/>
          <w:szCs w:val="24"/>
          <w:lang w:val="en-IE" w:eastAsia="hi-IN" w:bidi="hi-IN"/>
        </w:rPr>
        <w:t>The evolving communications market is likely to lead to many positive outcomes and benefits for consumers and small businesses. For the most part ACCAN believes that competitive forces and the current regulatory and policy framework will be sufficient to respond to consumer and small business needs.</w:t>
      </w:r>
    </w:p>
    <w:p w14:paraId="55101A4E" w14:textId="1EDEE12F" w:rsidR="00EF4492" w:rsidRPr="00EF4492" w:rsidRDefault="00820717" w:rsidP="002F652F">
      <w:pPr>
        <w:rPr>
          <w:rFonts w:eastAsia="Arial Unicode MS" w:cs="font391"/>
          <w:kern w:val="1"/>
          <w:szCs w:val="24"/>
          <w:lang w:val="en-IE" w:eastAsia="hi-IN" w:bidi="hi-IN"/>
        </w:rPr>
      </w:pPr>
      <w:r>
        <w:rPr>
          <w:rFonts w:eastAsia="Arial Unicode MS" w:cs="font391"/>
          <w:kern w:val="1"/>
          <w:szCs w:val="24"/>
          <w:lang w:val="en-IE" w:eastAsia="hi-IN" w:bidi="hi-IN"/>
        </w:rPr>
        <w:t>ACCAN strongly believes that e</w:t>
      </w:r>
      <w:r w:rsidRPr="00EF4492">
        <w:rPr>
          <w:rFonts w:eastAsia="Arial Unicode MS" w:cs="font391"/>
          <w:kern w:val="1"/>
          <w:szCs w:val="24"/>
          <w:lang w:val="en-IE" w:eastAsia="hi-IN" w:bidi="hi-IN"/>
        </w:rPr>
        <w:t xml:space="preserve">mpowered consumers encourage and promote competition. </w:t>
      </w:r>
      <w:r w:rsidR="00EF4492" w:rsidRPr="00EF4492">
        <w:rPr>
          <w:rFonts w:eastAsia="Arial Unicode MS" w:cs="font391"/>
          <w:kern w:val="1"/>
          <w:szCs w:val="24"/>
          <w:lang w:val="en-IE" w:eastAsia="hi-IN" w:bidi="hi-IN"/>
        </w:rPr>
        <w:t xml:space="preserve">There are some issues which ACCAN believes are hampering competition and may need consideration by the ACCC to ensure that competition is working effectively for consumers. </w:t>
      </w:r>
    </w:p>
    <w:p w14:paraId="2BE289EA" w14:textId="0D6B3572" w:rsidR="00222095" w:rsidRPr="00EF4492" w:rsidRDefault="00EF4492" w:rsidP="002F652F">
      <w:pPr>
        <w:rPr>
          <w:rFonts w:eastAsia="Arial Unicode MS" w:cs="font391"/>
          <w:kern w:val="1"/>
          <w:szCs w:val="24"/>
          <w:lang w:val="en-IE" w:eastAsia="hi-IN" w:bidi="hi-IN"/>
        </w:rPr>
      </w:pPr>
      <w:r w:rsidRPr="00EF4492">
        <w:rPr>
          <w:rFonts w:eastAsia="Arial Unicode MS" w:cs="font391"/>
          <w:kern w:val="1"/>
          <w:szCs w:val="24"/>
          <w:lang w:val="en-IE" w:eastAsia="hi-IN" w:bidi="hi-IN"/>
        </w:rPr>
        <w:t>ACCAN is providing some comments on each section and providing</w:t>
      </w:r>
      <w:r w:rsidR="00820717">
        <w:rPr>
          <w:rFonts w:eastAsia="Arial Unicode MS" w:cs="font391"/>
          <w:kern w:val="1"/>
          <w:szCs w:val="24"/>
          <w:lang w:val="en-IE" w:eastAsia="hi-IN" w:bidi="hi-IN"/>
        </w:rPr>
        <w:t xml:space="preserve"> answers to selected questions.</w:t>
      </w:r>
    </w:p>
    <w:p w14:paraId="2CD1ADE6" w14:textId="3E572857" w:rsidR="00EF4492" w:rsidRPr="00EF4492" w:rsidRDefault="008509FB" w:rsidP="002F652F">
      <w:pPr>
        <w:pStyle w:val="Heading2"/>
        <w:rPr>
          <w:lang w:val="en-IE" w:bidi="hi-IN"/>
        </w:rPr>
      </w:pPr>
      <w:bookmarkStart w:id="2" w:name="_Toc465667586"/>
      <w:r>
        <w:rPr>
          <w:lang w:val="en-IE" w:bidi="hi-IN"/>
        </w:rPr>
        <w:t>Summary of submission</w:t>
      </w:r>
      <w:bookmarkEnd w:id="2"/>
    </w:p>
    <w:p w14:paraId="03092CDF" w14:textId="77777777" w:rsidR="00217E01" w:rsidRPr="000D6D17" w:rsidRDefault="00217E01" w:rsidP="000721FB">
      <w:pPr>
        <w:pStyle w:val="Heading3"/>
        <w:rPr>
          <w:rFonts w:eastAsia="Arial Unicode MS"/>
          <w:lang w:val="en-IE" w:bidi="hi-IN"/>
        </w:rPr>
      </w:pPr>
      <w:bookmarkStart w:id="3" w:name="_Toc465667587"/>
      <w:r w:rsidRPr="000D6D17">
        <w:rPr>
          <w:rFonts w:eastAsia="Arial Unicode MS"/>
          <w:lang w:val="en-IE" w:bidi="hi-IN"/>
        </w:rPr>
        <w:t>Consumer trends and issues</w:t>
      </w:r>
      <w:bookmarkEnd w:id="3"/>
    </w:p>
    <w:p w14:paraId="288F6545" w14:textId="4B68C669" w:rsidR="003538B5" w:rsidRPr="000D6D17" w:rsidRDefault="008509FB" w:rsidP="000721FB">
      <w:pPr>
        <w:pStyle w:val="Bulletlist1"/>
        <w:numPr>
          <w:ilvl w:val="0"/>
          <w:numId w:val="0"/>
        </w:numPr>
        <w:rPr>
          <w:rFonts w:eastAsia="Arial Unicode MS"/>
          <w:lang w:val="en-IE" w:eastAsia="hi-IN" w:bidi="hi-IN"/>
        </w:rPr>
      </w:pPr>
      <w:r w:rsidRPr="000D6D17">
        <w:rPr>
          <w:rFonts w:eastAsia="Arial Unicode MS"/>
          <w:lang w:val="en-IE" w:eastAsia="hi-IN" w:bidi="hi-IN"/>
        </w:rPr>
        <w:t>Consumers’ have a high expectation</w:t>
      </w:r>
      <w:r w:rsidR="005A74F6" w:rsidRPr="000D6D17">
        <w:rPr>
          <w:rFonts w:eastAsia="Arial Unicode MS"/>
          <w:lang w:val="en-IE" w:eastAsia="hi-IN" w:bidi="hi-IN"/>
        </w:rPr>
        <w:t xml:space="preserve"> of</w:t>
      </w:r>
      <w:r w:rsidRPr="000D6D17">
        <w:rPr>
          <w:rFonts w:eastAsia="Arial Unicode MS"/>
          <w:lang w:val="en-IE" w:eastAsia="hi-IN" w:bidi="hi-IN"/>
        </w:rPr>
        <w:t xml:space="preserve"> and demand </w:t>
      </w:r>
      <w:r w:rsidR="005A74F6" w:rsidRPr="000D6D17">
        <w:rPr>
          <w:rFonts w:eastAsia="Arial Unicode MS"/>
          <w:lang w:val="en-IE" w:eastAsia="hi-IN" w:bidi="hi-IN"/>
        </w:rPr>
        <w:t>for</w:t>
      </w:r>
      <w:r w:rsidRPr="000D6D17">
        <w:rPr>
          <w:rFonts w:eastAsia="Arial Unicode MS"/>
          <w:lang w:val="en-IE" w:eastAsia="hi-IN" w:bidi="hi-IN"/>
        </w:rPr>
        <w:t xml:space="preserve"> next generation networks. </w:t>
      </w:r>
      <w:r w:rsidR="000721FB">
        <w:rPr>
          <w:rFonts w:eastAsia="Arial Unicode MS"/>
          <w:lang w:val="en-IE" w:eastAsia="hi-IN" w:bidi="hi-IN"/>
        </w:rPr>
        <w:t>Where a range of services are available, c</w:t>
      </w:r>
      <w:r w:rsidRPr="000D6D17">
        <w:rPr>
          <w:rFonts w:eastAsia="Arial Unicode MS"/>
          <w:lang w:val="en-IE" w:eastAsia="hi-IN" w:bidi="hi-IN"/>
        </w:rPr>
        <w:t>onvergence of technologies and services a</w:t>
      </w:r>
      <w:r w:rsidR="000721FB">
        <w:rPr>
          <w:rFonts w:eastAsia="Arial Unicode MS"/>
          <w:lang w:val="en-IE" w:eastAsia="hi-IN" w:bidi="hi-IN"/>
        </w:rPr>
        <w:t>ppear to be occurring. ACCAN has identified a number of a</w:t>
      </w:r>
      <w:r w:rsidRPr="000D6D17">
        <w:rPr>
          <w:rFonts w:eastAsia="Arial Unicode MS"/>
          <w:lang w:val="en-IE" w:eastAsia="hi-IN" w:bidi="hi-IN"/>
        </w:rPr>
        <w:t xml:space="preserve">spects that </w:t>
      </w:r>
      <w:r w:rsidR="000721FB">
        <w:rPr>
          <w:rFonts w:eastAsia="Arial Unicode MS"/>
          <w:lang w:val="en-IE" w:eastAsia="hi-IN" w:bidi="hi-IN"/>
        </w:rPr>
        <w:t xml:space="preserve">are </w:t>
      </w:r>
      <w:r w:rsidRPr="000D6D17">
        <w:rPr>
          <w:rFonts w:eastAsia="Arial Unicode MS"/>
          <w:lang w:val="en-IE" w:eastAsia="hi-IN" w:bidi="hi-IN"/>
        </w:rPr>
        <w:t>affect</w:t>
      </w:r>
      <w:r w:rsidR="00AC5E48">
        <w:rPr>
          <w:rFonts w:eastAsia="Arial Unicode MS"/>
          <w:lang w:val="en-IE" w:eastAsia="hi-IN" w:bidi="hi-IN"/>
        </w:rPr>
        <w:t>ing</w:t>
      </w:r>
      <w:r w:rsidRPr="000D6D17">
        <w:rPr>
          <w:rFonts w:eastAsia="Arial Unicode MS"/>
          <w:lang w:val="en-IE" w:eastAsia="hi-IN" w:bidi="hi-IN"/>
        </w:rPr>
        <w:t xml:space="preserve"> consumers</w:t>
      </w:r>
      <w:r w:rsidR="000721FB">
        <w:rPr>
          <w:rFonts w:eastAsia="Arial Unicode MS"/>
          <w:lang w:val="en-IE" w:eastAsia="hi-IN" w:bidi="hi-IN"/>
        </w:rPr>
        <w:t>’</w:t>
      </w:r>
      <w:r w:rsidRPr="000D6D17">
        <w:rPr>
          <w:rFonts w:eastAsia="Arial Unicode MS"/>
          <w:lang w:val="en-IE" w:eastAsia="hi-IN" w:bidi="hi-IN"/>
        </w:rPr>
        <w:t xml:space="preserve"> transition</w:t>
      </w:r>
      <w:r w:rsidR="003538B5" w:rsidRPr="000D6D17">
        <w:rPr>
          <w:rFonts w:eastAsia="Arial Unicode MS"/>
          <w:lang w:val="en-IE" w:eastAsia="hi-IN" w:bidi="hi-IN"/>
        </w:rPr>
        <w:t xml:space="preserve"> to next generation networks;</w:t>
      </w:r>
    </w:p>
    <w:p w14:paraId="202CC9A2" w14:textId="70F3F96B" w:rsidR="003538B5" w:rsidRPr="000D6D17" w:rsidRDefault="008509FB" w:rsidP="00D0486E">
      <w:pPr>
        <w:pStyle w:val="Bulletlist1"/>
        <w:rPr>
          <w:rFonts w:eastAsia="Arial Unicode MS"/>
          <w:lang w:val="en-IE" w:eastAsia="hi-IN" w:bidi="hi-IN"/>
        </w:rPr>
      </w:pPr>
      <w:r w:rsidRPr="000D6D17">
        <w:rPr>
          <w:rFonts w:eastAsia="Arial Unicode MS"/>
          <w:lang w:val="en-IE" w:eastAsia="hi-IN" w:bidi="hi-IN"/>
        </w:rPr>
        <w:t xml:space="preserve">the ability of the sector to meet the capacity demand in an affordable manner, </w:t>
      </w:r>
    </w:p>
    <w:p w14:paraId="713FFCDA" w14:textId="77777777" w:rsidR="003538B5" w:rsidRPr="000D6D17" w:rsidRDefault="008509FB" w:rsidP="00D0486E">
      <w:pPr>
        <w:pStyle w:val="Bulletlist1"/>
        <w:rPr>
          <w:rFonts w:eastAsia="Arial Unicode MS"/>
          <w:lang w:val="en-IE" w:eastAsia="hi-IN" w:bidi="hi-IN"/>
        </w:rPr>
      </w:pPr>
      <w:r w:rsidRPr="000D6D17">
        <w:rPr>
          <w:rFonts w:eastAsia="Arial Unicode MS"/>
          <w:lang w:val="en-IE" w:eastAsia="hi-IN" w:bidi="hi-IN"/>
        </w:rPr>
        <w:t xml:space="preserve">the ability to overcome inertia by some consumers to re-examine their plans, </w:t>
      </w:r>
    </w:p>
    <w:p w14:paraId="3ED42F75" w14:textId="77777777" w:rsidR="003538B5" w:rsidRPr="000D6D17" w:rsidRDefault="008509FB" w:rsidP="00D0486E">
      <w:pPr>
        <w:pStyle w:val="Bulletlist1"/>
        <w:rPr>
          <w:rFonts w:eastAsia="Arial Unicode MS"/>
          <w:lang w:val="en-IE" w:eastAsia="hi-IN" w:bidi="hi-IN"/>
        </w:rPr>
      </w:pPr>
      <w:r w:rsidRPr="000D6D17">
        <w:rPr>
          <w:rFonts w:eastAsia="Arial Unicode MS"/>
          <w:lang w:val="en-IE" w:eastAsia="hi-IN" w:bidi="hi-IN"/>
        </w:rPr>
        <w:t xml:space="preserve">the barrier of early termination fees, </w:t>
      </w:r>
    </w:p>
    <w:p w14:paraId="6D2D6382" w14:textId="77777777" w:rsidR="003538B5" w:rsidRPr="000D6D17" w:rsidRDefault="008509FB" w:rsidP="00D0486E">
      <w:pPr>
        <w:pStyle w:val="Bulletlist1"/>
        <w:rPr>
          <w:rFonts w:eastAsia="Arial Unicode MS"/>
          <w:lang w:val="en-IE" w:eastAsia="hi-IN" w:bidi="hi-IN"/>
        </w:rPr>
      </w:pPr>
      <w:r w:rsidRPr="000D6D17">
        <w:rPr>
          <w:rFonts w:eastAsia="Arial Unicode MS"/>
          <w:lang w:val="en-IE" w:eastAsia="hi-IN" w:bidi="hi-IN"/>
        </w:rPr>
        <w:t xml:space="preserve">the ability to convey the differences of the evolving technologies and services, </w:t>
      </w:r>
    </w:p>
    <w:p w14:paraId="014F616D" w14:textId="070270D2" w:rsidR="003538B5" w:rsidRPr="000D6D17" w:rsidRDefault="008509FB" w:rsidP="00D0486E">
      <w:pPr>
        <w:pStyle w:val="Bulletlist1"/>
        <w:rPr>
          <w:rFonts w:eastAsia="Arial Unicode MS"/>
          <w:lang w:val="en-IE" w:eastAsia="hi-IN" w:bidi="hi-IN"/>
        </w:rPr>
      </w:pPr>
      <w:r w:rsidRPr="000D6D17">
        <w:rPr>
          <w:rFonts w:eastAsia="Arial Unicode MS"/>
          <w:lang w:val="en-IE" w:eastAsia="hi-IN" w:bidi="hi-IN"/>
        </w:rPr>
        <w:t>the high search costs for niche products and services</w:t>
      </w:r>
      <w:r w:rsidR="0064121A">
        <w:rPr>
          <w:rFonts w:eastAsia="Arial Unicode MS"/>
          <w:lang w:val="en-IE" w:eastAsia="hi-IN" w:bidi="hi-IN"/>
        </w:rPr>
        <w:t>,</w:t>
      </w:r>
      <w:r w:rsidRPr="000D6D17">
        <w:rPr>
          <w:rFonts w:eastAsia="Arial Unicode MS"/>
          <w:lang w:val="en-IE" w:eastAsia="hi-IN" w:bidi="hi-IN"/>
        </w:rPr>
        <w:t xml:space="preserve"> and </w:t>
      </w:r>
    </w:p>
    <w:p w14:paraId="5D5934FD" w14:textId="77777777" w:rsidR="00EF4492" w:rsidRPr="000D6D17" w:rsidRDefault="008509FB" w:rsidP="00D0486E">
      <w:pPr>
        <w:pStyle w:val="Bulletlist1"/>
        <w:rPr>
          <w:rFonts w:eastAsia="Arial Unicode MS"/>
          <w:lang w:val="en-IE" w:eastAsia="hi-IN" w:bidi="hi-IN"/>
        </w:rPr>
      </w:pPr>
      <w:proofErr w:type="gramStart"/>
      <w:r w:rsidRPr="000D6D17">
        <w:rPr>
          <w:rFonts w:eastAsia="Arial Unicode MS"/>
          <w:lang w:val="en-IE" w:eastAsia="hi-IN" w:bidi="hi-IN"/>
        </w:rPr>
        <w:t>the</w:t>
      </w:r>
      <w:proofErr w:type="gramEnd"/>
      <w:r w:rsidRPr="000D6D17">
        <w:rPr>
          <w:rFonts w:eastAsia="Arial Unicode MS"/>
          <w:lang w:val="en-IE" w:eastAsia="hi-IN" w:bidi="hi-IN"/>
        </w:rPr>
        <w:t xml:space="preserve"> guarantees that are available with services and the incentives to increase the reliability, standard and connection and fault repair of networks. </w:t>
      </w:r>
    </w:p>
    <w:p w14:paraId="4252B610" w14:textId="0BF924A7" w:rsidR="008509FB" w:rsidRPr="000D6D17" w:rsidRDefault="000721FB" w:rsidP="000721FB">
      <w:pPr>
        <w:pStyle w:val="Bulletlist1"/>
        <w:numPr>
          <w:ilvl w:val="0"/>
          <w:numId w:val="0"/>
        </w:numPr>
        <w:rPr>
          <w:rFonts w:eastAsia="Arial Unicode MS"/>
          <w:lang w:val="en-IE" w:eastAsia="hi-IN" w:bidi="hi-IN"/>
        </w:rPr>
      </w:pPr>
      <w:r>
        <w:rPr>
          <w:rFonts w:eastAsia="Arial Unicode MS"/>
          <w:lang w:val="en-IE" w:eastAsia="hi-IN" w:bidi="hi-IN"/>
        </w:rPr>
        <w:t xml:space="preserve">ACCAN has also identified </w:t>
      </w:r>
      <w:r w:rsidR="008509FB" w:rsidRPr="000D6D17">
        <w:rPr>
          <w:rFonts w:eastAsia="Arial Unicode MS"/>
          <w:lang w:val="en-IE" w:eastAsia="hi-IN" w:bidi="hi-IN"/>
        </w:rPr>
        <w:t xml:space="preserve">a number of areas where greater information would encourage greater competition and improve consumer decision making; </w:t>
      </w:r>
    </w:p>
    <w:p w14:paraId="7A1F552E" w14:textId="77777777" w:rsidR="008509FB" w:rsidRPr="000D6D17" w:rsidRDefault="006075BC" w:rsidP="00D0486E">
      <w:pPr>
        <w:pStyle w:val="Bulletlist1"/>
        <w:rPr>
          <w:rFonts w:eastAsia="Arial Unicode MS"/>
          <w:lang w:val="en-IE" w:eastAsia="hi-IN" w:bidi="hi-IN"/>
        </w:rPr>
      </w:pPr>
      <w:r w:rsidRPr="000D6D17">
        <w:rPr>
          <w:rFonts w:eastAsia="Arial Unicode MS"/>
          <w:lang w:val="en-IE" w:eastAsia="hi-IN" w:bidi="hi-IN"/>
        </w:rPr>
        <w:t>A</w:t>
      </w:r>
      <w:r w:rsidR="008509FB" w:rsidRPr="000D6D17">
        <w:rPr>
          <w:rFonts w:eastAsia="Arial Unicode MS"/>
          <w:lang w:val="en-IE" w:eastAsia="hi-IN" w:bidi="hi-IN"/>
        </w:rPr>
        <w:t xml:space="preserve">ccess to own use data, </w:t>
      </w:r>
    </w:p>
    <w:p w14:paraId="1F13CFF5" w14:textId="77777777" w:rsidR="008509FB" w:rsidRPr="000D6D17" w:rsidRDefault="006075BC" w:rsidP="00D0486E">
      <w:pPr>
        <w:pStyle w:val="Bulletlist1"/>
        <w:rPr>
          <w:rFonts w:eastAsia="Arial Unicode MS"/>
          <w:lang w:val="en-IE" w:eastAsia="hi-IN" w:bidi="hi-IN"/>
        </w:rPr>
      </w:pPr>
      <w:r w:rsidRPr="000D6D17">
        <w:rPr>
          <w:rFonts w:eastAsia="Arial Unicode MS"/>
          <w:lang w:val="en-IE" w:eastAsia="hi-IN" w:bidi="hi-IN"/>
        </w:rPr>
        <w:t>G</w:t>
      </w:r>
      <w:r w:rsidR="008509FB" w:rsidRPr="000D6D17">
        <w:rPr>
          <w:rFonts w:eastAsia="Arial Unicode MS"/>
          <w:lang w:val="en-IE" w:eastAsia="hi-IN" w:bidi="hi-IN"/>
        </w:rPr>
        <w:t>reater clarity on plan offerings,</w:t>
      </w:r>
    </w:p>
    <w:p w14:paraId="561DA26D" w14:textId="77777777" w:rsidR="008509FB" w:rsidRPr="000D6D17" w:rsidRDefault="006075BC" w:rsidP="00D0486E">
      <w:pPr>
        <w:pStyle w:val="Bulletlist1"/>
        <w:rPr>
          <w:rFonts w:eastAsia="Arial Unicode MS"/>
          <w:lang w:val="en-IE" w:eastAsia="hi-IN" w:bidi="hi-IN"/>
        </w:rPr>
      </w:pPr>
      <w:r w:rsidRPr="000D6D17">
        <w:rPr>
          <w:rFonts w:eastAsia="Arial Unicode MS"/>
          <w:lang w:val="en-IE" w:eastAsia="hi-IN" w:bidi="hi-IN"/>
        </w:rPr>
        <w:t>I</w:t>
      </w:r>
      <w:r w:rsidR="008509FB" w:rsidRPr="000D6D17">
        <w:rPr>
          <w:rFonts w:eastAsia="Arial Unicode MS"/>
          <w:lang w:val="en-IE" w:eastAsia="hi-IN" w:bidi="hi-IN"/>
        </w:rPr>
        <w:t>nformation on speeds and quality attribute</w:t>
      </w:r>
    </w:p>
    <w:p w14:paraId="49ED00D2" w14:textId="77777777" w:rsidR="008509FB" w:rsidRPr="000D6D17" w:rsidRDefault="006075BC" w:rsidP="00D0486E">
      <w:pPr>
        <w:pStyle w:val="Bulletlist1"/>
        <w:rPr>
          <w:rFonts w:eastAsia="Arial Unicode MS"/>
          <w:lang w:val="en-IE" w:eastAsia="hi-IN" w:bidi="hi-IN"/>
        </w:rPr>
      </w:pPr>
      <w:r w:rsidRPr="000D6D17">
        <w:rPr>
          <w:rFonts w:eastAsia="Arial Unicode MS"/>
          <w:lang w:val="en-IE" w:eastAsia="hi-IN" w:bidi="hi-IN"/>
        </w:rPr>
        <w:t>Publically available c</w:t>
      </w:r>
      <w:r w:rsidR="008509FB" w:rsidRPr="000D6D17">
        <w:rPr>
          <w:rFonts w:eastAsia="Arial Unicode MS"/>
          <w:lang w:val="en-IE" w:eastAsia="hi-IN" w:bidi="hi-IN"/>
        </w:rPr>
        <w:t>omplaint statistics</w:t>
      </w:r>
    </w:p>
    <w:p w14:paraId="24454E3C" w14:textId="228944EF" w:rsidR="006075BC" w:rsidRPr="000D6D17" w:rsidRDefault="00AC5E48" w:rsidP="000721FB">
      <w:pPr>
        <w:pStyle w:val="Bulletlist1"/>
        <w:numPr>
          <w:ilvl w:val="0"/>
          <w:numId w:val="0"/>
        </w:numPr>
        <w:rPr>
          <w:rFonts w:eastAsia="Arial Unicode MS"/>
          <w:lang w:val="en-IE" w:eastAsia="hi-IN" w:bidi="hi-IN"/>
        </w:rPr>
      </w:pPr>
      <w:r>
        <w:rPr>
          <w:rFonts w:eastAsia="Arial Unicode MS"/>
          <w:lang w:val="en-IE" w:eastAsia="hi-IN" w:bidi="hi-IN"/>
        </w:rPr>
        <w:t xml:space="preserve">Consumer decision making would be improved with </w:t>
      </w:r>
      <w:r w:rsidR="006075BC" w:rsidRPr="000D6D17">
        <w:rPr>
          <w:rFonts w:eastAsia="Arial Unicode MS"/>
          <w:lang w:val="en-IE" w:eastAsia="hi-IN" w:bidi="hi-IN"/>
        </w:rPr>
        <w:t>guidelines on comparator websites and bundling</w:t>
      </w:r>
      <w:r>
        <w:rPr>
          <w:rFonts w:eastAsia="Arial Unicode MS"/>
          <w:lang w:val="en-IE" w:eastAsia="hi-IN" w:bidi="hi-IN"/>
        </w:rPr>
        <w:t xml:space="preserve">. Additionally, </w:t>
      </w:r>
      <w:r w:rsidR="006075BC" w:rsidRPr="000D6D17">
        <w:rPr>
          <w:rFonts w:eastAsia="Arial Unicode MS"/>
          <w:lang w:val="en-IE" w:eastAsia="hi-IN" w:bidi="hi-IN"/>
        </w:rPr>
        <w:t xml:space="preserve">clarity on </w:t>
      </w:r>
      <w:proofErr w:type="gramStart"/>
      <w:r w:rsidR="006075BC" w:rsidRPr="000D6D17">
        <w:rPr>
          <w:rFonts w:eastAsia="Arial Unicode MS"/>
          <w:lang w:val="en-IE" w:eastAsia="hi-IN" w:bidi="hi-IN"/>
        </w:rPr>
        <w:t>who</w:t>
      </w:r>
      <w:proofErr w:type="gramEnd"/>
      <w:r w:rsidR="006075BC" w:rsidRPr="000D6D17">
        <w:rPr>
          <w:rFonts w:eastAsia="Arial Unicode MS"/>
          <w:lang w:val="en-IE" w:eastAsia="hi-IN" w:bidi="hi-IN"/>
        </w:rPr>
        <w:t xml:space="preserve"> consumers’ should turn to when trying to resolve complaints with emerging technologies</w:t>
      </w:r>
      <w:r>
        <w:rPr>
          <w:rFonts w:eastAsia="Arial Unicode MS"/>
          <w:lang w:val="en-IE" w:eastAsia="hi-IN" w:bidi="hi-IN"/>
        </w:rPr>
        <w:t xml:space="preserve"> would be of benefit</w:t>
      </w:r>
      <w:r w:rsidR="006075BC" w:rsidRPr="000D6D17">
        <w:rPr>
          <w:rFonts w:eastAsia="Arial Unicode MS"/>
          <w:lang w:val="en-IE" w:eastAsia="hi-IN" w:bidi="hi-IN"/>
        </w:rPr>
        <w:t>.</w:t>
      </w:r>
    </w:p>
    <w:p w14:paraId="11D71463" w14:textId="77777777" w:rsidR="006075BC" w:rsidRPr="000D6D17" w:rsidRDefault="00217E01" w:rsidP="000721FB">
      <w:pPr>
        <w:pStyle w:val="Heading3"/>
        <w:rPr>
          <w:rFonts w:eastAsia="Arial Unicode MS"/>
          <w:lang w:val="en-IE" w:bidi="hi-IN"/>
        </w:rPr>
      </w:pPr>
      <w:bookmarkStart w:id="4" w:name="_Toc465667588"/>
      <w:r w:rsidRPr="000D6D17">
        <w:rPr>
          <w:rFonts w:eastAsia="Arial Unicode MS"/>
          <w:lang w:val="en-IE" w:bidi="hi-IN"/>
        </w:rPr>
        <w:lastRenderedPageBreak/>
        <w:t>Emerging services</w:t>
      </w:r>
      <w:bookmarkEnd w:id="4"/>
    </w:p>
    <w:p w14:paraId="56152173" w14:textId="77777777" w:rsidR="000721FB" w:rsidRDefault="00217E01" w:rsidP="000721FB">
      <w:pPr>
        <w:pStyle w:val="Bulletlist2"/>
        <w:numPr>
          <w:ilvl w:val="0"/>
          <w:numId w:val="0"/>
        </w:numPr>
        <w:rPr>
          <w:rFonts w:eastAsia="Arial Unicode MS"/>
          <w:lang w:val="en-IE" w:eastAsia="hi-IN" w:bidi="hi-IN"/>
        </w:rPr>
      </w:pPr>
      <w:r w:rsidRPr="000D6D17">
        <w:rPr>
          <w:rFonts w:eastAsia="Arial Unicode MS"/>
          <w:lang w:val="en-IE" w:eastAsia="hi-IN" w:bidi="hi-IN"/>
        </w:rPr>
        <w:t>Future OTT services are likely to encourage greater competition and innovation. It is</w:t>
      </w:r>
      <w:r w:rsidR="000721FB">
        <w:rPr>
          <w:rFonts w:eastAsia="Arial Unicode MS"/>
          <w:lang w:val="en-IE" w:eastAsia="hi-IN" w:bidi="hi-IN"/>
        </w:rPr>
        <w:t xml:space="preserve"> therefore</w:t>
      </w:r>
      <w:r w:rsidRPr="000D6D17">
        <w:rPr>
          <w:rFonts w:eastAsia="Arial Unicode MS"/>
          <w:lang w:val="en-IE" w:eastAsia="hi-IN" w:bidi="hi-IN"/>
        </w:rPr>
        <w:t xml:space="preserve"> important t</w:t>
      </w:r>
      <w:r w:rsidR="003538B5" w:rsidRPr="000D6D17">
        <w:rPr>
          <w:rFonts w:eastAsia="Arial Unicode MS"/>
          <w:lang w:val="en-IE" w:eastAsia="hi-IN" w:bidi="hi-IN"/>
        </w:rPr>
        <w:t>hat</w:t>
      </w:r>
      <w:r w:rsidRPr="000D6D17">
        <w:rPr>
          <w:rFonts w:eastAsia="Arial Unicode MS"/>
          <w:lang w:val="en-IE" w:eastAsia="hi-IN" w:bidi="hi-IN"/>
        </w:rPr>
        <w:t xml:space="preserve"> any barriers that could reduce this potential</w:t>
      </w:r>
      <w:r w:rsidR="003538B5" w:rsidRPr="000D6D17">
        <w:rPr>
          <w:rFonts w:eastAsia="Arial Unicode MS"/>
          <w:lang w:val="en-IE" w:eastAsia="hi-IN" w:bidi="hi-IN"/>
        </w:rPr>
        <w:t xml:space="preserve"> are monitored</w:t>
      </w:r>
      <w:r w:rsidRPr="000D6D17">
        <w:rPr>
          <w:rFonts w:eastAsia="Arial Unicode MS"/>
          <w:lang w:val="en-IE" w:eastAsia="hi-IN" w:bidi="hi-IN"/>
        </w:rPr>
        <w:t>.</w:t>
      </w:r>
    </w:p>
    <w:p w14:paraId="1A1487D5" w14:textId="77777777" w:rsidR="00E303C6" w:rsidRDefault="000721FB" w:rsidP="000721FB">
      <w:pPr>
        <w:pStyle w:val="Bulletlist2"/>
        <w:numPr>
          <w:ilvl w:val="0"/>
          <w:numId w:val="0"/>
        </w:numPr>
        <w:rPr>
          <w:rFonts w:eastAsia="Arial Unicode MS"/>
          <w:lang w:val="en-IE" w:eastAsia="hi-IN" w:bidi="hi-IN"/>
        </w:rPr>
      </w:pPr>
      <w:r>
        <w:rPr>
          <w:rFonts w:eastAsia="Arial Unicode MS"/>
          <w:lang w:val="en-IE" w:eastAsia="hi-IN" w:bidi="hi-IN"/>
        </w:rPr>
        <w:t xml:space="preserve">As VoIP services are becoming </w:t>
      </w:r>
      <w:r w:rsidR="00E303C6">
        <w:rPr>
          <w:rFonts w:eastAsia="Arial Unicode MS"/>
          <w:lang w:val="en-IE" w:eastAsia="hi-IN" w:bidi="hi-IN"/>
        </w:rPr>
        <w:t>increasingly</w:t>
      </w:r>
      <w:r>
        <w:rPr>
          <w:rFonts w:eastAsia="Arial Unicode MS"/>
          <w:lang w:val="en-IE" w:eastAsia="hi-IN" w:bidi="hi-IN"/>
        </w:rPr>
        <w:t xml:space="preserve"> important for consumers</w:t>
      </w:r>
      <w:r w:rsidR="00E303C6">
        <w:rPr>
          <w:rFonts w:eastAsia="Arial Unicode MS"/>
          <w:lang w:val="en-IE" w:eastAsia="hi-IN" w:bidi="hi-IN"/>
        </w:rPr>
        <w:t xml:space="preserve"> there is merit in having o</w:t>
      </w:r>
      <w:r>
        <w:rPr>
          <w:rFonts w:eastAsia="Arial Unicode MS"/>
          <w:lang w:val="en-IE" w:eastAsia="hi-IN" w:bidi="hi-IN"/>
        </w:rPr>
        <w:t xml:space="preserve">ngoing monitoring to ensure that </w:t>
      </w:r>
      <w:r w:rsidR="00217E01" w:rsidRPr="000D6D17">
        <w:rPr>
          <w:rFonts w:eastAsia="Arial Unicode MS"/>
          <w:lang w:val="en-IE" w:eastAsia="hi-IN" w:bidi="hi-IN"/>
        </w:rPr>
        <w:t>QoS obligations are being met</w:t>
      </w:r>
      <w:r w:rsidR="00A839C2">
        <w:rPr>
          <w:rFonts w:eastAsia="Arial Unicode MS"/>
          <w:lang w:val="en-IE" w:eastAsia="hi-IN" w:bidi="hi-IN"/>
        </w:rPr>
        <w:t>.</w:t>
      </w:r>
      <w:r w:rsidR="00FF39CA">
        <w:rPr>
          <w:rFonts w:eastAsia="Arial Unicode MS"/>
          <w:lang w:val="en-IE" w:eastAsia="hi-IN" w:bidi="hi-IN"/>
        </w:rPr>
        <w:t xml:space="preserve"> </w:t>
      </w:r>
    </w:p>
    <w:p w14:paraId="03B34DBD" w14:textId="79832122" w:rsidR="00217E01" w:rsidRPr="000D6D17" w:rsidRDefault="00E303C6" w:rsidP="00A839C2">
      <w:pPr>
        <w:pStyle w:val="Bulletlist2"/>
        <w:numPr>
          <w:ilvl w:val="0"/>
          <w:numId w:val="0"/>
        </w:numPr>
        <w:rPr>
          <w:rFonts w:eastAsia="Arial Unicode MS"/>
          <w:lang w:val="en-IE" w:eastAsia="hi-IN" w:bidi="hi-IN"/>
        </w:rPr>
      </w:pPr>
      <w:r>
        <w:rPr>
          <w:rFonts w:eastAsia="Arial Unicode MS"/>
          <w:lang w:val="en-IE" w:eastAsia="hi-IN" w:bidi="hi-IN"/>
        </w:rPr>
        <w:t xml:space="preserve">While ACCAN has no evidence of anticompetitive behaviour we consider that </w:t>
      </w:r>
      <w:r w:rsidR="00217E01" w:rsidRPr="000D6D17">
        <w:rPr>
          <w:rFonts w:eastAsia="Arial Unicode MS"/>
          <w:lang w:val="en-IE" w:eastAsia="hi-IN" w:bidi="hi-IN"/>
        </w:rPr>
        <w:t>the adoption of network neutrality</w:t>
      </w:r>
      <w:r>
        <w:rPr>
          <w:rFonts w:eastAsia="Arial Unicode MS"/>
          <w:lang w:val="en-IE" w:eastAsia="hi-IN" w:bidi="hi-IN"/>
        </w:rPr>
        <w:t xml:space="preserve"> rules</w:t>
      </w:r>
      <w:r w:rsidR="00217E01" w:rsidRPr="000D6D17">
        <w:rPr>
          <w:rFonts w:eastAsia="Arial Unicode MS"/>
          <w:lang w:val="en-IE" w:eastAsia="hi-IN" w:bidi="hi-IN"/>
        </w:rPr>
        <w:t xml:space="preserve"> </w:t>
      </w:r>
      <w:r>
        <w:rPr>
          <w:rFonts w:eastAsia="Arial Unicode MS"/>
          <w:lang w:val="en-IE" w:eastAsia="hi-IN" w:bidi="hi-IN"/>
        </w:rPr>
        <w:t>should be developed</w:t>
      </w:r>
      <w:r w:rsidR="005A74F6" w:rsidRPr="000D6D17">
        <w:rPr>
          <w:rFonts w:eastAsia="Arial Unicode MS"/>
          <w:lang w:val="en-IE" w:eastAsia="hi-IN" w:bidi="hi-IN"/>
        </w:rPr>
        <w:t xml:space="preserve"> if there is evidence of harm</w:t>
      </w:r>
      <w:r w:rsidR="00A839C2">
        <w:rPr>
          <w:rFonts w:eastAsia="Arial Unicode MS"/>
          <w:lang w:val="en-IE" w:eastAsia="hi-IN" w:bidi="hi-IN"/>
        </w:rPr>
        <w:t>.</w:t>
      </w:r>
      <w:r w:rsidR="00CE089B">
        <w:rPr>
          <w:rFonts w:eastAsia="Arial Unicode MS"/>
          <w:lang w:val="en-IE" w:eastAsia="hi-IN" w:bidi="hi-IN"/>
        </w:rPr>
        <w:t xml:space="preserve"> Furthermore,</w:t>
      </w:r>
      <w:r w:rsidR="00217E01" w:rsidRPr="000D6D17">
        <w:rPr>
          <w:rFonts w:eastAsia="Arial Unicode MS"/>
          <w:lang w:val="en-IE" w:eastAsia="hi-IN" w:bidi="hi-IN"/>
        </w:rPr>
        <w:t xml:space="preserve"> greater transparency</w:t>
      </w:r>
      <w:r w:rsidR="00CE089B">
        <w:rPr>
          <w:rFonts w:eastAsia="Arial Unicode MS"/>
          <w:lang w:val="en-IE" w:eastAsia="hi-IN" w:bidi="hi-IN"/>
        </w:rPr>
        <w:t xml:space="preserve"> and disclosure</w:t>
      </w:r>
      <w:r w:rsidR="00217E01" w:rsidRPr="000D6D17">
        <w:rPr>
          <w:rFonts w:eastAsia="Arial Unicode MS"/>
          <w:lang w:val="en-IE" w:eastAsia="hi-IN" w:bidi="hi-IN"/>
        </w:rPr>
        <w:t xml:space="preserve"> over network traffic management protocols</w:t>
      </w:r>
      <w:r w:rsidR="00CE089B">
        <w:rPr>
          <w:rFonts w:eastAsia="Arial Unicode MS"/>
          <w:lang w:val="en-IE" w:eastAsia="hi-IN" w:bidi="hi-IN"/>
        </w:rPr>
        <w:t xml:space="preserve"> may prevent any potential anti-competitive behaviour</w:t>
      </w:r>
      <w:r w:rsidR="00217E01" w:rsidRPr="000D6D17">
        <w:rPr>
          <w:rFonts w:eastAsia="Arial Unicode MS"/>
          <w:lang w:val="en-IE" w:eastAsia="hi-IN" w:bidi="hi-IN"/>
        </w:rPr>
        <w:t>.</w:t>
      </w:r>
      <w:r w:rsidR="00A839C2" w:rsidRPr="00A839C2">
        <w:rPr>
          <w:rFonts w:eastAsia="Arial Unicode MS"/>
          <w:lang w:val="en-IE" w:eastAsia="hi-IN" w:bidi="hi-IN"/>
        </w:rPr>
        <w:t xml:space="preserve"> </w:t>
      </w:r>
      <w:r w:rsidR="00A839C2">
        <w:rPr>
          <w:rFonts w:eastAsia="Arial Unicode MS"/>
          <w:lang w:val="en-IE" w:eastAsia="hi-IN" w:bidi="hi-IN"/>
        </w:rPr>
        <w:t xml:space="preserve">ACCAN would be concerned if any </w:t>
      </w:r>
      <w:r w:rsidR="00A839C2" w:rsidRPr="000D6D17">
        <w:rPr>
          <w:rFonts w:eastAsia="Arial Unicode MS"/>
          <w:lang w:val="en-IE" w:eastAsia="hi-IN" w:bidi="hi-IN"/>
        </w:rPr>
        <w:t>mergers</w:t>
      </w:r>
      <w:r w:rsidR="00A839C2">
        <w:rPr>
          <w:rFonts w:eastAsia="Arial Unicode MS"/>
          <w:lang w:val="en-IE" w:eastAsia="hi-IN" w:bidi="hi-IN"/>
        </w:rPr>
        <w:t xml:space="preserve"> were proposed</w:t>
      </w:r>
      <w:r w:rsidR="00A839C2" w:rsidRPr="000D6D17">
        <w:rPr>
          <w:rFonts w:eastAsia="Arial Unicode MS"/>
          <w:lang w:val="en-IE" w:eastAsia="hi-IN" w:bidi="hi-IN"/>
        </w:rPr>
        <w:t xml:space="preserve"> between content providers and RSPs</w:t>
      </w:r>
      <w:r w:rsidR="00A839C2">
        <w:rPr>
          <w:rFonts w:eastAsia="Arial Unicode MS"/>
          <w:lang w:val="en-IE" w:eastAsia="hi-IN" w:bidi="hi-IN"/>
        </w:rPr>
        <w:t>,</w:t>
      </w:r>
      <w:r w:rsidR="00A839C2" w:rsidRPr="000D6D17">
        <w:rPr>
          <w:rFonts w:eastAsia="Arial Unicode MS"/>
          <w:lang w:val="en-IE" w:eastAsia="hi-IN" w:bidi="hi-IN"/>
        </w:rPr>
        <w:t xml:space="preserve"> due to the effect </w:t>
      </w:r>
      <w:r w:rsidR="00A839C2">
        <w:rPr>
          <w:rFonts w:eastAsia="Arial Unicode MS"/>
          <w:lang w:val="en-IE" w:eastAsia="hi-IN" w:bidi="hi-IN"/>
        </w:rPr>
        <w:t xml:space="preserve">it may have </w:t>
      </w:r>
      <w:r w:rsidR="00A839C2" w:rsidRPr="000D6D17">
        <w:rPr>
          <w:rFonts w:eastAsia="Arial Unicode MS"/>
          <w:lang w:val="en-IE" w:eastAsia="hi-IN" w:bidi="hi-IN"/>
        </w:rPr>
        <w:t>on competition</w:t>
      </w:r>
      <w:r w:rsidR="00A839C2">
        <w:rPr>
          <w:rFonts w:eastAsia="Arial Unicode MS"/>
          <w:lang w:val="en-IE" w:eastAsia="hi-IN" w:bidi="hi-IN"/>
        </w:rPr>
        <w:t>.</w:t>
      </w:r>
    </w:p>
    <w:p w14:paraId="10B9F58C" w14:textId="77777777" w:rsidR="00810BCF" w:rsidRPr="000D6D17" w:rsidRDefault="00810BCF" w:rsidP="000721FB">
      <w:pPr>
        <w:pStyle w:val="Heading3"/>
        <w:rPr>
          <w:rFonts w:eastAsia="Arial Unicode MS"/>
          <w:lang w:val="en-IE" w:bidi="hi-IN"/>
        </w:rPr>
      </w:pPr>
      <w:bookmarkStart w:id="5" w:name="_Toc465667589"/>
      <w:r w:rsidRPr="000D6D17">
        <w:rPr>
          <w:rFonts w:eastAsia="Arial Unicode MS"/>
          <w:lang w:val="en-IE" w:bidi="hi-IN"/>
        </w:rPr>
        <w:t>Fixed line voice and broadband services</w:t>
      </w:r>
      <w:bookmarkEnd w:id="5"/>
    </w:p>
    <w:p w14:paraId="40D37554" w14:textId="166822A3" w:rsidR="009C4272" w:rsidRPr="000D6D17" w:rsidRDefault="009C4272" w:rsidP="00A839C2">
      <w:pPr>
        <w:pStyle w:val="Bulletlist1"/>
        <w:numPr>
          <w:ilvl w:val="0"/>
          <w:numId w:val="0"/>
        </w:numPr>
        <w:rPr>
          <w:rFonts w:eastAsia="Arial Unicode MS"/>
          <w:lang w:val="en-IE" w:eastAsia="hi-IN" w:bidi="hi-IN"/>
        </w:rPr>
      </w:pPr>
      <w:r w:rsidRPr="000D6D17">
        <w:rPr>
          <w:rFonts w:eastAsia="Arial Unicode MS"/>
          <w:lang w:val="en-IE" w:eastAsia="hi-IN" w:bidi="hi-IN"/>
        </w:rPr>
        <w:t xml:space="preserve">The geographical </w:t>
      </w:r>
      <w:r w:rsidR="003538B5" w:rsidRPr="000D6D17">
        <w:rPr>
          <w:rFonts w:eastAsia="Arial Unicode MS"/>
          <w:lang w:val="en-IE" w:eastAsia="hi-IN" w:bidi="hi-IN"/>
        </w:rPr>
        <w:t>difference in the level of</w:t>
      </w:r>
      <w:r w:rsidRPr="000D6D17">
        <w:rPr>
          <w:rFonts w:eastAsia="Arial Unicode MS"/>
          <w:lang w:val="en-IE" w:eastAsia="hi-IN" w:bidi="hi-IN"/>
        </w:rPr>
        <w:t xml:space="preserve"> competition appears to be continuing over NBN.</w:t>
      </w:r>
      <w:r w:rsidR="00A839C2">
        <w:rPr>
          <w:rFonts w:eastAsia="Arial Unicode MS"/>
          <w:lang w:val="en-IE" w:eastAsia="hi-IN" w:bidi="hi-IN"/>
        </w:rPr>
        <w:t xml:space="preserve"> </w:t>
      </w:r>
      <w:r w:rsidRPr="000D6D17">
        <w:rPr>
          <w:rFonts w:eastAsia="Arial Unicode MS"/>
          <w:lang w:val="en-IE" w:eastAsia="hi-IN" w:bidi="hi-IN"/>
        </w:rPr>
        <w:t xml:space="preserve">Switching to </w:t>
      </w:r>
      <w:r w:rsidR="00A839C2">
        <w:rPr>
          <w:rFonts w:eastAsia="Arial Unicode MS"/>
          <w:lang w:val="en-IE" w:eastAsia="hi-IN" w:bidi="hi-IN"/>
        </w:rPr>
        <w:t>services over NBN</w:t>
      </w:r>
      <w:r w:rsidRPr="000D6D17">
        <w:rPr>
          <w:rFonts w:eastAsia="Arial Unicode MS"/>
          <w:lang w:val="en-IE" w:eastAsia="hi-IN" w:bidi="hi-IN"/>
        </w:rPr>
        <w:t xml:space="preserve"> </w:t>
      </w:r>
      <w:r w:rsidR="00A839C2">
        <w:rPr>
          <w:rFonts w:eastAsia="Arial Unicode MS"/>
          <w:lang w:val="en-IE" w:eastAsia="hi-IN" w:bidi="hi-IN"/>
        </w:rPr>
        <w:t>can be</w:t>
      </w:r>
      <w:r w:rsidRPr="000D6D17">
        <w:rPr>
          <w:rFonts w:eastAsia="Arial Unicode MS"/>
          <w:lang w:val="en-IE" w:eastAsia="hi-IN" w:bidi="hi-IN"/>
        </w:rPr>
        <w:t xml:space="preserve"> difficult for consumers </w:t>
      </w:r>
      <w:r w:rsidR="00A839C2">
        <w:rPr>
          <w:rFonts w:eastAsia="Arial Unicode MS"/>
          <w:lang w:val="en-IE" w:eastAsia="hi-IN" w:bidi="hi-IN"/>
        </w:rPr>
        <w:t xml:space="preserve">but made harder </w:t>
      </w:r>
      <w:r w:rsidRPr="000D6D17">
        <w:rPr>
          <w:rFonts w:eastAsia="Arial Unicode MS"/>
          <w:lang w:val="en-IE" w:eastAsia="hi-IN" w:bidi="hi-IN"/>
        </w:rPr>
        <w:t>if switching provider at this time. The switch over does not appear to be promoting the entry of new RSPs</w:t>
      </w:r>
      <w:r w:rsidR="00A839C2">
        <w:rPr>
          <w:rFonts w:eastAsia="Arial Unicode MS"/>
          <w:lang w:val="en-IE" w:eastAsia="hi-IN" w:bidi="hi-IN"/>
        </w:rPr>
        <w:t>,</w:t>
      </w:r>
      <w:r w:rsidRPr="000D6D17">
        <w:rPr>
          <w:rFonts w:eastAsia="Arial Unicode MS"/>
          <w:lang w:val="en-IE" w:eastAsia="hi-IN" w:bidi="hi-IN"/>
        </w:rPr>
        <w:t xml:space="preserve"> as much as it could.</w:t>
      </w:r>
    </w:p>
    <w:p w14:paraId="0B49000B" w14:textId="5118FA82" w:rsidR="009C4272" w:rsidRPr="000D6D17" w:rsidRDefault="00A839C2" w:rsidP="00A839C2">
      <w:pPr>
        <w:pStyle w:val="Bulletlist1"/>
        <w:numPr>
          <w:ilvl w:val="0"/>
          <w:numId w:val="0"/>
        </w:numPr>
        <w:rPr>
          <w:rFonts w:eastAsia="Arial Unicode MS"/>
          <w:lang w:val="en-IE" w:eastAsia="hi-IN" w:bidi="hi-IN"/>
        </w:rPr>
      </w:pPr>
      <w:r>
        <w:rPr>
          <w:rFonts w:eastAsia="Arial Unicode MS"/>
          <w:lang w:val="en-IE" w:eastAsia="hi-IN" w:bidi="hi-IN"/>
        </w:rPr>
        <w:t>The cost of capacity</w:t>
      </w:r>
      <w:r w:rsidR="003F23DB">
        <w:rPr>
          <w:rFonts w:eastAsia="Arial Unicode MS"/>
          <w:lang w:val="en-IE" w:eastAsia="hi-IN" w:bidi="hi-IN"/>
        </w:rPr>
        <w:t xml:space="preserve"> over NBN, </w:t>
      </w:r>
      <w:r w:rsidR="009C4272" w:rsidRPr="000D6D17">
        <w:rPr>
          <w:rFonts w:eastAsia="Arial Unicode MS"/>
          <w:lang w:val="en-IE" w:eastAsia="hi-IN" w:bidi="hi-IN"/>
        </w:rPr>
        <w:t>CVC pricing</w:t>
      </w:r>
      <w:r>
        <w:rPr>
          <w:rFonts w:eastAsia="Arial Unicode MS"/>
          <w:lang w:val="en-IE" w:eastAsia="hi-IN" w:bidi="hi-IN"/>
        </w:rPr>
        <w:t>, is a limiting factor in the delivery of broadband services. Reduction in the cost of CVC pricing</w:t>
      </w:r>
      <w:r w:rsidR="003F23DB">
        <w:rPr>
          <w:rFonts w:eastAsia="Arial Unicode MS"/>
          <w:lang w:val="en-IE" w:eastAsia="hi-IN" w:bidi="hi-IN"/>
        </w:rPr>
        <w:t xml:space="preserve"> is</w:t>
      </w:r>
      <w:r>
        <w:rPr>
          <w:rFonts w:eastAsia="Arial Unicode MS"/>
          <w:lang w:val="en-IE" w:eastAsia="hi-IN" w:bidi="hi-IN"/>
        </w:rPr>
        <w:t xml:space="preserve"> </w:t>
      </w:r>
      <w:r w:rsidR="009C4272" w:rsidRPr="000D6D17">
        <w:rPr>
          <w:rFonts w:eastAsia="Arial Unicode MS"/>
          <w:lang w:val="en-IE" w:eastAsia="hi-IN" w:bidi="hi-IN"/>
        </w:rPr>
        <w:t>need</w:t>
      </w:r>
      <w:r w:rsidR="003F23DB">
        <w:rPr>
          <w:rFonts w:eastAsia="Arial Unicode MS"/>
          <w:lang w:val="en-IE" w:eastAsia="hi-IN" w:bidi="hi-IN"/>
        </w:rPr>
        <w:t>ed</w:t>
      </w:r>
      <w:r w:rsidR="009C4272" w:rsidRPr="000D6D17">
        <w:rPr>
          <w:rFonts w:eastAsia="Arial Unicode MS"/>
          <w:lang w:val="en-IE" w:eastAsia="hi-IN" w:bidi="hi-IN"/>
        </w:rPr>
        <w:t>. Furthermore greater visibility is required over individual RSP provisioning</w:t>
      </w:r>
      <w:r w:rsidR="00283065">
        <w:rPr>
          <w:rFonts w:eastAsia="Arial Unicode MS"/>
          <w:lang w:val="en-IE" w:eastAsia="hi-IN" w:bidi="hi-IN"/>
        </w:rPr>
        <w:t xml:space="preserve"> to encourage and develop comp</w:t>
      </w:r>
      <w:r w:rsidR="003F23DB">
        <w:rPr>
          <w:rFonts w:eastAsia="Arial Unicode MS"/>
          <w:lang w:val="en-IE" w:eastAsia="hi-IN" w:bidi="hi-IN"/>
        </w:rPr>
        <w:t>eti</w:t>
      </w:r>
      <w:r w:rsidR="00283065">
        <w:rPr>
          <w:rFonts w:eastAsia="Arial Unicode MS"/>
          <w:lang w:val="en-IE" w:eastAsia="hi-IN" w:bidi="hi-IN"/>
        </w:rPr>
        <w:t>ti</w:t>
      </w:r>
      <w:r w:rsidR="003F23DB">
        <w:rPr>
          <w:rFonts w:eastAsia="Arial Unicode MS"/>
          <w:lang w:val="en-IE" w:eastAsia="hi-IN" w:bidi="hi-IN"/>
        </w:rPr>
        <w:t>on on this factor</w:t>
      </w:r>
      <w:r w:rsidR="009C4272" w:rsidRPr="000D6D17">
        <w:rPr>
          <w:rFonts w:eastAsia="Arial Unicode MS"/>
          <w:lang w:val="en-IE" w:eastAsia="hi-IN" w:bidi="hi-IN"/>
        </w:rPr>
        <w:t>.</w:t>
      </w:r>
    </w:p>
    <w:p w14:paraId="0A936863" w14:textId="397589CF" w:rsidR="009C4272" w:rsidRPr="000D6D17" w:rsidRDefault="009C4272" w:rsidP="00A839C2">
      <w:pPr>
        <w:pStyle w:val="Bulletlist1"/>
        <w:numPr>
          <w:ilvl w:val="0"/>
          <w:numId w:val="0"/>
        </w:numPr>
        <w:rPr>
          <w:rFonts w:eastAsia="Arial Unicode MS"/>
          <w:lang w:val="en-IE" w:eastAsia="hi-IN" w:bidi="hi-IN"/>
        </w:rPr>
      </w:pPr>
      <w:r w:rsidRPr="000D6D17">
        <w:rPr>
          <w:rFonts w:eastAsia="Arial Unicode MS"/>
          <w:lang w:val="en-IE" w:eastAsia="hi-IN" w:bidi="hi-IN"/>
        </w:rPr>
        <w:t xml:space="preserve">Non- NBN networks can cause confusion and frustration for consumers </w:t>
      </w:r>
      <w:r w:rsidR="00D81451">
        <w:rPr>
          <w:rFonts w:eastAsia="Arial Unicode MS"/>
          <w:lang w:val="en-IE" w:eastAsia="hi-IN" w:bidi="hi-IN"/>
        </w:rPr>
        <w:t xml:space="preserve">as their choice of providers is limited and the level of service offered is not transparent. This is an area of </w:t>
      </w:r>
      <w:r w:rsidRPr="000D6D17">
        <w:rPr>
          <w:rFonts w:eastAsia="Arial Unicode MS"/>
          <w:lang w:val="en-IE" w:eastAsia="hi-IN" w:bidi="hi-IN"/>
        </w:rPr>
        <w:t>on-going concern for ACCAN.</w:t>
      </w:r>
    </w:p>
    <w:p w14:paraId="54184EE4" w14:textId="77777777" w:rsidR="00810BCF" w:rsidRPr="000D6D17" w:rsidRDefault="00810BCF" w:rsidP="000721FB">
      <w:pPr>
        <w:pStyle w:val="Heading3"/>
        <w:rPr>
          <w:rFonts w:eastAsia="Arial Unicode MS"/>
          <w:lang w:val="en-IE" w:bidi="hi-IN"/>
        </w:rPr>
      </w:pPr>
      <w:bookmarkStart w:id="6" w:name="_Toc465667590"/>
      <w:r w:rsidRPr="000D6D17">
        <w:rPr>
          <w:rFonts w:eastAsia="Arial Unicode MS"/>
          <w:lang w:val="en-IE" w:bidi="hi-IN"/>
        </w:rPr>
        <w:t>Mobile voice and broadband services</w:t>
      </w:r>
      <w:bookmarkEnd w:id="6"/>
    </w:p>
    <w:p w14:paraId="764773E9" w14:textId="6FFDBEE3" w:rsidR="00422946" w:rsidRPr="000D6D17" w:rsidRDefault="00422946" w:rsidP="00A839C2">
      <w:pPr>
        <w:pStyle w:val="Bulletlist1"/>
        <w:numPr>
          <w:ilvl w:val="0"/>
          <w:numId w:val="0"/>
        </w:numPr>
        <w:rPr>
          <w:rFonts w:eastAsia="Arial Unicode MS"/>
          <w:lang w:val="en-IE" w:eastAsia="hi-IN" w:bidi="hi-IN"/>
        </w:rPr>
      </w:pPr>
      <w:r w:rsidRPr="000D6D17">
        <w:rPr>
          <w:rFonts w:eastAsia="Arial Unicode MS"/>
          <w:lang w:val="en-IE" w:eastAsia="hi-IN" w:bidi="hi-IN"/>
        </w:rPr>
        <w:t>Mobile voice and broadband services are important for consumers</w:t>
      </w:r>
      <w:r w:rsidR="00A839C2">
        <w:rPr>
          <w:rFonts w:eastAsia="Arial Unicode MS"/>
          <w:lang w:val="en-IE" w:eastAsia="hi-IN" w:bidi="hi-IN"/>
        </w:rPr>
        <w:t xml:space="preserve">. </w:t>
      </w:r>
      <w:r w:rsidRPr="000D6D17">
        <w:rPr>
          <w:rFonts w:eastAsia="Arial Unicode MS"/>
          <w:lang w:val="en-IE" w:eastAsia="hi-IN" w:bidi="hi-IN"/>
        </w:rPr>
        <w:t>Increased coverage should be encouraged and fund</w:t>
      </w:r>
      <w:r w:rsidR="008E6808">
        <w:rPr>
          <w:rFonts w:eastAsia="Arial Unicode MS"/>
          <w:lang w:val="en-IE" w:eastAsia="hi-IN" w:bidi="hi-IN"/>
        </w:rPr>
        <w:t>ing made available o</w:t>
      </w:r>
      <w:r w:rsidRPr="000D6D17">
        <w:rPr>
          <w:rFonts w:eastAsia="Arial Unicode MS"/>
          <w:lang w:val="en-IE" w:eastAsia="hi-IN" w:bidi="hi-IN"/>
        </w:rPr>
        <w:t>n an open access basis</w:t>
      </w:r>
      <w:r w:rsidR="00A839C2">
        <w:rPr>
          <w:rFonts w:eastAsia="Arial Unicode MS"/>
          <w:lang w:val="en-IE" w:eastAsia="hi-IN" w:bidi="hi-IN"/>
        </w:rPr>
        <w:t>.</w:t>
      </w:r>
      <w:r w:rsidR="00570E31">
        <w:rPr>
          <w:rFonts w:eastAsia="Arial Unicode MS"/>
          <w:lang w:val="en-IE" w:eastAsia="hi-IN" w:bidi="hi-IN"/>
        </w:rPr>
        <w:t xml:space="preserve"> </w:t>
      </w:r>
      <w:r w:rsidRPr="000D6D17">
        <w:rPr>
          <w:rFonts w:eastAsia="Arial Unicode MS"/>
          <w:lang w:val="en-IE" w:eastAsia="hi-IN" w:bidi="hi-IN"/>
        </w:rPr>
        <w:t>MVNOs have increased choice for consumers, however, which parts of the network they have access to can be a cause of confusion.</w:t>
      </w:r>
    </w:p>
    <w:p w14:paraId="2E36A868" w14:textId="67183841" w:rsidR="00422946" w:rsidRPr="000D6D17" w:rsidRDefault="008E6808" w:rsidP="00A839C2">
      <w:pPr>
        <w:pStyle w:val="Bulletlist1"/>
        <w:numPr>
          <w:ilvl w:val="0"/>
          <w:numId w:val="0"/>
        </w:numPr>
        <w:rPr>
          <w:rFonts w:eastAsia="Arial Unicode MS"/>
          <w:lang w:val="en-IE" w:eastAsia="hi-IN" w:bidi="hi-IN"/>
        </w:rPr>
      </w:pPr>
      <w:r>
        <w:rPr>
          <w:rFonts w:eastAsia="Arial Unicode MS"/>
          <w:lang w:val="en-IE" w:eastAsia="hi-IN" w:bidi="hi-IN"/>
        </w:rPr>
        <w:t xml:space="preserve">ACCAN has concerns about the limited availability of </w:t>
      </w:r>
      <w:r w:rsidR="00422946" w:rsidRPr="000D6D17">
        <w:rPr>
          <w:rFonts w:eastAsia="Arial Unicode MS"/>
          <w:lang w:val="en-IE" w:eastAsia="hi-IN" w:bidi="hi-IN"/>
        </w:rPr>
        <w:t>E-S</w:t>
      </w:r>
      <w:r w:rsidR="003538B5" w:rsidRPr="000D6D17">
        <w:rPr>
          <w:rFonts w:eastAsia="Arial Unicode MS"/>
          <w:lang w:val="en-IE" w:eastAsia="hi-IN" w:bidi="hi-IN"/>
        </w:rPr>
        <w:t>IMs</w:t>
      </w:r>
      <w:r w:rsidR="00422946" w:rsidRPr="000D6D17">
        <w:rPr>
          <w:rFonts w:eastAsia="Arial Unicode MS"/>
          <w:lang w:val="en-IE" w:eastAsia="hi-IN" w:bidi="hi-IN"/>
        </w:rPr>
        <w:t xml:space="preserve"> </w:t>
      </w:r>
      <w:r>
        <w:rPr>
          <w:rFonts w:eastAsia="Arial Unicode MS"/>
          <w:lang w:val="en-IE" w:eastAsia="hi-IN" w:bidi="hi-IN"/>
        </w:rPr>
        <w:t xml:space="preserve">to </w:t>
      </w:r>
      <w:r w:rsidR="007B68D8">
        <w:rPr>
          <w:rFonts w:eastAsia="Arial Unicode MS"/>
          <w:lang w:val="en-IE" w:eastAsia="hi-IN" w:bidi="hi-IN"/>
        </w:rPr>
        <w:t>mobile network providers and the effect it will have on MVNOs ability to compete.</w:t>
      </w:r>
    </w:p>
    <w:p w14:paraId="01E773E1" w14:textId="77777777" w:rsidR="00810BCF" w:rsidRPr="000D6D17" w:rsidRDefault="00810BCF" w:rsidP="000721FB">
      <w:pPr>
        <w:pStyle w:val="Heading3"/>
        <w:rPr>
          <w:rFonts w:eastAsia="Arial Unicode MS"/>
          <w:lang w:val="en-IE" w:bidi="hi-IN"/>
        </w:rPr>
      </w:pPr>
      <w:bookmarkStart w:id="7" w:name="_Toc465667591"/>
      <w:r w:rsidRPr="000D6D17">
        <w:rPr>
          <w:rFonts w:eastAsia="Arial Unicode MS"/>
          <w:lang w:val="en-IE" w:bidi="hi-IN"/>
        </w:rPr>
        <w:t>Interaction between fixed line and mobile services</w:t>
      </w:r>
      <w:bookmarkEnd w:id="7"/>
    </w:p>
    <w:p w14:paraId="32D6585B" w14:textId="51466048" w:rsidR="00810BCF" w:rsidRPr="000D6D17" w:rsidRDefault="00E61E82" w:rsidP="00A839C2">
      <w:pPr>
        <w:pStyle w:val="Bulletlist1"/>
        <w:numPr>
          <w:ilvl w:val="0"/>
          <w:numId w:val="0"/>
        </w:numPr>
        <w:rPr>
          <w:rFonts w:eastAsia="Arial Unicode MS"/>
          <w:lang w:val="en-IE" w:eastAsia="hi-IN" w:bidi="hi-IN"/>
        </w:rPr>
      </w:pPr>
      <w:r w:rsidRPr="000D6D17">
        <w:rPr>
          <w:rFonts w:eastAsia="Arial Unicode MS"/>
          <w:lang w:val="en-IE" w:eastAsia="hi-IN" w:bidi="hi-IN"/>
        </w:rPr>
        <w:t xml:space="preserve">Consumers, particularly low users, </w:t>
      </w:r>
      <w:r w:rsidR="007B68D8">
        <w:rPr>
          <w:rFonts w:eastAsia="Arial Unicode MS"/>
          <w:lang w:val="en-IE" w:eastAsia="hi-IN" w:bidi="hi-IN"/>
        </w:rPr>
        <w:t xml:space="preserve">are increasingly </w:t>
      </w:r>
      <w:r w:rsidRPr="000D6D17">
        <w:rPr>
          <w:rFonts w:eastAsia="Arial Unicode MS"/>
          <w:lang w:val="en-IE" w:eastAsia="hi-IN" w:bidi="hi-IN"/>
        </w:rPr>
        <w:t>switching from fixed line to mobile.</w:t>
      </w:r>
      <w:r w:rsidR="00A839C2">
        <w:rPr>
          <w:rFonts w:eastAsia="Arial Unicode MS"/>
          <w:lang w:val="en-IE" w:eastAsia="hi-IN" w:bidi="hi-IN"/>
        </w:rPr>
        <w:t xml:space="preserve"> </w:t>
      </w:r>
      <w:r w:rsidRPr="000D6D17">
        <w:rPr>
          <w:rFonts w:eastAsia="Arial Unicode MS"/>
          <w:lang w:val="en-IE" w:eastAsia="hi-IN" w:bidi="hi-IN"/>
        </w:rPr>
        <w:t>Coverage, awareness and uncertainty regarding quality may affect</w:t>
      </w:r>
      <w:r w:rsidR="007B68D8">
        <w:rPr>
          <w:rFonts w:eastAsia="Arial Unicode MS"/>
          <w:lang w:val="en-IE" w:eastAsia="hi-IN" w:bidi="hi-IN"/>
        </w:rPr>
        <w:t xml:space="preserve"> the rate of</w:t>
      </w:r>
      <w:r w:rsidRPr="000D6D17">
        <w:rPr>
          <w:rFonts w:eastAsia="Arial Unicode MS"/>
          <w:lang w:val="en-IE" w:eastAsia="hi-IN" w:bidi="hi-IN"/>
        </w:rPr>
        <w:t xml:space="preserve"> substitution between fixed line and mobile services</w:t>
      </w:r>
      <w:r w:rsidR="0064121A">
        <w:rPr>
          <w:rFonts w:eastAsia="Arial Unicode MS"/>
          <w:lang w:val="en-IE" w:eastAsia="hi-IN" w:bidi="hi-IN"/>
        </w:rPr>
        <w:t>.</w:t>
      </w:r>
    </w:p>
    <w:p w14:paraId="64086250" w14:textId="77777777" w:rsidR="00EF4492" w:rsidRPr="00EF4492" w:rsidRDefault="00EF4492" w:rsidP="002F652F">
      <w:pPr>
        <w:pStyle w:val="Heading1"/>
        <w:rPr>
          <w:rFonts w:eastAsia="Arial Unicode MS"/>
          <w:lang w:val="en-IE" w:bidi="hi-IN"/>
        </w:rPr>
      </w:pPr>
      <w:bookmarkStart w:id="8" w:name="_Toc465667592"/>
      <w:r w:rsidRPr="00EF4492">
        <w:rPr>
          <w:rFonts w:eastAsia="Arial Unicode MS"/>
          <w:lang w:val="en-IE" w:bidi="hi-IN"/>
        </w:rPr>
        <w:lastRenderedPageBreak/>
        <w:t>Consumer trends and issues</w:t>
      </w:r>
      <w:bookmarkEnd w:id="8"/>
    </w:p>
    <w:p w14:paraId="30B08D4D" w14:textId="572BDA70" w:rsidR="00EF4492" w:rsidRPr="00EF4492" w:rsidRDefault="00EF4492" w:rsidP="002F652F">
      <w:pPr>
        <w:rPr>
          <w:rFonts w:eastAsia="Arial Unicode MS"/>
          <w:lang w:val="en-IE" w:eastAsia="hi-IN" w:bidi="hi-IN"/>
        </w:rPr>
      </w:pPr>
      <w:r w:rsidRPr="00EF4492">
        <w:rPr>
          <w:rFonts w:eastAsia="Arial Unicode MS"/>
          <w:lang w:val="en-IE" w:eastAsia="hi-IN" w:bidi="hi-IN"/>
        </w:rPr>
        <w:t xml:space="preserve">Telecommunications are an essential service for consumers and one which is relied on for many functions, such as keeping in contact with family and friends, e-commerce, personal development and entertainment. The performance of communication services should be judged on how well they allow consumers to perform needed functions. As consumers increasingly rely on communications services the </w:t>
      </w:r>
      <w:r w:rsidR="003538B5">
        <w:rPr>
          <w:rFonts w:eastAsia="Arial Unicode MS"/>
          <w:lang w:val="en-IE" w:eastAsia="hi-IN" w:bidi="hi-IN"/>
        </w:rPr>
        <w:t>plans</w:t>
      </w:r>
      <w:r w:rsidRPr="00EF4492">
        <w:rPr>
          <w:rFonts w:eastAsia="Arial Unicode MS"/>
          <w:lang w:val="en-IE" w:eastAsia="hi-IN" w:bidi="hi-IN"/>
        </w:rPr>
        <w:t xml:space="preserve"> and networks need to </w:t>
      </w:r>
      <w:r w:rsidR="003538B5">
        <w:rPr>
          <w:rFonts w:eastAsia="Arial Unicode MS"/>
          <w:lang w:val="en-IE" w:eastAsia="hi-IN" w:bidi="hi-IN"/>
        </w:rPr>
        <w:t>meet</w:t>
      </w:r>
      <w:r w:rsidRPr="00EF4492">
        <w:rPr>
          <w:rFonts w:eastAsia="Arial Unicode MS"/>
          <w:lang w:val="en-IE" w:eastAsia="hi-IN" w:bidi="hi-IN"/>
        </w:rPr>
        <w:t xml:space="preserve"> the level of service required at an affordable price.</w:t>
      </w:r>
      <w:r w:rsidRPr="00EF4492">
        <w:rPr>
          <w:rFonts w:eastAsia="Arial Unicode MS"/>
          <w:vertAlign w:val="superscript"/>
          <w:lang w:val="en-IE" w:eastAsia="hi-IN" w:bidi="hi-IN"/>
        </w:rPr>
        <w:footnoteReference w:id="1"/>
      </w:r>
      <w:r w:rsidRPr="00EF4492">
        <w:rPr>
          <w:rFonts w:eastAsia="Arial Unicode MS"/>
          <w:lang w:val="en-IE" w:eastAsia="hi-IN" w:bidi="hi-IN"/>
        </w:rPr>
        <w:t xml:space="preserve"> The risk to having consumers not connected is social isolation, reduced economic livelihood, increased and inefficient cost of doing business, un</w:t>
      </w:r>
      <w:r w:rsidR="002902BA">
        <w:rPr>
          <w:rFonts w:eastAsia="Arial Unicode MS"/>
          <w:lang w:val="en-IE" w:eastAsia="hi-IN" w:bidi="hi-IN"/>
        </w:rPr>
        <w:t>-</w:t>
      </w:r>
      <w:r w:rsidRPr="00EF4492">
        <w:rPr>
          <w:rFonts w:eastAsia="Arial Unicode MS"/>
          <w:lang w:val="en-IE" w:eastAsia="hi-IN" w:bidi="hi-IN"/>
        </w:rPr>
        <w:t>competitiveness, insecurity and potential threat to safety.</w:t>
      </w:r>
      <w:r w:rsidR="003538B5">
        <w:rPr>
          <w:rStyle w:val="FootnoteReference"/>
          <w:rFonts w:eastAsia="Arial Unicode MS"/>
          <w:lang w:val="en-IE" w:eastAsia="hi-IN" w:bidi="hi-IN"/>
        </w:rPr>
        <w:footnoteReference w:id="2"/>
      </w:r>
    </w:p>
    <w:p w14:paraId="00298E94" w14:textId="5D8900E7" w:rsidR="00EF4492" w:rsidRPr="00EF4492" w:rsidRDefault="00EF4492" w:rsidP="002F652F">
      <w:pPr>
        <w:rPr>
          <w:rFonts w:eastAsia="Arial Unicode MS"/>
          <w:lang w:val="en-IE" w:eastAsia="hi-IN" w:bidi="hi-IN"/>
        </w:rPr>
      </w:pPr>
      <w:r w:rsidRPr="00EF4492">
        <w:rPr>
          <w:rFonts w:eastAsia="Arial Unicode MS"/>
          <w:lang w:val="en-IE" w:eastAsia="hi-IN" w:bidi="hi-IN"/>
        </w:rPr>
        <w:t>Consumers chose products that can deliver the level of service needed</w:t>
      </w:r>
      <w:r w:rsidR="005A74F6">
        <w:rPr>
          <w:rFonts w:eastAsia="Arial Unicode MS"/>
          <w:lang w:val="en-IE" w:eastAsia="hi-IN" w:bidi="hi-IN"/>
        </w:rPr>
        <w:t xml:space="preserve">. </w:t>
      </w:r>
      <w:r w:rsidR="002902BA">
        <w:rPr>
          <w:rFonts w:eastAsia="Arial Unicode MS"/>
          <w:lang w:val="en-IE" w:eastAsia="hi-IN" w:bidi="hi-IN"/>
        </w:rPr>
        <w:t xml:space="preserve">They </w:t>
      </w:r>
      <w:r w:rsidR="002902BA" w:rsidRPr="00EF4492">
        <w:rPr>
          <w:rFonts w:eastAsia="Arial Unicode MS"/>
          <w:lang w:val="en-IE" w:eastAsia="hi-IN" w:bidi="hi-IN"/>
        </w:rPr>
        <w:t>are</w:t>
      </w:r>
      <w:r w:rsidRPr="00EF4492">
        <w:rPr>
          <w:rFonts w:eastAsia="Arial Unicode MS"/>
          <w:lang w:val="en-IE" w:eastAsia="hi-IN" w:bidi="hi-IN"/>
        </w:rPr>
        <w:t xml:space="preserve"> likely to utilise other platforms that offer a greater level of services and/or at a better value for money, where they are available. For numerous consumers, their use of services up to this point has been limited by little or no access to services or poorly performing services.</w:t>
      </w:r>
      <w:r w:rsidRPr="00EF4492">
        <w:rPr>
          <w:rFonts w:eastAsia="Arial Unicode MS"/>
          <w:vertAlign w:val="superscript"/>
          <w:lang w:val="en-IE" w:eastAsia="hi-IN" w:bidi="hi-IN"/>
        </w:rPr>
        <w:footnoteReference w:id="3"/>
      </w:r>
      <w:r w:rsidRPr="00EF4492">
        <w:rPr>
          <w:rFonts w:eastAsia="Arial Unicode MS"/>
          <w:lang w:val="en-IE" w:eastAsia="hi-IN" w:bidi="hi-IN"/>
        </w:rPr>
        <w:t xml:space="preserve"> Connection, fault repair, speeds and performance complaints and enquires about lack of available services, particularly for consumers in regional areas, have increased in the last number of years.</w:t>
      </w:r>
      <w:r w:rsidRPr="00EF4492">
        <w:rPr>
          <w:rFonts w:eastAsia="Arial Unicode MS"/>
          <w:vertAlign w:val="superscript"/>
          <w:lang w:val="en-IE" w:eastAsia="hi-IN" w:bidi="hi-IN"/>
        </w:rPr>
        <w:footnoteReference w:id="4"/>
      </w:r>
      <w:r w:rsidRPr="00EF4492">
        <w:rPr>
          <w:rFonts w:eastAsia="Arial Unicode MS"/>
          <w:lang w:val="en-IE" w:eastAsia="hi-IN" w:bidi="hi-IN"/>
        </w:rPr>
        <w:t xml:space="preserve"> The ongoing investment in mobile networks and the rollout of the NBN will bring with it increased choice and service offerings to meet consumer needs. </w:t>
      </w:r>
      <w:r w:rsidR="003538B5">
        <w:rPr>
          <w:rFonts w:eastAsia="Arial Unicode MS"/>
          <w:lang w:val="en-IE" w:eastAsia="hi-IN" w:bidi="hi-IN"/>
        </w:rPr>
        <w:t>However, i</w:t>
      </w:r>
      <w:r w:rsidRPr="00EF4492">
        <w:rPr>
          <w:rFonts w:eastAsia="Arial Unicode MS"/>
          <w:lang w:val="en-IE" w:eastAsia="hi-IN" w:bidi="hi-IN"/>
        </w:rPr>
        <w:t xml:space="preserve">n order to ensure that the market efficiently delivers and allows consumers to make informed decisions, transparent information about services offerings and easy to find information about available services are needed to reduce search costs for consumers.  </w:t>
      </w:r>
    </w:p>
    <w:p w14:paraId="6633A4F6" w14:textId="77777777" w:rsidR="00EF4492" w:rsidRPr="00EF4492" w:rsidRDefault="00EF4492" w:rsidP="002F652F">
      <w:pPr>
        <w:pStyle w:val="Heading2"/>
        <w:rPr>
          <w:lang w:val="en-IE" w:bidi="hi-IN"/>
        </w:rPr>
      </w:pPr>
      <w:bookmarkStart w:id="9" w:name="_Toc465667593"/>
      <w:r w:rsidRPr="00EF4492">
        <w:rPr>
          <w:lang w:val="en-IE" w:bidi="hi-IN"/>
        </w:rPr>
        <w:t>Response to question 1:</w:t>
      </w:r>
      <w:bookmarkEnd w:id="9"/>
      <w:r w:rsidRPr="00EF4492">
        <w:rPr>
          <w:lang w:val="en-IE" w:bidi="hi-IN"/>
        </w:rPr>
        <w:t xml:space="preserve"> </w:t>
      </w:r>
    </w:p>
    <w:p w14:paraId="664C5385" w14:textId="77777777" w:rsidR="00EF4492" w:rsidRPr="00EF4492" w:rsidRDefault="00EF4492" w:rsidP="002F652F">
      <w:pPr>
        <w:pStyle w:val="Blockquote2"/>
        <w:rPr>
          <w:rFonts w:eastAsia="Arial Unicode MS"/>
          <w:lang w:val="en-IE" w:bidi="hi-IN"/>
        </w:rPr>
      </w:pPr>
      <w:r w:rsidRPr="00EF4492">
        <w:rPr>
          <w:rFonts w:eastAsia="Arial Unicode MS"/>
          <w:lang w:val="en-IE" w:bidi="hi-IN"/>
        </w:rPr>
        <w:t>How are consumer preferences changing and how is this impacting the communications sector?</w:t>
      </w:r>
    </w:p>
    <w:p w14:paraId="192D1393" w14:textId="11124864" w:rsidR="00EF4492" w:rsidRPr="00EF4492" w:rsidRDefault="00EF4492" w:rsidP="002F652F">
      <w:pPr>
        <w:rPr>
          <w:rFonts w:eastAsia="Arial Unicode MS"/>
          <w:lang w:val="en-IE" w:eastAsia="hi-IN" w:bidi="hi-IN"/>
        </w:rPr>
      </w:pPr>
      <w:r w:rsidRPr="00EF4492">
        <w:rPr>
          <w:rFonts w:eastAsia="Arial Unicode MS"/>
          <w:lang w:val="en-IE" w:eastAsia="hi-IN" w:bidi="hi-IN"/>
        </w:rPr>
        <w:t xml:space="preserve">Consumers and small businesses </w:t>
      </w:r>
      <w:r w:rsidR="002F652F" w:rsidRPr="00EF4492">
        <w:rPr>
          <w:rFonts w:eastAsia="Arial Unicode MS"/>
          <w:lang w:val="en-IE" w:eastAsia="hi-IN" w:bidi="hi-IN"/>
        </w:rPr>
        <w:t>increasingly want</w:t>
      </w:r>
      <w:r w:rsidRPr="00EF4492">
        <w:rPr>
          <w:rFonts w:eastAsia="Arial Unicode MS"/>
          <w:lang w:val="en-IE" w:eastAsia="hi-IN" w:bidi="hi-IN"/>
        </w:rPr>
        <w:t xml:space="preserve"> to take advantage of communication services. Demand and take up of new services, when they are available to consumers, is high.</w:t>
      </w:r>
      <w:r w:rsidRPr="00EF4492">
        <w:rPr>
          <w:rFonts w:eastAsia="Arial Unicode MS"/>
          <w:vertAlign w:val="superscript"/>
          <w:lang w:val="en-IE" w:eastAsia="hi-IN" w:bidi="hi-IN"/>
        </w:rPr>
        <w:footnoteReference w:id="5"/>
      </w:r>
      <w:r w:rsidRPr="00EF4492">
        <w:rPr>
          <w:rFonts w:eastAsia="Arial Unicode MS"/>
          <w:lang w:val="en-IE" w:eastAsia="hi-IN" w:bidi="hi-IN"/>
        </w:rPr>
        <w:t xml:space="preserve"> This has put pressure on the communications sector to meet the increasing demand and capacity levels required. Feedback from engagement with consumers and our member </w:t>
      </w:r>
      <w:r w:rsidR="00EC7AB8" w:rsidRPr="00EF4492">
        <w:rPr>
          <w:rFonts w:eastAsia="Arial Unicode MS"/>
          <w:lang w:val="en-IE" w:eastAsia="hi-IN" w:bidi="hi-IN"/>
        </w:rPr>
        <w:t>organisations</w:t>
      </w:r>
      <w:r w:rsidRPr="00EF4492">
        <w:rPr>
          <w:rFonts w:eastAsia="Arial Unicode MS"/>
          <w:lang w:val="en-IE" w:eastAsia="hi-IN" w:bidi="hi-IN"/>
        </w:rPr>
        <w:t xml:space="preserve"> is primarily in relation to the availability of networks that will allow them to </w:t>
      </w:r>
      <w:r w:rsidRPr="00EF4492">
        <w:rPr>
          <w:rFonts w:eastAsia="Arial Unicode MS"/>
          <w:lang w:val="en-IE" w:eastAsia="hi-IN" w:bidi="hi-IN"/>
        </w:rPr>
        <w:lastRenderedPageBreak/>
        <w:t>use communication services. The capacity constraints on satellite services, the lack of mobile coverage and the lack of ADSL ports, or poor performing services are regular complaints. ACCANs Get Connected resource aims to try and address some questions around the lack of available services and potential alternative resources.</w:t>
      </w:r>
      <w:r w:rsidRPr="00EF4492">
        <w:rPr>
          <w:rFonts w:eastAsia="Arial Unicode MS"/>
          <w:vertAlign w:val="superscript"/>
          <w:lang w:val="en-IE" w:eastAsia="hi-IN" w:bidi="hi-IN"/>
        </w:rPr>
        <w:footnoteReference w:id="6"/>
      </w:r>
      <w:r w:rsidRPr="00EF4492">
        <w:rPr>
          <w:rFonts w:eastAsia="Arial Unicode MS"/>
          <w:lang w:val="en-IE" w:eastAsia="hi-IN" w:bidi="hi-IN"/>
        </w:rPr>
        <w:t xml:space="preserve"> Other issues raised</w:t>
      </w:r>
      <w:r w:rsidR="0047584C">
        <w:rPr>
          <w:rFonts w:eastAsia="Arial Unicode MS"/>
          <w:lang w:val="en-IE" w:eastAsia="hi-IN" w:bidi="hi-IN"/>
        </w:rPr>
        <w:t xml:space="preserve"> </w:t>
      </w:r>
      <w:r w:rsidR="002902BA">
        <w:rPr>
          <w:rFonts w:eastAsia="Arial Unicode MS"/>
          <w:lang w:val="en-IE" w:eastAsia="hi-IN" w:bidi="hi-IN"/>
        </w:rPr>
        <w:t xml:space="preserve">in </w:t>
      </w:r>
      <w:r w:rsidR="002902BA" w:rsidRPr="00EF4492">
        <w:rPr>
          <w:rFonts w:eastAsia="Arial Unicode MS"/>
          <w:lang w:val="en-IE" w:eastAsia="hi-IN" w:bidi="hi-IN"/>
        </w:rPr>
        <w:t>a</w:t>
      </w:r>
      <w:r w:rsidRPr="00EF4492">
        <w:rPr>
          <w:rFonts w:eastAsia="Arial Unicode MS"/>
          <w:lang w:val="en-IE" w:eastAsia="hi-IN" w:bidi="hi-IN"/>
        </w:rPr>
        <w:t xml:space="preserve"> recent survey of small business operators indicate that 96% of respondents have issues with their telecommunications services; the top three specific issues are speed, congestion and outages and almost 65% said that these issues were difficult to resolve.</w:t>
      </w:r>
      <w:r w:rsidRPr="00EF4492">
        <w:rPr>
          <w:rFonts w:eastAsia="Arial Unicode MS"/>
          <w:vertAlign w:val="superscript"/>
          <w:lang w:val="en-IE" w:eastAsia="hi-IN" w:bidi="hi-IN"/>
        </w:rPr>
        <w:footnoteReference w:id="7"/>
      </w:r>
      <w:r w:rsidRPr="00EF4492">
        <w:rPr>
          <w:rFonts w:eastAsia="Arial Unicode MS"/>
          <w:lang w:val="en-IE" w:eastAsia="hi-IN" w:bidi="hi-IN"/>
        </w:rPr>
        <w:t xml:space="preserve"> The current telecommunications environment is restricting them in the use of business processes.  Where respondents were allowed multiple responses, the top 3 specific desired services that they were unable to use due to issues with their service included;</w:t>
      </w:r>
    </w:p>
    <w:p w14:paraId="7154A459" w14:textId="77777777" w:rsidR="00EF4492" w:rsidRPr="002F652F" w:rsidRDefault="00EF4492" w:rsidP="00444A07">
      <w:pPr>
        <w:pStyle w:val="ListParagraph"/>
        <w:numPr>
          <w:ilvl w:val="0"/>
          <w:numId w:val="14"/>
        </w:numPr>
        <w:rPr>
          <w:rFonts w:eastAsia="Arial Unicode MS"/>
          <w:lang w:val="en-IE" w:eastAsia="hi-IN" w:bidi="hi-IN"/>
        </w:rPr>
      </w:pPr>
      <w:r w:rsidRPr="002F652F">
        <w:rPr>
          <w:rFonts w:eastAsia="Arial Unicode MS"/>
          <w:lang w:val="en-IE" w:eastAsia="hi-IN" w:bidi="hi-IN"/>
        </w:rPr>
        <w:t>Teleconferencing 36%</w:t>
      </w:r>
    </w:p>
    <w:p w14:paraId="5731E224" w14:textId="77777777" w:rsidR="00EF4492" w:rsidRPr="002F652F" w:rsidRDefault="00EF4492" w:rsidP="00444A07">
      <w:pPr>
        <w:pStyle w:val="ListParagraph"/>
        <w:numPr>
          <w:ilvl w:val="0"/>
          <w:numId w:val="14"/>
        </w:numPr>
        <w:rPr>
          <w:rFonts w:eastAsia="Arial Unicode MS"/>
          <w:lang w:val="en-IE" w:eastAsia="hi-IN" w:bidi="hi-IN"/>
        </w:rPr>
      </w:pPr>
      <w:r w:rsidRPr="002F652F">
        <w:rPr>
          <w:rFonts w:eastAsia="Arial Unicode MS"/>
          <w:lang w:val="en-IE" w:eastAsia="hi-IN" w:bidi="hi-IN"/>
        </w:rPr>
        <w:t xml:space="preserve">Professional Development 36% </w:t>
      </w:r>
    </w:p>
    <w:p w14:paraId="2FBD6A01" w14:textId="77777777" w:rsidR="00EF4492" w:rsidRPr="002F652F" w:rsidRDefault="00EF4492" w:rsidP="00444A07">
      <w:pPr>
        <w:pStyle w:val="ListParagraph"/>
        <w:numPr>
          <w:ilvl w:val="0"/>
          <w:numId w:val="14"/>
        </w:numPr>
        <w:rPr>
          <w:rFonts w:eastAsia="Arial Unicode MS"/>
          <w:lang w:val="en-IE" w:eastAsia="hi-IN" w:bidi="hi-IN"/>
        </w:rPr>
      </w:pPr>
      <w:r w:rsidRPr="002F652F">
        <w:rPr>
          <w:rFonts w:eastAsia="Arial Unicode MS"/>
          <w:lang w:val="en-IE" w:eastAsia="hi-IN" w:bidi="hi-IN"/>
        </w:rPr>
        <w:t>Cloud services 27%</w:t>
      </w:r>
    </w:p>
    <w:p w14:paraId="1098638F" w14:textId="77777777" w:rsidR="00EF4492" w:rsidRPr="00EF4492" w:rsidRDefault="00EF4492" w:rsidP="002F652F">
      <w:pPr>
        <w:rPr>
          <w:rFonts w:eastAsia="Arial Unicode MS"/>
          <w:lang w:val="en-IE" w:eastAsia="hi-IN" w:bidi="hi-IN"/>
        </w:rPr>
      </w:pPr>
      <w:r w:rsidRPr="00EF4492">
        <w:rPr>
          <w:rFonts w:eastAsia="Arial Unicode MS"/>
          <w:lang w:val="en-IE" w:eastAsia="hi-IN" w:bidi="hi-IN"/>
        </w:rPr>
        <w:t>The rollout of the NBN and investment in mobile and other networks, will address some of these issues by making available a high speed network. However, for Retail Services Providers there is going to be increasing pressure to deliver the high speed network that consumers are expecting and have been promised. The varying level of technical capabilities of the NBN networks, varying service guarantees and high cost of capacity are likely to result in consumers not receiving and being able to utilise the range of services that they are expecting.</w:t>
      </w:r>
      <w:r w:rsidRPr="00EF4492">
        <w:rPr>
          <w:rFonts w:eastAsia="Arial Unicode MS"/>
          <w:vertAlign w:val="superscript"/>
          <w:lang w:val="en-IE" w:eastAsia="hi-IN" w:bidi="hi-IN"/>
        </w:rPr>
        <w:footnoteReference w:id="8"/>
      </w:r>
      <w:r w:rsidRPr="00EF4492">
        <w:rPr>
          <w:rFonts w:eastAsia="Arial Unicode MS"/>
          <w:lang w:val="en-IE" w:eastAsia="hi-IN" w:bidi="hi-IN"/>
        </w:rPr>
        <w:t xml:space="preserve"> </w:t>
      </w:r>
      <w:r w:rsidRPr="00EF4492">
        <w:rPr>
          <w:rFonts w:eastAsia="Arial Unicode MS"/>
          <w:vertAlign w:val="superscript"/>
          <w:lang w:val="en-IE" w:eastAsia="hi-IN" w:bidi="hi-IN"/>
        </w:rPr>
        <w:footnoteReference w:id="9"/>
      </w:r>
    </w:p>
    <w:p w14:paraId="41302B75" w14:textId="77777777" w:rsidR="00EF4492" w:rsidRPr="00EF4492" w:rsidRDefault="00EF4492" w:rsidP="002F652F">
      <w:pPr>
        <w:pStyle w:val="Heading2"/>
        <w:rPr>
          <w:lang w:val="en-IE" w:bidi="hi-IN"/>
        </w:rPr>
      </w:pPr>
      <w:bookmarkStart w:id="10" w:name="_Toc465667594"/>
      <w:r w:rsidRPr="00EF4492">
        <w:rPr>
          <w:lang w:val="en-IE" w:bidi="hi-IN"/>
        </w:rPr>
        <w:t>Response to question 2:</w:t>
      </w:r>
      <w:bookmarkEnd w:id="10"/>
      <w:r w:rsidRPr="00EF4492">
        <w:rPr>
          <w:lang w:val="en-IE" w:bidi="hi-IN"/>
        </w:rPr>
        <w:t xml:space="preserve"> </w:t>
      </w:r>
    </w:p>
    <w:p w14:paraId="6FFFFE6B" w14:textId="77777777" w:rsidR="00EF4492" w:rsidRPr="00EF4492" w:rsidRDefault="00EF4492" w:rsidP="002F652F">
      <w:pPr>
        <w:pStyle w:val="Blockquote3"/>
        <w:rPr>
          <w:rFonts w:eastAsia="Arial Unicode MS"/>
          <w:lang w:val="en-IE" w:bidi="hi-IN"/>
        </w:rPr>
      </w:pPr>
      <w:r w:rsidRPr="00EF4492">
        <w:rPr>
          <w:rFonts w:eastAsia="Arial Unicode MS"/>
          <w:lang w:val="en-IE" w:bidi="hi-IN"/>
        </w:rPr>
        <w:t>Does the convergence of fixed-line and mobile markets raise any concerns for consumer outcomes? If so, what are these concerns?</w:t>
      </w:r>
    </w:p>
    <w:p w14:paraId="4AD043AF" w14:textId="77777777" w:rsidR="00EF4492" w:rsidRPr="00EF4492" w:rsidRDefault="00EF4492" w:rsidP="002F652F">
      <w:pPr>
        <w:rPr>
          <w:rFonts w:eastAsia="Arial Unicode MS"/>
          <w:lang w:val="en-IE" w:eastAsia="hi-IN" w:bidi="hi-IN"/>
        </w:rPr>
      </w:pPr>
      <w:r w:rsidRPr="00EF4492">
        <w:rPr>
          <w:rFonts w:eastAsia="Arial Unicode MS"/>
          <w:lang w:val="en-IE" w:eastAsia="hi-IN" w:bidi="hi-IN"/>
        </w:rPr>
        <w:t>Convergence is happening where both the fixed and mobile markets are available for consumers. There are a number of areas were consumers do not have the ability to use the technology interchangeably. This is particularly true in regional and remote areas that are outside the fixed NBN footprint. For these consumers they may need to maintain a number of services to meet and guarantee the services that they require, particularly in times of storms, emergencies and power outages. This is likely to be relative</w:t>
      </w:r>
      <w:r w:rsidR="0047584C">
        <w:rPr>
          <w:rFonts w:eastAsia="Arial Unicode MS"/>
          <w:lang w:val="en-IE" w:eastAsia="hi-IN" w:bidi="hi-IN"/>
        </w:rPr>
        <w:t>ly</w:t>
      </w:r>
      <w:r w:rsidRPr="00EF4492">
        <w:rPr>
          <w:rFonts w:eastAsia="Arial Unicode MS"/>
          <w:lang w:val="en-IE" w:eastAsia="hi-IN" w:bidi="hi-IN"/>
        </w:rPr>
        <w:t xml:space="preserve"> expensive for these consumers compared to those who can get all the</w:t>
      </w:r>
      <w:r w:rsidR="0047584C">
        <w:rPr>
          <w:rFonts w:eastAsia="Arial Unicode MS"/>
          <w:lang w:val="en-IE" w:eastAsia="hi-IN" w:bidi="hi-IN"/>
        </w:rPr>
        <w:t>ir</w:t>
      </w:r>
      <w:r w:rsidRPr="00EF4492">
        <w:rPr>
          <w:rFonts w:eastAsia="Arial Unicode MS"/>
          <w:lang w:val="en-IE" w:eastAsia="hi-IN" w:bidi="hi-IN"/>
        </w:rPr>
        <w:t xml:space="preserve"> services with the level of quality needed from one service. </w:t>
      </w:r>
    </w:p>
    <w:p w14:paraId="32C1714F" w14:textId="77777777" w:rsidR="00EF4492" w:rsidRPr="00EF4492" w:rsidRDefault="00EF4492" w:rsidP="002F652F">
      <w:pPr>
        <w:pStyle w:val="Heading2"/>
        <w:rPr>
          <w:lang w:val="en-IE" w:bidi="hi-IN"/>
        </w:rPr>
      </w:pPr>
      <w:bookmarkStart w:id="11" w:name="_Toc465667595"/>
      <w:r w:rsidRPr="00EF4492">
        <w:rPr>
          <w:lang w:val="en-IE" w:bidi="hi-IN"/>
        </w:rPr>
        <w:lastRenderedPageBreak/>
        <w:t>Response to question 3:</w:t>
      </w:r>
      <w:bookmarkEnd w:id="11"/>
      <w:r w:rsidRPr="00EF4492">
        <w:rPr>
          <w:lang w:val="en-IE" w:bidi="hi-IN"/>
        </w:rPr>
        <w:t xml:space="preserve"> </w:t>
      </w:r>
    </w:p>
    <w:p w14:paraId="4224AA48" w14:textId="77777777" w:rsidR="00EF4492" w:rsidRPr="00EF4492" w:rsidRDefault="00EF4492" w:rsidP="002F652F">
      <w:pPr>
        <w:pStyle w:val="Blockquote3"/>
        <w:rPr>
          <w:rFonts w:eastAsia="Arial Unicode MS"/>
          <w:lang w:val="en-IE" w:bidi="hi-IN"/>
        </w:rPr>
      </w:pPr>
      <w:r w:rsidRPr="00EF4492">
        <w:rPr>
          <w:rFonts w:eastAsia="Arial Unicode MS"/>
          <w:lang w:val="en-IE" w:bidi="hi-IN"/>
        </w:rPr>
        <w:t>Do you consider that the communications sector will be able to respond to consumer needs in the transition to next generation networks? If so, what market factors will influence this?</w:t>
      </w:r>
    </w:p>
    <w:p w14:paraId="13A56A0B" w14:textId="77777777" w:rsidR="00EF4492" w:rsidRPr="00EF4492" w:rsidRDefault="00EF4492" w:rsidP="002F652F">
      <w:pPr>
        <w:pStyle w:val="Heading3"/>
        <w:rPr>
          <w:rFonts w:eastAsia="Arial Unicode MS"/>
          <w:lang w:val="en-IE" w:bidi="hi-IN"/>
        </w:rPr>
      </w:pPr>
      <w:bookmarkStart w:id="12" w:name="_Toc465667596"/>
      <w:r w:rsidRPr="00EF4492">
        <w:rPr>
          <w:rFonts w:eastAsia="Arial Unicode MS"/>
          <w:lang w:val="en-IE" w:bidi="hi-IN"/>
        </w:rPr>
        <w:t>Meet capacity demand in an affordable manner</w:t>
      </w:r>
      <w:bookmarkEnd w:id="12"/>
    </w:p>
    <w:p w14:paraId="4BE1F253" w14:textId="7F4212C2" w:rsidR="00EF4492" w:rsidRPr="00EF4492" w:rsidRDefault="00EF4492" w:rsidP="002F652F">
      <w:pPr>
        <w:rPr>
          <w:rFonts w:eastAsia="Arial Unicode MS"/>
          <w:lang w:val="en-IE" w:eastAsia="hi-IN" w:bidi="hi-IN"/>
        </w:rPr>
      </w:pPr>
      <w:r w:rsidRPr="00EF4492">
        <w:rPr>
          <w:rFonts w:eastAsia="Arial Unicode MS"/>
          <w:lang w:val="en-IE" w:eastAsia="hi-IN" w:bidi="hi-IN"/>
        </w:rPr>
        <w:t>ACCAN has concerns that the cost to deliver services is going to negatively impact on the sectors ability to respond to consumer needs.</w:t>
      </w:r>
      <w:r w:rsidRPr="00EF4492">
        <w:rPr>
          <w:rFonts w:eastAsia="Arial Unicode MS"/>
          <w:vertAlign w:val="superscript"/>
          <w:lang w:val="en-IE" w:eastAsia="hi-IN" w:bidi="hi-IN"/>
        </w:rPr>
        <w:footnoteReference w:id="10"/>
      </w:r>
      <w:r w:rsidRPr="00EF4492">
        <w:rPr>
          <w:rFonts w:eastAsia="Arial Unicode MS"/>
          <w:lang w:val="en-IE" w:eastAsia="hi-IN" w:bidi="hi-IN"/>
        </w:rPr>
        <w:t xml:space="preserve"> As outlined above in the previous answers consumers have a high demand and expectation of high speed services. The funding model of the nbn and the pressure it places on nbn to make a return, particularly the Initial Recovery Cost Account and CVC, is likely to dampen the availability of affordable high capacity reliable services. It also places increasing incentives on nbn and RSPs to sell higher speed tier products in order for consumers to get the required level of service and for the sector to earn a return.</w:t>
      </w:r>
      <w:r w:rsidR="00831052">
        <w:rPr>
          <w:rFonts w:eastAsia="Arial Unicode MS"/>
          <w:lang w:val="en-IE" w:eastAsia="hi-IN" w:bidi="hi-IN"/>
        </w:rPr>
        <w:t xml:space="preserve"> Without increased visibility of speeds offered and reduced capacity costs, there is a risk that consumers will not see the full benefit from NBN.</w:t>
      </w:r>
      <w:r w:rsidRPr="00EF4492">
        <w:rPr>
          <w:rFonts w:eastAsia="Arial Unicode MS"/>
          <w:vertAlign w:val="superscript"/>
          <w:lang w:val="en-IE" w:eastAsia="hi-IN" w:bidi="hi-IN"/>
        </w:rPr>
        <w:footnoteReference w:id="11"/>
      </w:r>
      <w:r w:rsidR="003538B5">
        <w:rPr>
          <w:rFonts w:eastAsia="Arial Unicode MS"/>
          <w:lang w:val="en-IE" w:eastAsia="hi-IN" w:bidi="hi-IN"/>
        </w:rPr>
        <w:t xml:space="preserve"> This is discussed further in response to question 29.</w:t>
      </w:r>
    </w:p>
    <w:p w14:paraId="361A3B2F" w14:textId="77777777" w:rsidR="00EF4492" w:rsidRPr="00EF4492" w:rsidRDefault="00EF4492" w:rsidP="002F652F">
      <w:pPr>
        <w:pStyle w:val="Heading3"/>
        <w:rPr>
          <w:rFonts w:eastAsia="Arial Unicode MS"/>
          <w:lang w:bidi="hi-IN"/>
        </w:rPr>
      </w:pPr>
      <w:bookmarkStart w:id="13" w:name="_Toc465667597"/>
      <w:r w:rsidRPr="00EF4492">
        <w:rPr>
          <w:rFonts w:eastAsia="Arial Unicode MS"/>
          <w:lang w:bidi="hi-IN"/>
        </w:rPr>
        <w:t>Review of provider and plan</w:t>
      </w:r>
      <w:bookmarkEnd w:id="13"/>
    </w:p>
    <w:p w14:paraId="275D5C88" w14:textId="30BBE21A" w:rsidR="00EF4492" w:rsidRPr="00EF4492" w:rsidRDefault="00EF4492" w:rsidP="002F652F">
      <w:pPr>
        <w:rPr>
          <w:rFonts w:eastAsia="Arial Unicode MS"/>
          <w:lang w:eastAsia="hi-IN" w:bidi="hi-IN"/>
        </w:rPr>
      </w:pPr>
      <w:r w:rsidRPr="00EF4492">
        <w:rPr>
          <w:rFonts w:eastAsia="Arial Unicode MS"/>
          <w:lang w:eastAsia="hi-IN" w:bidi="hi-IN"/>
        </w:rPr>
        <w:t xml:space="preserve">Many consumers find communications products quite confusing.  As a result, they may simply renew their existing plans when contracts expire without question or review.  In addition, only a minority of customers are likely to renew or review their usage during the life of the contract. </w:t>
      </w:r>
      <w:r w:rsidR="0047584C">
        <w:rPr>
          <w:rFonts w:eastAsia="Arial Unicode MS"/>
          <w:lang w:eastAsia="hi-IN" w:bidi="hi-IN"/>
        </w:rPr>
        <w:t>S</w:t>
      </w:r>
      <w:r w:rsidRPr="00EF4492">
        <w:rPr>
          <w:rFonts w:eastAsia="Arial Unicode MS"/>
          <w:lang w:eastAsia="hi-IN" w:bidi="hi-IN"/>
        </w:rPr>
        <w:t xml:space="preserve">ome consumers may renew a contract simply because it offers a new phone.  The result of this is that many consumers stay with the same provider and on the same plan even if it no longer meets their needs or there are better value plans and providers available to them. There are a number of consumers who are using </w:t>
      </w:r>
      <w:r w:rsidR="0047584C">
        <w:rPr>
          <w:rFonts w:eastAsia="Arial Unicode MS"/>
          <w:lang w:eastAsia="hi-IN" w:bidi="hi-IN"/>
        </w:rPr>
        <w:t xml:space="preserve">legacy </w:t>
      </w:r>
      <w:r w:rsidRPr="00EF4492">
        <w:rPr>
          <w:rFonts w:eastAsia="Arial Unicode MS"/>
          <w:lang w:eastAsia="hi-IN" w:bidi="hi-IN"/>
        </w:rPr>
        <w:t>plans that are no longer available for new consumers as the provider has released new plans which offer more inclusions and better value for money.</w:t>
      </w:r>
      <w:r w:rsidRPr="00EF4492">
        <w:rPr>
          <w:rFonts w:eastAsia="Arial Unicode MS"/>
          <w:vertAlign w:val="superscript"/>
          <w:lang w:eastAsia="hi-IN" w:bidi="hi-IN"/>
        </w:rPr>
        <w:footnoteReference w:id="12"/>
      </w:r>
      <w:r w:rsidRPr="00EF4492">
        <w:rPr>
          <w:rFonts w:eastAsia="Arial Unicode MS"/>
          <w:lang w:eastAsia="hi-IN" w:bidi="hi-IN"/>
        </w:rPr>
        <w:t xml:space="preserve"> This tendency of inertia by consumers is likely to inhibit some competition and create difficulties for the sector to transition consumers to the next generation networks.</w:t>
      </w:r>
    </w:p>
    <w:p w14:paraId="43B39ACF" w14:textId="77777777" w:rsidR="00EF4492" w:rsidRPr="00EF4492" w:rsidRDefault="00EF4492" w:rsidP="002F652F">
      <w:pPr>
        <w:pStyle w:val="Heading3"/>
        <w:rPr>
          <w:rFonts w:eastAsia="Arial Unicode MS"/>
          <w:lang w:bidi="hi-IN"/>
        </w:rPr>
      </w:pPr>
      <w:bookmarkStart w:id="14" w:name="_Toc465667598"/>
      <w:r w:rsidRPr="00EF4492">
        <w:rPr>
          <w:rFonts w:eastAsia="Arial Unicode MS"/>
          <w:lang w:bidi="hi-IN"/>
        </w:rPr>
        <w:t>Early termination fees</w:t>
      </w:r>
      <w:bookmarkEnd w:id="14"/>
    </w:p>
    <w:p w14:paraId="5C46C306" w14:textId="481698F2" w:rsidR="00EF4492" w:rsidRPr="00EF4492" w:rsidRDefault="00EF4492" w:rsidP="002F652F">
      <w:pPr>
        <w:rPr>
          <w:rFonts w:eastAsia="Arial Unicode MS" w:cs="font391"/>
          <w:kern w:val="1"/>
          <w:szCs w:val="24"/>
          <w:lang w:val="en-IE" w:eastAsia="hi-IN" w:bidi="hi-IN"/>
        </w:rPr>
      </w:pPr>
      <w:r w:rsidRPr="00EF4492">
        <w:rPr>
          <w:rFonts w:eastAsia="Arial Unicode MS" w:cs="font391"/>
          <w:kern w:val="1"/>
          <w:szCs w:val="24"/>
          <w:lang w:val="en-IE" w:eastAsia="hi-IN" w:bidi="hi-IN"/>
        </w:rPr>
        <w:t>It is difficult for the average consumer to calculate the cost of ending a contract early.</w:t>
      </w:r>
      <w:r w:rsidRPr="00EF4492">
        <w:rPr>
          <w:rFonts w:eastAsia="Arial Unicode MS" w:cs="font391"/>
          <w:kern w:val="1"/>
          <w:szCs w:val="24"/>
          <w:lang w:val="en-IE" w:eastAsia="hi-IN" w:bidi="hi-IN"/>
        </w:rPr>
        <w:br/>
        <w:t xml:space="preserve">Currently, the Critical Information Summary provided to the </w:t>
      </w:r>
      <w:r w:rsidR="00831052">
        <w:rPr>
          <w:rFonts w:eastAsia="Arial Unicode MS" w:cs="font391"/>
          <w:kern w:val="1"/>
          <w:szCs w:val="24"/>
          <w:lang w:val="en-IE" w:eastAsia="hi-IN" w:bidi="hi-IN"/>
        </w:rPr>
        <w:t>c</w:t>
      </w:r>
      <w:r w:rsidRPr="00EF4492">
        <w:rPr>
          <w:rFonts w:eastAsia="Arial Unicode MS" w:cs="font391"/>
          <w:kern w:val="1"/>
          <w:szCs w:val="24"/>
          <w:lang w:val="en-IE" w:eastAsia="hi-IN" w:bidi="hi-IN"/>
        </w:rPr>
        <w:t xml:space="preserve">ustomer when signing up usually contains the maximum early termination fee for the first 12 months of the contract.  </w:t>
      </w:r>
      <w:r w:rsidRPr="00EF4492">
        <w:rPr>
          <w:rFonts w:eastAsia="Arial Unicode MS" w:cs="font391"/>
          <w:kern w:val="1"/>
          <w:szCs w:val="24"/>
          <w:lang w:val="en-IE" w:eastAsia="hi-IN" w:bidi="hi-IN"/>
        </w:rPr>
        <w:lastRenderedPageBreak/>
        <w:t xml:space="preserve">However, for most carriers, this amount reduces on a monthly basis after 12 months according to a formula.  The formulas are not well publicized and are usually </w:t>
      </w:r>
      <w:r w:rsidR="009B5A92">
        <w:rPr>
          <w:rFonts w:eastAsia="Arial Unicode MS" w:cs="font391"/>
          <w:kern w:val="1"/>
          <w:szCs w:val="24"/>
          <w:lang w:val="en-IE" w:eastAsia="hi-IN" w:bidi="hi-IN"/>
        </w:rPr>
        <w:t xml:space="preserve">incorporated </w:t>
      </w:r>
      <w:r w:rsidR="002902BA">
        <w:rPr>
          <w:rFonts w:eastAsia="Arial Unicode MS" w:cs="font391"/>
          <w:kern w:val="1"/>
          <w:szCs w:val="24"/>
          <w:lang w:val="en-IE" w:eastAsia="hi-IN" w:bidi="hi-IN"/>
        </w:rPr>
        <w:t xml:space="preserve">into </w:t>
      </w:r>
      <w:r w:rsidR="002902BA" w:rsidRPr="00EF4492">
        <w:rPr>
          <w:rFonts w:eastAsia="Arial Unicode MS" w:cs="font391"/>
          <w:kern w:val="1"/>
          <w:szCs w:val="24"/>
          <w:lang w:val="en-IE" w:eastAsia="hi-IN" w:bidi="hi-IN"/>
        </w:rPr>
        <w:t>the</w:t>
      </w:r>
      <w:r w:rsidRPr="00EF4492">
        <w:rPr>
          <w:rFonts w:eastAsia="Arial Unicode MS" w:cs="font391"/>
          <w:kern w:val="1"/>
          <w:szCs w:val="24"/>
          <w:lang w:val="en-IE" w:eastAsia="hi-IN" w:bidi="hi-IN"/>
        </w:rPr>
        <w:t xml:space="preserve"> standard form contracts. These contracts are very long and</w:t>
      </w:r>
      <w:r w:rsidR="009B5A92">
        <w:rPr>
          <w:rFonts w:eastAsia="Arial Unicode MS" w:cs="font391"/>
          <w:kern w:val="1"/>
          <w:szCs w:val="24"/>
          <w:lang w:val="en-IE" w:eastAsia="hi-IN" w:bidi="hi-IN"/>
        </w:rPr>
        <w:t xml:space="preserve"> not an effective means of conveying information to consumers</w:t>
      </w:r>
      <w:r w:rsidRPr="00EF4492">
        <w:rPr>
          <w:rFonts w:eastAsia="Arial Unicode MS" w:cs="font391"/>
          <w:kern w:val="1"/>
          <w:szCs w:val="24"/>
          <w:lang w:val="en-IE" w:eastAsia="hi-IN" w:bidi="hi-IN"/>
        </w:rPr>
        <w:t>.</w:t>
      </w:r>
      <w:r w:rsidR="00831052">
        <w:rPr>
          <w:rStyle w:val="FootnoteReference"/>
          <w:rFonts w:eastAsia="Arial Unicode MS" w:cs="font391"/>
          <w:kern w:val="1"/>
          <w:szCs w:val="24"/>
          <w:lang w:val="en-IE" w:eastAsia="hi-IN" w:bidi="hi-IN"/>
        </w:rPr>
        <w:footnoteReference w:id="13"/>
      </w:r>
      <w:r w:rsidRPr="00EF4492">
        <w:rPr>
          <w:rFonts w:eastAsia="Arial Unicode MS" w:cs="font391"/>
          <w:kern w:val="1"/>
          <w:szCs w:val="24"/>
          <w:lang w:val="en-IE" w:eastAsia="hi-IN" w:bidi="hi-IN"/>
        </w:rPr>
        <w:t xml:space="preserve"> </w:t>
      </w:r>
    </w:p>
    <w:p w14:paraId="21B4B67E" w14:textId="376E588E" w:rsidR="00EF4492" w:rsidRPr="00EF4492" w:rsidRDefault="00EF4492" w:rsidP="002F652F">
      <w:pPr>
        <w:rPr>
          <w:rFonts w:eastAsia="Arial Unicode MS" w:cs="font391"/>
          <w:kern w:val="1"/>
          <w:szCs w:val="24"/>
          <w:lang w:val="en-IE" w:eastAsia="hi-IN" w:bidi="hi-IN"/>
        </w:rPr>
      </w:pPr>
      <w:r w:rsidRPr="00EF4492">
        <w:rPr>
          <w:rFonts w:eastAsia="Arial Unicode MS" w:cs="font391"/>
          <w:kern w:val="1"/>
          <w:szCs w:val="24"/>
          <w:lang w:val="en-IE" w:eastAsia="hi-IN" w:bidi="hi-IN"/>
        </w:rPr>
        <w:t xml:space="preserve">To complicate things further, if </w:t>
      </w:r>
      <w:r w:rsidR="002902BA" w:rsidRPr="00EF4492">
        <w:rPr>
          <w:rFonts w:eastAsia="Arial Unicode MS" w:cs="font391"/>
          <w:kern w:val="1"/>
          <w:szCs w:val="24"/>
          <w:lang w:val="en-IE" w:eastAsia="hi-IN" w:bidi="hi-IN"/>
        </w:rPr>
        <w:t>customers receive</w:t>
      </w:r>
      <w:r w:rsidRPr="00EF4492">
        <w:rPr>
          <w:rFonts w:eastAsia="Arial Unicode MS" w:cs="font391"/>
          <w:kern w:val="1"/>
          <w:szCs w:val="24"/>
          <w:lang w:val="en-IE" w:eastAsia="hi-IN" w:bidi="hi-IN"/>
        </w:rPr>
        <w:t xml:space="preserve"> a phone with their plan, they also have to pay the remaining handset </w:t>
      </w:r>
      <w:r w:rsidR="002F652F" w:rsidRPr="00EF4492">
        <w:rPr>
          <w:rFonts w:eastAsia="Arial Unicode MS" w:cs="font391"/>
          <w:kern w:val="1"/>
          <w:szCs w:val="24"/>
          <w:lang w:val="en-IE" w:eastAsia="hi-IN" w:bidi="hi-IN"/>
        </w:rPr>
        <w:t>instalments</w:t>
      </w:r>
      <w:r w:rsidRPr="00EF4492">
        <w:rPr>
          <w:rFonts w:eastAsia="Arial Unicode MS" w:cs="font391"/>
          <w:kern w:val="1"/>
          <w:szCs w:val="24"/>
          <w:lang w:val="en-IE" w:eastAsia="hi-IN" w:bidi="hi-IN"/>
        </w:rPr>
        <w:t xml:space="preserve"> (minus any credit that the carrier would have given them</w:t>
      </w:r>
      <w:r w:rsidR="002F652F">
        <w:rPr>
          <w:rFonts w:eastAsia="Arial Unicode MS" w:cs="font391"/>
          <w:kern w:val="1"/>
          <w:szCs w:val="24"/>
          <w:lang w:val="en-IE" w:eastAsia="hi-IN" w:bidi="hi-IN"/>
        </w:rPr>
        <w:t xml:space="preserve"> if they </w:t>
      </w:r>
      <w:r w:rsidRPr="00EF4492">
        <w:rPr>
          <w:rFonts w:eastAsia="Arial Unicode MS" w:cs="font391"/>
          <w:kern w:val="1"/>
          <w:szCs w:val="24"/>
          <w:lang w:val="en-IE" w:eastAsia="hi-IN" w:bidi="hi-IN"/>
        </w:rPr>
        <w:t xml:space="preserve">stayed in the contract). </w:t>
      </w:r>
      <w:r w:rsidR="00831052">
        <w:rPr>
          <w:rFonts w:eastAsia="Arial Unicode MS" w:cs="font391"/>
          <w:kern w:val="1"/>
          <w:szCs w:val="24"/>
          <w:lang w:val="en-IE" w:eastAsia="hi-IN" w:bidi="hi-IN"/>
        </w:rPr>
        <w:t xml:space="preserve">For a consumer to work this out for themselves they would need to manually calculate the amount from the last bill. </w:t>
      </w:r>
      <w:r w:rsidR="009D07DB" w:rsidRPr="002902BA">
        <w:rPr>
          <w:rFonts w:eastAsia="Arial Unicode MS"/>
          <w:lang w:val="en-IE" w:eastAsia="hi-IN" w:bidi="hi-IN"/>
        </w:rPr>
        <w:t xml:space="preserve"> </w:t>
      </w:r>
    </w:p>
    <w:p w14:paraId="2CC9B62C" w14:textId="44271DE7" w:rsidR="00EF4492" w:rsidRPr="00EF4492" w:rsidRDefault="00EF4492" w:rsidP="002F652F">
      <w:pPr>
        <w:rPr>
          <w:rFonts w:eastAsia="Arial Unicode MS" w:cs="font391"/>
          <w:kern w:val="1"/>
          <w:szCs w:val="24"/>
          <w:lang w:val="en-IE" w:eastAsia="hi-IN" w:bidi="hi-IN"/>
        </w:rPr>
      </w:pPr>
      <w:r w:rsidRPr="00EF4492">
        <w:rPr>
          <w:rFonts w:eastAsia="Arial Unicode MS" w:cs="font391"/>
          <w:kern w:val="1"/>
          <w:szCs w:val="24"/>
          <w:lang w:val="en-IE" w:eastAsia="hi-IN" w:bidi="hi-IN"/>
        </w:rPr>
        <w:t xml:space="preserve">There is also the potential that some early termination fees are unfair under the ACL. In its guidance on the ACL, the ACCC states that: </w:t>
      </w:r>
    </w:p>
    <w:p w14:paraId="515E8AE1" w14:textId="2CB0B483" w:rsidR="00EF4492" w:rsidRPr="00EF4492" w:rsidRDefault="00EF4492" w:rsidP="002F652F">
      <w:pPr>
        <w:ind w:left="720"/>
        <w:rPr>
          <w:rFonts w:eastAsia="Arial Unicode MS" w:cs="font391"/>
          <w:kern w:val="1"/>
          <w:szCs w:val="24"/>
          <w:lang w:val="en-IE" w:eastAsia="hi-IN" w:bidi="hi-IN"/>
        </w:rPr>
      </w:pPr>
      <w:r w:rsidRPr="00EF4492">
        <w:rPr>
          <w:rFonts w:eastAsia="Arial Unicode MS" w:cs="font391"/>
          <w:kern w:val="1"/>
          <w:szCs w:val="24"/>
          <w:lang w:val="en-IE" w:eastAsia="hi-IN" w:bidi="hi-IN"/>
        </w:rPr>
        <w:t>“</w:t>
      </w:r>
      <w:r w:rsidR="002902BA" w:rsidRPr="00EF4492">
        <w:rPr>
          <w:rFonts w:eastAsia="Arial Unicode MS" w:cs="font391"/>
          <w:kern w:val="1"/>
          <w:szCs w:val="24"/>
          <w:lang w:val="en-IE" w:eastAsia="hi-IN" w:bidi="hi-IN"/>
        </w:rPr>
        <w:t>A</w:t>
      </w:r>
      <w:r w:rsidRPr="00EF4492">
        <w:rPr>
          <w:rFonts w:eastAsia="Arial Unicode MS" w:cs="font391"/>
          <w:kern w:val="1"/>
          <w:szCs w:val="24"/>
          <w:lang w:val="en-IE" w:eastAsia="hi-IN" w:bidi="hi-IN"/>
        </w:rPr>
        <w:t xml:space="preserve"> term may also be considered unfair if it threatens sanctions over and above those that can be imposed at law. A penalty imposed by a contract should bear a reasonable relationship to the loss likely to be suffered by the business as a result of the breach or early termination, and should not be an arbitrary sum”.</w:t>
      </w:r>
      <w:r w:rsidRPr="00EF4492">
        <w:rPr>
          <w:rFonts w:eastAsia="Arial Unicode MS" w:cs="font391"/>
          <w:kern w:val="1"/>
          <w:szCs w:val="24"/>
          <w:vertAlign w:val="superscript"/>
          <w:lang w:val="en-IE" w:eastAsia="hi-IN" w:bidi="hi-IN"/>
        </w:rPr>
        <w:footnoteReference w:id="14"/>
      </w:r>
    </w:p>
    <w:p w14:paraId="3302ABDC" w14:textId="1A3500C3" w:rsidR="00EF4492" w:rsidRPr="00EF4492" w:rsidRDefault="00EF4492" w:rsidP="002F652F">
      <w:pPr>
        <w:rPr>
          <w:rFonts w:eastAsia="Arial Unicode MS" w:cs="font391"/>
          <w:kern w:val="1"/>
          <w:szCs w:val="24"/>
          <w:lang w:val="en-IE" w:eastAsia="hi-IN" w:bidi="hi-IN"/>
        </w:rPr>
      </w:pPr>
      <w:r w:rsidRPr="00EF4492">
        <w:rPr>
          <w:rFonts w:eastAsia="Arial Unicode MS" w:cs="font391"/>
          <w:kern w:val="1"/>
          <w:szCs w:val="24"/>
          <w:lang w:val="en-IE" w:eastAsia="hi-IN" w:bidi="hi-IN"/>
        </w:rPr>
        <w:t xml:space="preserve">To be clear, ACCAN does not dispute per se the right of the </w:t>
      </w:r>
      <w:proofErr w:type="spellStart"/>
      <w:r w:rsidR="009B5A92">
        <w:rPr>
          <w:rFonts w:eastAsia="Arial Unicode MS" w:cs="font391"/>
          <w:kern w:val="1"/>
          <w:szCs w:val="24"/>
          <w:lang w:val="en-IE" w:eastAsia="hi-IN" w:bidi="hi-IN"/>
        </w:rPr>
        <w:t>t</w:t>
      </w:r>
      <w:r w:rsidR="00EC7AB8" w:rsidRPr="00EF4492">
        <w:rPr>
          <w:rFonts w:eastAsia="Arial Unicode MS" w:cs="font391"/>
          <w:kern w:val="1"/>
          <w:szCs w:val="24"/>
          <w:lang w:val="en-IE" w:eastAsia="hi-IN" w:bidi="hi-IN"/>
        </w:rPr>
        <w:t>elco</w:t>
      </w:r>
      <w:proofErr w:type="spellEnd"/>
      <w:r w:rsidRPr="00EF4492">
        <w:rPr>
          <w:rFonts w:eastAsia="Arial Unicode MS" w:cs="font391"/>
          <w:kern w:val="1"/>
          <w:szCs w:val="24"/>
          <w:lang w:val="en-IE" w:eastAsia="hi-IN" w:bidi="hi-IN"/>
        </w:rPr>
        <w:t xml:space="preserve"> to charge a premium for obtaining a phone on contract – </w:t>
      </w:r>
      <w:r w:rsidR="00EC7AB8" w:rsidRPr="00EF4492">
        <w:rPr>
          <w:rFonts w:eastAsia="Arial Unicode MS" w:cs="font391"/>
          <w:kern w:val="1"/>
          <w:szCs w:val="24"/>
          <w:lang w:val="en-IE" w:eastAsia="hi-IN" w:bidi="hi-IN"/>
        </w:rPr>
        <w:t>these benefits consumers</w:t>
      </w:r>
      <w:r w:rsidRPr="00EF4492">
        <w:rPr>
          <w:rFonts w:eastAsia="Arial Unicode MS" w:cs="font391"/>
          <w:kern w:val="1"/>
          <w:szCs w:val="24"/>
          <w:lang w:val="en-IE" w:eastAsia="hi-IN" w:bidi="hi-IN"/>
        </w:rPr>
        <w:t xml:space="preserve"> by allowing them to access technology they would otherwise not be able to afford. We also recognize the need for the carrier to have relative certainty about income flow in the short to medium term. However, </w:t>
      </w:r>
      <w:r w:rsidR="009D07DB">
        <w:rPr>
          <w:rFonts w:eastAsia="Arial Unicode MS" w:cs="font391"/>
          <w:kern w:val="1"/>
          <w:szCs w:val="24"/>
          <w:lang w:val="en-IE" w:eastAsia="hi-IN" w:bidi="hi-IN"/>
        </w:rPr>
        <w:t>the confusing about the cost to terminate a contract with a handset may potentially affect consumers’ decision to switch and may be a higher cost than the loss to the pr</w:t>
      </w:r>
      <w:r w:rsidR="00661166">
        <w:rPr>
          <w:rFonts w:eastAsia="Arial Unicode MS" w:cs="font391"/>
          <w:kern w:val="1"/>
          <w:szCs w:val="24"/>
          <w:lang w:val="en-IE" w:eastAsia="hi-IN" w:bidi="hi-IN"/>
        </w:rPr>
        <w:t>ovider of the customer leaving.</w:t>
      </w:r>
    </w:p>
    <w:p w14:paraId="68428449" w14:textId="77777777" w:rsidR="009D07DB" w:rsidRDefault="009B5A92" w:rsidP="002F652F">
      <w:pPr>
        <w:rPr>
          <w:rFonts w:eastAsia="Arial Unicode MS"/>
          <w:lang w:val="en-IE" w:eastAsia="hi-IN" w:bidi="hi-IN"/>
        </w:rPr>
      </w:pPr>
      <w:r>
        <w:rPr>
          <w:rFonts w:eastAsia="Arial Unicode MS"/>
          <w:lang w:val="en-IE" w:eastAsia="hi-IN" w:bidi="hi-IN"/>
        </w:rPr>
        <w:t xml:space="preserve">However, there have been some positive developments in this area. </w:t>
      </w:r>
      <w:r w:rsidR="00EF4492" w:rsidRPr="00EF4492">
        <w:rPr>
          <w:rFonts w:eastAsia="Arial Unicode MS"/>
          <w:lang w:val="en-IE" w:eastAsia="hi-IN" w:bidi="hi-IN"/>
        </w:rPr>
        <w:t>In recent years, companies have begun to give consumers more flexibility to end contracts with competitors, including by subsidizing early termination fees for customers who wish to switch providers.</w:t>
      </w:r>
      <w:r w:rsidR="00EF4492" w:rsidRPr="00EF4492">
        <w:rPr>
          <w:rFonts w:eastAsia="Arial Unicode MS"/>
          <w:vertAlign w:val="superscript"/>
          <w:lang w:val="en-IE" w:eastAsia="hi-IN" w:bidi="hi-IN"/>
        </w:rPr>
        <w:footnoteReference w:id="15"/>
      </w:r>
      <w:r w:rsidR="00EF4492" w:rsidRPr="00EF4492">
        <w:rPr>
          <w:rFonts w:eastAsia="Arial Unicode MS"/>
          <w:lang w:val="en-IE" w:eastAsia="hi-IN" w:bidi="hi-IN"/>
        </w:rPr>
        <w:t xml:space="preserve"> Some providers have also introduced contracts without an early termination fee. For these contracts, customers only need to pay out the handset payment cost.</w:t>
      </w:r>
      <w:r w:rsidR="00EF4492" w:rsidRPr="00EF4492">
        <w:rPr>
          <w:rFonts w:eastAsia="Arial Unicode MS"/>
          <w:vertAlign w:val="superscript"/>
          <w:lang w:val="en-IE" w:eastAsia="hi-IN" w:bidi="hi-IN"/>
        </w:rPr>
        <w:footnoteReference w:id="16"/>
      </w:r>
      <w:r w:rsidR="00EF4492" w:rsidRPr="00EF4492">
        <w:rPr>
          <w:rFonts w:eastAsia="Arial Unicode MS"/>
          <w:lang w:val="en-IE" w:eastAsia="hi-IN" w:bidi="hi-IN"/>
        </w:rPr>
        <w:t xml:space="preserve">  </w:t>
      </w:r>
    </w:p>
    <w:p w14:paraId="72BC65A9" w14:textId="77777777" w:rsidR="00FE0B29" w:rsidRDefault="009D07DB" w:rsidP="002F652F">
      <w:pPr>
        <w:rPr>
          <w:rFonts w:eastAsia="Arial Unicode MS"/>
          <w:lang w:val="en-IE" w:eastAsia="hi-IN" w:bidi="hi-IN"/>
        </w:rPr>
      </w:pPr>
      <w:r w:rsidRPr="009F6E8B">
        <w:rPr>
          <w:rFonts w:eastAsia="Arial Unicode MS"/>
          <w:lang w:val="en-IE" w:eastAsia="hi-IN" w:bidi="hi-IN"/>
        </w:rPr>
        <w:t xml:space="preserve">Additionally, recent research by industry expert John de Ridder shows that these offers, as well as carrier subsidies in general, may not provide  consumers with the best balance of </w:t>
      </w:r>
      <w:r w:rsidRPr="009F6E8B">
        <w:rPr>
          <w:rFonts w:eastAsia="Arial Unicode MS"/>
          <w:lang w:val="en-IE" w:eastAsia="hi-IN" w:bidi="hi-IN"/>
        </w:rPr>
        <w:lastRenderedPageBreak/>
        <w:t>value and flexibility.</w:t>
      </w:r>
      <w:r w:rsidRPr="009F6E8B">
        <w:rPr>
          <w:rFonts w:eastAsia="Arial Unicode MS"/>
          <w:vertAlign w:val="superscript"/>
          <w:lang w:val="en-IE" w:eastAsia="hi-IN" w:bidi="hi-IN"/>
        </w:rPr>
        <w:footnoteReference w:id="17"/>
      </w:r>
      <w:r w:rsidRPr="009F6E8B">
        <w:rPr>
          <w:rFonts w:eastAsia="Arial Unicode MS"/>
          <w:lang w:val="en-IE" w:eastAsia="hi-IN" w:bidi="hi-IN"/>
        </w:rPr>
        <w:t xml:space="preserve"> Many consumers believe that contracts provide the best deal if they need a new phone.  However this is not always the case.</w:t>
      </w:r>
    </w:p>
    <w:p w14:paraId="4D92CF85" w14:textId="20EE47CE" w:rsidR="00EF4492" w:rsidRPr="00EF4492" w:rsidRDefault="00EF4492" w:rsidP="002F652F">
      <w:pPr>
        <w:rPr>
          <w:rFonts w:eastAsia="Arial Unicode MS"/>
          <w:b/>
          <w:u w:val="single"/>
          <w:lang w:eastAsia="hi-IN" w:bidi="hi-IN"/>
        </w:rPr>
      </w:pPr>
      <w:r w:rsidRPr="00EF4492">
        <w:rPr>
          <w:rFonts w:eastAsia="Arial Unicode MS"/>
          <w:lang w:eastAsia="hi-IN" w:bidi="hi-IN"/>
        </w:rPr>
        <w:t xml:space="preserve">In transitioning to the NBN, customers may need to break their contracts early because of the legislated Disconnection Date. We believe that many consumers will delay migrating to the NBN until they are out of contract or close to disconnection, in which case some providers might not charge disconnect fees. RSPs who wish to gain market share during this period are likely to experience some difficulties due the complication of getting the end of contract timing right. </w:t>
      </w:r>
    </w:p>
    <w:p w14:paraId="142FF9A9" w14:textId="77777777" w:rsidR="00EF4492" w:rsidRPr="00EF4492" w:rsidRDefault="00EF4492" w:rsidP="002F652F">
      <w:pPr>
        <w:pStyle w:val="Heading3"/>
        <w:rPr>
          <w:rFonts w:eastAsia="Arial Unicode MS"/>
          <w:lang w:val="en-IE" w:bidi="hi-IN"/>
        </w:rPr>
      </w:pPr>
      <w:bookmarkStart w:id="15" w:name="_Toc465667599"/>
      <w:r w:rsidRPr="00EF4492">
        <w:rPr>
          <w:rFonts w:eastAsia="Arial Unicode MS"/>
          <w:lang w:val="en-IE" w:bidi="hi-IN"/>
        </w:rPr>
        <w:t>Conveying the difference</w:t>
      </w:r>
      <w:bookmarkEnd w:id="15"/>
      <w:r w:rsidRPr="00EF4492">
        <w:rPr>
          <w:rFonts w:eastAsia="Arial Unicode MS"/>
          <w:lang w:val="en-IE" w:bidi="hi-IN"/>
        </w:rPr>
        <w:t xml:space="preserve"> </w:t>
      </w:r>
    </w:p>
    <w:p w14:paraId="0F8981CB" w14:textId="2B314008" w:rsidR="00EF4492" w:rsidRPr="00EF4492" w:rsidRDefault="00EF4492" w:rsidP="002F652F">
      <w:pPr>
        <w:rPr>
          <w:rFonts w:eastAsia="Arial Unicode MS"/>
          <w:lang w:val="en-IE" w:eastAsia="hi-IN" w:bidi="hi-IN"/>
        </w:rPr>
      </w:pPr>
      <w:r w:rsidRPr="00EF4492">
        <w:rPr>
          <w:rFonts w:eastAsia="Arial Unicode MS"/>
          <w:lang w:val="en-IE" w:eastAsia="hi-IN" w:bidi="hi-IN"/>
        </w:rPr>
        <w:t>There will be a number of fundamental differences in how telecommunications operate going forward. There are some</w:t>
      </w:r>
      <w:r w:rsidR="00BD6026">
        <w:rPr>
          <w:rFonts w:eastAsia="Arial Unicode MS"/>
          <w:lang w:val="en-IE" w:eastAsia="hi-IN" w:bidi="hi-IN"/>
        </w:rPr>
        <w:t xml:space="preserve"> areas where retail prov</w:t>
      </w:r>
      <w:r w:rsidR="002902BA">
        <w:rPr>
          <w:rFonts w:eastAsia="Arial Unicode MS"/>
          <w:lang w:val="en-IE" w:eastAsia="hi-IN" w:bidi="hi-IN"/>
        </w:rPr>
        <w:t>iders may not be incentivised</w:t>
      </w:r>
      <w:r w:rsidRPr="00EF4492">
        <w:rPr>
          <w:rFonts w:eastAsia="Arial Unicode MS"/>
          <w:lang w:val="en-IE" w:eastAsia="hi-IN" w:bidi="hi-IN"/>
        </w:rPr>
        <w:t xml:space="preserve"> to sufficiently inform consumers. </w:t>
      </w:r>
      <w:r w:rsidR="002902BA" w:rsidRPr="00EF4492">
        <w:rPr>
          <w:rFonts w:eastAsia="Arial Unicode MS"/>
          <w:lang w:val="en-IE" w:eastAsia="hi-IN" w:bidi="hi-IN"/>
        </w:rPr>
        <w:t>Th</w:t>
      </w:r>
      <w:r w:rsidR="002902BA">
        <w:rPr>
          <w:rFonts w:eastAsia="Arial Unicode MS"/>
          <w:lang w:val="en-IE" w:eastAsia="hi-IN" w:bidi="hi-IN"/>
        </w:rPr>
        <w:t xml:space="preserve">is </w:t>
      </w:r>
      <w:r w:rsidR="002902BA" w:rsidRPr="00EF4492">
        <w:rPr>
          <w:rFonts w:eastAsia="Arial Unicode MS"/>
          <w:lang w:val="en-IE" w:eastAsia="hi-IN" w:bidi="hi-IN"/>
        </w:rPr>
        <w:t>may</w:t>
      </w:r>
      <w:r w:rsidRPr="00EF4492">
        <w:rPr>
          <w:rFonts w:eastAsia="Arial Unicode MS"/>
          <w:lang w:val="en-IE" w:eastAsia="hi-IN" w:bidi="hi-IN"/>
        </w:rPr>
        <w:t xml:space="preserve"> cause confusion, uncertainty and potentially reduced take up of competitive products that</w:t>
      </w:r>
      <w:r w:rsidR="00FC008F">
        <w:rPr>
          <w:rFonts w:eastAsia="Arial Unicode MS"/>
          <w:lang w:val="en-IE" w:eastAsia="hi-IN" w:bidi="hi-IN"/>
        </w:rPr>
        <w:t xml:space="preserve"> better</w:t>
      </w:r>
      <w:r w:rsidRPr="00EF4492">
        <w:rPr>
          <w:rFonts w:eastAsia="Arial Unicode MS"/>
          <w:lang w:val="en-IE" w:eastAsia="hi-IN" w:bidi="hi-IN"/>
        </w:rPr>
        <w:t xml:space="preserve"> meet consumer needs. </w:t>
      </w:r>
      <w:r w:rsidR="00FC008F">
        <w:rPr>
          <w:rFonts w:eastAsia="Arial Unicode MS"/>
          <w:lang w:val="en-IE" w:eastAsia="hi-IN" w:bidi="hi-IN"/>
        </w:rPr>
        <w:t xml:space="preserve">Such </w:t>
      </w:r>
      <w:r w:rsidR="002902BA">
        <w:rPr>
          <w:rFonts w:eastAsia="Arial Unicode MS"/>
          <w:lang w:val="en-IE" w:eastAsia="hi-IN" w:bidi="hi-IN"/>
        </w:rPr>
        <w:t xml:space="preserve">areas </w:t>
      </w:r>
      <w:r w:rsidR="002902BA" w:rsidRPr="00EF4492">
        <w:rPr>
          <w:rFonts w:eastAsia="Arial Unicode MS"/>
          <w:lang w:val="en-IE" w:eastAsia="hi-IN" w:bidi="hi-IN"/>
        </w:rPr>
        <w:t>include</w:t>
      </w:r>
      <w:r w:rsidRPr="00EF4492">
        <w:rPr>
          <w:rFonts w:eastAsia="Arial Unicode MS"/>
          <w:lang w:val="en-IE" w:eastAsia="hi-IN" w:bidi="hi-IN"/>
        </w:rPr>
        <w:t>;</w:t>
      </w:r>
    </w:p>
    <w:p w14:paraId="29450178" w14:textId="56E76283" w:rsidR="00EF4492" w:rsidRPr="002F652F" w:rsidRDefault="00EF4492" w:rsidP="00444A07">
      <w:pPr>
        <w:pStyle w:val="ListParagraph"/>
        <w:numPr>
          <w:ilvl w:val="0"/>
          <w:numId w:val="15"/>
        </w:numPr>
        <w:rPr>
          <w:rFonts w:eastAsia="Arial Unicode MS"/>
          <w:lang w:val="en-IE" w:eastAsia="hi-IN" w:bidi="hi-IN"/>
        </w:rPr>
      </w:pPr>
      <w:r w:rsidRPr="002F652F">
        <w:rPr>
          <w:rFonts w:eastAsia="Arial Unicode MS"/>
          <w:lang w:val="en-IE" w:eastAsia="hi-IN" w:bidi="hi-IN"/>
        </w:rPr>
        <w:t>Knowledge of how services will work in the case of power outages. For most consumers their service over nbn will not work in a power outage.</w:t>
      </w:r>
      <w:r w:rsidRPr="00EF4492">
        <w:rPr>
          <w:vertAlign w:val="superscript"/>
          <w:lang w:val="en-IE" w:bidi="hi-IN"/>
        </w:rPr>
        <w:footnoteReference w:id="18"/>
      </w:r>
      <w:r w:rsidRPr="002F652F">
        <w:rPr>
          <w:rFonts w:eastAsia="Arial Unicode MS"/>
          <w:lang w:val="en-IE" w:eastAsia="hi-IN" w:bidi="hi-IN"/>
        </w:rPr>
        <w:t xml:space="preserve"> This message is conveyed to consumers on the booklet they receive from nbn when they are switching over but consumers may not fully realise the implications of this</w:t>
      </w:r>
      <w:r w:rsidR="00FC008F">
        <w:rPr>
          <w:rFonts w:eastAsia="Arial Unicode MS"/>
          <w:lang w:val="en-IE" w:eastAsia="hi-IN" w:bidi="hi-IN"/>
        </w:rPr>
        <w:t>,</w:t>
      </w:r>
      <w:r w:rsidRPr="002F652F">
        <w:rPr>
          <w:rFonts w:eastAsia="Arial Unicode MS"/>
          <w:lang w:val="en-IE" w:eastAsia="hi-IN" w:bidi="hi-IN"/>
        </w:rPr>
        <w:t xml:space="preserve"> or how to prepare alternative services to use in these circumstances. There is currently no obligation on RSPs to inform consumers of this difference</w:t>
      </w:r>
      <w:r w:rsidR="00AC5E48">
        <w:rPr>
          <w:rFonts w:eastAsia="Arial Unicode MS"/>
          <w:lang w:val="en-IE" w:eastAsia="hi-IN" w:bidi="hi-IN"/>
        </w:rPr>
        <w:t xml:space="preserve"> over most of the technologies. Knowing this information my impact on the choice of services, particularly voice services that may be purchased for emergency situations. </w:t>
      </w:r>
    </w:p>
    <w:p w14:paraId="1DFC9EFA" w14:textId="435359DE" w:rsidR="00E2274A" w:rsidRPr="00A03E74" w:rsidRDefault="00EF4492" w:rsidP="00A03E74">
      <w:pPr>
        <w:pStyle w:val="ListParagraph"/>
        <w:numPr>
          <w:ilvl w:val="0"/>
          <w:numId w:val="15"/>
        </w:numPr>
        <w:rPr>
          <w:rFonts w:eastAsia="Arial Unicode MS"/>
          <w:lang w:val="en-IE" w:eastAsia="hi-IN" w:bidi="hi-IN"/>
        </w:rPr>
      </w:pPr>
      <w:r w:rsidRPr="002F652F">
        <w:rPr>
          <w:rFonts w:eastAsia="Arial Unicode MS"/>
          <w:lang w:val="en-IE" w:eastAsia="hi-IN" w:bidi="hi-IN"/>
        </w:rPr>
        <w:t xml:space="preserve">Understanding which devices (modem /routers and mobile phones) to buy based on the technology </w:t>
      </w:r>
      <w:r w:rsidR="002902BA">
        <w:rPr>
          <w:rFonts w:eastAsia="Arial Unicode MS"/>
          <w:lang w:val="en-IE" w:eastAsia="hi-IN" w:bidi="hi-IN"/>
        </w:rPr>
        <w:t>footprint for</w:t>
      </w:r>
      <w:r w:rsidR="00E2274A">
        <w:rPr>
          <w:rFonts w:eastAsia="Arial Unicode MS"/>
          <w:lang w:val="en-IE" w:eastAsia="hi-IN" w:bidi="hi-IN"/>
        </w:rPr>
        <w:t xml:space="preserve"> the </w:t>
      </w:r>
      <w:r w:rsidR="002902BA">
        <w:rPr>
          <w:rFonts w:eastAsia="Arial Unicode MS"/>
          <w:lang w:val="en-IE" w:eastAsia="hi-IN" w:bidi="hi-IN"/>
        </w:rPr>
        <w:t xml:space="preserve">consumers’ </w:t>
      </w:r>
      <w:r w:rsidR="002902BA" w:rsidRPr="002F652F">
        <w:rPr>
          <w:rFonts w:eastAsia="Arial Unicode MS"/>
          <w:lang w:val="en-IE" w:eastAsia="hi-IN" w:bidi="hi-IN"/>
        </w:rPr>
        <w:t>premises</w:t>
      </w:r>
      <w:r w:rsidRPr="002F652F">
        <w:rPr>
          <w:rFonts w:eastAsia="Arial Unicode MS"/>
          <w:lang w:val="en-IE" w:eastAsia="hi-IN" w:bidi="hi-IN"/>
        </w:rPr>
        <w:t xml:space="preserve">. This </w:t>
      </w:r>
      <w:r w:rsidR="00E2274A">
        <w:rPr>
          <w:rFonts w:eastAsia="Arial Unicode MS"/>
          <w:lang w:val="en-IE" w:eastAsia="hi-IN" w:bidi="hi-IN"/>
        </w:rPr>
        <w:t xml:space="preserve">arises due </w:t>
      </w:r>
      <w:r w:rsidR="002902BA">
        <w:rPr>
          <w:rFonts w:eastAsia="Arial Unicode MS"/>
          <w:lang w:val="en-IE" w:eastAsia="hi-IN" w:bidi="hi-IN"/>
        </w:rPr>
        <w:t xml:space="preserve">to </w:t>
      </w:r>
      <w:r w:rsidR="002902BA" w:rsidRPr="002F652F">
        <w:rPr>
          <w:rFonts w:eastAsia="Arial Unicode MS"/>
          <w:lang w:val="en-IE" w:eastAsia="hi-IN" w:bidi="hi-IN"/>
        </w:rPr>
        <w:t>the</w:t>
      </w:r>
      <w:r w:rsidRPr="002F652F">
        <w:rPr>
          <w:rFonts w:eastAsia="Arial Unicode MS"/>
          <w:lang w:val="en-IE" w:eastAsia="hi-IN" w:bidi="hi-IN"/>
        </w:rPr>
        <w:t xml:space="preserve"> different nbn technologies and the corresponding modem/router device</w:t>
      </w:r>
      <w:r w:rsidR="00E2274A">
        <w:rPr>
          <w:rFonts w:eastAsia="Arial Unicode MS"/>
          <w:lang w:val="en-IE" w:eastAsia="hi-IN" w:bidi="hi-IN"/>
        </w:rPr>
        <w:t xml:space="preserve">s. These </w:t>
      </w:r>
      <w:r w:rsidRPr="002F652F">
        <w:rPr>
          <w:rFonts w:eastAsia="Arial Unicode MS"/>
          <w:lang w:val="en-IE" w:eastAsia="hi-IN" w:bidi="hi-IN"/>
        </w:rPr>
        <w:t xml:space="preserve">are simply </w:t>
      </w:r>
      <w:r w:rsidR="00EC7AB8" w:rsidRPr="002F652F">
        <w:rPr>
          <w:rFonts w:eastAsia="Arial Unicode MS"/>
          <w:lang w:val="en-IE" w:eastAsia="hi-IN" w:bidi="hi-IN"/>
        </w:rPr>
        <w:t>labelled</w:t>
      </w:r>
      <w:r w:rsidRPr="002F652F">
        <w:rPr>
          <w:rFonts w:eastAsia="Arial Unicode MS"/>
          <w:lang w:val="en-IE" w:eastAsia="hi-IN" w:bidi="hi-IN"/>
        </w:rPr>
        <w:t xml:space="preserve"> as nbn ready. </w:t>
      </w:r>
      <w:r w:rsidR="00FC008F">
        <w:rPr>
          <w:rFonts w:eastAsia="Arial Unicode MS"/>
          <w:lang w:val="en-IE" w:eastAsia="hi-IN" w:bidi="hi-IN"/>
        </w:rPr>
        <w:t>However, e</w:t>
      </w:r>
      <w:r w:rsidRPr="002F652F">
        <w:rPr>
          <w:rFonts w:eastAsia="Arial Unicode MS"/>
          <w:lang w:val="en-IE" w:eastAsia="hi-IN" w:bidi="hi-IN"/>
        </w:rPr>
        <w:t>ach technology that nbn is using may require different 'nbn ready' devices. Consumers may need to purchase new devices depending on the technology at the</w:t>
      </w:r>
      <w:r w:rsidR="00E2274A">
        <w:rPr>
          <w:rFonts w:eastAsia="Arial Unicode MS"/>
          <w:lang w:val="en-IE" w:eastAsia="hi-IN" w:bidi="hi-IN"/>
        </w:rPr>
        <w:t>ir premises</w:t>
      </w:r>
      <w:r w:rsidRPr="002F652F">
        <w:rPr>
          <w:rFonts w:eastAsia="Arial Unicode MS"/>
          <w:lang w:val="en-IE" w:eastAsia="hi-IN" w:bidi="hi-IN"/>
        </w:rPr>
        <w:t>, but may not be aware of the technology being used. Additionally, ACCAN has heard that some consumers are not benefiting from increased mobile coverage as their mobile device does not work with the next generation coverage available. If consumers purchase devices from technology stores or maintain legacy devices they may not be fully benefitting from the increased investment</w:t>
      </w:r>
      <w:r w:rsidR="006E00C2">
        <w:rPr>
          <w:rFonts w:eastAsia="Arial Unicode MS"/>
          <w:lang w:val="en-IE" w:eastAsia="hi-IN" w:bidi="hi-IN"/>
        </w:rPr>
        <w:t xml:space="preserve"> and next generation </w:t>
      </w:r>
      <w:r w:rsidR="002902BA">
        <w:rPr>
          <w:rFonts w:eastAsia="Arial Unicode MS"/>
          <w:lang w:val="en-IE" w:eastAsia="hi-IN" w:bidi="hi-IN"/>
        </w:rPr>
        <w:t>technology</w:t>
      </w:r>
      <w:r w:rsidRPr="002F652F">
        <w:rPr>
          <w:rFonts w:eastAsia="Arial Unicode MS"/>
          <w:lang w:val="en-IE" w:eastAsia="hi-IN" w:bidi="hi-IN"/>
        </w:rPr>
        <w:t>.</w:t>
      </w:r>
    </w:p>
    <w:p w14:paraId="7F6B9EE7" w14:textId="67335CB5" w:rsidR="00EF4492" w:rsidRPr="002902BA" w:rsidRDefault="00EF4492" w:rsidP="00444A07">
      <w:pPr>
        <w:pStyle w:val="ListParagraph"/>
        <w:numPr>
          <w:ilvl w:val="0"/>
          <w:numId w:val="15"/>
        </w:numPr>
        <w:rPr>
          <w:rFonts w:asciiTheme="minorHAnsi" w:eastAsia="Arial Unicode MS" w:hAnsiTheme="minorHAnsi"/>
          <w:color w:val="222222"/>
          <w:lang w:val="en-IE" w:eastAsia="hi-IN" w:bidi="hi-IN"/>
        </w:rPr>
      </w:pPr>
      <w:r w:rsidRPr="002F652F">
        <w:rPr>
          <w:rFonts w:eastAsia="Arial Unicode MS"/>
          <w:lang w:val="en-IE" w:eastAsia="hi-IN" w:bidi="hi-IN"/>
        </w:rPr>
        <w:t xml:space="preserve">How voice services will be delivered over IP. For the most part consumers will be using voice over IP (over NBN technologies and LTE - only consumers in the Satellite and Fixed Wireless areas will still have traditional voice services). Providers are calling these voice services different names and it is difficult to understand the level </w:t>
      </w:r>
      <w:r w:rsidRPr="002F652F">
        <w:rPr>
          <w:rFonts w:eastAsia="Arial Unicode MS"/>
          <w:lang w:val="en-IE" w:eastAsia="hi-IN" w:bidi="hi-IN"/>
        </w:rPr>
        <w:lastRenderedPageBreak/>
        <w:t xml:space="preserve">of quality </w:t>
      </w:r>
      <w:r w:rsidR="002902BA" w:rsidRPr="002F652F">
        <w:rPr>
          <w:rFonts w:eastAsia="Arial Unicode MS"/>
          <w:lang w:val="en-IE" w:eastAsia="hi-IN" w:bidi="hi-IN"/>
        </w:rPr>
        <w:t>that associated</w:t>
      </w:r>
      <w:r w:rsidRPr="002F652F">
        <w:rPr>
          <w:rFonts w:eastAsia="Arial Unicode MS"/>
          <w:lang w:val="en-IE" w:eastAsia="hi-IN" w:bidi="hi-IN"/>
        </w:rPr>
        <w:t xml:space="preserve"> with each service and the different devices that are </w:t>
      </w:r>
      <w:r w:rsidRPr="002902BA">
        <w:rPr>
          <w:rFonts w:asciiTheme="minorHAnsi" w:eastAsia="Arial Unicode MS" w:hAnsiTheme="minorHAnsi"/>
          <w:lang w:val="en-IE" w:eastAsia="hi-IN" w:bidi="hi-IN"/>
        </w:rPr>
        <w:t xml:space="preserve">supported. In relation to </w:t>
      </w:r>
      <w:r w:rsidRPr="002902BA">
        <w:rPr>
          <w:rFonts w:asciiTheme="minorHAnsi" w:eastAsia="Arial Unicode MS" w:hAnsiTheme="minorHAnsi"/>
          <w:color w:val="222222"/>
          <w:lang w:val="en-IE" w:eastAsia="hi-IN" w:bidi="hi-IN"/>
        </w:rPr>
        <w:t xml:space="preserve">NBN VoIP products, it is also unclear if devices and handsets are transferrable between different RSP VoIP services. </w:t>
      </w:r>
      <w:r w:rsidR="00E2274A" w:rsidRPr="002902BA">
        <w:rPr>
          <w:rFonts w:asciiTheme="minorHAnsi" w:eastAsia="Arial Unicode MS" w:hAnsiTheme="minorHAnsi"/>
          <w:color w:val="222222"/>
          <w:lang w:val="en-IE" w:eastAsia="hi-IN" w:bidi="hi-IN"/>
        </w:rPr>
        <w:t xml:space="preserve">For example, </w:t>
      </w:r>
      <w:r w:rsidRPr="002902BA">
        <w:rPr>
          <w:rFonts w:asciiTheme="minorHAnsi" w:eastAsia="Arial Unicode MS" w:hAnsiTheme="minorHAnsi"/>
          <w:color w:val="222222"/>
          <w:lang w:val="en-IE" w:eastAsia="hi-IN" w:bidi="hi-IN"/>
        </w:rPr>
        <w:t xml:space="preserve">ACCAN was recently contacted by a consumer utilising a Unicode NBN VoIP handset with alarm pendant. The device works over Telstra nbn VoIP services (it was sold as an NBN ready device), but when the consumer asked iiNet they informed her that they do not support this device. </w:t>
      </w:r>
    </w:p>
    <w:p w14:paraId="5EBC0C10" w14:textId="77777777" w:rsidR="00EF4492" w:rsidRPr="00EF4492" w:rsidRDefault="00EF4492" w:rsidP="002F652F">
      <w:pPr>
        <w:pStyle w:val="Heading3"/>
        <w:rPr>
          <w:rFonts w:eastAsia="Arial Unicode MS"/>
          <w:lang w:val="en-IE" w:bidi="hi-IN"/>
        </w:rPr>
      </w:pPr>
      <w:bookmarkStart w:id="16" w:name="_Toc465667600"/>
      <w:r w:rsidRPr="00EF4492">
        <w:rPr>
          <w:rFonts w:eastAsia="Arial Unicode MS"/>
          <w:lang w:val="en-IE" w:bidi="hi-IN"/>
        </w:rPr>
        <w:t>Search Costs and niche products and services</w:t>
      </w:r>
      <w:bookmarkEnd w:id="16"/>
    </w:p>
    <w:p w14:paraId="6F279D4C" w14:textId="54606EC2" w:rsidR="00D81D88" w:rsidRDefault="00EF4492" w:rsidP="002F652F">
      <w:pPr>
        <w:rPr>
          <w:rFonts w:eastAsia="Arial Unicode MS"/>
          <w:lang w:val="en-IE" w:eastAsia="hi-IN" w:bidi="hi-IN"/>
        </w:rPr>
      </w:pPr>
      <w:r w:rsidRPr="00EF4492">
        <w:rPr>
          <w:rFonts w:eastAsia="Arial Unicode MS"/>
          <w:lang w:val="en-IE" w:eastAsia="hi-IN" w:bidi="hi-IN"/>
        </w:rPr>
        <w:t xml:space="preserve">Advertisements, reviews and information are widely available for the flagship devices and top service providers. </w:t>
      </w:r>
      <w:r w:rsidR="002902BA" w:rsidRPr="00EF4492">
        <w:rPr>
          <w:rFonts w:eastAsia="Arial Unicode MS"/>
          <w:lang w:val="en-IE" w:eastAsia="hi-IN" w:bidi="hi-IN"/>
        </w:rPr>
        <w:t>Consumers requiring</w:t>
      </w:r>
      <w:r w:rsidR="002902BA">
        <w:rPr>
          <w:rFonts w:eastAsia="Arial Unicode MS"/>
          <w:lang w:val="en-IE" w:eastAsia="hi-IN" w:bidi="hi-IN"/>
        </w:rPr>
        <w:t xml:space="preserve"> </w:t>
      </w:r>
      <w:r w:rsidR="002902BA" w:rsidRPr="00EF4492">
        <w:rPr>
          <w:rFonts w:eastAsia="Arial Unicode MS"/>
          <w:lang w:val="en-IE" w:eastAsia="hi-IN" w:bidi="hi-IN"/>
        </w:rPr>
        <w:t>niche</w:t>
      </w:r>
      <w:r w:rsidRPr="00EF4492">
        <w:rPr>
          <w:rFonts w:eastAsia="Arial Unicode MS"/>
          <w:lang w:val="en-IE" w:eastAsia="hi-IN" w:bidi="hi-IN"/>
        </w:rPr>
        <w:t xml:space="preserve"> products </w:t>
      </w:r>
      <w:r w:rsidR="00E2274A" w:rsidRPr="00EF4492">
        <w:rPr>
          <w:rFonts w:eastAsia="Arial Unicode MS"/>
          <w:lang w:val="en-IE" w:eastAsia="hi-IN" w:bidi="hi-IN"/>
        </w:rPr>
        <w:t>can face increased search costs in finding products and services that meet their needs</w:t>
      </w:r>
      <w:r w:rsidR="00E2274A">
        <w:rPr>
          <w:rFonts w:eastAsia="Arial Unicode MS"/>
          <w:lang w:val="en-IE" w:eastAsia="hi-IN" w:bidi="hi-IN"/>
        </w:rPr>
        <w:t xml:space="preserve">. These </w:t>
      </w:r>
      <w:r w:rsidRPr="00EF4492">
        <w:rPr>
          <w:rFonts w:eastAsia="Arial Unicode MS"/>
          <w:lang w:val="en-IE" w:eastAsia="hi-IN" w:bidi="hi-IN"/>
        </w:rPr>
        <w:t xml:space="preserve"> consumers </w:t>
      </w:r>
      <w:r w:rsidR="00E2274A">
        <w:rPr>
          <w:rFonts w:eastAsia="Arial Unicode MS"/>
          <w:lang w:val="en-IE" w:eastAsia="hi-IN" w:bidi="hi-IN"/>
        </w:rPr>
        <w:t xml:space="preserve">include those </w:t>
      </w:r>
      <w:r w:rsidRPr="00EF4492">
        <w:rPr>
          <w:rFonts w:eastAsia="Arial Unicode MS"/>
          <w:lang w:val="en-IE" w:eastAsia="hi-IN" w:bidi="hi-IN"/>
        </w:rPr>
        <w:t>with disabilities</w:t>
      </w:r>
      <w:r w:rsidR="00E2274A">
        <w:rPr>
          <w:rFonts w:eastAsia="Arial Unicode MS"/>
          <w:lang w:val="en-IE" w:eastAsia="hi-IN" w:bidi="hi-IN"/>
        </w:rPr>
        <w:t>;</w:t>
      </w:r>
      <w:r w:rsidRPr="00EF4492">
        <w:rPr>
          <w:rFonts w:eastAsia="Arial Unicode MS"/>
          <w:lang w:val="en-IE" w:eastAsia="hi-IN" w:bidi="hi-IN"/>
        </w:rPr>
        <w:t xml:space="preserve"> those in geographically isolated locations that require specialised equipment</w:t>
      </w:r>
      <w:r w:rsidR="00E2274A">
        <w:rPr>
          <w:rFonts w:eastAsia="Arial Unicode MS"/>
          <w:lang w:val="en-IE" w:eastAsia="hi-IN" w:bidi="hi-IN"/>
        </w:rPr>
        <w:t xml:space="preserve">; </w:t>
      </w:r>
      <w:r w:rsidRPr="00EF4492">
        <w:rPr>
          <w:rFonts w:eastAsia="Arial Unicode MS"/>
          <w:lang w:val="en-IE" w:eastAsia="hi-IN" w:bidi="hi-IN"/>
        </w:rPr>
        <w:t>small businesses</w:t>
      </w:r>
      <w:r w:rsidR="00E2274A">
        <w:rPr>
          <w:rFonts w:eastAsia="Arial Unicode MS"/>
          <w:lang w:val="en-IE" w:eastAsia="hi-IN" w:bidi="hi-IN"/>
        </w:rPr>
        <w:t xml:space="preserve">; those </w:t>
      </w:r>
      <w:r w:rsidRPr="00EF4492">
        <w:rPr>
          <w:rFonts w:eastAsia="Arial Unicode MS"/>
          <w:lang w:val="en-IE" w:eastAsia="hi-IN" w:bidi="hi-IN"/>
        </w:rPr>
        <w:t xml:space="preserve"> in areas that do not have access to a range of providers (such as residents in a development served only by small providers that are not on comparison websites or regional consumers with limited RSPs)</w:t>
      </w:r>
      <w:r w:rsidR="002902BA">
        <w:rPr>
          <w:rFonts w:eastAsia="Arial Unicode MS"/>
          <w:lang w:val="en-IE" w:eastAsia="hi-IN" w:bidi="hi-IN"/>
        </w:rPr>
        <w:t>.</w:t>
      </w:r>
    </w:p>
    <w:p w14:paraId="5DCA647E" w14:textId="4DF1872F" w:rsidR="00D81D88" w:rsidRDefault="006B1BA3" w:rsidP="002F652F">
      <w:pPr>
        <w:rPr>
          <w:rFonts w:eastAsia="Arial Unicode MS"/>
          <w:lang w:val="en-IE" w:eastAsia="hi-IN" w:bidi="hi-IN"/>
        </w:rPr>
      </w:pPr>
      <w:r>
        <w:rPr>
          <w:rFonts w:eastAsia="Arial Unicode MS"/>
          <w:lang w:val="en-IE" w:eastAsia="hi-IN" w:bidi="hi-IN"/>
        </w:rPr>
        <w:t xml:space="preserve">For example, </w:t>
      </w:r>
      <w:r w:rsidR="00EF4492" w:rsidRPr="00EF4492">
        <w:rPr>
          <w:rFonts w:eastAsia="Arial Unicode MS"/>
          <w:lang w:val="en-IE" w:eastAsia="hi-IN" w:bidi="hi-IN"/>
        </w:rPr>
        <w:t xml:space="preserve">ACCAN research has previously found that </w:t>
      </w:r>
      <w:proofErr w:type="spellStart"/>
      <w:r w:rsidR="00E2274A">
        <w:rPr>
          <w:rFonts w:eastAsia="Arial Unicode MS"/>
          <w:lang w:val="en-IE" w:eastAsia="hi-IN" w:bidi="hi-IN"/>
        </w:rPr>
        <w:t>t</w:t>
      </w:r>
      <w:r w:rsidR="00EF4492" w:rsidRPr="00EF4492">
        <w:rPr>
          <w:rFonts w:eastAsia="Arial Unicode MS"/>
          <w:lang w:val="en-IE" w:eastAsia="hi-IN" w:bidi="hi-IN"/>
        </w:rPr>
        <w:t>elco</w:t>
      </w:r>
      <w:proofErr w:type="spellEnd"/>
      <w:r w:rsidR="00EF4492" w:rsidRPr="00EF4492">
        <w:rPr>
          <w:rFonts w:eastAsia="Arial Unicode MS"/>
          <w:lang w:val="en-IE" w:eastAsia="hi-IN" w:bidi="hi-IN"/>
        </w:rPr>
        <w:t xml:space="preserve"> customer facing </w:t>
      </w:r>
      <w:proofErr w:type="gramStart"/>
      <w:r w:rsidR="00EF4492" w:rsidRPr="00EF4492">
        <w:rPr>
          <w:rFonts w:eastAsia="Arial Unicode MS"/>
          <w:lang w:val="en-IE" w:eastAsia="hi-IN" w:bidi="hi-IN"/>
        </w:rPr>
        <w:t>staff have</w:t>
      </w:r>
      <w:proofErr w:type="gramEnd"/>
      <w:r w:rsidR="00EF4492" w:rsidRPr="00EF4492">
        <w:rPr>
          <w:rFonts w:eastAsia="Arial Unicode MS"/>
          <w:lang w:val="en-IE" w:eastAsia="hi-IN" w:bidi="hi-IN"/>
        </w:rPr>
        <w:t xml:space="preserve"> very limited knowledge of mainstream and assistive products and services suitable for consumers with disability.</w:t>
      </w:r>
      <w:r w:rsidR="00EF4492" w:rsidRPr="00EF4492">
        <w:rPr>
          <w:rFonts w:eastAsia="Arial Unicode MS"/>
          <w:vertAlign w:val="superscript"/>
          <w:lang w:val="en-IE" w:eastAsia="hi-IN" w:bidi="hi-IN"/>
        </w:rPr>
        <w:footnoteReference w:id="19"/>
      </w:r>
      <w:r w:rsidR="00EF4492" w:rsidRPr="00EF4492">
        <w:rPr>
          <w:rFonts w:eastAsia="Arial Unicode MS"/>
          <w:lang w:val="en-IE" w:eastAsia="hi-IN" w:bidi="hi-IN"/>
        </w:rPr>
        <w:t xml:space="preserve"> There is limited availability of mobile plans with only text and data components. This means that consumers with disability who do not use voice are paying for a plan component (voice) which they cannot use and do</w:t>
      </w:r>
      <w:r w:rsidR="00D81D88">
        <w:rPr>
          <w:rFonts w:eastAsia="Arial Unicode MS"/>
          <w:lang w:val="en-IE" w:eastAsia="hi-IN" w:bidi="hi-IN"/>
        </w:rPr>
        <w:t xml:space="preserve"> </w:t>
      </w:r>
      <w:r w:rsidR="00EF4492" w:rsidRPr="00EF4492">
        <w:rPr>
          <w:rFonts w:eastAsia="Arial Unicode MS"/>
          <w:lang w:val="en-IE" w:eastAsia="hi-IN" w:bidi="hi-IN"/>
        </w:rPr>
        <w:t>n</w:t>
      </w:r>
      <w:r w:rsidR="00D81D88">
        <w:rPr>
          <w:rFonts w:eastAsia="Arial Unicode MS"/>
          <w:lang w:val="en-IE" w:eastAsia="hi-IN" w:bidi="hi-IN"/>
        </w:rPr>
        <w:t>o</w:t>
      </w:r>
      <w:r w:rsidR="00EF4492" w:rsidRPr="00EF4492">
        <w:rPr>
          <w:rFonts w:eastAsia="Arial Unicode MS"/>
          <w:lang w:val="en-IE" w:eastAsia="hi-IN" w:bidi="hi-IN"/>
        </w:rPr>
        <w:t xml:space="preserve">t want. </w:t>
      </w:r>
      <w:r w:rsidR="00ED3D6A">
        <w:rPr>
          <w:rFonts w:eastAsia="Arial Unicode MS"/>
          <w:lang w:val="en-IE" w:eastAsia="hi-IN" w:bidi="hi-IN"/>
        </w:rPr>
        <w:t xml:space="preserve">Consumers with disability </w:t>
      </w:r>
      <w:r w:rsidR="002902BA">
        <w:rPr>
          <w:rFonts w:eastAsia="Arial Unicode MS"/>
          <w:lang w:val="en-IE" w:eastAsia="hi-IN" w:bidi="hi-IN"/>
        </w:rPr>
        <w:t>n</w:t>
      </w:r>
      <w:r w:rsidR="002902BA" w:rsidRPr="00EF4492">
        <w:rPr>
          <w:rFonts w:eastAsia="Arial Unicode MS"/>
          <w:lang w:val="en-IE" w:eastAsia="hi-IN" w:bidi="hi-IN"/>
        </w:rPr>
        <w:t>eed to</w:t>
      </w:r>
      <w:r w:rsidR="00EF4492" w:rsidRPr="00EF4492">
        <w:rPr>
          <w:rFonts w:eastAsia="Arial Unicode MS"/>
          <w:lang w:val="en-IE" w:eastAsia="hi-IN" w:bidi="hi-IN"/>
        </w:rPr>
        <w:t xml:space="preserve"> be able to easily identify these new products and specialised services</w:t>
      </w:r>
      <w:r w:rsidR="00ED3D6A">
        <w:rPr>
          <w:rFonts w:eastAsia="Arial Unicode MS"/>
          <w:lang w:val="en-IE" w:eastAsia="hi-IN" w:bidi="hi-IN"/>
        </w:rPr>
        <w:t xml:space="preserve"> that match their requirements</w:t>
      </w:r>
      <w:r w:rsidR="00EF4492" w:rsidRPr="00EF4492">
        <w:rPr>
          <w:rFonts w:eastAsia="Arial Unicode MS"/>
          <w:lang w:val="en-IE" w:eastAsia="hi-IN" w:bidi="hi-IN"/>
        </w:rPr>
        <w:t xml:space="preserve">. </w:t>
      </w:r>
    </w:p>
    <w:p w14:paraId="387E2797" w14:textId="48E65D52" w:rsidR="00EF4492" w:rsidRDefault="00EF4492" w:rsidP="002F652F">
      <w:pPr>
        <w:rPr>
          <w:rFonts w:eastAsia="Arial Unicode MS"/>
          <w:lang w:val="en-IE" w:eastAsia="hi-IN" w:bidi="hi-IN"/>
        </w:rPr>
      </w:pPr>
      <w:r w:rsidRPr="00EF4492">
        <w:rPr>
          <w:rFonts w:eastAsia="Arial Unicode MS"/>
          <w:lang w:val="en-IE" w:eastAsia="hi-IN" w:bidi="hi-IN"/>
        </w:rPr>
        <w:t>Search cost for these niche products and services may currently be too high and reducing the ability for the market to meet these needs</w:t>
      </w:r>
      <w:r w:rsidR="006E00C2">
        <w:rPr>
          <w:rFonts w:eastAsia="Arial Unicode MS"/>
          <w:lang w:val="en-IE" w:eastAsia="hi-IN" w:bidi="hi-IN"/>
        </w:rPr>
        <w:t xml:space="preserve"> competitively</w:t>
      </w:r>
      <w:r w:rsidRPr="00EF4492">
        <w:rPr>
          <w:rFonts w:eastAsia="Arial Unicode MS"/>
          <w:lang w:val="en-IE" w:eastAsia="hi-IN" w:bidi="hi-IN"/>
        </w:rPr>
        <w:t xml:space="preserve">. </w:t>
      </w:r>
    </w:p>
    <w:p w14:paraId="5AC1A252" w14:textId="77777777" w:rsidR="00274BCA" w:rsidRDefault="00274BCA" w:rsidP="00274BCA">
      <w:pPr>
        <w:pStyle w:val="Heading3"/>
        <w:rPr>
          <w:rFonts w:eastAsia="Arial Unicode MS"/>
          <w:lang w:val="en-IE" w:bidi="hi-IN"/>
        </w:rPr>
      </w:pPr>
      <w:bookmarkStart w:id="17" w:name="_Toc465667601"/>
      <w:r>
        <w:rPr>
          <w:rFonts w:eastAsia="Arial Unicode MS"/>
          <w:lang w:val="en-IE" w:bidi="hi-IN"/>
        </w:rPr>
        <w:t>Service Guarantees</w:t>
      </w:r>
      <w:bookmarkEnd w:id="17"/>
    </w:p>
    <w:p w14:paraId="143D9F60" w14:textId="579D1901" w:rsidR="00525DC9" w:rsidRPr="00525DC9" w:rsidRDefault="00274BCA" w:rsidP="00525DC9">
      <w:pPr>
        <w:rPr>
          <w:lang w:val="en-IE" w:eastAsia="en-US" w:bidi="hi-IN"/>
        </w:rPr>
      </w:pPr>
      <w:r w:rsidRPr="000D5C05">
        <w:rPr>
          <w:lang w:val="en-IE" w:eastAsia="en-US" w:bidi="hi-IN"/>
        </w:rPr>
        <w:t>A key issue for consumers is the level of service</w:t>
      </w:r>
      <w:r w:rsidR="000D5C05">
        <w:rPr>
          <w:lang w:val="en-IE" w:eastAsia="en-US" w:bidi="hi-IN"/>
        </w:rPr>
        <w:t>,</w:t>
      </w:r>
      <w:r w:rsidRPr="000D5C05">
        <w:rPr>
          <w:lang w:val="en-IE" w:eastAsia="en-US" w:bidi="hi-IN"/>
        </w:rPr>
        <w:t xml:space="preserve"> reliability</w:t>
      </w:r>
      <w:r w:rsidR="000D5C05">
        <w:rPr>
          <w:lang w:val="en-IE" w:eastAsia="en-US" w:bidi="hi-IN"/>
        </w:rPr>
        <w:t xml:space="preserve"> and connection and fault repair </w:t>
      </w:r>
      <w:r w:rsidR="002902BA">
        <w:rPr>
          <w:lang w:val="en-IE" w:eastAsia="en-US" w:bidi="hi-IN"/>
        </w:rPr>
        <w:t>timeframes</w:t>
      </w:r>
      <w:r w:rsidR="002902BA" w:rsidRPr="000D5C05">
        <w:rPr>
          <w:lang w:val="en-IE" w:eastAsia="en-US" w:bidi="hi-IN"/>
        </w:rPr>
        <w:t xml:space="preserve"> offered</w:t>
      </w:r>
      <w:r w:rsidRPr="000D5C05">
        <w:rPr>
          <w:lang w:val="en-IE" w:eastAsia="en-US" w:bidi="hi-IN"/>
        </w:rPr>
        <w:t xml:space="preserve"> with their service.</w:t>
      </w:r>
      <w:r w:rsidR="000D5C05">
        <w:rPr>
          <w:lang w:val="en-IE" w:eastAsia="en-US" w:bidi="hi-IN"/>
        </w:rPr>
        <w:t xml:space="preserve"> </w:t>
      </w:r>
      <w:r w:rsidR="00525DC9">
        <w:rPr>
          <w:lang w:val="en-IE" w:eastAsia="en-US" w:bidi="hi-IN"/>
        </w:rPr>
        <w:t xml:space="preserve">For example, there is a particular need for service guarantees for small businesses. </w:t>
      </w:r>
      <w:r w:rsidR="00525DC9" w:rsidRPr="00525DC9">
        <w:rPr>
          <w:lang w:eastAsia="en-US" w:bidi="hi-IN"/>
        </w:rPr>
        <w:t>Research by ACCAN identified that the level of service offered to small businesses are not aligned to their need for higher level of service reliability and support, which was thought to be part of these plans.</w:t>
      </w:r>
      <w:r w:rsidR="00525DC9" w:rsidRPr="00525DC9">
        <w:rPr>
          <w:vertAlign w:val="superscript"/>
          <w:lang w:eastAsia="en-US" w:bidi="hi-IN"/>
        </w:rPr>
        <w:footnoteReference w:id="20"/>
      </w:r>
    </w:p>
    <w:p w14:paraId="40D517FA" w14:textId="77777777" w:rsidR="00525DC9" w:rsidRDefault="000D5C05" w:rsidP="00274BCA">
      <w:pPr>
        <w:rPr>
          <w:lang w:eastAsia="en-US" w:bidi="hi-IN"/>
        </w:rPr>
      </w:pPr>
      <w:r w:rsidRPr="000D5C05">
        <w:rPr>
          <w:lang w:eastAsia="en-US" w:bidi="hi-IN"/>
        </w:rPr>
        <w:t>While there are legal consumer guarantees over the provision of services, there is little case law on how these might work in practice in telecommunications.</w:t>
      </w:r>
      <w:r w:rsidRPr="000D5C05">
        <w:rPr>
          <w:vertAlign w:val="superscript"/>
          <w:lang w:eastAsia="en-US" w:bidi="hi-IN"/>
        </w:rPr>
        <w:footnoteReference w:id="21"/>
      </w:r>
      <w:r w:rsidRPr="000D5C05">
        <w:rPr>
          <w:lang w:eastAsia="en-US" w:bidi="hi-IN"/>
        </w:rPr>
        <w:t xml:space="preserve"> Without a clearly codified </w:t>
      </w:r>
      <w:r w:rsidRPr="000D5C05">
        <w:rPr>
          <w:lang w:eastAsia="en-US" w:bidi="hi-IN"/>
        </w:rPr>
        <w:lastRenderedPageBreak/>
        <w:t xml:space="preserve">framework, it is difficult for consumers to enforce their rights over this complicated service delivery model. </w:t>
      </w:r>
    </w:p>
    <w:p w14:paraId="517D1528" w14:textId="4A0598C7" w:rsidR="00274BCA" w:rsidRDefault="000D5C05" w:rsidP="00274BCA">
      <w:pPr>
        <w:rPr>
          <w:lang w:eastAsia="en-US" w:bidi="hi-IN"/>
        </w:rPr>
      </w:pPr>
      <w:r w:rsidRPr="000D5C05">
        <w:rPr>
          <w:lang w:eastAsia="en-US" w:bidi="hi-IN"/>
        </w:rPr>
        <w:t xml:space="preserve">While consumers may have some success asserting their rights at the retail level under contract or the Australian Consumer Law, the wholesale level, where crucial services are delivered, remains largely unprotected. </w:t>
      </w:r>
      <w:r>
        <w:rPr>
          <w:lang w:eastAsia="en-US" w:bidi="hi-IN"/>
        </w:rPr>
        <w:t>ACCAN has previously called for specified guarantees that the wholesale level across all providers.</w:t>
      </w:r>
      <w:r>
        <w:rPr>
          <w:rStyle w:val="FootnoteReference"/>
          <w:lang w:val="en-IE" w:eastAsia="en-US" w:bidi="hi-IN"/>
        </w:rPr>
        <w:footnoteReference w:id="22"/>
      </w:r>
      <w:r>
        <w:rPr>
          <w:lang w:eastAsia="en-US" w:bidi="hi-IN"/>
        </w:rPr>
        <w:t xml:space="preserve"> These should be transparent so competition at the network level can occur and consumers can </w:t>
      </w:r>
      <w:r w:rsidR="006B1BA3">
        <w:rPr>
          <w:lang w:eastAsia="en-US" w:bidi="hi-IN"/>
        </w:rPr>
        <w:t>know</w:t>
      </w:r>
      <w:r>
        <w:rPr>
          <w:lang w:eastAsia="en-US" w:bidi="hi-IN"/>
        </w:rPr>
        <w:t xml:space="preserve"> about the level of service offered over each network. Incentives to encourage greater network performance could be considered by the ACCC in its regulation of the networks.</w:t>
      </w:r>
    </w:p>
    <w:p w14:paraId="46A1728D" w14:textId="77777777" w:rsidR="00274BCA" w:rsidRPr="002902BA" w:rsidRDefault="00274BCA" w:rsidP="002902BA">
      <w:pPr>
        <w:pStyle w:val="Heading4"/>
        <w:rPr>
          <w:lang w:val="en-US" w:bidi="hi-IN"/>
        </w:rPr>
      </w:pPr>
      <w:r w:rsidRPr="002902BA">
        <w:rPr>
          <w:lang w:val="en-US" w:bidi="hi-IN"/>
        </w:rPr>
        <w:t>Compensation for service quality issues</w:t>
      </w:r>
    </w:p>
    <w:p w14:paraId="3AB46EF4" w14:textId="7512F2D9" w:rsidR="00274BCA" w:rsidRPr="002902BA" w:rsidRDefault="00274BCA" w:rsidP="00274BCA">
      <w:pPr>
        <w:rPr>
          <w:lang w:val="en-US" w:eastAsia="en-US" w:bidi="hi-IN"/>
        </w:rPr>
      </w:pPr>
      <w:r w:rsidRPr="002902BA">
        <w:rPr>
          <w:lang w:val="en-US" w:eastAsia="en-US" w:bidi="hi-IN"/>
        </w:rPr>
        <w:t xml:space="preserve">During the recent string of Telstra outages, which impacted landline, mobile and internet services for millions of consumers, there was </w:t>
      </w:r>
      <w:r w:rsidR="002902BA" w:rsidRPr="002902BA">
        <w:rPr>
          <w:lang w:val="en-US" w:eastAsia="en-US" w:bidi="hi-IN"/>
        </w:rPr>
        <w:t>considerable confusion</w:t>
      </w:r>
      <w:r w:rsidRPr="002902BA">
        <w:rPr>
          <w:lang w:val="en-US" w:eastAsia="en-US" w:bidi="hi-IN"/>
        </w:rPr>
        <w:t xml:space="preserve"> about what remedies might be available. Telstra attempted to address this issue by offering ‘free data’ days.</w:t>
      </w:r>
      <w:r w:rsidRPr="002902BA">
        <w:rPr>
          <w:vertAlign w:val="superscript"/>
          <w:lang w:val="en-IE" w:eastAsia="en-US" w:bidi="hi-IN"/>
        </w:rPr>
        <w:footnoteReference w:id="23"/>
      </w:r>
      <w:r w:rsidRPr="002902BA">
        <w:rPr>
          <w:lang w:val="en-US" w:eastAsia="en-US" w:bidi="hi-IN"/>
        </w:rPr>
        <w:t xml:space="preserve"> This ad-hoc offer took place on a Sunday and only related to mobile data, which meant many businesses and </w:t>
      </w:r>
      <w:r w:rsidR="002902BA" w:rsidRPr="002902BA">
        <w:rPr>
          <w:lang w:val="en-US" w:eastAsia="en-US" w:bidi="hi-IN"/>
        </w:rPr>
        <w:t>non-data</w:t>
      </w:r>
      <w:r w:rsidRPr="002902BA">
        <w:rPr>
          <w:lang w:val="en-US" w:eastAsia="en-US" w:bidi="hi-IN"/>
        </w:rPr>
        <w:t xml:space="preserve"> users were not adequately compensated for the loss suffered. </w:t>
      </w:r>
    </w:p>
    <w:p w14:paraId="3711576A" w14:textId="73161B26" w:rsidR="00274BCA" w:rsidRPr="002902BA" w:rsidRDefault="00274BCA" w:rsidP="00274BCA">
      <w:pPr>
        <w:rPr>
          <w:lang w:val="en-US" w:eastAsia="en-US" w:bidi="hi-IN"/>
        </w:rPr>
      </w:pPr>
      <w:r w:rsidRPr="002902BA">
        <w:rPr>
          <w:lang w:val="en-US" w:eastAsia="en-US" w:bidi="hi-IN"/>
        </w:rPr>
        <w:t>Some customers feel that they should be able to terminate a contract early if there are repeated service quality issues.</w:t>
      </w:r>
      <w:r w:rsidRPr="002902BA">
        <w:rPr>
          <w:vertAlign w:val="superscript"/>
          <w:lang w:val="en-IE" w:eastAsia="en-US" w:bidi="hi-IN"/>
        </w:rPr>
        <w:footnoteReference w:id="24"/>
      </w:r>
      <w:r w:rsidRPr="002902BA">
        <w:rPr>
          <w:lang w:val="en-US" w:eastAsia="en-US" w:bidi="hi-IN"/>
        </w:rPr>
        <w:t xml:space="preserve"> ACCAN supports this proposal in principle because it provides consumers with greater choice.</w:t>
      </w:r>
    </w:p>
    <w:p w14:paraId="2F535001" w14:textId="77777777" w:rsidR="00274BCA" w:rsidRPr="002902BA" w:rsidRDefault="00274BCA" w:rsidP="002902BA">
      <w:pPr>
        <w:pStyle w:val="Heading4"/>
        <w:rPr>
          <w:lang w:val="en-US" w:bidi="hi-IN"/>
        </w:rPr>
      </w:pPr>
      <w:r w:rsidRPr="002902BA">
        <w:rPr>
          <w:lang w:val="en-US" w:bidi="hi-IN"/>
        </w:rPr>
        <w:t xml:space="preserve">ACL guarantees  </w:t>
      </w:r>
    </w:p>
    <w:p w14:paraId="2A310FAE" w14:textId="77777777" w:rsidR="00274BCA" w:rsidRPr="002902BA" w:rsidRDefault="00274BCA" w:rsidP="00274BCA">
      <w:pPr>
        <w:rPr>
          <w:lang w:val="en-US" w:eastAsia="en-US" w:bidi="hi-IN"/>
        </w:rPr>
      </w:pPr>
      <w:r w:rsidRPr="002902BA">
        <w:rPr>
          <w:lang w:val="en-US" w:eastAsia="en-US" w:bidi="hi-IN"/>
        </w:rPr>
        <w:t>Repeated service quality issues may be also be a breach of the ACL.  The legislated consumer guarantees require that services:</w:t>
      </w:r>
      <w:r w:rsidRPr="002902BA">
        <w:rPr>
          <w:vertAlign w:val="superscript"/>
          <w:lang w:val="en-IE" w:eastAsia="en-US" w:bidi="hi-IN"/>
        </w:rPr>
        <w:footnoteReference w:id="25"/>
      </w:r>
    </w:p>
    <w:p w14:paraId="37334D78" w14:textId="77777777" w:rsidR="00274BCA" w:rsidRPr="002902BA" w:rsidRDefault="00274BCA" w:rsidP="00274BCA">
      <w:pPr>
        <w:pStyle w:val="ListParagraph"/>
        <w:numPr>
          <w:ilvl w:val="0"/>
          <w:numId w:val="20"/>
        </w:numPr>
        <w:rPr>
          <w:lang w:val="en-US" w:bidi="hi-IN"/>
        </w:rPr>
      </w:pPr>
      <w:r w:rsidRPr="002902BA">
        <w:rPr>
          <w:lang w:val="en-US" w:bidi="hi-IN"/>
        </w:rPr>
        <w:t>be provided with due care and skill,</w:t>
      </w:r>
    </w:p>
    <w:p w14:paraId="462FC478" w14:textId="77777777" w:rsidR="00274BCA" w:rsidRPr="002902BA" w:rsidRDefault="00274BCA" w:rsidP="00274BCA">
      <w:pPr>
        <w:pStyle w:val="ListParagraph"/>
        <w:numPr>
          <w:ilvl w:val="0"/>
          <w:numId w:val="20"/>
        </w:numPr>
        <w:rPr>
          <w:lang w:val="en-US" w:bidi="hi-IN"/>
        </w:rPr>
      </w:pPr>
      <w:r w:rsidRPr="002902BA">
        <w:rPr>
          <w:lang w:val="en-US" w:bidi="hi-IN"/>
        </w:rPr>
        <w:t>be fit for a particular purpose or give the results that you and the business had agreed to,</w:t>
      </w:r>
    </w:p>
    <w:p w14:paraId="3190FB33" w14:textId="77777777" w:rsidR="00274BCA" w:rsidRPr="002902BA" w:rsidRDefault="00274BCA" w:rsidP="00274BCA">
      <w:pPr>
        <w:pStyle w:val="ListParagraph"/>
        <w:numPr>
          <w:ilvl w:val="0"/>
          <w:numId w:val="20"/>
        </w:numPr>
        <w:rPr>
          <w:lang w:val="en-US" w:bidi="hi-IN"/>
        </w:rPr>
      </w:pPr>
      <w:proofErr w:type="gramStart"/>
      <w:r w:rsidRPr="002902BA">
        <w:rPr>
          <w:lang w:val="en-US" w:bidi="hi-IN"/>
        </w:rPr>
        <w:t>be</w:t>
      </w:r>
      <w:proofErr w:type="gramEnd"/>
      <w:r w:rsidRPr="002902BA">
        <w:rPr>
          <w:lang w:val="en-US" w:bidi="hi-IN"/>
        </w:rPr>
        <w:t xml:space="preserve"> delivered within a reasonable time when there is no agreed end date.</w:t>
      </w:r>
    </w:p>
    <w:p w14:paraId="313A50CD" w14:textId="018A263E" w:rsidR="00274BCA" w:rsidRPr="002902BA" w:rsidRDefault="006B1BA3" w:rsidP="00274BCA">
      <w:pPr>
        <w:rPr>
          <w:lang w:val="en-US" w:eastAsia="en-US" w:bidi="hi-IN"/>
        </w:rPr>
      </w:pPr>
      <w:r>
        <w:rPr>
          <w:lang w:val="en-US" w:eastAsia="en-US" w:bidi="hi-IN"/>
        </w:rPr>
        <w:t>T</w:t>
      </w:r>
      <w:r w:rsidR="00274BCA" w:rsidRPr="002902BA">
        <w:rPr>
          <w:lang w:val="en-US" w:eastAsia="en-US" w:bidi="hi-IN"/>
        </w:rPr>
        <w:t xml:space="preserve">here is no obligation for providers to disclose the actual cause of a service outage, so it is difficult to assess whether carriers used due care and skill in providing the service. For example, in the recent Telstra outage in 2016, Telstra claimed that human error was to </w:t>
      </w:r>
      <w:r w:rsidR="00274BCA" w:rsidRPr="002902BA">
        <w:rPr>
          <w:lang w:val="en-US" w:eastAsia="en-US" w:bidi="hi-IN"/>
        </w:rPr>
        <w:lastRenderedPageBreak/>
        <w:t>blame.</w:t>
      </w:r>
      <w:r w:rsidR="00274BCA" w:rsidRPr="002902BA">
        <w:rPr>
          <w:vertAlign w:val="superscript"/>
          <w:lang w:val="en-IE" w:eastAsia="en-US" w:bidi="hi-IN"/>
        </w:rPr>
        <w:footnoteReference w:id="26"/>
      </w:r>
      <w:r w:rsidR="00274BCA" w:rsidRPr="002902BA">
        <w:rPr>
          <w:lang w:val="en-US" w:eastAsia="en-US" w:bidi="hi-IN"/>
        </w:rPr>
        <w:t xml:space="preserve"> It is possible that human error would mean that the service was not provided with due care and skill.  </w:t>
      </w:r>
    </w:p>
    <w:p w14:paraId="253A9C3F" w14:textId="77777777" w:rsidR="00274BCA" w:rsidRPr="002902BA" w:rsidRDefault="00274BCA" w:rsidP="00274BCA">
      <w:pPr>
        <w:rPr>
          <w:lang w:val="en-US" w:eastAsia="en-US" w:bidi="hi-IN"/>
        </w:rPr>
      </w:pPr>
      <w:r w:rsidRPr="002902BA">
        <w:rPr>
          <w:lang w:val="en-US" w:eastAsia="en-US" w:bidi="hi-IN"/>
        </w:rPr>
        <w:t>ACCAN has played a role in unpacking some of these protections and placing them in a telecommunications context, but could be aided by greater involvement by regulators and tribunals. ACCAN supports proposals that would see guidance notes produced and tribunal decisions published to help consumers better understand their rights in relation to specific services.</w:t>
      </w:r>
    </w:p>
    <w:p w14:paraId="5BEB86BD" w14:textId="77777777" w:rsidR="00EF4492" w:rsidRPr="00EF4492" w:rsidRDefault="00EF4492" w:rsidP="00444A07">
      <w:pPr>
        <w:pStyle w:val="Heading2"/>
        <w:rPr>
          <w:lang w:val="en-IE" w:bidi="hi-IN"/>
        </w:rPr>
      </w:pPr>
      <w:bookmarkStart w:id="18" w:name="_Toc465667602"/>
      <w:r w:rsidRPr="00EF4492">
        <w:rPr>
          <w:lang w:val="en-IE" w:bidi="hi-IN"/>
        </w:rPr>
        <w:t>Response to question 4:</w:t>
      </w:r>
      <w:bookmarkEnd w:id="18"/>
      <w:r w:rsidRPr="00EF4492">
        <w:rPr>
          <w:lang w:val="en-IE" w:bidi="hi-IN"/>
        </w:rPr>
        <w:t xml:space="preserve"> </w:t>
      </w:r>
    </w:p>
    <w:p w14:paraId="759CDD1E" w14:textId="77777777" w:rsidR="00EF4492" w:rsidRPr="00EF4492" w:rsidRDefault="00EF4492" w:rsidP="00444A07">
      <w:pPr>
        <w:pStyle w:val="Blockquote2"/>
        <w:rPr>
          <w:rFonts w:eastAsia="Arial Unicode MS"/>
          <w:lang w:val="en-IE" w:bidi="hi-IN"/>
        </w:rPr>
      </w:pPr>
      <w:r w:rsidRPr="00EF4492">
        <w:rPr>
          <w:rFonts w:eastAsia="Arial Unicode MS"/>
          <w:lang w:val="en-IE" w:bidi="hi-IN"/>
        </w:rPr>
        <w:t xml:space="preserve">What information is or would be beneficial for consumers to help them make informed decisions about which communication services and products would best suit their needs? </w:t>
      </w:r>
    </w:p>
    <w:p w14:paraId="1DDBCDA6" w14:textId="3585FC17" w:rsidR="00EF4492" w:rsidRPr="00EF4492" w:rsidRDefault="00EF4492" w:rsidP="00444A07">
      <w:pPr>
        <w:rPr>
          <w:rFonts w:eastAsia="Arial Unicode MS"/>
          <w:lang w:val="en-IE" w:eastAsia="hi-IN" w:bidi="hi-IN"/>
        </w:rPr>
      </w:pPr>
      <w:r w:rsidRPr="00EF4492">
        <w:rPr>
          <w:rFonts w:eastAsia="Arial Unicode MS"/>
          <w:lang w:val="en-IE" w:eastAsia="hi-IN" w:bidi="hi-IN"/>
        </w:rPr>
        <w:t xml:space="preserve">Previous studies have </w:t>
      </w:r>
      <w:r w:rsidR="00EC7AB8" w:rsidRPr="00EF4492">
        <w:rPr>
          <w:rFonts w:eastAsia="Arial Unicode MS"/>
          <w:lang w:val="en-IE" w:eastAsia="hi-IN" w:bidi="hi-IN"/>
        </w:rPr>
        <w:t>shown</w:t>
      </w:r>
      <w:r w:rsidRPr="00EF4492">
        <w:rPr>
          <w:rFonts w:eastAsia="Arial Unicode MS"/>
          <w:lang w:val="en-IE" w:eastAsia="hi-IN" w:bidi="hi-IN"/>
        </w:rPr>
        <w:t xml:space="preserve"> that adoption of services has slowed due to consumer uncertainty about their broadband needs and usage.</w:t>
      </w:r>
      <w:r w:rsidRPr="00EF4492">
        <w:rPr>
          <w:rFonts w:eastAsia="Arial Unicode MS"/>
          <w:vertAlign w:val="superscript"/>
          <w:lang w:val="en-IE" w:eastAsia="hi-IN" w:bidi="hi-IN"/>
        </w:rPr>
        <w:footnoteReference w:id="27"/>
      </w:r>
      <w:r w:rsidRPr="00EF4492">
        <w:rPr>
          <w:rFonts w:eastAsia="Arial Unicode MS"/>
          <w:lang w:val="en-IE" w:eastAsia="hi-IN" w:bidi="hi-IN"/>
        </w:rPr>
        <w:t xml:space="preserve"> Experience with current provider and the </w:t>
      </w:r>
      <w:r w:rsidR="006B1BA3">
        <w:rPr>
          <w:rFonts w:eastAsia="Arial Unicode MS"/>
          <w:lang w:val="en-IE" w:eastAsia="hi-IN" w:bidi="hi-IN"/>
        </w:rPr>
        <w:t xml:space="preserve">similar products on the </w:t>
      </w:r>
      <w:r w:rsidR="002902BA">
        <w:rPr>
          <w:rFonts w:eastAsia="Arial Unicode MS"/>
          <w:lang w:val="en-IE" w:eastAsia="hi-IN" w:bidi="hi-IN"/>
        </w:rPr>
        <w:t xml:space="preserve">market </w:t>
      </w:r>
      <w:r w:rsidR="002902BA" w:rsidRPr="00EF4492">
        <w:rPr>
          <w:rFonts w:eastAsia="Arial Unicode MS"/>
          <w:lang w:val="en-IE" w:eastAsia="hi-IN" w:bidi="hi-IN"/>
        </w:rPr>
        <w:t>makes</w:t>
      </w:r>
      <w:r w:rsidRPr="00EF4492">
        <w:rPr>
          <w:rFonts w:eastAsia="Arial Unicode MS"/>
          <w:lang w:val="en-IE" w:eastAsia="hi-IN" w:bidi="hi-IN"/>
        </w:rPr>
        <w:t xml:space="preserve"> choosing services difficult for consumers. There is the potential for consumers to </w:t>
      </w:r>
      <w:r w:rsidR="00D81D88">
        <w:rPr>
          <w:rFonts w:eastAsia="Arial Unicode MS"/>
          <w:lang w:val="en-IE" w:eastAsia="hi-IN" w:bidi="hi-IN"/>
        </w:rPr>
        <w:t xml:space="preserve">rely </w:t>
      </w:r>
      <w:r w:rsidR="002902BA">
        <w:rPr>
          <w:rFonts w:eastAsia="Arial Unicode MS"/>
          <w:lang w:val="en-IE" w:eastAsia="hi-IN" w:bidi="hi-IN"/>
        </w:rPr>
        <w:t xml:space="preserve">on </w:t>
      </w:r>
      <w:r w:rsidR="002902BA" w:rsidRPr="00EF4492">
        <w:rPr>
          <w:rFonts w:eastAsia="Arial Unicode MS"/>
          <w:lang w:val="en-IE" w:eastAsia="hi-IN" w:bidi="hi-IN"/>
        </w:rPr>
        <w:t>factors</w:t>
      </w:r>
      <w:r w:rsidRPr="00EF4492">
        <w:rPr>
          <w:rFonts w:eastAsia="Arial Unicode MS"/>
          <w:lang w:val="en-IE" w:eastAsia="hi-IN" w:bidi="hi-IN"/>
        </w:rPr>
        <w:t xml:space="preserve"> that they have based previous decisions on </w:t>
      </w:r>
      <w:r w:rsidR="00D81D88">
        <w:rPr>
          <w:rFonts w:eastAsia="Arial Unicode MS"/>
          <w:lang w:val="en-IE" w:eastAsia="hi-IN" w:bidi="hi-IN"/>
        </w:rPr>
        <w:t xml:space="preserve">to </w:t>
      </w:r>
      <w:r w:rsidR="002902BA">
        <w:rPr>
          <w:rFonts w:eastAsia="Arial Unicode MS"/>
          <w:lang w:val="en-IE" w:eastAsia="hi-IN" w:bidi="hi-IN"/>
        </w:rPr>
        <w:t xml:space="preserve">guide </w:t>
      </w:r>
      <w:r w:rsidR="002902BA" w:rsidRPr="00EF4492">
        <w:rPr>
          <w:rFonts w:eastAsia="Arial Unicode MS"/>
          <w:lang w:val="en-IE" w:eastAsia="hi-IN" w:bidi="hi-IN"/>
        </w:rPr>
        <w:t>new</w:t>
      </w:r>
      <w:r w:rsidRPr="00EF4492">
        <w:rPr>
          <w:rFonts w:eastAsia="Arial Unicode MS"/>
          <w:lang w:val="en-IE" w:eastAsia="hi-IN" w:bidi="hi-IN"/>
        </w:rPr>
        <w:t xml:space="preserve"> decisions that need to be made, with the potential for some consumers to over rely on familiar or habitual choices.</w:t>
      </w:r>
      <w:r w:rsidRPr="00EF4492">
        <w:rPr>
          <w:rFonts w:eastAsia="Arial Unicode MS"/>
          <w:vertAlign w:val="superscript"/>
          <w:lang w:val="en-IE" w:eastAsia="hi-IN" w:bidi="hi-IN"/>
        </w:rPr>
        <w:footnoteReference w:id="28"/>
      </w:r>
      <w:r w:rsidRPr="00EF4492">
        <w:rPr>
          <w:rFonts w:eastAsia="Arial Unicode MS"/>
          <w:lang w:val="en-IE" w:eastAsia="hi-IN" w:bidi="hi-IN"/>
        </w:rPr>
        <w:t xml:space="preserve"> Past information and experiences play a significant role in consumers’ decision making</w:t>
      </w:r>
      <w:r w:rsidR="006B1BA3">
        <w:rPr>
          <w:rFonts w:eastAsia="Arial Unicode MS"/>
          <w:lang w:val="en-IE" w:eastAsia="hi-IN" w:bidi="hi-IN"/>
        </w:rPr>
        <w:t xml:space="preserve">, </w:t>
      </w:r>
      <w:r w:rsidR="006B1BA3" w:rsidRPr="00EF4492">
        <w:rPr>
          <w:rFonts w:eastAsia="Arial Unicode MS"/>
          <w:lang w:val="en-IE" w:eastAsia="hi-IN" w:bidi="hi-IN"/>
        </w:rPr>
        <w:t>rather</w:t>
      </w:r>
      <w:r w:rsidRPr="00EF4492">
        <w:rPr>
          <w:rFonts w:eastAsia="Arial Unicode MS"/>
          <w:lang w:val="en-IE" w:eastAsia="hi-IN" w:bidi="hi-IN"/>
        </w:rPr>
        <w:t xml:space="preserve"> than products and services </w:t>
      </w:r>
      <w:r w:rsidR="000F245D">
        <w:rPr>
          <w:rFonts w:eastAsia="Arial Unicode MS"/>
          <w:lang w:val="en-IE" w:eastAsia="hi-IN" w:bidi="hi-IN"/>
        </w:rPr>
        <w:t xml:space="preserve">being </w:t>
      </w:r>
      <w:r w:rsidR="002902BA">
        <w:rPr>
          <w:rFonts w:eastAsia="Arial Unicode MS"/>
          <w:lang w:val="en-IE" w:eastAsia="hi-IN" w:bidi="hi-IN"/>
        </w:rPr>
        <w:t xml:space="preserve">chosen </w:t>
      </w:r>
      <w:r w:rsidR="002902BA" w:rsidRPr="00EF4492">
        <w:rPr>
          <w:rFonts w:eastAsia="Arial Unicode MS"/>
          <w:lang w:val="en-IE" w:eastAsia="hi-IN" w:bidi="hi-IN"/>
        </w:rPr>
        <w:t>on</w:t>
      </w:r>
      <w:r w:rsidRPr="00EF4492">
        <w:rPr>
          <w:rFonts w:eastAsia="Arial Unicode MS"/>
          <w:lang w:val="en-IE" w:eastAsia="hi-IN" w:bidi="hi-IN"/>
        </w:rPr>
        <w:t xml:space="preserve"> their merits.</w:t>
      </w:r>
      <w:r w:rsidRPr="00EF4492">
        <w:rPr>
          <w:rFonts w:eastAsia="Arial Unicode MS"/>
          <w:vertAlign w:val="superscript"/>
          <w:lang w:val="en-IE" w:eastAsia="hi-IN" w:bidi="hi-IN"/>
        </w:rPr>
        <w:footnoteReference w:id="29"/>
      </w:r>
      <w:r w:rsidR="006B1BA3">
        <w:rPr>
          <w:rFonts w:eastAsia="Arial Unicode MS"/>
          <w:lang w:val="en-IE" w:eastAsia="hi-IN" w:bidi="hi-IN"/>
        </w:rPr>
        <w:t xml:space="preserve"> </w:t>
      </w:r>
      <w:r w:rsidRPr="00EF4492">
        <w:rPr>
          <w:rFonts w:eastAsia="Arial Unicode MS"/>
          <w:lang w:val="en-IE" w:eastAsia="hi-IN" w:bidi="hi-IN"/>
        </w:rPr>
        <w:t>There are a number of areas which consumers and competition would benefit from greater information:</w:t>
      </w:r>
    </w:p>
    <w:p w14:paraId="146D15A0" w14:textId="77777777" w:rsidR="00EF4492" w:rsidRPr="00444A07" w:rsidRDefault="00EF4492" w:rsidP="00444A07">
      <w:pPr>
        <w:pStyle w:val="ListParagraph"/>
        <w:numPr>
          <w:ilvl w:val="0"/>
          <w:numId w:val="16"/>
        </w:numPr>
        <w:rPr>
          <w:rFonts w:eastAsia="Arial Unicode MS"/>
          <w:lang w:val="en-US" w:eastAsia="hi-IN" w:bidi="hi-IN"/>
        </w:rPr>
      </w:pPr>
      <w:r w:rsidRPr="00444A07">
        <w:rPr>
          <w:rFonts w:eastAsia="Arial Unicode MS"/>
          <w:lang w:val="en-US" w:eastAsia="hi-IN" w:bidi="hi-IN"/>
        </w:rPr>
        <w:t>Access to information on own historical data, SMS and call usage</w:t>
      </w:r>
    </w:p>
    <w:p w14:paraId="37E35712" w14:textId="77777777" w:rsidR="00EF4492" w:rsidRPr="00444A07" w:rsidRDefault="00EF4492" w:rsidP="00444A07">
      <w:pPr>
        <w:pStyle w:val="ListParagraph"/>
        <w:numPr>
          <w:ilvl w:val="0"/>
          <w:numId w:val="16"/>
        </w:numPr>
        <w:rPr>
          <w:rFonts w:eastAsia="Arial Unicode MS"/>
          <w:lang w:val="en-US" w:eastAsia="hi-IN" w:bidi="hi-IN"/>
        </w:rPr>
      </w:pPr>
      <w:r w:rsidRPr="00444A07">
        <w:rPr>
          <w:rFonts w:eastAsia="Arial Unicode MS"/>
          <w:lang w:val="en-US" w:eastAsia="hi-IN" w:bidi="hi-IN"/>
        </w:rPr>
        <w:t>Greater clarity of pricing and plan offerings</w:t>
      </w:r>
    </w:p>
    <w:p w14:paraId="27900D01" w14:textId="77777777" w:rsidR="00EF4492" w:rsidRPr="00444A07" w:rsidRDefault="00EF4492" w:rsidP="00444A07">
      <w:pPr>
        <w:pStyle w:val="ListParagraph"/>
        <w:numPr>
          <w:ilvl w:val="0"/>
          <w:numId w:val="16"/>
        </w:numPr>
        <w:rPr>
          <w:rFonts w:eastAsia="Arial Unicode MS"/>
          <w:lang w:val="en-US" w:eastAsia="hi-IN" w:bidi="hi-IN"/>
        </w:rPr>
      </w:pPr>
      <w:r w:rsidRPr="00444A07">
        <w:rPr>
          <w:rFonts w:eastAsia="Arial Unicode MS"/>
          <w:lang w:val="en-US" w:eastAsia="hi-IN" w:bidi="hi-IN"/>
        </w:rPr>
        <w:t>Comparator websites</w:t>
      </w:r>
    </w:p>
    <w:p w14:paraId="5C4FB36E" w14:textId="77777777" w:rsidR="00EF4492" w:rsidRPr="00444A07" w:rsidRDefault="00EF4492" w:rsidP="00444A07">
      <w:pPr>
        <w:pStyle w:val="ListParagraph"/>
        <w:numPr>
          <w:ilvl w:val="0"/>
          <w:numId w:val="16"/>
        </w:numPr>
        <w:rPr>
          <w:rFonts w:eastAsia="Arial Unicode MS"/>
          <w:lang w:val="en-US" w:eastAsia="hi-IN" w:bidi="hi-IN"/>
        </w:rPr>
      </w:pPr>
      <w:r w:rsidRPr="00444A07">
        <w:rPr>
          <w:rFonts w:eastAsia="Arial Unicode MS"/>
          <w:lang w:val="en-US" w:eastAsia="hi-IN" w:bidi="hi-IN"/>
        </w:rPr>
        <w:t>Information of speeds and other quality attributes</w:t>
      </w:r>
    </w:p>
    <w:p w14:paraId="78A37B84" w14:textId="77777777" w:rsidR="00EF4492" w:rsidRPr="00444A07" w:rsidRDefault="00EF4492" w:rsidP="00444A07">
      <w:pPr>
        <w:pStyle w:val="ListParagraph"/>
        <w:numPr>
          <w:ilvl w:val="0"/>
          <w:numId w:val="16"/>
        </w:numPr>
        <w:rPr>
          <w:rFonts w:eastAsia="Arial Unicode MS"/>
          <w:lang w:val="en-US" w:eastAsia="hi-IN" w:bidi="hi-IN"/>
        </w:rPr>
      </w:pPr>
      <w:r w:rsidRPr="00444A07">
        <w:rPr>
          <w:rFonts w:eastAsia="Arial Unicode MS"/>
          <w:lang w:val="en-US" w:eastAsia="hi-IN" w:bidi="hi-IN"/>
        </w:rPr>
        <w:t>Complaint statistics</w:t>
      </w:r>
    </w:p>
    <w:p w14:paraId="32C6811F" w14:textId="77777777" w:rsidR="00EF4492" w:rsidRPr="00EF4492" w:rsidRDefault="00EF4492" w:rsidP="00444A07">
      <w:pPr>
        <w:pStyle w:val="Heading3"/>
        <w:rPr>
          <w:rFonts w:eastAsia="Arial Unicode MS"/>
          <w:lang w:val="en-IE" w:bidi="hi-IN"/>
        </w:rPr>
      </w:pPr>
      <w:bookmarkStart w:id="19" w:name="_Toc465667603"/>
      <w:r w:rsidRPr="00EF4492">
        <w:rPr>
          <w:rFonts w:eastAsia="Arial Unicode MS"/>
          <w:lang w:val="en-IE" w:bidi="hi-IN"/>
        </w:rPr>
        <w:t>Individual use data</w:t>
      </w:r>
      <w:bookmarkEnd w:id="19"/>
    </w:p>
    <w:p w14:paraId="04545A02" w14:textId="77777777" w:rsidR="00EF4492" w:rsidRPr="00EF4492" w:rsidRDefault="00EF4492" w:rsidP="00444A07">
      <w:pPr>
        <w:rPr>
          <w:rFonts w:eastAsia="Arial Unicode MS"/>
          <w:lang w:val="en-IE" w:eastAsia="hi-IN" w:bidi="hi-IN"/>
        </w:rPr>
      </w:pPr>
      <w:r w:rsidRPr="00EF4492">
        <w:rPr>
          <w:rFonts w:eastAsia="Arial Unicode MS"/>
          <w:lang w:val="en-IE" w:eastAsia="hi-IN" w:bidi="hi-IN"/>
        </w:rPr>
        <w:t xml:space="preserve">Providing transparent and accurate information about products and services empowers consumers to make better decisions and improves competition in the market place. In the same way, providing consumers with data about their own use of telecommunications services in an easily accessible format means that they will be able to make purchasing and </w:t>
      </w:r>
      <w:r w:rsidRPr="00EF4492">
        <w:rPr>
          <w:rFonts w:eastAsia="Arial Unicode MS"/>
          <w:lang w:val="en-IE" w:eastAsia="hi-IN" w:bidi="hi-IN"/>
        </w:rPr>
        <w:lastRenderedPageBreak/>
        <w:t xml:space="preserve">switching decisions based on how they actually consume products and services. </w:t>
      </w:r>
      <w:proofErr w:type="gramStart"/>
      <w:r w:rsidRPr="00EF4492">
        <w:rPr>
          <w:rFonts w:eastAsia="Arial Unicode MS"/>
          <w:lang w:val="en-IE" w:eastAsia="hi-IN" w:bidi="hi-IN"/>
        </w:rPr>
        <w:t>Increasing the availability and use of data about consumers</w:t>
      </w:r>
      <w:r w:rsidR="000F245D">
        <w:rPr>
          <w:rFonts w:eastAsia="Arial Unicode MS"/>
          <w:lang w:val="en-IE" w:eastAsia="hi-IN" w:bidi="hi-IN"/>
        </w:rPr>
        <w:t>,</w:t>
      </w:r>
      <w:r w:rsidRPr="00EF4492">
        <w:rPr>
          <w:rFonts w:eastAsia="Arial Unicode MS"/>
          <w:lang w:val="en-IE" w:eastAsia="hi-IN" w:bidi="hi-IN"/>
        </w:rPr>
        <w:t xml:space="preserve"> to consumers</w:t>
      </w:r>
      <w:r w:rsidR="000F245D">
        <w:rPr>
          <w:rFonts w:eastAsia="Arial Unicode MS"/>
          <w:lang w:val="en-IE" w:eastAsia="hi-IN" w:bidi="hi-IN"/>
        </w:rPr>
        <w:t>,</w:t>
      </w:r>
      <w:r w:rsidRPr="00EF4492">
        <w:rPr>
          <w:rFonts w:eastAsia="Arial Unicode MS"/>
          <w:lang w:val="en-IE" w:eastAsia="hi-IN" w:bidi="hi-IN"/>
        </w:rPr>
        <w:t xml:space="preserve"> can stimulate competition and innovation, leading to increased choice and better decision-making.</w:t>
      </w:r>
      <w:proofErr w:type="gramEnd"/>
      <w:r w:rsidRPr="00EF4492">
        <w:rPr>
          <w:rFonts w:eastAsia="Arial Unicode MS"/>
          <w:lang w:val="en-IE" w:eastAsia="hi-IN" w:bidi="hi-IN"/>
        </w:rPr>
        <w:t xml:space="preserve"> </w:t>
      </w:r>
    </w:p>
    <w:p w14:paraId="330DA6BD" w14:textId="77777777" w:rsidR="00EF4492" w:rsidRPr="00EF4492" w:rsidRDefault="00EF4492" w:rsidP="00444A07">
      <w:pPr>
        <w:rPr>
          <w:rFonts w:eastAsia="Arial Unicode MS"/>
          <w:lang w:val="en-IE" w:eastAsia="hi-IN" w:bidi="hi-IN"/>
        </w:rPr>
      </w:pPr>
      <w:r w:rsidRPr="00EF4492">
        <w:rPr>
          <w:rFonts w:eastAsia="Arial Unicode MS"/>
          <w:lang w:val="en-IE" w:eastAsia="hi-IN" w:bidi="hi-IN"/>
        </w:rPr>
        <w:t>Currently the Government is considering ways to improve individuals’ ability to access their own data to inform consumer choices.</w:t>
      </w:r>
      <w:r w:rsidRPr="00EF4492">
        <w:rPr>
          <w:rFonts w:eastAsia="Arial Unicode MS" w:cs="font391"/>
          <w:vertAlign w:val="superscript"/>
          <w:lang w:val="en-IE" w:eastAsia="hi-IN" w:bidi="hi-IN"/>
        </w:rPr>
        <w:footnoteReference w:id="30"/>
      </w:r>
      <w:r w:rsidRPr="00EF4492">
        <w:rPr>
          <w:rFonts w:eastAsia="Arial Unicode MS"/>
          <w:lang w:val="en-IE" w:eastAsia="hi-IN" w:bidi="hi-IN"/>
        </w:rPr>
        <w:t xml:space="preserve"> If consumers were able to easily access and understand their telecommunications usage and transactional data, they would be able to determine more accurately what inclusions they need in their telecommunications plans. It would also make comparing plans much easier, leading to better functioning of competitive markets, improved consumer decision-making, and the lowering of barriers to switching.</w:t>
      </w:r>
      <w:r w:rsidRPr="00EF4492">
        <w:rPr>
          <w:rFonts w:eastAsia="Arial Unicode MS" w:cs="font391"/>
          <w:vertAlign w:val="superscript"/>
          <w:lang w:val="en-IE" w:eastAsia="hi-IN" w:bidi="hi-IN"/>
        </w:rPr>
        <w:footnoteReference w:id="31"/>
      </w:r>
      <w:r w:rsidRPr="00EF4492">
        <w:rPr>
          <w:rFonts w:eastAsia="Arial Unicode MS"/>
          <w:lang w:val="en-IE" w:eastAsia="hi-IN" w:bidi="hi-IN"/>
        </w:rPr>
        <w:t xml:space="preserve">  </w:t>
      </w:r>
    </w:p>
    <w:p w14:paraId="2DC27A5A" w14:textId="77777777" w:rsidR="00EF4492" w:rsidRPr="00EF4492" w:rsidRDefault="00EF4492" w:rsidP="00444A07">
      <w:pPr>
        <w:rPr>
          <w:rFonts w:eastAsia="Arial Unicode MS"/>
          <w:lang w:val="en-IE" w:eastAsia="hi-IN" w:bidi="hi-IN"/>
        </w:rPr>
      </w:pPr>
      <w:r w:rsidRPr="00EF4492">
        <w:rPr>
          <w:rFonts w:eastAsia="Arial Unicode MS"/>
          <w:lang w:val="en-IE" w:eastAsia="hi-IN" w:bidi="hi-IN"/>
        </w:rPr>
        <w:t>Behavioural economics recognises that consumers have limits on the amount of information they can take in, are affected by presentation, tend to be poor at anticipating the future, care about people and fairness, and are more concerned about losses than they are about gains.</w:t>
      </w:r>
      <w:r w:rsidRPr="00EF4492">
        <w:rPr>
          <w:rFonts w:eastAsia="Arial Unicode MS" w:cs="font391"/>
          <w:vertAlign w:val="superscript"/>
          <w:lang w:val="en-IE" w:eastAsia="hi-IN" w:bidi="hi-IN"/>
        </w:rPr>
        <w:footnoteReference w:id="32"/>
      </w:r>
      <w:r w:rsidRPr="00EF4492">
        <w:rPr>
          <w:rFonts w:eastAsia="Arial Unicode MS"/>
          <w:lang w:val="en-IE" w:eastAsia="hi-IN" w:bidi="hi-IN"/>
        </w:rPr>
        <w:t xml:space="preserve"> To combat biases and improve decisions (and competition) overseas governments have developed ways to harness the growing collection of consumer data and simplify decision-making. </w:t>
      </w:r>
    </w:p>
    <w:p w14:paraId="18DC926F" w14:textId="57CB0E0D" w:rsidR="00EF4492" w:rsidRPr="00EF4492" w:rsidRDefault="00EF4492" w:rsidP="00444A07">
      <w:pPr>
        <w:rPr>
          <w:rFonts w:eastAsia="Arial Unicode MS"/>
          <w:lang w:val="en-IE" w:eastAsia="hi-IN" w:bidi="hi-IN"/>
        </w:rPr>
      </w:pPr>
      <w:r w:rsidRPr="00EF4492">
        <w:rPr>
          <w:rFonts w:eastAsia="Arial Unicode MS"/>
          <w:lang w:val="en-IE" w:eastAsia="hi-IN" w:bidi="hi-IN"/>
        </w:rPr>
        <w:t>The UK Government’s voluntary midata scheme is the leading example. It allows bank customers to compare current accounts using their own transactional data. To use midata, a consumer downloads their spending data in a .csv file format from their online banking and then uploads it to the ‘</w:t>
      </w:r>
      <w:proofErr w:type="spellStart"/>
      <w:r w:rsidRPr="00EF4492">
        <w:rPr>
          <w:rFonts w:eastAsia="Arial Unicode MS"/>
          <w:lang w:val="en-IE" w:eastAsia="hi-IN" w:bidi="hi-IN"/>
        </w:rPr>
        <w:t>Gocompare</w:t>
      </w:r>
      <w:proofErr w:type="spellEnd"/>
      <w:r w:rsidRPr="00EF4492">
        <w:rPr>
          <w:rFonts w:eastAsia="Arial Unicode MS"/>
          <w:lang w:val="en-IE" w:eastAsia="hi-IN" w:bidi="hi-IN"/>
        </w:rPr>
        <w:t>’ website. The site then uses the data to create an account comparison and an ‘estimated value’ of the amount an individual stands to lose or save by switching accounts or banks.</w:t>
      </w:r>
      <w:r w:rsidRPr="00EF4492">
        <w:rPr>
          <w:rFonts w:eastAsia="Arial Unicode MS" w:cs="font391"/>
          <w:vertAlign w:val="superscript"/>
          <w:lang w:val="en-IE" w:eastAsia="hi-IN" w:bidi="hi-IN"/>
        </w:rPr>
        <w:footnoteReference w:id="33"/>
      </w:r>
      <w:r w:rsidRPr="00EF4492">
        <w:rPr>
          <w:rFonts w:eastAsia="Arial Unicode MS"/>
          <w:lang w:val="en-IE" w:eastAsia="hi-IN" w:bidi="hi-IN"/>
        </w:rPr>
        <w:t xml:space="preserve"> Midata thus demonstrates the potential for similar schemes to be developed in Australia, ideally across multiple service industries including telecommunications, banking, and utilities.</w:t>
      </w:r>
      <w:r w:rsidRPr="00EF4492">
        <w:rPr>
          <w:rFonts w:eastAsia="Arial Unicode MS" w:cs="font391"/>
          <w:vertAlign w:val="superscript"/>
          <w:lang w:val="en-IE" w:eastAsia="hi-IN" w:bidi="hi-IN"/>
        </w:rPr>
        <w:footnoteReference w:id="34"/>
      </w:r>
    </w:p>
    <w:p w14:paraId="60EA6797" w14:textId="77777777" w:rsidR="00EF4492" w:rsidRPr="00EF4492" w:rsidRDefault="00EF4492" w:rsidP="00444A07">
      <w:pPr>
        <w:rPr>
          <w:rFonts w:eastAsia="Arial Unicode MS"/>
          <w:lang w:val="en-IE" w:eastAsia="hi-IN" w:bidi="hi-IN"/>
        </w:rPr>
      </w:pPr>
      <w:proofErr w:type="spellStart"/>
      <w:r w:rsidRPr="00EF4492">
        <w:rPr>
          <w:rFonts w:eastAsia="Arial Unicode MS"/>
          <w:lang w:val="en-IE" w:eastAsia="hi-IN" w:bidi="hi-IN"/>
        </w:rPr>
        <w:t>Billmonitor</w:t>
      </w:r>
      <w:proofErr w:type="spellEnd"/>
      <w:r w:rsidRPr="00EF4492">
        <w:rPr>
          <w:rFonts w:eastAsia="Arial Unicode MS" w:cs="font391"/>
          <w:vertAlign w:val="superscript"/>
          <w:lang w:val="en-IE" w:eastAsia="hi-IN" w:bidi="hi-IN"/>
        </w:rPr>
        <w:footnoteReference w:id="35"/>
      </w:r>
      <w:r w:rsidRPr="00EF4492">
        <w:rPr>
          <w:rFonts w:eastAsia="Arial Unicode MS"/>
          <w:lang w:val="en-IE" w:eastAsia="hi-IN" w:bidi="hi-IN"/>
        </w:rPr>
        <w:t xml:space="preserve"> is a tool specifically for telecommunications consumers that stemmed from the midata </w:t>
      </w:r>
      <w:r w:rsidR="00EC7AB8" w:rsidRPr="00EF4492">
        <w:rPr>
          <w:rFonts w:eastAsia="Arial Unicode MS"/>
          <w:lang w:val="en-IE" w:eastAsia="hi-IN" w:bidi="hi-IN"/>
        </w:rPr>
        <w:t>initiative</w:t>
      </w:r>
      <w:r w:rsidRPr="00EF4492">
        <w:rPr>
          <w:rFonts w:eastAsia="Arial Unicode MS"/>
          <w:lang w:val="en-IE" w:eastAsia="hi-IN" w:bidi="hi-IN"/>
        </w:rPr>
        <w:t xml:space="preserve">. </w:t>
      </w:r>
      <w:proofErr w:type="spellStart"/>
      <w:r w:rsidRPr="00EF4492">
        <w:rPr>
          <w:rFonts w:eastAsia="Arial Unicode MS"/>
          <w:lang w:val="en-IE" w:eastAsia="hi-IN" w:bidi="hi-IN"/>
        </w:rPr>
        <w:t>Billmonitor</w:t>
      </w:r>
      <w:proofErr w:type="spellEnd"/>
      <w:r w:rsidRPr="00EF4492">
        <w:rPr>
          <w:rFonts w:eastAsia="Arial Unicode MS"/>
          <w:lang w:val="en-IE" w:eastAsia="hi-IN" w:bidi="hi-IN"/>
        </w:rPr>
        <w:t xml:space="preserve"> compares a consumer’s bills to around three million plans on the UK markets and shortlists the most appropriate plans with the most value. The creators of </w:t>
      </w:r>
      <w:proofErr w:type="spellStart"/>
      <w:r w:rsidRPr="00EF4492">
        <w:rPr>
          <w:rFonts w:eastAsia="Arial Unicode MS"/>
          <w:lang w:val="en-IE" w:eastAsia="hi-IN" w:bidi="hi-IN"/>
        </w:rPr>
        <w:t>billmonitor</w:t>
      </w:r>
      <w:proofErr w:type="spellEnd"/>
      <w:r w:rsidRPr="00EF4492">
        <w:rPr>
          <w:rFonts w:eastAsia="Arial Unicode MS"/>
          <w:lang w:val="en-IE" w:eastAsia="hi-IN" w:bidi="hi-IN"/>
        </w:rPr>
        <w:t xml:space="preserve"> estimate that consumers in the UK waste on average £6 billion per year from being on the wrong mobile phone plans.</w:t>
      </w:r>
      <w:r w:rsidRPr="00EF4492">
        <w:rPr>
          <w:rFonts w:eastAsia="Arial Unicode MS" w:cs="font391"/>
          <w:vertAlign w:val="superscript"/>
          <w:lang w:val="en-IE" w:eastAsia="hi-IN" w:bidi="hi-IN"/>
        </w:rPr>
        <w:footnoteReference w:id="36"/>
      </w:r>
    </w:p>
    <w:p w14:paraId="1B94FFB2" w14:textId="77777777" w:rsidR="00EF4492" w:rsidRPr="00EF4492" w:rsidRDefault="00EF4492" w:rsidP="00444A07">
      <w:pPr>
        <w:rPr>
          <w:rFonts w:eastAsia="Arial Unicode MS"/>
          <w:lang w:val="en-IE" w:eastAsia="hi-IN" w:bidi="hi-IN"/>
        </w:rPr>
      </w:pPr>
      <w:r w:rsidRPr="00EF4492">
        <w:rPr>
          <w:rFonts w:eastAsia="Arial Unicode MS"/>
          <w:lang w:val="en-IE" w:eastAsia="hi-IN" w:bidi="hi-IN"/>
        </w:rPr>
        <w:lastRenderedPageBreak/>
        <w:t xml:space="preserve">ACCAN suggests that the Australian Government and regulators take similar steps to the UK to increase competition in the telecommunications market by facilitating consumer data sharing. For consumers to gain the most benefit from their data it must be easily machine readable and reusable, and should also be easily understood by consumers. It should be in a consistent open format so that it can be uploaded to different </w:t>
      </w:r>
      <w:r w:rsidR="00444A07">
        <w:rPr>
          <w:rFonts w:eastAsia="Arial Unicode MS"/>
          <w:lang w:val="en-IE" w:eastAsia="hi-IN" w:bidi="hi-IN"/>
        </w:rPr>
        <w:t xml:space="preserve">comparator sites for analysis. </w:t>
      </w:r>
    </w:p>
    <w:p w14:paraId="3E222276" w14:textId="77777777" w:rsidR="00EF4492" w:rsidRPr="00EF4492" w:rsidRDefault="00EF4492" w:rsidP="00444A07">
      <w:pPr>
        <w:pStyle w:val="Heading3"/>
        <w:rPr>
          <w:rFonts w:eastAsia="Arial Unicode MS"/>
          <w:lang w:val="en-IE" w:bidi="hi-IN"/>
        </w:rPr>
      </w:pPr>
      <w:bookmarkStart w:id="20" w:name="_Toc465667604"/>
      <w:r w:rsidRPr="00EF4492">
        <w:rPr>
          <w:rFonts w:eastAsia="Arial Unicode MS"/>
          <w:lang w:val="en-IE" w:bidi="hi-IN"/>
        </w:rPr>
        <w:t>Clarity over offerings</w:t>
      </w:r>
      <w:bookmarkEnd w:id="20"/>
    </w:p>
    <w:p w14:paraId="3E90D7B1" w14:textId="77777777" w:rsidR="00EF4492" w:rsidRPr="00EF4492" w:rsidRDefault="00EF4492" w:rsidP="00444A07">
      <w:pPr>
        <w:rPr>
          <w:rFonts w:eastAsia="Arial Unicode MS"/>
          <w:lang w:val="en-US" w:eastAsia="hi-IN" w:bidi="hi-IN"/>
        </w:rPr>
      </w:pPr>
      <w:r w:rsidRPr="00EF4492">
        <w:rPr>
          <w:rFonts w:eastAsia="Arial Unicode MS"/>
          <w:lang w:val="en-IE" w:eastAsia="hi-IN" w:bidi="hi-IN"/>
        </w:rPr>
        <w:t>ACCAN agrees that plan</w:t>
      </w:r>
      <w:r w:rsidR="000F245D">
        <w:rPr>
          <w:rFonts w:eastAsia="Arial Unicode MS"/>
          <w:lang w:val="en-IE" w:eastAsia="hi-IN" w:bidi="hi-IN"/>
        </w:rPr>
        <w:t>s</w:t>
      </w:r>
      <w:r w:rsidRPr="00EF4492">
        <w:rPr>
          <w:rFonts w:eastAsia="Arial Unicode MS"/>
          <w:lang w:val="en-IE" w:eastAsia="hi-IN" w:bidi="hi-IN"/>
        </w:rPr>
        <w:t xml:space="preserve"> can still cause confusion for some consumers.</w:t>
      </w:r>
      <w:r w:rsidRPr="00EF4492">
        <w:rPr>
          <w:rFonts w:eastAsia="Arial Unicode MS"/>
          <w:vertAlign w:val="superscript"/>
          <w:lang w:val="en-IE" w:eastAsia="hi-IN" w:bidi="hi-IN"/>
        </w:rPr>
        <w:footnoteReference w:id="37"/>
      </w:r>
      <w:r w:rsidRPr="00EF4492">
        <w:rPr>
          <w:rFonts w:eastAsia="Arial Unicode MS"/>
          <w:lang w:val="en-IE" w:eastAsia="hi-IN" w:bidi="hi-IN"/>
        </w:rPr>
        <w:t xml:space="preserve"> </w:t>
      </w:r>
      <w:r w:rsidRPr="00EF4492">
        <w:rPr>
          <w:rFonts w:eastAsia="Arial Unicode MS"/>
          <w:lang w:val="en-US" w:eastAsia="hi-IN" w:bidi="hi-IN"/>
        </w:rPr>
        <w:t xml:space="preserve">There are a number of issues that </w:t>
      </w:r>
      <w:r w:rsidR="00EC7AB8" w:rsidRPr="00EF4492">
        <w:rPr>
          <w:rFonts w:eastAsia="Arial Unicode MS"/>
          <w:lang w:val="en-US" w:eastAsia="hi-IN" w:bidi="hi-IN"/>
        </w:rPr>
        <w:t>affect</w:t>
      </w:r>
      <w:r w:rsidRPr="00EF4492">
        <w:rPr>
          <w:rFonts w:eastAsia="Arial Unicode MS"/>
          <w:lang w:val="en-US" w:eastAsia="hi-IN" w:bidi="hi-IN"/>
        </w:rPr>
        <w:t xml:space="preserve"> consumer’s ability to evaluate whether a contract is good for them. These include:</w:t>
      </w:r>
    </w:p>
    <w:p w14:paraId="55AF7E70" w14:textId="32BD96D7" w:rsidR="00EF4492" w:rsidRPr="00444A07" w:rsidRDefault="00EF4492" w:rsidP="00444A07">
      <w:pPr>
        <w:pStyle w:val="ListParagraph"/>
        <w:numPr>
          <w:ilvl w:val="0"/>
          <w:numId w:val="17"/>
        </w:numPr>
        <w:rPr>
          <w:rFonts w:eastAsia="Arial Unicode MS"/>
          <w:lang w:val="en-US" w:eastAsia="hi-IN" w:bidi="hi-IN"/>
        </w:rPr>
      </w:pPr>
      <w:r w:rsidRPr="00444A07">
        <w:rPr>
          <w:rFonts w:eastAsia="Arial Unicode MS"/>
          <w:lang w:val="en-US" w:eastAsia="hi-IN" w:bidi="hi-IN"/>
        </w:rPr>
        <w:t xml:space="preserve">The length of the plan – many services are available on varying lengths; 1, 10, 28, 30, 90, 365 day billing periods or by calendar months. It can be difficult to compare plans that have varying period lengths. The availability of a range of periods can be extremely important for consumer and may meet some </w:t>
      </w:r>
      <w:r w:rsidR="00EC7AB8" w:rsidRPr="00444A07">
        <w:rPr>
          <w:rFonts w:eastAsia="Arial Unicode MS"/>
          <w:lang w:val="en-US" w:eastAsia="hi-IN" w:bidi="hi-IN"/>
        </w:rPr>
        <w:t>consumer’s</w:t>
      </w:r>
      <w:r w:rsidRPr="00444A07">
        <w:rPr>
          <w:rFonts w:eastAsia="Arial Unicode MS"/>
          <w:lang w:val="en-US" w:eastAsia="hi-IN" w:bidi="hi-IN"/>
        </w:rPr>
        <w:t xml:space="preserve"> needs, such as those </w:t>
      </w:r>
      <w:r w:rsidR="000F245D">
        <w:rPr>
          <w:rFonts w:eastAsia="Arial Unicode MS"/>
          <w:lang w:val="en-US" w:eastAsia="hi-IN" w:bidi="hi-IN"/>
        </w:rPr>
        <w:t>who</w:t>
      </w:r>
      <w:r w:rsidRPr="00444A07">
        <w:rPr>
          <w:rFonts w:eastAsia="Arial Unicode MS"/>
          <w:lang w:val="en-US" w:eastAsia="hi-IN" w:bidi="hi-IN"/>
        </w:rPr>
        <w:t xml:space="preserve"> use services infrequently or do</w:t>
      </w:r>
      <w:r w:rsidR="000F245D">
        <w:rPr>
          <w:rFonts w:eastAsia="Arial Unicode MS"/>
          <w:lang w:val="en-US" w:eastAsia="hi-IN" w:bidi="hi-IN"/>
        </w:rPr>
        <w:t xml:space="preserve"> </w:t>
      </w:r>
      <w:r w:rsidR="002902BA">
        <w:rPr>
          <w:rFonts w:eastAsia="Arial Unicode MS"/>
          <w:lang w:val="en-US" w:eastAsia="hi-IN" w:bidi="hi-IN"/>
        </w:rPr>
        <w:t xml:space="preserve">not </w:t>
      </w:r>
      <w:r w:rsidR="002902BA" w:rsidRPr="00444A07">
        <w:rPr>
          <w:rFonts w:eastAsia="Arial Unicode MS"/>
          <w:lang w:val="en-US" w:eastAsia="hi-IN" w:bidi="hi-IN"/>
        </w:rPr>
        <w:t>have</w:t>
      </w:r>
      <w:r w:rsidRPr="00444A07">
        <w:rPr>
          <w:rFonts w:eastAsia="Arial Unicode MS"/>
          <w:lang w:val="en-US" w:eastAsia="hi-IN" w:bidi="hi-IN"/>
        </w:rPr>
        <w:t xml:space="preserve"> coverage for periods at a time. However, the difficulty in comparing these services on an equivalent basis is likely to impact </w:t>
      </w:r>
      <w:r w:rsidR="00EC7AB8" w:rsidRPr="00444A07">
        <w:rPr>
          <w:rFonts w:eastAsia="Arial Unicode MS"/>
          <w:lang w:val="en-US" w:eastAsia="hi-IN" w:bidi="hi-IN"/>
        </w:rPr>
        <w:t>consumers</w:t>
      </w:r>
      <w:r w:rsidR="000F245D">
        <w:rPr>
          <w:rFonts w:eastAsia="Arial Unicode MS"/>
          <w:lang w:val="en-US" w:eastAsia="hi-IN" w:bidi="hi-IN"/>
        </w:rPr>
        <w:t>’</w:t>
      </w:r>
      <w:r w:rsidRPr="00444A07">
        <w:rPr>
          <w:rFonts w:eastAsia="Arial Unicode MS"/>
          <w:lang w:val="en-US" w:eastAsia="hi-IN" w:bidi="hi-IN"/>
        </w:rPr>
        <w:t xml:space="preserve"> decision</w:t>
      </w:r>
      <w:r w:rsidR="000F245D">
        <w:rPr>
          <w:rFonts w:eastAsia="Arial Unicode MS"/>
          <w:lang w:val="en-US" w:eastAsia="hi-IN" w:bidi="hi-IN"/>
        </w:rPr>
        <w:t>s</w:t>
      </w:r>
      <w:r w:rsidRPr="00444A07">
        <w:rPr>
          <w:rFonts w:eastAsia="Arial Unicode MS"/>
          <w:lang w:val="en-US" w:eastAsia="hi-IN" w:bidi="hi-IN"/>
        </w:rPr>
        <w:t xml:space="preserve"> on which service to choose. They may believe that it is the cheapest service available, but when other plans are calculated over the same period it may not be the best choice.</w:t>
      </w:r>
      <w:r w:rsidR="002A0230">
        <w:rPr>
          <w:rFonts w:eastAsia="Arial Unicode MS"/>
          <w:lang w:val="en-US" w:eastAsia="hi-IN" w:bidi="hi-IN"/>
        </w:rPr>
        <w:t xml:space="preserve"> For example, a number of providers</w:t>
      </w:r>
      <w:r w:rsidR="00401429">
        <w:rPr>
          <w:rFonts w:eastAsia="Arial Unicode MS"/>
          <w:lang w:val="en-US" w:eastAsia="hi-IN" w:bidi="hi-IN"/>
        </w:rPr>
        <w:t xml:space="preserve"> are switching to</w:t>
      </w:r>
      <w:r w:rsidR="002A0230">
        <w:rPr>
          <w:rFonts w:eastAsia="Arial Unicode MS"/>
          <w:lang w:val="en-US" w:eastAsia="hi-IN" w:bidi="hi-IN"/>
        </w:rPr>
        <w:t xml:space="preserve"> 28 day periods.</w:t>
      </w:r>
      <w:r w:rsidR="00401429">
        <w:rPr>
          <w:rFonts w:eastAsia="Arial Unicode MS"/>
          <w:lang w:val="en-US" w:eastAsia="hi-IN" w:bidi="hi-IN"/>
        </w:rPr>
        <w:t xml:space="preserve"> Over a year this adds an additional month of service that consumers need to pay for.</w:t>
      </w:r>
      <w:r w:rsidR="00401429">
        <w:rPr>
          <w:rStyle w:val="FootnoteReference"/>
          <w:rFonts w:eastAsia="Arial Unicode MS"/>
          <w:lang w:val="en-US" w:eastAsia="hi-IN" w:bidi="hi-IN"/>
        </w:rPr>
        <w:footnoteReference w:id="38"/>
      </w:r>
    </w:p>
    <w:p w14:paraId="4892600F" w14:textId="54458A8A" w:rsidR="00EF4492" w:rsidRPr="00444A07" w:rsidRDefault="00EF4492" w:rsidP="00444A07">
      <w:pPr>
        <w:pStyle w:val="ListParagraph"/>
        <w:numPr>
          <w:ilvl w:val="0"/>
          <w:numId w:val="17"/>
        </w:numPr>
        <w:rPr>
          <w:rFonts w:eastAsia="Arial Unicode MS"/>
          <w:lang w:val="en-US" w:eastAsia="hi-IN" w:bidi="hi-IN"/>
        </w:rPr>
      </w:pPr>
      <w:r w:rsidRPr="00444A07">
        <w:rPr>
          <w:rFonts w:eastAsia="Arial Unicode MS"/>
          <w:lang w:val="en-US" w:eastAsia="hi-IN" w:bidi="hi-IN"/>
        </w:rPr>
        <w:t xml:space="preserve">Various introductory offers, for example bonus data for the first month, or free trials to streaming services. This can be confusing for consumers who think the promotion </w:t>
      </w:r>
      <w:r w:rsidR="00EC7AB8" w:rsidRPr="00444A07">
        <w:rPr>
          <w:rFonts w:eastAsia="Arial Unicode MS"/>
          <w:lang w:val="en-US" w:eastAsia="hi-IN" w:bidi="hi-IN"/>
        </w:rPr>
        <w:t>price is</w:t>
      </w:r>
      <w:r w:rsidRPr="00444A07">
        <w:rPr>
          <w:rFonts w:eastAsia="Arial Unicode MS"/>
          <w:lang w:val="en-US" w:eastAsia="hi-IN" w:bidi="hi-IN"/>
        </w:rPr>
        <w:t xml:space="preserve"> ongoing or who forget to reevaluate once the promotion is over. For example, the first free months to a subscription service.</w:t>
      </w:r>
      <w:r w:rsidR="00401429">
        <w:rPr>
          <w:rStyle w:val="FootnoteReference"/>
          <w:rFonts w:eastAsia="Arial Unicode MS"/>
          <w:lang w:val="en-US" w:eastAsia="hi-IN" w:bidi="hi-IN"/>
        </w:rPr>
        <w:footnoteReference w:id="39"/>
      </w:r>
    </w:p>
    <w:p w14:paraId="327C0354" w14:textId="77777777" w:rsidR="00EF4492" w:rsidRPr="00444A07" w:rsidRDefault="00EF4492" w:rsidP="00444A07">
      <w:pPr>
        <w:pStyle w:val="ListParagraph"/>
        <w:numPr>
          <w:ilvl w:val="0"/>
          <w:numId w:val="17"/>
        </w:numPr>
        <w:rPr>
          <w:rFonts w:eastAsia="Arial Unicode MS"/>
          <w:lang w:val="en-IE" w:eastAsia="hi-IN" w:bidi="hi-IN"/>
        </w:rPr>
      </w:pPr>
      <w:r w:rsidRPr="00444A07">
        <w:rPr>
          <w:rFonts w:eastAsia="Arial Unicode MS"/>
          <w:lang w:val="en-US" w:eastAsia="hi-IN" w:bidi="hi-IN"/>
        </w:rPr>
        <w:t xml:space="preserve">The </w:t>
      </w:r>
      <w:r w:rsidR="000F245D">
        <w:rPr>
          <w:rFonts w:eastAsia="Arial Unicode MS"/>
          <w:lang w:val="en-US" w:eastAsia="hi-IN" w:bidi="hi-IN"/>
        </w:rPr>
        <w:t xml:space="preserve">unit </w:t>
      </w:r>
      <w:r w:rsidRPr="00444A07">
        <w:rPr>
          <w:rFonts w:eastAsia="Arial Unicode MS"/>
          <w:lang w:val="en-US" w:eastAsia="hi-IN" w:bidi="hi-IN"/>
        </w:rPr>
        <w:t xml:space="preserve">cost per GB of data. </w:t>
      </w:r>
      <w:r w:rsidRPr="00444A07">
        <w:rPr>
          <w:rFonts w:eastAsia="Arial Unicode MS"/>
          <w:lang w:val="en-IE" w:eastAsia="hi-IN" w:bidi="hi-IN"/>
        </w:rPr>
        <w:t xml:space="preserve">Some RSPs offer NBN on non-unlimited plans display the cost of the plan per GB, but this is not consistent across the sector.  We believe this is a very useful comparison tool for consumers, similar to the unit pricing that was introduced for supermarkets in 2009/10. </w:t>
      </w:r>
    </w:p>
    <w:p w14:paraId="5A988C39" w14:textId="77777777" w:rsidR="00EF4492" w:rsidRPr="00EF4492" w:rsidRDefault="00EF4492" w:rsidP="00444A07">
      <w:pPr>
        <w:pStyle w:val="Heading3"/>
        <w:rPr>
          <w:rFonts w:eastAsia="Arial Unicode MS"/>
          <w:lang w:val="en-IE" w:bidi="hi-IN"/>
        </w:rPr>
      </w:pPr>
      <w:bookmarkStart w:id="21" w:name="_Toc465667605"/>
      <w:r w:rsidRPr="00EF4492">
        <w:rPr>
          <w:rFonts w:eastAsia="Arial Unicode MS"/>
          <w:lang w:val="en-IE" w:bidi="hi-IN"/>
        </w:rPr>
        <w:t>Comparator websites</w:t>
      </w:r>
      <w:bookmarkEnd w:id="21"/>
    </w:p>
    <w:p w14:paraId="29485753" w14:textId="5AD509DD" w:rsidR="00EF4492" w:rsidRPr="00EF4492" w:rsidRDefault="00EF4492" w:rsidP="00444A07">
      <w:pPr>
        <w:rPr>
          <w:rFonts w:eastAsia="Arial Unicode MS"/>
          <w:lang w:val="en-US" w:eastAsia="hi-IN" w:bidi="hi-IN"/>
        </w:rPr>
      </w:pPr>
      <w:r w:rsidRPr="00EF4492">
        <w:rPr>
          <w:rFonts w:eastAsia="Arial Unicode MS"/>
          <w:lang w:val="en-US" w:eastAsia="hi-IN" w:bidi="hi-IN"/>
        </w:rPr>
        <w:t xml:space="preserve">Comparator websites are playing an increasingly important role in guiding consumer decision making. The telecommunications sector has two main comparator websites serving consumers, </w:t>
      </w:r>
      <w:proofErr w:type="spellStart"/>
      <w:r w:rsidR="002902BA" w:rsidRPr="00EF4492">
        <w:rPr>
          <w:rFonts w:eastAsia="Arial Unicode MS"/>
          <w:lang w:val="en-US" w:eastAsia="hi-IN" w:bidi="hi-IN"/>
        </w:rPr>
        <w:t>WhistleOut</w:t>
      </w:r>
      <w:proofErr w:type="spellEnd"/>
      <w:r w:rsidRPr="00EF4492">
        <w:rPr>
          <w:rFonts w:eastAsia="Arial Unicode MS"/>
          <w:lang w:val="en-US" w:eastAsia="hi-IN" w:bidi="hi-IN"/>
        </w:rPr>
        <w:t>/</w:t>
      </w:r>
      <w:proofErr w:type="spellStart"/>
      <w:r w:rsidRPr="00EF4492">
        <w:rPr>
          <w:rFonts w:eastAsia="Arial Unicode MS"/>
          <w:lang w:val="en-US" w:eastAsia="hi-IN" w:bidi="hi-IN"/>
        </w:rPr>
        <w:t>Canstar</w:t>
      </w:r>
      <w:proofErr w:type="spellEnd"/>
      <w:r w:rsidRPr="00EF4492">
        <w:rPr>
          <w:rFonts w:eastAsia="Arial Unicode MS"/>
          <w:lang w:val="en-US" w:eastAsia="hi-IN" w:bidi="hi-IN"/>
        </w:rPr>
        <w:t xml:space="preserve"> and Finder.</w:t>
      </w:r>
      <w:r w:rsidRPr="00EF4492">
        <w:rPr>
          <w:rFonts w:eastAsia="Arial Unicode MS"/>
          <w:vertAlign w:val="superscript"/>
          <w:lang w:val="en-IE" w:eastAsia="hi-IN" w:bidi="hi-IN"/>
        </w:rPr>
        <w:footnoteReference w:id="40"/>
      </w:r>
    </w:p>
    <w:p w14:paraId="574AE537" w14:textId="77777777" w:rsidR="00EF4492" w:rsidRPr="00EF4492" w:rsidRDefault="00EF4492" w:rsidP="00444A07">
      <w:pPr>
        <w:rPr>
          <w:rFonts w:eastAsia="Arial Unicode MS"/>
          <w:lang w:val="en-US" w:eastAsia="hi-IN" w:bidi="hi-IN"/>
        </w:rPr>
      </w:pPr>
      <w:r w:rsidRPr="00EF4492">
        <w:rPr>
          <w:rFonts w:eastAsia="Arial Unicode MS"/>
          <w:lang w:val="en-US" w:eastAsia="hi-IN" w:bidi="hi-IN"/>
        </w:rPr>
        <w:lastRenderedPageBreak/>
        <w:t>ACCAN is concerned that the benefits of these services may be undermined if providers fail to act appropriately. For example there may be a number of ‘behind the scenes’ factors that influence how products and services are presented, such as:</w:t>
      </w:r>
    </w:p>
    <w:p w14:paraId="6F48558E" w14:textId="77777777" w:rsidR="00EF4492" w:rsidRPr="00444A07" w:rsidRDefault="00EF4492" w:rsidP="00444A07">
      <w:pPr>
        <w:pStyle w:val="ListParagraph"/>
        <w:numPr>
          <w:ilvl w:val="0"/>
          <w:numId w:val="18"/>
        </w:numPr>
        <w:rPr>
          <w:rFonts w:eastAsia="Arial Unicode MS"/>
          <w:lang w:val="en-US" w:eastAsia="hi-IN" w:bidi="hi-IN"/>
        </w:rPr>
      </w:pPr>
      <w:r w:rsidRPr="00444A07">
        <w:rPr>
          <w:rFonts w:eastAsia="Arial Unicode MS"/>
          <w:lang w:val="en-US" w:eastAsia="hi-IN" w:bidi="hi-IN"/>
        </w:rPr>
        <w:t>Inducements</w:t>
      </w:r>
    </w:p>
    <w:p w14:paraId="45071BFA" w14:textId="77777777" w:rsidR="00EF4492" w:rsidRPr="00444A07" w:rsidRDefault="00EF4492" w:rsidP="00444A07">
      <w:pPr>
        <w:pStyle w:val="ListParagraph"/>
        <w:numPr>
          <w:ilvl w:val="0"/>
          <w:numId w:val="18"/>
        </w:numPr>
        <w:rPr>
          <w:rFonts w:eastAsia="Arial Unicode MS"/>
          <w:lang w:val="en-US" w:eastAsia="hi-IN" w:bidi="hi-IN"/>
        </w:rPr>
      </w:pPr>
      <w:r w:rsidRPr="00444A07">
        <w:rPr>
          <w:rFonts w:eastAsia="Arial Unicode MS"/>
          <w:lang w:val="en-US" w:eastAsia="hi-IN" w:bidi="hi-IN"/>
        </w:rPr>
        <w:t>Preferential treatment</w:t>
      </w:r>
    </w:p>
    <w:p w14:paraId="3CC9152B" w14:textId="77777777" w:rsidR="00EF4492" w:rsidRPr="00444A07" w:rsidRDefault="00EF4492" w:rsidP="00444A07">
      <w:pPr>
        <w:pStyle w:val="ListParagraph"/>
        <w:numPr>
          <w:ilvl w:val="0"/>
          <w:numId w:val="18"/>
        </w:numPr>
        <w:rPr>
          <w:rFonts w:eastAsia="Arial Unicode MS"/>
          <w:lang w:val="en-US" w:eastAsia="hi-IN" w:bidi="hi-IN"/>
        </w:rPr>
      </w:pPr>
      <w:r w:rsidRPr="00444A07">
        <w:rPr>
          <w:rFonts w:eastAsia="Arial Unicode MS"/>
          <w:lang w:val="en-US" w:eastAsia="hi-IN" w:bidi="hi-IN"/>
        </w:rPr>
        <w:t>Algorithms</w:t>
      </w:r>
    </w:p>
    <w:p w14:paraId="093DFA2D" w14:textId="77777777" w:rsidR="00EF4492" w:rsidRPr="00444A07" w:rsidRDefault="00EF4492" w:rsidP="00444A07">
      <w:pPr>
        <w:pStyle w:val="ListParagraph"/>
        <w:numPr>
          <w:ilvl w:val="0"/>
          <w:numId w:val="18"/>
        </w:numPr>
        <w:rPr>
          <w:rFonts w:eastAsia="Arial Unicode MS"/>
          <w:lang w:val="en-US" w:eastAsia="hi-IN" w:bidi="hi-IN"/>
        </w:rPr>
      </w:pPr>
      <w:r w:rsidRPr="00444A07">
        <w:rPr>
          <w:rFonts w:eastAsia="Arial Unicode MS"/>
          <w:lang w:val="en-US" w:eastAsia="hi-IN" w:bidi="hi-IN"/>
        </w:rPr>
        <w:t>Sales quotas</w:t>
      </w:r>
    </w:p>
    <w:p w14:paraId="29B344E0" w14:textId="04B88911" w:rsidR="00EF4492" w:rsidRPr="00444A07" w:rsidRDefault="00EF4492" w:rsidP="00444A07">
      <w:pPr>
        <w:pStyle w:val="ListParagraph"/>
        <w:numPr>
          <w:ilvl w:val="0"/>
          <w:numId w:val="18"/>
        </w:numPr>
        <w:rPr>
          <w:rFonts w:eastAsia="Arial Unicode MS"/>
          <w:lang w:val="en-US" w:eastAsia="hi-IN" w:bidi="hi-IN"/>
        </w:rPr>
      </w:pPr>
      <w:r w:rsidRPr="00444A07">
        <w:rPr>
          <w:rFonts w:eastAsia="Arial Unicode MS"/>
          <w:lang w:val="en-US" w:eastAsia="hi-IN" w:bidi="hi-IN"/>
        </w:rPr>
        <w:t xml:space="preserve">Commercial relationships between comparator websites and </w:t>
      </w:r>
      <w:proofErr w:type="spellStart"/>
      <w:r w:rsidR="000F245D">
        <w:rPr>
          <w:rFonts w:eastAsia="Arial Unicode MS"/>
          <w:lang w:val="en-US" w:eastAsia="hi-IN" w:bidi="hi-IN"/>
        </w:rPr>
        <w:t>t</w:t>
      </w:r>
      <w:r w:rsidR="00EC7AB8" w:rsidRPr="00444A07">
        <w:rPr>
          <w:rFonts w:eastAsia="Arial Unicode MS"/>
          <w:lang w:val="en-US" w:eastAsia="hi-IN" w:bidi="hi-IN"/>
        </w:rPr>
        <w:t>elco</w:t>
      </w:r>
      <w:proofErr w:type="spellEnd"/>
      <w:r w:rsidRPr="00444A07">
        <w:rPr>
          <w:rFonts w:eastAsia="Arial Unicode MS"/>
          <w:lang w:val="en-US" w:eastAsia="hi-IN" w:bidi="hi-IN"/>
        </w:rPr>
        <w:t xml:space="preserve"> service providers.</w:t>
      </w:r>
    </w:p>
    <w:p w14:paraId="5D660583" w14:textId="366EF37E" w:rsidR="00EF4492" w:rsidRPr="00EF4492" w:rsidRDefault="00EF4492" w:rsidP="00444A07">
      <w:pPr>
        <w:rPr>
          <w:rFonts w:eastAsia="Arial Unicode MS"/>
          <w:lang w:val="en-US" w:eastAsia="hi-IN" w:bidi="hi-IN"/>
        </w:rPr>
      </w:pPr>
      <w:r w:rsidRPr="00EF4492">
        <w:rPr>
          <w:rFonts w:eastAsia="Arial Unicode MS"/>
          <w:lang w:val="en-US" w:eastAsia="hi-IN" w:bidi="hi-IN"/>
        </w:rPr>
        <w:t>ACCAN has been supportive of and provided feedback on the ACCC guidance to comparator website operators.</w:t>
      </w:r>
      <w:r w:rsidRPr="00EF4492">
        <w:rPr>
          <w:rFonts w:eastAsia="Arial Unicode MS"/>
          <w:vertAlign w:val="superscript"/>
          <w:lang w:val="en-IE" w:eastAsia="hi-IN" w:bidi="hi-IN"/>
        </w:rPr>
        <w:footnoteReference w:id="41"/>
      </w:r>
      <w:r w:rsidRPr="00EF4492">
        <w:rPr>
          <w:rFonts w:eastAsia="Arial Unicode MS"/>
          <w:lang w:val="en-US" w:eastAsia="hi-IN" w:bidi="hi-IN"/>
        </w:rPr>
        <w:t xml:space="preserve"> This guidance was </w:t>
      </w:r>
      <w:r w:rsidR="00EC7AB8" w:rsidRPr="00EF4492">
        <w:rPr>
          <w:rFonts w:eastAsia="Arial Unicode MS"/>
          <w:lang w:val="en-US" w:eastAsia="hi-IN" w:bidi="hi-IN"/>
        </w:rPr>
        <w:t>centered</w:t>
      </w:r>
      <w:r w:rsidRPr="00EF4492">
        <w:rPr>
          <w:rFonts w:eastAsia="Arial Unicode MS"/>
          <w:lang w:val="en-US" w:eastAsia="hi-IN" w:bidi="hi-IN"/>
        </w:rPr>
        <w:t xml:space="preserve"> on greater transparency around how comparisons were conducted and commercial relationships that may exist. </w:t>
      </w:r>
    </w:p>
    <w:p w14:paraId="2DEE5F03" w14:textId="585C0C6D" w:rsidR="00EF4492" w:rsidRPr="00EF4492" w:rsidRDefault="00EF4492" w:rsidP="00444A07">
      <w:pPr>
        <w:rPr>
          <w:rFonts w:eastAsia="Arial Unicode MS"/>
          <w:lang w:val="en-US" w:eastAsia="hi-IN" w:bidi="hi-IN"/>
        </w:rPr>
      </w:pPr>
      <w:r w:rsidRPr="00EF4492">
        <w:rPr>
          <w:rFonts w:eastAsia="Arial Unicode MS"/>
          <w:lang w:val="en-US" w:eastAsia="hi-IN" w:bidi="hi-IN"/>
        </w:rPr>
        <w:t xml:space="preserve">However, ACCAN remains concerned comparison sites do not adequately disclose the commercial relationships they have with the providers of the products they cover. Poor practice in this area may be picked up by existing consumer protections which prevent misleading and deceptive conduct. However, the arm’s length relationship between comparator websites and the services compared, as well as limited information about how comparisons are </w:t>
      </w:r>
      <w:r w:rsidR="00EC7AB8" w:rsidRPr="00EF4492">
        <w:rPr>
          <w:rFonts w:eastAsia="Arial Unicode MS"/>
          <w:lang w:val="en-US" w:eastAsia="hi-IN" w:bidi="hi-IN"/>
        </w:rPr>
        <w:t>conducted</w:t>
      </w:r>
      <w:r w:rsidRPr="00EF4492">
        <w:rPr>
          <w:rFonts w:eastAsia="Arial Unicode MS"/>
          <w:lang w:val="en-US" w:eastAsia="hi-IN" w:bidi="hi-IN"/>
        </w:rPr>
        <w:t xml:space="preserve"> creates barriers for adequate enforcement.</w:t>
      </w:r>
    </w:p>
    <w:p w14:paraId="2CBFC990" w14:textId="77777777" w:rsidR="00EF4492" w:rsidRPr="00EF4492" w:rsidRDefault="00EF4492" w:rsidP="00444A07">
      <w:pPr>
        <w:rPr>
          <w:rFonts w:eastAsia="Arial Unicode MS"/>
          <w:lang w:val="en-US" w:eastAsia="hi-IN" w:bidi="hi-IN"/>
        </w:rPr>
      </w:pPr>
      <w:r w:rsidRPr="00EF4492">
        <w:rPr>
          <w:rFonts w:eastAsia="Arial Unicode MS"/>
          <w:lang w:val="en-US" w:eastAsia="hi-IN" w:bidi="hi-IN"/>
        </w:rPr>
        <w:t>Traditionally product comparisons have been the core business of consumer organisations, with standards in place to maintain independence and transparency. However, the current business model for comparator websites is reliant on advertising and commission based selling. This can come into direct conflict with the interests of consumers. To avoid these problems in the energy sector the regulator maintains its own comparator website called ‘Energy Made Easy’.</w:t>
      </w:r>
      <w:r w:rsidRPr="00EF4492">
        <w:rPr>
          <w:rFonts w:eastAsia="Arial Unicode MS"/>
          <w:vertAlign w:val="superscript"/>
          <w:lang w:val="en-IE" w:eastAsia="hi-IN" w:bidi="hi-IN"/>
        </w:rPr>
        <w:footnoteReference w:id="42"/>
      </w:r>
    </w:p>
    <w:p w14:paraId="54A45A20" w14:textId="5E55A489" w:rsidR="00EF4492" w:rsidRPr="00EF4492" w:rsidRDefault="00EF4492" w:rsidP="00444A07">
      <w:pPr>
        <w:rPr>
          <w:rFonts w:eastAsia="Arial Unicode MS"/>
          <w:lang w:val="en-US" w:eastAsia="hi-IN" w:bidi="hi-IN"/>
        </w:rPr>
      </w:pPr>
      <w:r w:rsidRPr="00EF4492">
        <w:rPr>
          <w:rFonts w:eastAsia="Arial Unicode MS"/>
          <w:lang w:val="en-US" w:eastAsia="hi-IN" w:bidi="hi-IN"/>
        </w:rPr>
        <w:t>ACCAN strong</w:t>
      </w:r>
      <w:r w:rsidR="00CB109A">
        <w:rPr>
          <w:rFonts w:eastAsia="Arial Unicode MS"/>
          <w:lang w:val="en-US" w:eastAsia="hi-IN" w:bidi="hi-IN"/>
        </w:rPr>
        <w:t>ly</w:t>
      </w:r>
      <w:r w:rsidRPr="00EF4492">
        <w:rPr>
          <w:rFonts w:eastAsia="Arial Unicode MS"/>
          <w:lang w:val="en-US" w:eastAsia="hi-IN" w:bidi="hi-IN"/>
        </w:rPr>
        <w:t xml:space="preserve"> urges the ACCC to be vigilant and strictly enforce the Australian Consumer Law against any person or company that seeks to mislead the public about the quality and affordability of telecommunications services.  A successful strategically chosen prosecution will lay the foundation for comparator industry compliance in the future.  It will also allow the ACCC to have confidence when issuing infringement notices for less serious contraventions without having to worry about legal challenges.  </w:t>
      </w:r>
    </w:p>
    <w:p w14:paraId="66EE4FA3" w14:textId="78E5D959" w:rsidR="00EF4492" w:rsidRPr="00EF4492" w:rsidRDefault="00EF4492" w:rsidP="00444A07">
      <w:pPr>
        <w:rPr>
          <w:rFonts w:eastAsia="Arial Unicode MS"/>
          <w:lang w:val="en-US" w:eastAsia="hi-IN" w:bidi="hi-IN"/>
        </w:rPr>
      </w:pPr>
      <w:r w:rsidRPr="00EF4492">
        <w:rPr>
          <w:rFonts w:eastAsia="Arial Unicode MS"/>
          <w:lang w:val="en-US" w:eastAsia="hi-IN" w:bidi="hi-IN"/>
        </w:rPr>
        <w:t>Making better purchasing decisions can lead to sizable productivity gains across an economy. QUT research found that the economy wide savings from consumers having switched their internet services in the last 5 years is at least $136,471,044 and for mobile phones at least $326,937,600.</w:t>
      </w:r>
      <w:r w:rsidRPr="00EF4492">
        <w:rPr>
          <w:rFonts w:eastAsia="Arial Unicode MS"/>
          <w:vertAlign w:val="superscript"/>
          <w:lang w:val="en-IE" w:eastAsia="hi-IN" w:bidi="hi-IN"/>
        </w:rPr>
        <w:footnoteReference w:id="43"/>
      </w:r>
      <w:r w:rsidRPr="00EF4492">
        <w:rPr>
          <w:rFonts w:eastAsia="Arial Unicode MS"/>
          <w:lang w:val="en-US" w:eastAsia="hi-IN" w:bidi="hi-IN"/>
        </w:rPr>
        <w:t xml:space="preserve">This could be achieved through directly providing these </w:t>
      </w:r>
      <w:r w:rsidRPr="00EF4492">
        <w:rPr>
          <w:rFonts w:eastAsia="Arial Unicode MS"/>
          <w:lang w:val="en-US" w:eastAsia="hi-IN" w:bidi="hi-IN"/>
        </w:rPr>
        <w:lastRenderedPageBreak/>
        <w:t>services or funding consumer organisations which adhere to strict guidelines on indep</w:t>
      </w:r>
      <w:r w:rsidR="00444A07">
        <w:rPr>
          <w:rFonts w:eastAsia="Arial Unicode MS"/>
          <w:lang w:val="en-US" w:eastAsia="hi-IN" w:bidi="hi-IN"/>
        </w:rPr>
        <w:t>endence to provide comparisons.</w:t>
      </w:r>
    </w:p>
    <w:p w14:paraId="5F72054B" w14:textId="77777777" w:rsidR="00EF4492" w:rsidRPr="00EF4492" w:rsidRDefault="00153626" w:rsidP="00444A07">
      <w:pPr>
        <w:pStyle w:val="Heading3"/>
        <w:rPr>
          <w:rFonts w:eastAsia="Arial Unicode MS"/>
          <w:lang w:val="en-IE" w:bidi="hi-IN"/>
        </w:rPr>
      </w:pPr>
      <w:bookmarkStart w:id="22" w:name="_Toc465667606"/>
      <w:r w:rsidRPr="00EF4492">
        <w:rPr>
          <w:rFonts w:eastAsia="Arial Unicode MS"/>
          <w:lang w:val="en-IE" w:bidi="hi-IN"/>
        </w:rPr>
        <w:t>Service performance</w:t>
      </w:r>
      <w:r w:rsidR="00EF4492" w:rsidRPr="00EF4492">
        <w:rPr>
          <w:rFonts w:eastAsia="Arial Unicode MS"/>
          <w:lang w:val="en-IE" w:bidi="hi-IN"/>
        </w:rPr>
        <w:t xml:space="preserve"> and speed attributes</w:t>
      </w:r>
      <w:bookmarkEnd w:id="22"/>
    </w:p>
    <w:p w14:paraId="3441F4D3" w14:textId="77777777" w:rsidR="00EF4492" w:rsidRPr="00EF4492" w:rsidRDefault="00EF4492" w:rsidP="00444A07">
      <w:pPr>
        <w:rPr>
          <w:rFonts w:eastAsia="Arial Unicode MS"/>
          <w:lang w:val="en-IE" w:eastAsia="hi-IN" w:bidi="hi-IN"/>
        </w:rPr>
      </w:pPr>
      <w:r w:rsidRPr="00EF4492">
        <w:rPr>
          <w:rFonts w:eastAsia="Arial Unicode MS"/>
          <w:lang w:val="en-IE" w:eastAsia="hi-IN" w:bidi="hi-IN"/>
        </w:rPr>
        <w:t xml:space="preserve">Telco services and goods, particularly in the move to Next Generation Networks, could be considered as ‘experience goods’ where they need to be experienced to understand their true value. </w:t>
      </w:r>
      <w:proofErr w:type="gramStart"/>
      <w:r w:rsidRPr="00EF4492">
        <w:rPr>
          <w:rFonts w:eastAsia="Arial Unicode MS"/>
          <w:lang w:val="en-IE" w:eastAsia="hi-IN" w:bidi="hi-IN"/>
        </w:rPr>
        <w:t>Traditional terms which can be compared, such as price, do not indicate the quality and additional benefit that the service can deliver over previous technologies and networks.</w:t>
      </w:r>
      <w:proofErr w:type="gramEnd"/>
      <w:r w:rsidRPr="00EF4492">
        <w:rPr>
          <w:rFonts w:eastAsia="Arial Unicode MS"/>
          <w:lang w:val="en-IE" w:eastAsia="hi-IN" w:bidi="hi-IN"/>
        </w:rPr>
        <w:t xml:space="preserve"> This is particularly true where mobile and nbn services offer such things as unimaginable speeds and the greatest level of coverage, which have to be experienced to be valued. Such quality attributes are currently unmeasurable by consumers until after they purchase the product. </w:t>
      </w:r>
    </w:p>
    <w:p w14:paraId="615A0FAD" w14:textId="0AF9DBE1" w:rsidR="00EF4492" w:rsidRPr="00EF4492" w:rsidRDefault="00EF4492" w:rsidP="00444A07">
      <w:pPr>
        <w:rPr>
          <w:rFonts w:eastAsia="Arial Unicode MS"/>
          <w:lang w:val="en-IE" w:eastAsia="hi-IN" w:bidi="hi-IN"/>
        </w:rPr>
      </w:pPr>
      <w:r w:rsidRPr="00EF4492">
        <w:rPr>
          <w:rFonts w:eastAsia="Arial Unicode MS"/>
          <w:lang w:val="en-IE" w:eastAsia="hi-IN" w:bidi="hi-IN"/>
        </w:rPr>
        <w:t xml:space="preserve">If consumers cannot make informed decisions based on measurable quality attributes then it is unlikely to result in competition in these areas. The range of services offered by providers are likely to end up at the same level of quality offered. This may currently be an issue with speeds over NBN. </w:t>
      </w:r>
      <w:r w:rsidR="002636EE">
        <w:rPr>
          <w:rFonts w:eastAsia="Arial Unicode MS"/>
          <w:lang w:val="en-IE" w:eastAsia="hi-IN" w:bidi="hi-IN"/>
        </w:rPr>
        <w:t>A</w:t>
      </w:r>
      <w:r w:rsidRPr="00EF4492">
        <w:rPr>
          <w:rFonts w:eastAsia="Arial Unicode MS"/>
          <w:lang w:val="en-IE" w:eastAsia="hi-IN" w:bidi="hi-IN"/>
        </w:rPr>
        <w:t xml:space="preserve"> large number of services that offer the same speed tier are priced at the same level. It is difficult to distinguish </w:t>
      </w:r>
      <w:r w:rsidR="00CB109A">
        <w:rPr>
          <w:rFonts w:eastAsia="Arial Unicode MS"/>
          <w:lang w:val="en-IE" w:eastAsia="hi-IN" w:bidi="hi-IN"/>
        </w:rPr>
        <w:t xml:space="preserve">the </w:t>
      </w:r>
      <w:r w:rsidR="00D656FF">
        <w:rPr>
          <w:rFonts w:eastAsia="Arial Unicode MS"/>
          <w:lang w:val="en-IE" w:eastAsia="hi-IN" w:bidi="hi-IN"/>
        </w:rPr>
        <w:t>varied</w:t>
      </w:r>
      <w:r w:rsidR="00CB109A">
        <w:rPr>
          <w:rFonts w:eastAsia="Arial Unicode MS"/>
          <w:lang w:val="en-IE" w:eastAsia="hi-IN" w:bidi="hi-IN"/>
        </w:rPr>
        <w:t xml:space="preserve"> </w:t>
      </w:r>
      <w:r w:rsidR="002902BA">
        <w:rPr>
          <w:rFonts w:eastAsia="Arial Unicode MS"/>
          <w:lang w:val="en-IE" w:eastAsia="hi-IN" w:bidi="hi-IN"/>
        </w:rPr>
        <w:t xml:space="preserve">provisioning </w:t>
      </w:r>
      <w:r w:rsidR="002902BA" w:rsidRPr="00EF4492">
        <w:rPr>
          <w:rFonts w:eastAsia="Arial Unicode MS"/>
          <w:lang w:val="en-IE" w:eastAsia="hi-IN" w:bidi="hi-IN"/>
        </w:rPr>
        <w:t>that</w:t>
      </w:r>
      <w:r w:rsidRPr="00EF4492">
        <w:rPr>
          <w:rFonts w:eastAsia="Arial Unicode MS"/>
          <w:lang w:val="en-IE" w:eastAsia="hi-IN" w:bidi="hi-IN"/>
        </w:rPr>
        <w:t xml:space="preserve"> is being offered </w:t>
      </w:r>
      <w:r w:rsidR="00D656FF">
        <w:rPr>
          <w:rFonts w:eastAsia="Arial Unicode MS"/>
          <w:lang w:val="en-IE" w:eastAsia="hi-IN" w:bidi="hi-IN"/>
        </w:rPr>
        <w:t>by the provider</w:t>
      </w:r>
      <w:r w:rsidRPr="00EF4492">
        <w:rPr>
          <w:rFonts w:eastAsia="Arial Unicode MS"/>
          <w:lang w:val="en-IE" w:eastAsia="hi-IN" w:bidi="hi-IN"/>
        </w:rPr>
        <w:t>. This creates inefficiencies as both consumers and providers would be better off with competition in quality factors.</w:t>
      </w:r>
    </w:p>
    <w:p w14:paraId="5718558F" w14:textId="77777777" w:rsidR="00EF4492" w:rsidRPr="002902BA" w:rsidRDefault="00EF4492" w:rsidP="00444A07">
      <w:pPr>
        <w:rPr>
          <w:rFonts w:asciiTheme="minorHAnsi" w:eastAsia="Times New Roman" w:hAnsiTheme="minorHAnsi" w:cs="Times New Roman"/>
          <w:color w:val="2C2C2C"/>
          <w:lang w:val="en-IE" w:eastAsia="hi-IN" w:bidi="hi-IN"/>
        </w:rPr>
      </w:pPr>
      <w:r w:rsidRPr="002902BA">
        <w:rPr>
          <w:rFonts w:asciiTheme="minorHAnsi" w:eastAsia="Times New Roman" w:hAnsiTheme="minorHAnsi" w:cs="Times New Roman"/>
          <w:color w:val="2C2C2C"/>
          <w:lang w:val="en-IE" w:eastAsia="hi-IN" w:bidi="hi-IN"/>
        </w:rPr>
        <w:t>Greater information around broadband performance is important for consumers for these reasons:</w:t>
      </w:r>
    </w:p>
    <w:p w14:paraId="5B973680" w14:textId="77777777" w:rsidR="00EF4492" w:rsidRPr="00444A07" w:rsidRDefault="00EF4492" w:rsidP="00444A07">
      <w:pPr>
        <w:pStyle w:val="ListParagraph"/>
        <w:numPr>
          <w:ilvl w:val="0"/>
          <w:numId w:val="19"/>
        </w:numPr>
        <w:rPr>
          <w:rFonts w:eastAsia="Times New Roman"/>
          <w:lang w:val="en-IE" w:eastAsia="hi-IN" w:bidi="hi-IN"/>
        </w:rPr>
      </w:pPr>
      <w:r w:rsidRPr="00444A07">
        <w:rPr>
          <w:rFonts w:eastAsia="Times New Roman"/>
          <w:lang w:val="en-IE" w:eastAsia="hi-IN" w:bidi="hi-IN"/>
        </w:rPr>
        <w:t>It will help them to compare products in order to choose the service that best suits their needs. Descriptions currently used, such as ‘fast’, or ‘up to’, do not offer the consumer the ability to compare actual performance and match their usage needs in a rational way. Greater information will help inform decision making, especially when considering switching products to obtain improved services.</w:t>
      </w:r>
    </w:p>
    <w:p w14:paraId="5312A763" w14:textId="77777777" w:rsidR="00EF4492" w:rsidRPr="00444A07" w:rsidRDefault="00EF4492" w:rsidP="00444A07">
      <w:pPr>
        <w:pStyle w:val="ListParagraph"/>
        <w:numPr>
          <w:ilvl w:val="0"/>
          <w:numId w:val="19"/>
        </w:numPr>
        <w:rPr>
          <w:rFonts w:eastAsia="Times New Roman"/>
          <w:lang w:val="en-IE" w:eastAsia="hi-IN" w:bidi="hi-IN"/>
        </w:rPr>
      </w:pPr>
      <w:r w:rsidRPr="00444A07">
        <w:rPr>
          <w:rFonts w:eastAsia="Times New Roman"/>
          <w:lang w:val="en-IE" w:eastAsia="hi-IN" w:bidi="hi-IN"/>
        </w:rPr>
        <w:t>It will help enable fault diagnosis when problems are encountered and help identify whether a fault is systemic to the home, access, or upstream network.</w:t>
      </w:r>
    </w:p>
    <w:p w14:paraId="0DAC6778" w14:textId="77777777" w:rsidR="00EF4492" w:rsidRPr="00444A07" w:rsidRDefault="00EF4492" w:rsidP="00444A07">
      <w:pPr>
        <w:pStyle w:val="ListParagraph"/>
        <w:numPr>
          <w:ilvl w:val="0"/>
          <w:numId w:val="19"/>
        </w:numPr>
        <w:rPr>
          <w:rFonts w:eastAsia="Times New Roman"/>
          <w:lang w:val="en-IE" w:eastAsia="hi-IN" w:bidi="hi-IN"/>
        </w:rPr>
      </w:pPr>
      <w:r w:rsidRPr="00444A07">
        <w:rPr>
          <w:rFonts w:eastAsia="Times New Roman"/>
          <w:lang w:val="en-IE" w:eastAsia="hi-IN" w:bidi="hi-IN"/>
        </w:rPr>
        <w:t>To help consumers seek recourse when the service does not meet expected standards and for easier compliance with Australian Consumer Law rights.</w:t>
      </w:r>
    </w:p>
    <w:p w14:paraId="6EA6E3E3" w14:textId="70A0CF15" w:rsidR="00EF4492" w:rsidRPr="00EF4492" w:rsidRDefault="00EF4492" w:rsidP="00444A07">
      <w:pPr>
        <w:rPr>
          <w:rFonts w:eastAsia="Times New Roman"/>
          <w:lang w:val="en-IE" w:eastAsia="hi-IN" w:bidi="hi-IN"/>
        </w:rPr>
      </w:pPr>
      <w:r w:rsidRPr="00EF4492">
        <w:rPr>
          <w:rFonts w:eastAsia="Times New Roman"/>
          <w:lang w:val="en-IE" w:eastAsia="hi-IN" w:bidi="hi-IN"/>
        </w:rPr>
        <w:t>Broadband speed claims is an issue that ACCAN members and consumers regularly express frustration about. They can be confusing and misleading, because they often do not match the speeds services can actually achieve in real-world conditions. ACCAN welcomed the ACCC investigation into this area and believes that further guidelines for retail service providers (RSPs) are needed to improve advertising practices. Standardised comparable information on actual predicted performance to assist consumers navigate the market are needed. The proposed Broadband Performance Monitoring and Reporting Program, which aims to test service performance, is needed to support and verify the claims made by RSPs.</w:t>
      </w:r>
      <w:r w:rsidRPr="00EF4492">
        <w:rPr>
          <w:rFonts w:eastAsia="Times New Roman"/>
          <w:vertAlign w:val="superscript"/>
          <w:lang w:val="en-IE" w:eastAsia="hi-IN" w:bidi="hi-IN"/>
        </w:rPr>
        <w:footnoteReference w:id="44"/>
      </w:r>
      <w:r w:rsidRPr="00EF4492">
        <w:rPr>
          <w:rFonts w:eastAsia="Times New Roman"/>
          <w:lang w:val="en-IE" w:eastAsia="hi-IN" w:bidi="hi-IN"/>
        </w:rPr>
        <w:t xml:space="preserve">The term ‘speed’ is used synonymously to describe performance of a service. A </w:t>
      </w:r>
      <w:r w:rsidRPr="00EF4492">
        <w:rPr>
          <w:rFonts w:eastAsia="Times New Roman"/>
          <w:lang w:val="en-IE" w:eastAsia="hi-IN" w:bidi="hi-IN"/>
        </w:rPr>
        <w:lastRenderedPageBreak/>
        <w:t xml:space="preserve">number of issues that consumers encounter are often described as ‘speed’ issues, the solution to which is often posed to be faster speeds. This, however, is not reflective of all issues with services encountered. ACCAN asserts that both information on the broadband service, including average speed and peak speed, and the internet service, for example, information related to network peers and connections, needs to be presented to consumers. Information on any prioritisation over the network that occurs should </w:t>
      </w:r>
      <w:r w:rsidR="00444A07">
        <w:rPr>
          <w:rFonts w:eastAsia="Times New Roman"/>
          <w:lang w:val="en-IE" w:eastAsia="hi-IN" w:bidi="hi-IN"/>
        </w:rPr>
        <w:t>also be presented to consumers.</w:t>
      </w:r>
    </w:p>
    <w:p w14:paraId="1381803E" w14:textId="77777777" w:rsidR="00EF4492" w:rsidRPr="00EF4492" w:rsidRDefault="00EF4492" w:rsidP="00444A07">
      <w:pPr>
        <w:pStyle w:val="Heading3"/>
        <w:rPr>
          <w:lang w:val="en-IE" w:bidi="hi-IN"/>
        </w:rPr>
      </w:pPr>
      <w:bookmarkStart w:id="23" w:name="_Toc465667607"/>
      <w:r w:rsidRPr="00EF4492">
        <w:rPr>
          <w:lang w:val="en-IE" w:bidi="hi-IN"/>
        </w:rPr>
        <w:t>Complaint Statistics</w:t>
      </w:r>
      <w:bookmarkEnd w:id="23"/>
    </w:p>
    <w:p w14:paraId="6A2178E7" w14:textId="4A026FDF" w:rsidR="00EF4492" w:rsidRPr="00EF4492" w:rsidRDefault="00EF4492" w:rsidP="00444A07">
      <w:pPr>
        <w:rPr>
          <w:rFonts w:eastAsia="Times New Roman"/>
          <w:lang w:val="en-IE" w:eastAsia="hi-IN" w:bidi="hi-IN"/>
        </w:rPr>
      </w:pPr>
      <w:r w:rsidRPr="00EF4492">
        <w:rPr>
          <w:rFonts w:eastAsia="Times New Roman"/>
          <w:lang w:val="en-IE" w:eastAsia="hi-IN" w:bidi="hi-IN"/>
        </w:rPr>
        <w:t xml:space="preserve">The release of complaints by provider would be very useful for consumers to understand the level of customer service. The TIO and Communication Alliance releases </w:t>
      </w:r>
      <w:proofErr w:type="gramStart"/>
      <w:r w:rsidRPr="00EF4492">
        <w:rPr>
          <w:rFonts w:eastAsia="Times New Roman"/>
          <w:lang w:val="en-IE" w:eastAsia="hi-IN" w:bidi="hi-IN"/>
        </w:rPr>
        <w:t>a complaints</w:t>
      </w:r>
      <w:proofErr w:type="gramEnd"/>
      <w:r w:rsidRPr="00EF4492">
        <w:rPr>
          <w:rFonts w:eastAsia="Times New Roman"/>
          <w:lang w:val="en-IE" w:eastAsia="hi-IN" w:bidi="hi-IN"/>
        </w:rPr>
        <w:t xml:space="preserve"> in context report, however, this is only for complaints that go to the TIO</w:t>
      </w:r>
      <w:r w:rsidR="00D656FF">
        <w:rPr>
          <w:rFonts w:eastAsia="Times New Roman"/>
          <w:lang w:val="en-IE" w:eastAsia="hi-IN" w:bidi="hi-IN"/>
        </w:rPr>
        <w:t xml:space="preserve"> for selected RSPs</w:t>
      </w:r>
      <w:r w:rsidRPr="00EF4492">
        <w:rPr>
          <w:rFonts w:eastAsia="Times New Roman"/>
          <w:lang w:val="en-IE" w:eastAsia="hi-IN" w:bidi="hi-IN"/>
        </w:rPr>
        <w:t>. These are not representative of all consumer complaints. Consumers who contact ACCAN regularly ask</w:t>
      </w:r>
      <w:r w:rsidR="002636EE">
        <w:rPr>
          <w:rFonts w:eastAsia="Times New Roman"/>
          <w:lang w:val="en-IE" w:eastAsia="hi-IN" w:bidi="hi-IN"/>
        </w:rPr>
        <w:t xml:space="preserve"> for advice on</w:t>
      </w:r>
      <w:r w:rsidRPr="00EF4492">
        <w:rPr>
          <w:rFonts w:eastAsia="Times New Roman"/>
          <w:lang w:val="en-IE" w:eastAsia="hi-IN" w:bidi="hi-IN"/>
        </w:rPr>
        <w:t xml:space="preserve"> which </w:t>
      </w:r>
      <w:proofErr w:type="gramStart"/>
      <w:r w:rsidRPr="00EF4492">
        <w:rPr>
          <w:rFonts w:eastAsia="Times New Roman"/>
          <w:lang w:val="en-IE" w:eastAsia="hi-IN" w:bidi="hi-IN"/>
        </w:rPr>
        <w:t>is the best RSP</w:t>
      </w:r>
      <w:proofErr w:type="gramEnd"/>
      <w:r w:rsidRPr="00EF4492">
        <w:rPr>
          <w:rFonts w:eastAsia="Times New Roman"/>
          <w:lang w:val="en-IE" w:eastAsia="hi-IN" w:bidi="hi-IN"/>
        </w:rPr>
        <w:t xml:space="preserve"> and who has the happiest customers. Consumers would welcome information on this element of the service. Real time Net Promoter Score (NPS) statistics, like </w:t>
      </w:r>
      <w:r w:rsidR="002636EE">
        <w:rPr>
          <w:rFonts w:eastAsia="Times New Roman"/>
          <w:lang w:val="en-IE" w:eastAsia="hi-IN" w:bidi="hi-IN"/>
        </w:rPr>
        <w:t xml:space="preserve">those </w:t>
      </w:r>
      <w:r w:rsidRPr="00EF4492">
        <w:rPr>
          <w:rFonts w:eastAsia="Times New Roman"/>
          <w:lang w:val="en-IE" w:eastAsia="hi-IN" w:bidi="hi-IN"/>
        </w:rPr>
        <w:t xml:space="preserve">released by Macquarie Telecommunications or </w:t>
      </w:r>
      <w:r w:rsidR="00D656FF">
        <w:rPr>
          <w:rFonts w:eastAsia="Times New Roman"/>
          <w:lang w:val="en-IE" w:eastAsia="hi-IN" w:bidi="hi-IN"/>
        </w:rPr>
        <w:t>regular</w:t>
      </w:r>
      <w:r w:rsidRPr="00EF4492">
        <w:rPr>
          <w:rFonts w:eastAsia="Times New Roman"/>
          <w:lang w:val="en-IE" w:eastAsia="hi-IN" w:bidi="hi-IN"/>
        </w:rPr>
        <w:t xml:space="preserve"> complaints in context, would help to drive competition in this area and allow consumers to </w:t>
      </w:r>
      <w:r w:rsidR="00444A07" w:rsidRPr="00EF4492">
        <w:rPr>
          <w:rFonts w:eastAsia="Times New Roman"/>
          <w:lang w:val="en-IE" w:eastAsia="hi-IN" w:bidi="hi-IN"/>
        </w:rPr>
        <w:t>choose</w:t>
      </w:r>
      <w:r w:rsidRPr="00EF4492">
        <w:rPr>
          <w:rFonts w:eastAsia="Times New Roman"/>
          <w:lang w:val="en-IE" w:eastAsia="hi-IN" w:bidi="hi-IN"/>
        </w:rPr>
        <w:t xml:space="preserve"> providers based on how they value this element of the service.</w:t>
      </w:r>
      <w:r w:rsidRPr="00EF4492">
        <w:rPr>
          <w:rFonts w:eastAsia="Times New Roman"/>
          <w:vertAlign w:val="superscript"/>
          <w:lang w:val="en-IE" w:eastAsia="hi-IN" w:bidi="hi-IN"/>
        </w:rPr>
        <w:footnoteReference w:id="45"/>
      </w:r>
      <w:r w:rsidRPr="00EF4492">
        <w:rPr>
          <w:rFonts w:eastAsia="Times New Roman"/>
          <w:lang w:val="en-IE" w:eastAsia="hi-IN" w:bidi="hi-IN"/>
        </w:rPr>
        <w:t xml:space="preserve"> Small providers regularly tell ACCAN that this is the element that they see as their unique feature in the </w:t>
      </w:r>
      <w:r w:rsidR="00EC7AB8" w:rsidRPr="00EF4492">
        <w:rPr>
          <w:rFonts w:eastAsia="Times New Roman"/>
          <w:lang w:val="en-IE" w:eastAsia="hi-IN" w:bidi="hi-IN"/>
        </w:rPr>
        <w:t>market;</w:t>
      </w:r>
      <w:r w:rsidRPr="00EF4492">
        <w:rPr>
          <w:rFonts w:eastAsia="Times New Roman"/>
          <w:lang w:val="en-IE" w:eastAsia="hi-IN" w:bidi="hi-IN"/>
        </w:rPr>
        <w:t xml:space="preserve"> however, they may be limited in the number of consumers choosing their services over lack of clarity on this issue. </w:t>
      </w:r>
    </w:p>
    <w:p w14:paraId="21282078" w14:textId="77777777" w:rsidR="00EF4492" w:rsidRPr="00EF4492" w:rsidRDefault="00EF4492" w:rsidP="00444A07">
      <w:pPr>
        <w:pStyle w:val="Heading2"/>
        <w:rPr>
          <w:lang w:val="en-IE" w:bidi="hi-IN"/>
        </w:rPr>
      </w:pPr>
      <w:bookmarkStart w:id="24" w:name="_Toc465667608"/>
      <w:r w:rsidRPr="00EF4492">
        <w:rPr>
          <w:lang w:val="en-IE" w:bidi="hi-IN"/>
        </w:rPr>
        <w:t>Response to question 5:</w:t>
      </w:r>
      <w:bookmarkEnd w:id="24"/>
      <w:r w:rsidRPr="00EF4492">
        <w:rPr>
          <w:lang w:val="en-IE" w:bidi="hi-IN"/>
        </w:rPr>
        <w:t xml:space="preserve"> </w:t>
      </w:r>
    </w:p>
    <w:p w14:paraId="1B725A50" w14:textId="77777777" w:rsidR="00EF4492" w:rsidRPr="00EF4492" w:rsidRDefault="00EF4492" w:rsidP="00274BCA">
      <w:pPr>
        <w:pStyle w:val="Blockquote2"/>
        <w:rPr>
          <w:rFonts w:eastAsia="Arial Unicode MS"/>
          <w:lang w:val="en-IE" w:bidi="hi-IN"/>
        </w:rPr>
      </w:pPr>
      <w:r w:rsidRPr="00EF4492">
        <w:rPr>
          <w:rFonts w:eastAsia="Arial Unicode MS"/>
          <w:lang w:val="en-IE" w:bidi="hi-IN"/>
        </w:rPr>
        <w:t xml:space="preserve">Are consumers currently able to accurately compare bundle offers? Please provide information about how this comparison currently occurs, and any changes you consider are needed. </w:t>
      </w:r>
    </w:p>
    <w:p w14:paraId="0CFF63D1" w14:textId="77777777" w:rsidR="00EF4492" w:rsidRPr="00EF4492" w:rsidRDefault="00EF4492" w:rsidP="00274BCA">
      <w:pPr>
        <w:rPr>
          <w:rFonts w:eastAsia="Arial Unicode MS"/>
          <w:lang w:val="en-IE" w:eastAsia="hi-IN" w:bidi="hi-IN"/>
        </w:rPr>
      </w:pPr>
      <w:r w:rsidRPr="00EF4492">
        <w:rPr>
          <w:rFonts w:eastAsia="Arial Unicode MS"/>
          <w:lang w:val="en-IE" w:eastAsia="hi-IN" w:bidi="hi-IN"/>
        </w:rPr>
        <w:t xml:space="preserve">Bundles offered by telecommunications providers are not adequately transparent about inclusions and pricing, which means that comparison of different </w:t>
      </w:r>
      <w:r w:rsidR="00EC7AB8" w:rsidRPr="00EF4492">
        <w:rPr>
          <w:rFonts w:eastAsia="Arial Unicode MS"/>
          <w:lang w:val="en-IE" w:eastAsia="hi-IN" w:bidi="hi-IN"/>
        </w:rPr>
        <w:t>bundles,</w:t>
      </w:r>
      <w:r w:rsidRPr="00EF4492">
        <w:rPr>
          <w:rFonts w:eastAsia="Arial Unicode MS"/>
          <w:lang w:val="en-IE" w:eastAsia="hi-IN" w:bidi="hi-IN"/>
        </w:rPr>
        <w:t xml:space="preserve"> becomes more difficult. In addition bundles often lead to consumer ‘lock-in’, which increases switching costs and is anti-competitive. </w:t>
      </w:r>
    </w:p>
    <w:p w14:paraId="3CA4F79B" w14:textId="77777777" w:rsidR="00EF4492" w:rsidRPr="00EF4492" w:rsidRDefault="00EF4492" w:rsidP="00274BCA">
      <w:pPr>
        <w:rPr>
          <w:rFonts w:eastAsia="Arial Unicode MS"/>
          <w:lang w:val="en-IE" w:eastAsia="hi-IN" w:bidi="hi-IN"/>
        </w:rPr>
      </w:pPr>
      <w:r w:rsidRPr="00EF4492">
        <w:rPr>
          <w:rFonts w:eastAsia="Arial Unicode MS"/>
          <w:lang w:val="en-IE" w:eastAsia="hi-IN" w:bidi="hi-IN"/>
        </w:rPr>
        <w:t>The use of bundling in telecommunications influences consumer decision-making. Complex technology and pricing makes the cost of searching for the right bundle higher, as consumers try to compare bundles offered by different providers. Research has found that comparing alternative bundles is complicated and made even more difficult by “deliberate randomised pricing strategies designed to maximise supplier products”.</w:t>
      </w:r>
      <w:r w:rsidRPr="00EF4492">
        <w:rPr>
          <w:rFonts w:eastAsia="Arial Unicode MS"/>
          <w:vertAlign w:val="superscript"/>
          <w:lang w:val="en-IE" w:eastAsia="hi-IN" w:bidi="hi-IN"/>
        </w:rPr>
        <w:footnoteReference w:id="46"/>
      </w:r>
      <w:r w:rsidRPr="00EF4492">
        <w:rPr>
          <w:rFonts w:eastAsia="Arial Unicode MS"/>
          <w:lang w:val="en-IE" w:eastAsia="hi-IN" w:bidi="hi-IN"/>
        </w:rPr>
        <w:t xml:space="preserve"> In addition, the perceived value to a consumer may increase when products are bundled as bundling reduces the amount of time that consumer needs to spend finding information on separate, </w:t>
      </w:r>
      <w:r w:rsidRPr="00EF4492">
        <w:rPr>
          <w:rFonts w:eastAsia="Arial Unicode MS"/>
          <w:lang w:val="en-IE" w:eastAsia="hi-IN" w:bidi="hi-IN"/>
        </w:rPr>
        <w:lastRenderedPageBreak/>
        <w:t xml:space="preserve">stand-alone products. The market is less efficient when consumers choose bundles for convenience rather than value, so it is important that product offerings are more transparent and tools that make comparison easier are made available. The OECD has suggested that regulators are best placed to develop these comparison tools. </w:t>
      </w:r>
    </w:p>
    <w:p w14:paraId="1FBBD55E" w14:textId="77777777" w:rsidR="00EF4492" w:rsidRPr="00EF4492" w:rsidRDefault="00EF4492" w:rsidP="00274BCA">
      <w:pPr>
        <w:rPr>
          <w:rFonts w:eastAsia="Arial Unicode MS"/>
          <w:lang w:val="en-IE" w:eastAsia="hi-IN" w:bidi="hi-IN"/>
        </w:rPr>
      </w:pPr>
      <w:r w:rsidRPr="00EF4492">
        <w:rPr>
          <w:rFonts w:eastAsia="Arial Unicode MS"/>
          <w:lang w:val="en-IE" w:eastAsia="hi-IN" w:bidi="hi-IN"/>
        </w:rPr>
        <w:t>Another anti-competitive facet of bundling services is that choice can be restricted by bundles that include services that a consumer does not need or value. An example of this is the prevalence of broadband bundles being offered with a fixed telephony service. Tying broadband to fixed telephony raises the cost of switching and is anti-competitive.</w:t>
      </w:r>
      <w:r w:rsidRPr="00EF4492">
        <w:rPr>
          <w:rFonts w:eastAsia="Arial Unicode MS"/>
          <w:vertAlign w:val="superscript"/>
          <w:lang w:val="en-IE" w:eastAsia="hi-IN" w:bidi="hi-IN"/>
        </w:rPr>
        <w:footnoteReference w:id="47"/>
      </w:r>
      <w:r w:rsidRPr="00EF4492">
        <w:rPr>
          <w:rFonts w:eastAsia="Arial Unicode MS"/>
          <w:lang w:val="en-IE" w:eastAsia="hi-IN" w:bidi="hi-IN"/>
        </w:rPr>
        <w:t xml:space="preserve"> This issue is of increasing importance as less and less Australians are requiring or using a fixed phone service, and as OTT alternatives become more reliable and available. </w:t>
      </w:r>
    </w:p>
    <w:p w14:paraId="03F54BBF" w14:textId="77777777" w:rsidR="00EF4492" w:rsidRPr="00EF4492" w:rsidRDefault="00EF4492" w:rsidP="00274BCA">
      <w:pPr>
        <w:rPr>
          <w:rFonts w:eastAsia="Arial Unicode MS"/>
          <w:lang w:val="en-IE" w:eastAsia="hi-IN" w:bidi="hi-IN"/>
        </w:rPr>
      </w:pPr>
      <w:r w:rsidRPr="00EF4492">
        <w:rPr>
          <w:rFonts w:eastAsia="Arial Unicode MS"/>
          <w:lang w:val="en-IE" w:eastAsia="hi-IN" w:bidi="hi-IN"/>
        </w:rPr>
        <w:t>Bundling can also lead to smaller providers being marginalised if they cannot provide the same inclusions or service quality because they do not have access to the same networks and content (i.e. the ability to provide access to the same television content as a larger competitor).</w:t>
      </w:r>
      <w:r w:rsidRPr="00EF4492">
        <w:rPr>
          <w:rFonts w:eastAsia="Arial Unicode MS"/>
          <w:vertAlign w:val="superscript"/>
          <w:lang w:val="en-IE" w:eastAsia="hi-IN" w:bidi="hi-IN"/>
        </w:rPr>
        <w:footnoteReference w:id="48"/>
      </w:r>
      <w:r w:rsidRPr="00EF4492">
        <w:rPr>
          <w:rFonts w:eastAsia="Arial Unicode MS"/>
          <w:lang w:val="en-IE" w:eastAsia="hi-IN" w:bidi="hi-IN"/>
        </w:rPr>
        <w:t xml:space="preserve"> Regulators need to make sure that enough service providers have access to wholesale inputs such as television and video content to provide competitive bundled offers.</w:t>
      </w:r>
      <w:r w:rsidRPr="00EF4492">
        <w:rPr>
          <w:rFonts w:eastAsia="Arial Unicode MS"/>
          <w:vertAlign w:val="superscript"/>
          <w:lang w:val="en-IE" w:eastAsia="hi-IN" w:bidi="hi-IN"/>
        </w:rPr>
        <w:footnoteReference w:id="49"/>
      </w:r>
      <w:r w:rsidRPr="00EF4492">
        <w:rPr>
          <w:rFonts w:eastAsia="Arial Unicode MS"/>
          <w:lang w:val="en-IE" w:eastAsia="hi-IN" w:bidi="hi-IN"/>
        </w:rPr>
        <w:t xml:space="preserve"> </w:t>
      </w:r>
    </w:p>
    <w:p w14:paraId="746794A2" w14:textId="77777777" w:rsidR="00EF4492" w:rsidRPr="00EF4492" w:rsidRDefault="00EF4492" w:rsidP="00274BCA">
      <w:pPr>
        <w:rPr>
          <w:rFonts w:eastAsia="Arial Unicode MS"/>
          <w:lang w:val="en-IE" w:eastAsia="hi-IN" w:bidi="hi-IN"/>
        </w:rPr>
      </w:pPr>
      <w:r w:rsidRPr="00EF4492">
        <w:rPr>
          <w:rFonts w:eastAsia="Arial Unicode MS"/>
          <w:lang w:val="en-IE" w:eastAsia="hi-IN" w:bidi="hi-IN"/>
        </w:rPr>
        <w:t>However, bundles have the ability to increase competition if they increase choice, lower prices, and improve the quality of services available to consumers.</w:t>
      </w:r>
      <w:r w:rsidRPr="00EF4492">
        <w:rPr>
          <w:rFonts w:eastAsia="Arial Unicode MS"/>
          <w:vertAlign w:val="superscript"/>
          <w:lang w:val="en-IE" w:eastAsia="hi-IN" w:bidi="hi-IN"/>
        </w:rPr>
        <w:footnoteReference w:id="50"/>
      </w:r>
      <w:r w:rsidRPr="00EF4492">
        <w:rPr>
          <w:rFonts w:eastAsia="Arial Unicode MS"/>
          <w:lang w:val="en-IE" w:eastAsia="hi-IN" w:bidi="hi-IN"/>
        </w:rPr>
        <w:t xml:space="preserve"> Other benefits of bundling can include that products are offered at discounted rates, and just one customer service and billing system is needed for a range of services.</w:t>
      </w:r>
      <w:r w:rsidRPr="00EF4492">
        <w:rPr>
          <w:rFonts w:eastAsia="Arial Unicode MS"/>
          <w:vertAlign w:val="superscript"/>
          <w:lang w:val="en-IE" w:eastAsia="hi-IN" w:bidi="hi-IN"/>
        </w:rPr>
        <w:footnoteReference w:id="51"/>
      </w:r>
      <w:r w:rsidRPr="00EF4492">
        <w:rPr>
          <w:rFonts w:eastAsia="Arial Unicode MS"/>
          <w:lang w:val="en-IE" w:eastAsia="hi-IN" w:bidi="hi-IN"/>
        </w:rPr>
        <w:t xml:space="preserve"> </w:t>
      </w:r>
    </w:p>
    <w:p w14:paraId="44BDF82C" w14:textId="4C67B90A" w:rsidR="00EF4492" w:rsidRPr="00EF4492" w:rsidRDefault="00EF4492" w:rsidP="00274BCA">
      <w:pPr>
        <w:rPr>
          <w:rFonts w:eastAsia="Arial Unicode MS"/>
          <w:lang w:val="en-IE" w:eastAsia="hi-IN" w:bidi="hi-IN"/>
        </w:rPr>
      </w:pPr>
      <w:r w:rsidRPr="00EF4492">
        <w:rPr>
          <w:rFonts w:eastAsia="Arial Unicode MS"/>
          <w:lang w:val="en-IE" w:eastAsia="hi-IN" w:bidi="hi-IN"/>
        </w:rPr>
        <w:t>Elements of a bundle that need to be continued, particularly email addresses, are likely to increase stickiness and reduce consumers switching providers. ACCAN hears regularly from consumers and small businesses who have email address through their RSP, which is preventing them from switching to other providers despite the</w:t>
      </w:r>
      <w:r w:rsidR="00E735FE">
        <w:rPr>
          <w:rFonts w:eastAsia="Arial Unicode MS"/>
          <w:lang w:val="en-IE" w:eastAsia="hi-IN" w:bidi="hi-IN"/>
        </w:rPr>
        <w:t xml:space="preserve"> availability of</w:t>
      </w:r>
      <w:r w:rsidRPr="00EF4492">
        <w:rPr>
          <w:rFonts w:eastAsia="Arial Unicode MS"/>
          <w:lang w:val="en-IE" w:eastAsia="hi-IN" w:bidi="hi-IN"/>
        </w:rPr>
        <w:t xml:space="preserve"> plans that better suit their needs. Losing this element of the bundled plan would result in too much hassle and potential loss of business to be worth switching providers. RSPs have varying policies in relation to maintaining email </w:t>
      </w:r>
      <w:r w:rsidR="00EC7AB8" w:rsidRPr="00EF4492">
        <w:rPr>
          <w:rFonts w:eastAsia="Arial Unicode MS"/>
          <w:lang w:val="en-IE" w:eastAsia="hi-IN" w:bidi="hi-IN"/>
        </w:rPr>
        <w:t>addresses;</w:t>
      </w:r>
      <w:r w:rsidRPr="00EF4492">
        <w:rPr>
          <w:rFonts w:eastAsia="Arial Unicode MS"/>
          <w:lang w:val="en-IE" w:eastAsia="hi-IN" w:bidi="hi-IN"/>
        </w:rPr>
        <w:t xml:space="preserve"> some will sell this as a separate element while others only offer it with an ongoing plan. One ACCAN member</w:t>
      </w:r>
      <w:r w:rsidR="00E735FE">
        <w:rPr>
          <w:rFonts w:eastAsia="Arial Unicode MS"/>
          <w:lang w:val="en-IE" w:eastAsia="hi-IN" w:bidi="hi-IN"/>
        </w:rPr>
        <w:t>,</w:t>
      </w:r>
      <w:r w:rsidRPr="00EF4492">
        <w:rPr>
          <w:rFonts w:eastAsia="Arial Unicode MS"/>
          <w:lang w:val="en-IE" w:eastAsia="hi-IN" w:bidi="hi-IN"/>
        </w:rPr>
        <w:t xml:space="preserve"> due to the need to keep email address associated with his business</w:t>
      </w:r>
      <w:r w:rsidR="00E735FE">
        <w:rPr>
          <w:rFonts w:eastAsia="Arial Unicode MS"/>
          <w:lang w:val="en-IE" w:eastAsia="hi-IN" w:bidi="hi-IN"/>
        </w:rPr>
        <w:t>,</w:t>
      </w:r>
      <w:r w:rsidRPr="00EF4492">
        <w:rPr>
          <w:rFonts w:eastAsia="Arial Unicode MS"/>
          <w:lang w:val="en-IE" w:eastAsia="hi-IN" w:bidi="hi-IN"/>
        </w:rPr>
        <w:t xml:space="preserve"> has several plans with different RPSs as well as his preferred internet and voice service plans.</w:t>
      </w:r>
    </w:p>
    <w:p w14:paraId="46E68A6C" w14:textId="001E3488" w:rsidR="00EF4492" w:rsidRPr="00EF4492" w:rsidRDefault="00EF4492" w:rsidP="00274BCA">
      <w:pPr>
        <w:rPr>
          <w:rFonts w:eastAsia="Arial Unicode MS"/>
          <w:lang w:val="en-IE" w:eastAsia="hi-IN" w:bidi="hi-IN"/>
        </w:rPr>
      </w:pPr>
      <w:r w:rsidRPr="00EF4492">
        <w:rPr>
          <w:rFonts w:eastAsia="Arial Unicode MS"/>
          <w:lang w:val="en-IE" w:eastAsia="hi-IN" w:bidi="hi-IN"/>
        </w:rPr>
        <w:t xml:space="preserve">It is likely that the use of free additions to </w:t>
      </w:r>
      <w:r w:rsidR="00DA6650">
        <w:rPr>
          <w:rFonts w:eastAsia="Arial Unicode MS"/>
          <w:lang w:val="en-IE" w:eastAsia="hi-IN" w:bidi="hi-IN"/>
        </w:rPr>
        <w:t>a</w:t>
      </w:r>
      <w:r w:rsidRPr="00EF4492">
        <w:rPr>
          <w:rFonts w:eastAsia="Arial Unicode MS"/>
          <w:lang w:val="en-IE" w:eastAsia="hi-IN" w:bidi="hi-IN"/>
        </w:rPr>
        <w:t xml:space="preserve"> service</w:t>
      </w:r>
      <w:r w:rsidR="00DA6650">
        <w:rPr>
          <w:rFonts w:eastAsia="Arial Unicode MS"/>
          <w:lang w:val="en-IE" w:eastAsia="hi-IN" w:bidi="hi-IN"/>
        </w:rPr>
        <w:t xml:space="preserve"> of bundle</w:t>
      </w:r>
      <w:r w:rsidRPr="00EF4492">
        <w:rPr>
          <w:rFonts w:eastAsia="Arial Unicode MS"/>
          <w:lang w:val="en-IE" w:eastAsia="hi-IN" w:bidi="hi-IN"/>
        </w:rPr>
        <w:t xml:space="preserve"> is having a significant effect on the products and services that are demanded. </w:t>
      </w:r>
      <w:proofErr w:type="spellStart"/>
      <w:r w:rsidRPr="00EF4492">
        <w:rPr>
          <w:rFonts w:eastAsia="Arial Unicode MS"/>
          <w:lang w:val="en-IE" w:eastAsia="hi-IN" w:bidi="hi-IN"/>
        </w:rPr>
        <w:t>Shampanier</w:t>
      </w:r>
      <w:proofErr w:type="spellEnd"/>
      <w:r w:rsidRPr="00EF4492">
        <w:rPr>
          <w:rFonts w:eastAsia="Arial Unicode MS"/>
          <w:lang w:val="en-IE" w:eastAsia="hi-IN" w:bidi="hi-IN"/>
        </w:rPr>
        <w:t xml:space="preserve"> et al in their study of the effect of zero pricing say that offering a free service as part of a bundle can have a dramatic effect </w:t>
      </w:r>
      <w:r w:rsidRPr="00EF4492">
        <w:rPr>
          <w:rFonts w:eastAsia="Arial Unicode MS"/>
          <w:lang w:val="en-IE" w:eastAsia="hi-IN" w:bidi="hi-IN"/>
        </w:rPr>
        <w:lastRenderedPageBreak/>
        <w:t>on demand.</w:t>
      </w:r>
      <w:r w:rsidRPr="00EF4492">
        <w:rPr>
          <w:rFonts w:eastAsia="Arial Unicode MS"/>
          <w:vertAlign w:val="superscript"/>
          <w:lang w:val="en-IE" w:eastAsia="hi-IN" w:bidi="hi-IN"/>
        </w:rPr>
        <w:footnoteReference w:id="52"/>
      </w:r>
      <w:r w:rsidRPr="00EF4492">
        <w:rPr>
          <w:rFonts w:eastAsia="Arial Unicode MS"/>
          <w:lang w:val="en-IE" w:eastAsia="hi-IN" w:bidi="hi-IN"/>
        </w:rPr>
        <w:t xml:space="preserve"> They use the introduction of free shipping internationally by Amazon as an example. France mistakenly reduced its price, but not to zero like other countries, while orders increased in every other country, the demand in France stayed static. </w:t>
      </w:r>
      <w:r w:rsidR="00DA6650">
        <w:rPr>
          <w:rFonts w:eastAsia="Arial Unicode MS"/>
          <w:lang w:val="en-IE" w:eastAsia="hi-IN" w:bidi="hi-IN"/>
        </w:rPr>
        <w:t>Free elements with a plan</w:t>
      </w:r>
      <w:r w:rsidRPr="00EF4492">
        <w:rPr>
          <w:rFonts w:eastAsia="Arial Unicode MS"/>
          <w:lang w:val="en-IE" w:eastAsia="hi-IN" w:bidi="hi-IN"/>
        </w:rPr>
        <w:t xml:space="preserve"> from telecommunication providers are likely to have similar effects and may significantly distort competition. </w:t>
      </w:r>
    </w:p>
    <w:p w14:paraId="1559344B" w14:textId="77777777" w:rsidR="00EF4492" w:rsidRPr="00EF4492" w:rsidRDefault="00EF4492" w:rsidP="00274BCA">
      <w:pPr>
        <w:rPr>
          <w:rFonts w:eastAsia="Arial Unicode MS"/>
          <w:lang w:val="en-IE" w:eastAsia="hi-IN" w:bidi="hi-IN"/>
        </w:rPr>
      </w:pPr>
      <w:r w:rsidRPr="00EF4492">
        <w:rPr>
          <w:rFonts w:eastAsia="Arial Unicode MS"/>
          <w:lang w:val="en-IE" w:eastAsia="hi-IN" w:bidi="hi-IN"/>
        </w:rPr>
        <w:t xml:space="preserve">It is important that regulators implement measures to deter anti-competitive bundling behaviours and encourage competition. This can be achieved by introducing measures to increase transparency, make switching </w:t>
      </w:r>
      <w:r w:rsidR="00EC7AB8" w:rsidRPr="00EF4492">
        <w:rPr>
          <w:rFonts w:eastAsia="Arial Unicode MS"/>
          <w:lang w:val="en-IE" w:eastAsia="hi-IN" w:bidi="hi-IN"/>
        </w:rPr>
        <w:t>easier</w:t>
      </w:r>
      <w:r w:rsidRPr="00EF4492">
        <w:rPr>
          <w:rFonts w:eastAsia="Arial Unicode MS"/>
          <w:lang w:val="en-IE" w:eastAsia="hi-IN" w:bidi="hi-IN"/>
        </w:rPr>
        <w:t xml:space="preserve"> and by preventing providers from leveraging market power by using bundles.</w:t>
      </w:r>
      <w:r w:rsidRPr="00EF4492">
        <w:rPr>
          <w:rFonts w:eastAsia="Arial Unicode MS"/>
          <w:vertAlign w:val="superscript"/>
          <w:lang w:val="en-IE" w:eastAsia="hi-IN" w:bidi="hi-IN"/>
        </w:rPr>
        <w:footnoteReference w:id="53"/>
      </w:r>
      <w:r w:rsidRPr="00EF4492">
        <w:rPr>
          <w:rFonts w:eastAsia="Arial Unicode MS"/>
          <w:lang w:val="en-IE" w:eastAsia="hi-IN" w:bidi="hi-IN"/>
        </w:rPr>
        <w:t xml:space="preserve"> To increase transparency, regulators should require service providers to provide full and clearly disaggregated information on the cost of</w:t>
      </w:r>
      <w:r w:rsidR="00274BCA">
        <w:rPr>
          <w:rFonts w:eastAsia="Arial Unicode MS"/>
          <w:lang w:val="en-IE" w:eastAsia="hi-IN" w:bidi="hi-IN"/>
        </w:rPr>
        <w:t xml:space="preserve"> each component of the bundle. </w:t>
      </w:r>
    </w:p>
    <w:p w14:paraId="1A37D9AB" w14:textId="77777777" w:rsidR="00EF4492" w:rsidRPr="00EF4492" w:rsidRDefault="00EF4492" w:rsidP="00274BCA">
      <w:pPr>
        <w:pStyle w:val="Heading2"/>
        <w:rPr>
          <w:lang w:val="en-IE" w:bidi="hi-IN"/>
        </w:rPr>
      </w:pPr>
      <w:bookmarkStart w:id="25" w:name="_Toc465667609"/>
      <w:r w:rsidRPr="00EF4492">
        <w:rPr>
          <w:lang w:val="en-IE" w:bidi="hi-IN"/>
        </w:rPr>
        <w:t>Response to question 6:</w:t>
      </w:r>
      <w:bookmarkEnd w:id="25"/>
      <w:r w:rsidRPr="00EF4492">
        <w:rPr>
          <w:lang w:val="en-IE" w:bidi="hi-IN"/>
        </w:rPr>
        <w:t xml:space="preserve"> </w:t>
      </w:r>
    </w:p>
    <w:p w14:paraId="6BA64657" w14:textId="77777777" w:rsidR="00EF4492" w:rsidRPr="00EF4492" w:rsidRDefault="00EF4492" w:rsidP="00153626">
      <w:pPr>
        <w:pStyle w:val="Blockquote2"/>
        <w:rPr>
          <w:rFonts w:eastAsia="Arial Unicode MS"/>
          <w:lang w:val="en-IE" w:bidi="hi-IN"/>
        </w:rPr>
      </w:pPr>
      <w:r w:rsidRPr="00EF4492">
        <w:rPr>
          <w:rFonts w:eastAsia="Arial Unicode MS"/>
          <w:lang w:val="en-IE" w:bidi="hi-IN"/>
        </w:rPr>
        <w:t xml:space="preserve">Are there any other emerging issues or trends in the communications sector that could affect consumers? Are there any consumer information needs that are likely to arise? </w:t>
      </w:r>
    </w:p>
    <w:p w14:paraId="64E573E9" w14:textId="77777777" w:rsidR="00153626" w:rsidRDefault="00EF4492" w:rsidP="00153626">
      <w:pPr>
        <w:pStyle w:val="Heading3"/>
        <w:rPr>
          <w:rFonts w:eastAsia="Arial Unicode MS"/>
          <w:lang w:val="en-IE" w:bidi="hi-IN"/>
        </w:rPr>
      </w:pPr>
      <w:bookmarkStart w:id="26" w:name="_Toc465667610"/>
      <w:r w:rsidRPr="00EF4492">
        <w:rPr>
          <w:rFonts w:eastAsia="Arial Unicode MS"/>
          <w:lang w:val="en-IE" w:bidi="hi-IN"/>
        </w:rPr>
        <w:t>Resolving problems with goods and services</w:t>
      </w:r>
      <w:bookmarkEnd w:id="26"/>
    </w:p>
    <w:p w14:paraId="519C98AC" w14:textId="77777777" w:rsidR="00EF4492" w:rsidRPr="00DA6650" w:rsidRDefault="00EF4492" w:rsidP="00153626">
      <w:pPr>
        <w:rPr>
          <w:rFonts w:eastAsia="Arial Unicode MS" w:cs="Times New Roman"/>
          <w:lang w:val="en-IE" w:eastAsia="en-US" w:bidi="hi-IN"/>
        </w:rPr>
      </w:pPr>
      <w:r w:rsidRPr="00153626">
        <w:rPr>
          <w:rFonts w:eastAsia="Arial Unicode MS"/>
          <w:lang w:val="en-IE" w:eastAsia="hi-IN" w:bidi="hi-IN"/>
        </w:rPr>
        <w:t xml:space="preserve">Telecommunications providers no longer simply offer a telephone service.  They may also offer goods to use with these services, including a mobile phone, tablet, or other wireless device.  In addition, providers are increasingly offering other products such as home and internet security services, IoT devices and bundled subscriptions to OTT services such as Spotify and Netflix.  Due to the plethora of devices and services that are used in conjunction with the underlying telecommunications service, it is often difficult for consumers to know how to resolve difficulties with their goods and services.  </w:t>
      </w:r>
      <w:r w:rsidR="006310EF" w:rsidRPr="002902BA">
        <w:rPr>
          <w:rFonts w:eastAsia="Arial Unicode MS"/>
          <w:lang w:val="en-US" w:eastAsia="hi-IN" w:bidi="hi-IN"/>
        </w:rPr>
        <w:t>The chart below shows the various places that a consumer may need to go to for support with their communications devices</w:t>
      </w:r>
      <w:r w:rsidR="006310EF" w:rsidRPr="00DA6650">
        <w:rPr>
          <w:rFonts w:eastAsia="Arial Unicode MS"/>
          <w:lang w:val="en-US" w:eastAsia="hi-IN" w:bidi="hi-IN"/>
        </w:rPr>
        <w:t>.</w:t>
      </w:r>
    </w:p>
    <w:p w14:paraId="7F99CEF4" w14:textId="77777777" w:rsidR="006310EF" w:rsidRDefault="006310EF" w:rsidP="006310EF">
      <w:pPr>
        <w:pStyle w:val="Caption"/>
        <w:keepNext/>
      </w:pPr>
      <w:r w:rsidRPr="002902BA">
        <w:lastRenderedPageBreak/>
        <w:t xml:space="preserve">Figure </w:t>
      </w:r>
      <w:fldSimple w:instr=" SEQ Figure \* ARABIC ">
        <w:r w:rsidR="0078655A">
          <w:rPr>
            <w:noProof/>
          </w:rPr>
          <w:t>1</w:t>
        </w:r>
      </w:fldSimple>
      <w:r w:rsidRPr="002902BA">
        <w:t>: Graphical representation of the eight different suppliers that consumers engage with</w:t>
      </w:r>
      <w:r w:rsidRPr="002902BA">
        <w:rPr>
          <w:rStyle w:val="FootnoteReference"/>
        </w:rPr>
        <w:footnoteReference w:id="54"/>
      </w:r>
    </w:p>
    <w:p w14:paraId="4AA569FD" w14:textId="77777777" w:rsidR="006310EF" w:rsidRDefault="006310EF" w:rsidP="00153626">
      <w:pPr>
        <w:rPr>
          <w:rFonts w:eastAsia="Arial Unicode MS"/>
          <w:lang w:eastAsia="hi-IN" w:bidi="hi-IN"/>
        </w:rPr>
      </w:pPr>
      <w:r>
        <w:rPr>
          <w:noProof/>
          <w:lang w:val="en-IE" w:eastAsia="en-IE"/>
        </w:rPr>
        <w:drawing>
          <wp:inline distT="0" distB="0" distL="0" distR="0" wp14:anchorId="659DDE0D" wp14:editId="745C7EC6">
            <wp:extent cx="5652654" cy="2030681"/>
            <wp:effectExtent l="76200" t="0" r="81915" b="0"/>
            <wp:docPr id="7" name="Diagram 7" descr="graphical respresetation of the 8 different suppliers of goods and services; third party supplier, carrier, OTT service provider, device manufacturer, app/software developer, content aggregator, ombudsmen, consumer protection bodies."/>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46DFF8C9" w14:textId="77777777" w:rsidR="006310EF" w:rsidRPr="00EF4492" w:rsidRDefault="006310EF" w:rsidP="006310EF">
      <w:pPr>
        <w:rPr>
          <w:rFonts w:eastAsia="Arial Unicode MS"/>
          <w:lang w:eastAsia="hi-IN" w:bidi="hi-IN"/>
        </w:rPr>
      </w:pPr>
      <w:r w:rsidRPr="00EF4492">
        <w:rPr>
          <w:rFonts w:eastAsia="Arial Unicode MS"/>
          <w:lang w:eastAsia="hi-IN" w:bidi="hi-IN"/>
        </w:rPr>
        <w:t xml:space="preserve">This confusion creates competition issues because consumers should be able to make purchasing decisions with full knowledge of who they need to contact in case of problems with the product.  For example, consumers may decide not to buy a device from a company with </w:t>
      </w:r>
      <w:proofErr w:type="gramStart"/>
      <w:r w:rsidRPr="00EF4492">
        <w:rPr>
          <w:rFonts w:eastAsia="Arial Unicode MS"/>
          <w:lang w:eastAsia="hi-IN" w:bidi="hi-IN"/>
        </w:rPr>
        <w:t>no</w:t>
      </w:r>
      <w:proofErr w:type="gramEnd"/>
      <w:r w:rsidRPr="00EF4492">
        <w:rPr>
          <w:rFonts w:eastAsia="Arial Unicode MS"/>
          <w:lang w:eastAsia="hi-IN" w:bidi="hi-IN"/>
        </w:rPr>
        <w:t xml:space="preserve"> Australian presence because that would make it harder to get support for the product. </w:t>
      </w:r>
    </w:p>
    <w:p w14:paraId="195803C0" w14:textId="77777777" w:rsidR="006310EF" w:rsidRPr="00EF4492" w:rsidRDefault="006310EF" w:rsidP="00153626">
      <w:pPr>
        <w:rPr>
          <w:rFonts w:eastAsia="Arial Unicode MS"/>
          <w:lang w:eastAsia="hi-IN" w:bidi="hi-IN"/>
        </w:rPr>
      </w:pPr>
      <w:r w:rsidRPr="00EF4492">
        <w:rPr>
          <w:rFonts w:eastAsia="Arial Unicode MS"/>
          <w:lang w:eastAsia="hi-IN" w:bidi="hi-IN"/>
        </w:rPr>
        <w:t>Given the complementary relationship between competition policy and consumer protection, ACCAN believes that Australian Consumer Law regulators including the ACCC should continue to educate businesses and consumers about their rights and obligations for goods and services, and develop specific education materials for more complex service arrangements that are becoming more commonplace in t</w:t>
      </w:r>
      <w:r>
        <w:rPr>
          <w:rFonts w:eastAsia="Arial Unicode MS"/>
          <w:lang w:eastAsia="hi-IN" w:bidi="hi-IN"/>
        </w:rPr>
        <w:t xml:space="preserve">he telecommunications sector.  </w:t>
      </w:r>
    </w:p>
    <w:p w14:paraId="60949039" w14:textId="77777777" w:rsidR="00EF4492" w:rsidRPr="00EF4492" w:rsidRDefault="00EF4492" w:rsidP="00153626">
      <w:pPr>
        <w:pStyle w:val="Heading1"/>
        <w:rPr>
          <w:rFonts w:eastAsia="Arial Unicode MS"/>
          <w:lang w:val="en-IE" w:bidi="hi-IN"/>
        </w:rPr>
      </w:pPr>
      <w:bookmarkStart w:id="27" w:name="_Toc465667611"/>
      <w:r w:rsidRPr="00EF4492">
        <w:rPr>
          <w:rFonts w:eastAsia="Arial Unicode MS"/>
          <w:lang w:val="en-IE" w:bidi="hi-IN"/>
        </w:rPr>
        <w:lastRenderedPageBreak/>
        <w:t>Emerging services</w:t>
      </w:r>
      <w:bookmarkEnd w:id="27"/>
    </w:p>
    <w:p w14:paraId="3E6DD2BE" w14:textId="3C6BD73D" w:rsidR="00EF4492" w:rsidRPr="00EF4492" w:rsidRDefault="006075BC" w:rsidP="00153626">
      <w:pPr>
        <w:rPr>
          <w:rFonts w:eastAsia="Arial Unicode MS"/>
          <w:lang w:val="en-IE" w:eastAsia="hi-IN" w:bidi="hi-IN"/>
        </w:rPr>
      </w:pPr>
      <w:r>
        <w:rPr>
          <w:rFonts w:eastAsia="Arial Unicode MS" w:cs="font391"/>
          <w:i/>
          <w:iCs/>
          <w:noProof/>
          <w:kern w:val="1"/>
          <w:szCs w:val="24"/>
          <w:lang w:val="en-IE" w:eastAsia="en-IE"/>
        </w:rPr>
        <w:drawing>
          <wp:anchor distT="0" distB="0" distL="0" distR="0" simplePos="0" relativeHeight="251659264" behindDoc="0" locked="0" layoutInCell="1" allowOverlap="1" wp14:anchorId="1B785AE8" wp14:editId="73443C30">
            <wp:simplePos x="0" y="0"/>
            <wp:positionH relativeFrom="column">
              <wp:posOffset>1270</wp:posOffset>
            </wp:positionH>
            <wp:positionV relativeFrom="paragraph">
              <wp:posOffset>2080895</wp:posOffset>
            </wp:positionV>
            <wp:extent cx="6119495" cy="3769995"/>
            <wp:effectExtent l="0" t="0" r="0" b="1905"/>
            <wp:wrapTopAndBottom/>
            <wp:docPr id="4" name="Picture 4" descr="5G, Internet of Things, Bots, eSims, Virtual and augmented reality, Cyrptocurrency and blockchain, driverless cars, wearables, machine learning, speech-to-speech translation, smart robo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19495" cy="376999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EF4492" w:rsidRPr="00EF4492">
        <w:rPr>
          <w:rFonts w:eastAsia="Arial Unicode MS"/>
          <w:lang w:val="en-IE" w:eastAsia="hi-IN" w:bidi="hi-IN"/>
        </w:rPr>
        <w:t>Emerging services create an important competitive and innovative environment in the telecommunications sector. OTT services are used regularly by many consumers. ACCAN agrees with the ACCC that the constraints and inability to guarantee the underlying network limits the extent with which they are used.</w:t>
      </w:r>
      <w:r w:rsidR="00EF4492" w:rsidRPr="00EF4492">
        <w:rPr>
          <w:rFonts w:eastAsia="Arial Unicode MS"/>
          <w:vertAlign w:val="superscript"/>
          <w:lang w:val="en-IE" w:eastAsia="hi-IN" w:bidi="hi-IN"/>
        </w:rPr>
        <w:footnoteReference w:id="55"/>
      </w:r>
      <w:r w:rsidR="00EF4492" w:rsidRPr="00EF4492">
        <w:rPr>
          <w:rFonts w:eastAsia="Arial Unicode MS"/>
          <w:lang w:val="en-IE" w:eastAsia="hi-IN" w:bidi="hi-IN"/>
        </w:rPr>
        <w:t xml:space="preserve"> </w:t>
      </w:r>
      <w:r w:rsidR="00153626">
        <w:rPr>
          <w:rFonts w:eastAsia="Arial Unicode MS"/>
          <w:lang w:val="en-IE" w:eastAsia="hi-IN" w:bidi="hi-IN"/>
        </w:rPr>
        <w:t xml:space="preserve">The </w:t>
      </w:r>
      <w:r w:rsidR="00EF4492" w:rsidRPr="00EF4492">
        <w:rPr>
          <w:rFonts w:eastAsia="Arial Unicode MS"/>
          <w:lang w:val="en-IE" w:eastAsia="hi-IN" w:bidi="hi-IN"/>
        </w:rPr>
        <w:t>Bur</w:t>
      </w:r>
      <w:r w:rsidR="00153626">
        <w:rPr>
          <w:rFonts w:eastAsia="Arial Unicode MS"/>
          <w:lang w:val="en-IE" w:eastAsia="hi-IN" w:bidi="hi-IN"/>
        </w:rPr>
        <w:t>eau of Communications Research mapped</w:t>
      </w:r>
      <w:r w:rsidR="00DA6650">
        <w:rPr>
          <w:rFonts w:eastAsia="Arial Unicode MS"/>
          <w:lang w:val="en-IE" w:eastAsia="hi-IN" w:bidi="hi-IN"/>
        </w:rPr>
        <w:t xml:space="preserve"> (</w:t>
      </w:r>
      <w:r w:rsidR="00153626">
        <w:rPr>
          <w:rFonts w:eastAsia="Arial Unicode MS"/>
          <w:lang w:val="en-IE" w:eastAsia="hi-IN" w:bidi="hi-IN"/>
        </w:rPr>
        <w:t>image below</w:t>
      </w:r>
      <w:r w:rsidR="00DA6650">
        <w:rPr>
          <w:rFonts w:eastAsia="Arial Unicode MS"/>
          <w:lang w:val="en-IE" w:eastAsia="hi-IN" w:bidi="hi-IN"/>
        </w:rPr>
        <w:t>)</w:t>
      </w:r>
      <w:r w:rsidR="00153626">
        <w:rPr>
          <w:rFonts w:eastAsia="Arial Unicode MS"/>
          <w:lang w:val="en-IE" w:eastAsia="hi-IN" w:bidi="hi-IN"/>
        </w:rPr>
        <w:t xml:space="preserve"> the expected impact and timeframe for different emerging services.</w:t>
      </w:r>
      <w:r>
        <w:rPr>
          <w:rStyle w:val="FootnoteReference"/>
          <w:rFonts w:eastAsia="Arial Unicode MS"/>
          <w:lang w:val="en-IE" w:eastAsia="hi-IN" w:bidi="hi-IN"/>
        </w:rPr>
        <w:footnoteReference w:id="56"/>
      </w:r>
      <w:r w:rsidRPr="006075BC">
        <w:rPr>
          <w:rFonts w:eastAsia="Arial Unicode MS"/>
          <w:lang w:val="en-IE" w:eastAsia="hi-IN" w:bidi="hi-IN"/>
        </w:rPr>
        <w:t xml:space="preserve"> </w:t>
      </w:r>
      <w:r w:rsidRPr="00EF4492">
        <w:rPr>
          <w:rFonts w:eastAsia="Arial Unicode MS"/>
          <w:lang w:val="en-IE" w:eastAsia="hi-IN" w:bidi="hi-IN"/>
        </w:rPr>
        <w:t>Future OTT services are likely to encourage greater competition and innovation</w:t>
      </w:r>
      <w:r>
        <w:rPr>
          <w:rFonts w:eastAsia="Arial Unicode MS"/>
          <w:lang w:val="en-IE" w:eastAsia="hi-IN" w:bidi="hi-IN"/>
        </w:rPr>
        <w:t xml:space="preserve">. It is important to monitor for any barriers that could reduce this potential. </w:t>
      </w:r>
    </w:p>
    <w:p w14:paraId="163A9C6A" w14:textId="77777777" w:rsidR="00EF4492" w:rsidRPr="00EF4492" w:rsidRDefault="006075BC" w:rsidP="00153626">
      <w:pPr>
        <w:suppressLineNumbers/>
        <w:suppressAutoHyphens/>
        <w:spacing w:before="120" w:beforeAutospacing="0" w:after="120" w:afterAutospacing="0"/>
        <w:rPr>
          <w:rFonts w:eastAsia="Arial Unicode MS" w:cs="font391"/>
          <w:i/>
          <w:iCs/>
          <w:kern w:val="1"/>
          <w:szCs w:val="24"/>
          <w:lang w:val="en-IE" w:eastAsia="hi-IN" w:bidi="hi-IN"/>
        </w:rPr>
      </w:pPr>
      <w:r>
        <w:rPr>
          <w:noProof/>
          <w:lang w:val="en-IE" w:eastAsia="en-IE"/>
        </w:rPr>
        <mc:AlternateContent>
          <mc:Choice Requires="wps">
            <w:drawing>
              <wp:anchor distT="0" distB="0" distL="114300" distR="114300" simplePos="0" relativeHeight="251661312" behindDoc="0" locked="0" layoutInCell="1" allowOverlap="1" wp14:anchorId="1BC5E956" wp14:editId="1295514D">
                <wp:simplePos x="0" y="0"/>
                <wp:positionH relativeFrom="column">
                  <wp:posOffset>-2433</wp:posOffset>
                </wp:positionH>
                <wp:positionV relativeFrom="paragraph">
                  <wp:posOffset>70897</wp:posOffset>
                </wp:positionV>
                <wp:extent cx="6119495" cy="457200"/>
                <wp:effectExtent l="0" t="0" r="0" b="0"/>
                <wp:wrapNone/>
                <wp:docPr id="8" name="Text Box 8"/>
                <wp:cNvGraphicFramePr/>
                <a:graphic xmlns:a="http://schemas.openxmlformats.org/drawingml/2006/main">
                  <a:graphicData uri="http://schemas.microsoft.com/office/word/2010/wordprocessingShape">
                    <wps:wsp>
                      <wps:cNvSpPr txBox="1"/>
                      <wps:spPr>
                        <a:xfrm>
                          <a:off x="0" y="0"/>
                          <a:ext cx="6119495" cy="457200"/>
                        </a:xfrm>
                        <a:prstGeom prst="rect">
                          <a:avLst/>
                        </a:prstGeom>
                        <a:solidFill>
                          <a:prstClr val="white"/>
                        </a:solidFill>
                        <a:ln>
                          <a:noFill/>
                        </a:ln>
                        <a:effectLst/>
                      </wps:spPr>
                      <wps:txbx>
                        <w:txbxContent>
                          <w:p w14:paraId="31C5A73F" w14:textId="77777777" w:rsidR="00746125" w:rsidRPr="00213B42" w:rsidRDefault="00746125" w:rsidP="006075BC">
                            <w:pPr>
                              <w:pStyle w:val="Caption"/>
                              <w:rPr>
                                <w:rFonts w:eastAsia="Arial Unicode MS" w:cs="font391"/>
                                <w:i/>
                                <w:iCs/>
                                <w:noProof/>
                                <w:kern w:val="1"/>
                                <w:sz w:val="24"/>
                                <w:szCs w:val="24"/>
                              </w:rPr>
                            </w:pPr>
                            <w:r>
                              <w:t xml:space="preserve">Figure </w:t>
                            </w:r>
                            <w:fldSimple w:instr=" SEQ Figure \* ARABIC ">
                              <w:r w:rsidR="0078655A">
                                <w:rPr>
                                  <w:noProof/>
                                </w:rPr>
                                <w:t>2</w:t>
                              </w:r>
                            </w:fldSimple>
                            <w:r>
                              <w:t>: Graph of the impact and timeframe for emerging services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2pt;margin-top:5.6pt;width:481.85pt;height:36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" stroked="f">
                <v:textbox inset="0,0,0,0">
                  <w:txbxContent>
                    <w:p w14:paraId="31C5A73F" w14:textId="77777777" w:rsidR="00746125" w:rsidRPr="00213B42" w:rsidRDefault="00746125" w:rsidP="006075BC">
                      <w:pPr>
                        <w:pStyle w:val="Caption"/>
                        <w:rPr>
                          <w:rFonts w:eastAsia="Arial Unicode MS" w:cs="font391"/>
                          <w:i/>
                          <w:iCs/>
                          <w:noProof/>
                          <w:kern w:val="1"/>
                          <w:sz w:val="24"/>
                          <w:szCs w:val="24"/>
                        </w:rPr>
                      </w:pPr>
                      <w:r>
                        <w:t xml:space="preserve">Figure </w:t>
                      </w:r>
                      <w:fldSimple w:instr=" SEQ Figure \* ARABIC ">
                        <w:r w:rsidR="0078655A">
                          <w:rPr>
                            <w:noProof/>
                          </w:rPr>
                          <w:t>2</w:t>
                        </w:r>
                      </w:fldSimple>
                      <w:r>
                        <w:t>: Graph of the impact and timeframe for emerging services</w:t>
                      </w:r>
                    </w:p>
                  </w:txbxContent>
                </v:textbox>
              </v:shape>
            </w:pict>
          </mc:Fallback>
        </mc:AlternateContent>
      </w:r>
    </w:p>
    <w:p w14:paraId="618F5CBB" w14:textId="77777777" w:rsidR="00A7572F" w:rsidRDefault="00A7572F" w:rsidP="00A7572F">
      <w:pPr>
        <w:rPr>
          <w:lang w:val="en-IE" w:bidi="hi-IN"/>
        </w:rPr>
      </w:pPr>
    </w:p>
    <w:p w14:paraId="53E5640C" w14:textId="18997222" w:rsidR="00A7572F" w:rsidRPr="00A7572F" w:rsidRDefault="00A7572F" w:rsidP="00A7572F">
      <w:pPr>
        <w:rPr>
          <w:i/>
          <w:lang w:val="en-IE" w:bidi="hi-IN"/>
        </w:rPr>
      </w:pPr>
      <w:r w:rsidRPr="002902BA">
        <w:rPr>
          <w:i/>
          <w:lang w:val="en-US" w:bidi="hi-IN"/>
        </w:rPr>
        <w:t xml:space="preserve">For the following questions ACCAN would like to note the distinction </w:t>
      </w:r>
      <w:r w:rsidR="00DA6650" w:rsidRPr="002902BA">
        <w:rPr>
          <w:i/>
          <w:lang w:val="en-US" w:bidi="hi-IN"/>
        </w:rPr>
        <w:t xml:space="preserve">we are using with the use of the term </w:t>
      </w:r>
      <w:r w:rsidRPr="002902BA">
        <w:rPr>
          <w:i/>
          <w:lang w:val="en-US" w:bidi="hi-IN"/>
        </w:rPr>
        <w:t xml:space="preserve">ISP over RSP. ACCAN notes that RSPs on the NBN can provide internet and non-internet services.  For example, an RSP can provide an IP-TV service, for example FetchTV. This is a private information service. On the other hand, an RSP can also offer an internet service, which </w:t>
      </w:r>
      <w:bookmarkStart w:id="28" w:name="_GoBack"/>
      <w:r w:rsidRPr="002902BA">
        <w:rPr>
          <w:i/>
          <w:lang w:val="en-US" w:bidi="hi-IN"/>
        </w:rPr>
        <w:t xml:space="preserve">provides </w:t>
      </w:r>
      <w:bookmarkEnd w:id="28"/>
      <w:r w:rsidRPr="002902BA">
        <w:rPr>
          <w:i/>
          <w:lang w:val="en-US" w:bidi="hi-IN"/>
        </w:rPr>
        <w:t xml:space="preserve">access to the Internet. The internet is an open public </w:t>
      </w:r>
      <w:r w:rsidRPr="002902BA">
        <w:rPr>
          <w:i/>
          <w:lang w:val="en-US" w:bidi="hi-IN"/>
        </w:rPr>
        <w:lastRenderedPageBreak/>
        <w:t>network built on a global set of principles.  Accordingly, we use the term RSP to refer to NBN providers who use traffic management procedures that can affect access to the entire public internet and not just affect access to any private information services that they may also provide to consumers.</w:t>
      </w:r>
    </w:p>
    <w:p w14:paraId="223C12B4" w14:textId="77777777" w:rsidR="00EF4492" w:rsidRPr="00EF4492" w:rsidRDefault="00EF4492" w:rsidP="00A4666D">
      <w:pPr>
        <w:pStyle w:val="Heading2"/>
        <w:rPr>
          <w:lang w:val="en-IE" w:bidi="hi-IN"/>
        </w:rPr>
      </w:pPr>
      <w:bookmarkStart w:id="29" w:name="_Toc465667612"/>
      <w:r w:rsidRPr="00EF4492">
        <w:rPr>
          <w:lang w:val="en-IE" w:bidi="hi-IN"/>
        </w:rPr>
        <w:t>Response to question 7:</w:t>
      </w:r>
      <w:bookmarkEnd w:id="29"/>
      <w:r w:rsidRPr="00EF4492">
        <w:rPr>
          <w:lang w:val="en-IE" w:bidi="hi-IN"/>
        </w:rPr>
        <w:t xml:space="preserve"> </w:t>
      </w:r>
    </w:p>
    <w:p w14:paraId="75A63DE8" w14:textId="77777777" w:rsidR="00EF4492" w:rsidRPr="00EF4492" w:rsidRDefault="00EF4492" w:rsidP="00153626">
      <w:pPr>
        <w:pStyle w:val="Blockquote2"/>
        <w:rPr>
          <w:rFonts w:eastAsia="Arial Unicode MS"/>
          <w:lang w:val="en-IE" w:bidi="hi-IN"/>
        </w:rPr>
      </w:pPr>
      <w:r w:rsidRPr="00EF4492">
        <w:rPr>
          <w:rFonts w:eastAsia="Arial Unicode MS"/>
          <w:lang w:val="en-IE" w:bidi="hi-IN"/>
        </w:rPr>
        <w:t xml:space="preserve">Are there currently any barriers to entry for OTT service providers in reaching end-users, for example, in accessing devices, operating systems or network elements? Is this expected to change in the next few years? </w:t>
      </w:r>
      <w:proofErr w:type="gramStart"/>
      <w:r w:rsidRPr="00EF4492">
        <w:rPr>
          <w:rFonts w:eastAsia="Arial Unicode MS"/>
          <w:lang w:val="en-IE" w:bidi="hi-IN"/>
        </w:rPr>
        <w:t>If so, how?</w:t>
      </w:r>
      <w:proofErr w:type="gramEnd"/>
    </w:p>
    <w:p w14:paraId="05A1E82B" w14:textId="77777777" w:rsidR="00EF4492" w:rsidRPr="00EF4492" w:rsidRDefault="00EF4492" w:rsidP="00153626">
      <w:pPr>
        <w:pStyle w:val="Heading3"/>
        <w:rPr>
          <w:rFonts w:eastAsia="Arial Unicode MS"/>
          <w:lang w:val="en-IE" w:bidi="hi-IN"/>
        </w:rPr>
      </w:pPr>
      <w:bookmarkStart w:id="30" w:name="_Toc465667613"/>
      <w:r w:rsidRPr="00EF4492">
        <w:rPr>
          <w:rFonts w:eastAsia="Arial Unicode MS"/>
          <w:lang w:val="en-IE" w:bidi="hi-IN"/>
        </w:rPr>
        <w:t>Barriers at the network element level</w:t>
      </w:r>
      <w:bookmarkEnd w:id="30"/>
    </w:p>
    <w:p w14:paraId="2F5468E7" w14:textId="77777777" w:rsidR="00217E01" w:rsidRDefault="00EF4492" w:rsidP="00153626">
      <w:pPr>
        <w:rPr>
          <w:rFonts w:eastAsia="Arial Unicode MS"/>
          <w:lang w:val="en-IE" w:eastAsia="hi-IN" w:bidi="hi-IN"/>
        </w:rPr>
      </w:pPr>
      <w:r w:rsidRPr="00EF4492">
        <w:rPr>
          <w:rFonts w:eastAsia="Arial Unicode MS"/>
          <w:lang w:val="en-IE" w:eastAsia="hi-IN" w:bidi="hi-IN"/>
        </w:rPr>
        <w:t xml:space="preserve">From a technical perspective, the only factors that will necessarily constrain delivery of packets over the Internet are the quality of the sending server, the quality of the path end-to-end that the traffic takes, and the quality/efficiency of the underlying application software code. There previously have been barriers to some OTT service providers reaching regional consumers due to the need for certain technical standards in the network, such a low latency, and high data allowance. </w:t>
      </w:r>
    </w:p>
    <w:p w14:paraId="544930FF" w14:textId="77777777" w:rsidR="00217E01" w:rsidRDefault="00EF4492" w:rsidP="00153626">
      <w:pPr>
        <w:rPr>
          <w:rFonts w:eastAsia="Arial Unicode MS"/>
          <w:lang w:val="en-IE" w:eastAsia="hi-IN" w:bidi="hi-IN"/>
        </w:rPr>
      </w:pPr>
      <w:r w:rsidRPr="00EF4492">
        <w:rPr>
          <w:rFonts w:eastAsia="Arial Unicode MS"/>
          <w:lang w:val="en-IE" w:eastAsia="hi-IN" w:bidi="hi-IN"/>
        </w:rPr>
        <w:t xml:space="preserve">While the NBN in most regions is likely to address this, OTT providers are likely to be unable to meet all Sky Muster </w:t>
      </w:r>
      <w:r w:rsidR="00EC7AB8" w:rsidRPr="00EF4492">
        <w:rPr>
          <w:rFonts w:eastAsia="Arial Unicode MS"/>
          <w:lang w:val="en-IE" w:eastAsia="hi-IN" w:bidi="hi-IN"/>
        </w:rPr>
        <w:t>consumers’</w:t>
      </w:r>
      <w:r w:rsidRPr="00EF4492">
        <w:rPr>
          <w:rFonts w:eastAsia="Arial Unicode MS"/>
          <w:lang w:val="en-IE" w:eastAsia="hi-IN" w:bidi="hi-IN"/>
        </w:rPr>
        <w:t xml:space="preserve"> needs for high capacity and low latency services, such as video conferencing, business applications such as cloud computing, farm auctions. </w:t>
      </w:r>
    </w:p>
    <w:p w14:paraId="16E980A1" w14:textId="6ECDF460" w:rsidR="00153626" w:rsidRDefault="006C38C0" w:rsidP="00153626">
      <w:pPr>
        <w:rPr>
          <w:rFonts w:eastAsia="Arial Unicode MS"/>
          <w:lang w:val="en-IE" w:eastAsia="hi-IN" w:bidi="hi-IN"/>
        </w:rPr>
      </w:pPr>
      <w:r>
        <w:rPr>
          <w:rFonts w:eastAsia="Arial Unicode MS"/>
          <w:lang w:val="en-IE" w:eastAsia="hi-IN" w:bidi="hi-IN"/>
        </w:rPr>
        <w:t xml:space="preserve">Additionally, an ISP that follows industry standards may place barriers to </w:t>
      </w:r>
      <w:r w:rsidR="002902BA">
        <w:rPr>
          <w:rFonts w:eastAsia="Arial Unicode MS"/>
          <w:lang w:val="en-IE" w:eastAsia="hi-IN" w:bidi="hi-IN"/>
        </w:rPr>
        <w:t xml:space="preserve">block </w:t>
      </w:r>
      <w:r w:rsidR="002902BA" w:rsidRPr="00EF4492">
        <w:rPr>
          <w:rFonts w:eastAsia="Arial Unicode MS"/>
          <w:lang w:val="en-IE" w:eastAsia="hi-IN" w:bidi="hi-IN"/>
        </w:rPr>
        <w:t>spam</w:t>
      </w:r>
      <w:r w:rsidR="00EF4492" w:rsidRPr="00EF4492">
        <w:rPr>
          <w:rFonts w:eastAsia="Arial Unicode MS"/>
          <w:lang w:val="en-IE" w:eastAsia="hi-IN" w:bidi="hi-IN"/>
        </w:rPr>
        <w:t xml:space="preserve"> and botnets, or other interference with network integrity.</w:t>
      </w:r>
      <w:r w:rsidR="00EF4492" w:rsidRPr="00EF4492">
        <w:rPr>
          <w:rFonts w:eastAsia="Arial Unicode MS"/>
          <w:vertAlign w:val="superscript"/>
          <w:lang w:val="en-IE" w:eastAsia="hi-IN" w:bidi="hi-IN"/>
        </w:rPr>
        <w:footnoteReference w:id="57"/>
      </w:r>
      <w:r w:rsidR="00EF4492" w:rsidRPr="00EF4492">
        <w:rPr>
          <w:rFonts w:eastAsia="Arial Unicode MS"/>
          <w:lang w:val="en-IE" w:eastAsia="hi-IN" w:bidi="hi-IN"/>
        </w:rPr>
        <w:t xml:space="preserve"> </w:t>
      </w:r>
      <w:r w:rsidR="00EF4492" w:rsidRPr="00EF4492">
        <w:rPr>
          <w:rFonts w:eastAsia="Arial Unicode MS"/>
          <w:vertAlign w:val="superscript"/>
          <w:lang w:val="en-IE" w:eastAsia="hi-IN" w:bidi="hi-IN"/>
        </w:rPr>
        <w:footnoteReference w:id="58"/>
      </w:r>
    </w:p>
    <w:p w14:paraId="16F859BD" w14:textId="77777777" w:rsidR="00EF4492" w:rsidRPr="00EF4492" w:rsidRDefault="00EF4492" w:rsidP="00153626">
      <w:pPr>
        <w:pStyle w:val="Heading3"/>
        <w:rPr>
          <w:rFonts w:eastAsia="Arial Unicode MS" w:cstheme="minorBidi"/>
          <w:szCs w:val="22"/>
          <w:lang w:val="en-IE" w:bidi="hi-IN"/>
        </w:rPr>
      </w:pPr>
      <w:bookmarkStart w:id="31" w:name="_Toc465667614"/>
      <w:r w:rsidRPr="00EF4492">
        <w:rPr>
          <w:rFonts w:eastAsia="Arial Unicode MS"/>
          <w:lang w:val="en-IE" w:bidi="hi-IN"/>
        </w:rPr>
        <w:t>Default apps by carriers, device manufacturers and operating system owners</w:t>
      </w:r>
      <w:bookmarkEnd w:id="31"/>
    </w:p>
    <w:p w14:paraId="50975272" w14:textId="77777777" w:rsidR="00EF4492" w:rsidRPr="00EF4492" w:rsidRDefault="00EF4492" w:rsidP="00153626">
      <w:pPr>
        <w:rPr>
          <w:rFonts w:eastAsia="Arial Unicode MS"/>
          <w:lang w:val="en-IE" w:eastAsia="hi-IN" w:bidi="hi-IN"/>
        </w:rPr>
      </w:pPr>
      <w:r w:rsidRPr="00EF4492">
        <w:rPr>
          <w:rFonts w:eastAsia="Arial Unicode MS"/>
          <w:lang w:val="en-IE" w:eastAsia="hi-IN" w:bidi="hi-IN"/>
        </w:rPr>
        <w:t>Major carriers in Australia often place certain OTT apps on phones provided under contract.  Consumers cannot delete these apps without installing an unauthorized version of the operating system. This exposure gives certain preinstalled OTT products an inherent advantage over other OTT apps and also contributes to the underlying data usage without the user able to control or constrain the usage. Behind the scenes usage has been measured to be approximately 70% of data consumption.</w:t>
      </w:r>
      <w:r w:rsidRPr="00EF4492">
        <w:rPr>
          <w:rFonts w:eastAsia="Arial Unicode MS"/>
          <w:vertAlign w:val="superscript"/>
          <w:lang w:val="en-IE" w:eastAsia="hi-IN" w:bidi="hi-IN"/>
        </w:rPr>
        <w:footnoteReference w:id="59"/>
      </w:r>
    </w:p>
    <w:p w14:paraId="5842AE63" w14:textId="77777777" w:rsidR="00EF4492" w:rsidRPr="00EF4492" w:rsidRDefault="00EF4492" w:rsidP="00153626">
      <w:pPr>
        <w:rPr>
          <w:rFonts w:eastAsia="Arial Unicode MS"/>
          <w:lang w:val="en-IE" w:eastAsia="hi-IN" w:bidi="hi-IN"/>
        </w:rPr>
      </w:pPr>
      <w:r w:rsidRPr="00EF4492">
        <w:rPr>
          <w:rFonts w:eastAsia="Arial Unicode MS"/>
          <w:lang w:val="en-IE" w:eastAsia="hi-IN" w:bidi="hi-IN"/>
        </w:rPr>
        <w:lastRenderedPageBreak/>
        <w:t xml:space="preserve">In addition to carriers, device manufacturers may preinstall certain apps on the phones. For example, Google imposes requirements on manufacturers of Android phones. These include: </w:t>
      </w:r>
    </w:p>
    <w:p w14:paraId="1128F70A" w14:textId="77777777" w:rsidR="00EF4492" w:rsidRPr="00153626" w:rsidRDefault="00EF4492" w:rsidP="00153626">
      <w:pPr>
        <w:pStyle w:val="ListParagraph"/>
        <w:numPr>
          <w:ilvl w:val="0"/>
          <w:numId w:val="21"/>
        </w:numPr>
        <w:rPr>
          <w:rFonts w:eastAsia="Arial Unicode MS"/>
          <w:lang w:val="en-IE" w:eastAsia="hi-IN" w:bidi="hi-IN"/>
        </w:rPr>
      </w:pPr>
      <w:r w:rsidRPr="00153626">
        <w:rPr>
          <w:rFonts w:eastAsia="Arial Unicode MS"/>
          <w:lang w:val="en-IE" w:eastAsia="hi-IN" w:bidi="hi-IN"/>
        </w:rPr>
        <w:t>Requiring customers who wish to access the Google Play app store to set Google Search as the default search engine and Google Chrome as the default web browser</w:t>
      </w:r>
    </w:p>
    <w:p w14:paraId="6B9A03C3" w14:textId="77777777" w:rsidR="00EF4492" w:rsidRPr="00153626" w:rsidRDefault="00EF4492" w:rsidP="00153626">
      <w:pPr>
        <w:pStyle w:val="ListParagraph"/>
        <w:numPr>
          <w:ilvl w:val="0"/>
          <w:numId w:val="21"/>
        </w:numPr>
        <w:rPr>
          <w:rFonts w:eastAsia="Arial Unicode MS"/>
          <w:lang w:val="en-IE" w:eastAsia="hi-IN" w:bidi="hi-IN"/>
        </w:rPr>
      </w:pPr>
      <w:r w:rsidRPr="00153626">
        <w:rPr>
          <w:rFonts w:eastAsia="Arial Unicode MS"/>
          <w:lang w:val="en-IE" w:eastAsia="hi-IN" w:bidi="hi-IN"/>
        </w:rPr>
        <w:t>Giving financial incentives to manufacturers and mobile network operators on condition that they exclusively pre-install Google Search on their devices.</w:t>
      </w:r>
    </w:p>
    <w:p w14:paraId="0E8F3479" w14:textId="77777777" w:rsidR="00EF4492" w:rsidRPr="00EF4492" w:rsidRDefault="00EF4492" w:rsidP="00153626">
      <w:pPr>
        <w:rPr>
          <w:rFonts w:eastAsia="Arial Unicode MS"/>
          <w:lang w:val="en-IE" w:eastAsia="hi-IN" w:bidi="hi-IN"/>
        </w:rPr>
      </w:pPr>
      <w:r w:rsidRPr="00EF4492">
        <w:rPr>
          <w:rFonts w:eastAsia="Arial Unicode MS"/>
          <w:lang w:val="en-IE" w:eastAsia="hi-IN" w:bidi="hi-IN"/>
        </w:rPr>
        <w:t>The European Commission is currently investigating whether this conduct violates Europe’s competition laws.</w:t>
      </w:r>
      <w:r w:rsidRPr="00EF4492">
        <w:rPr>
          <w:rFonts w:eastAsia="Arial Unicode MS"/>
          <w:vertAlign w:val="superscript"/>
          <w:lang w:val="en-IE" w:eastAsia="hi-IN" w:bidi="hi-IN"/>
        </w:rPr>
        <w:t xml:space="preserve"> </w:t>
      </w:r>
      <w:r w:rsidRPr="00EF4492">
        <w:rPr>
          <w:rFonts w:eastAsia="Arial Unicode MS"/>
          <w:vertAlign w:val="superscript"/>
          <w:lang w:val="en-IE" w:eastAsia="hi-IN" w:bidi="hi-IN"/>
        </w:rPr>
        <w:footnoteReference w:id="60"/>
      </w:r>
      <w:r w:rsidRPr="00EF4492">
        <w:rPr>
          <w:rFonts w:eastAsia="Arial Unicode MS"/>
          <w:lang w:val="en-IE" w:eastAsia="hi-IN" w:bidi="hi-IN"/>
        </w:rPr>
        <w:t xml:space="preserve"> </w:t>
      </w:r>
    </w:p>
    <w:p w14:paraId="26DCB756" w14:textId="29E7E71D" w:rsidR="00EF4492" w:rsidRPr="00EF4492" w:rsidRDefault="00EF4492" w:rsidP="00153626">
      <w:pPr>
        <w:rPr>
          <w:rFonts w:eastAsia="Arial Unicode MS"/>
          <w:lang w:val="en-IE" w:eastAsia="hi-IN" w:bidi="hi-IN"/>
        </w:rPr>
      </w:pPr>
      <w:r w:rsidRPr="00EF4492">
        <w:rPr>
          <w:rFonts w:eastAsia="Arial Unicode MS"/>
          <w:lang w:val="en-IE" w:eastAsia="hi-IN" w:bidi="hi-IN"/>
        </w:rPr>
        <w:t xml:space="preserve">There have also been allegations that Google requires manufacturer partners </w:t>
      </w:r>
      <w:r w:rsidR="002902BA">
        <w:rPr>
          <w:rFonts w:eastAsia="Arial Unicode MS"/>
          <w:lang w:val="en-IE" w:eastAsia="hi-IN" w:bidi="hi-IN"/>
        </w:rPr>
        <w:t xml:space="preserve">to </w:t>
      </w:r>
      <w:r w:rsidR="002902BA" w:rsidRPr="00EF4492">
        <w:rPr>
          <w:rFonts w:eastAsia="Arial Unicode MS"/>
          <w:lang w:val="en-IE" w:eastAsia="hi-IN" w:bidi="hi-IN"/>
        </w:rPr>
        <w:t>increase</w:t>
      </w:r>
      <w:r w:rsidRPr="00EF4492">
        <w:rPr>
          <w:rFonts w:eastAsia="Arial Unicode MS"/>
          <w:lang w:val="en-IE" w:eastAsia="hi-IN" w:bidi="hi-IN"/>
        </w:rPr>
        <w:t xml:space="preserve"> the number of Google apps that must be pre-installed o</w:t>
      </w:r>
      <w:r w:rsidR="00217E01">
        <w:rPr>
          <w:rFonts w:eastAsia="Arial Unicode MS"/>
          <w:lang w:val="en-IE" w:eastAsia="hi-IN" w:bidi="hi-IN"/>
        </w:rPr>
        <w:t xml:space="preserve">n the device to as many as 20. </w:t>
      </w:r>
      <w:r w:rsidRPr="00EF4492">
        <w:rPr>
          <w:rFonts w:eastAsia="Arial Unicode MS"/>
          <w:lang w:val="en-IE" w:eastAsia="hi-IN" w:bidi="hi-IN"/>
        </w:rPr>
        <w:t xml:space="preserve">This could hinder the adoption of OTT services by non-Google providers. Google offers several OTT video and voice call services such as Google Messenger and Google Hangouts. These services compete with other OTT providers such as </w:t>
      </w:r>
      <w:r w:rsidR="00EC7AB8" w:rsidRPr="00EF4492">
        <w:rPr>
          <w:rFonts w:eastAsia="Arial Unicode MS"/>
          <w:lang w:val="en-IE" w:eastAsia="hi-IN" w:bidi="hi-IN"/>
        </w:rPr>
        <w:t>WhatsApp</w:t>
      </w:r>
      <w:r w:rsidRPr="00EF4492">
        <w:rPr>
          <w:rFonts w:eastAsia="Arial Unicode MS"/>
          <w:lang w:val="en-IE" w:eastAsia="hi-IN" w:bidi="hi-IN"/>
        </w:rPr>
        <w:t xml:space="preserve">, LINE and </w:t>
      </w:r>
      <w:proofErr w:type="spellStart"/>
      <w:r w:rsidRPr="00EF4492">
        <w:rPr>
          <w:rFonts w:eastAsia="Arial Unicode MS"/>
          <w:lang w:val="en-IE" w:eastAsia="hi-IN" w:bidi="hi-IN"/>
        </w:rPr>
        <w:t>Viber</w:t>
      </w:r>
      <w:proofErr w:type="spellEnd"/>
      <w:r w:rsidRPr="00EF4492">
        <w:rPr>
          <w:rFonts w:eastAsia="Arial Unicode MS"/>
          <w:lang w:val="en-IE" w:eastAsia="hi-IN" w:bidi="hi-IN"/>
        </w:rPr>
        <w:t xml:space="preserve">. Once again, this contributes to underlying device </w:t>
      </w:r>
      <w:r w:rsidR="00153626">
        <w:rPr>
          <w:rFonts w:eastAsia="Arial Unicode MS"/>
          <w:lang w:val="en-IE" w:eastAsia="hi-IN" w:bidi="hi-IN"/>
        </w:rPr>
        <w:t>usage without consumer control.</w:t>
      </w:r>
    </w:p>
    <w:p w14:paraId="7C722C9D" w14:textId="77777777" w:rsidR="00EF4492" w:rsidRPr="00EF4492" w:rsidRDefault="00EF4492" w:rsidP="00153626">
      <w:pPr>
        <w:pStyle w:val="Heading3"/>
        <w:rPr>
          <w:rFonts w:eastAsia="Arial Unicode MS"/>
          <w:lang w:val="en-IE" w:bidi="hi-IN"/>
        </w:rPr>
      </w:pPr>
      <w:bookmarkStart w:id="32" w:name="_Toc465667615"/>
      <w:r w:rsidRPr="00EF4492">
        <w:rPr>
          <w:rFonts w:eastAsia="Arial Unicode MS"/>
          <w:lang w:val="en-IE" w:bidi="hi-IN"/>
        </w:rPr>
        <w:t>App Store developer guidelines</w:t>
      </w:r>
      <w:bookmarkEnd w:id="32"/>
    </w:p>
    <w:p w14:paraId="43268316" w14:textId="77777777" w:rsidR="00153626" w:rsidRDefault="00EF4492" w:rsidP="00153626">
      <w:pPr>
        <w:rPr>
          <w:rFonts w:eastAsia="Arial Unicode MS"/>
          <w:lang w:val="en-IE" w:eastAsia="hi-IN" w:bidi="hi-IN"/>
        </w:rPr>
      </w:pPr>
      <w:r w:rsidRPr="00EF4492">
        <w:rPr>
          <w:rFonts w:eastAsia="Arial Unicode MS"/>
          <w:lang w:val="en-IE" w:eastAsia="hi-IN" w:bidi="hi-IN"/>
        </w:rPr>
        <w:t xml:space="preserve">Application store aggregators such as Windows Store, Google Play, Apple’s App Store, </w:t>
      </w:r>
      <w:r w:rsidR="00EC7AB8" w:rsidRPr="00EF4492">
        <w:rPr>
          <w:rFonts w:eastAsia="Arial Unicode MS"/>
          <w:lang w:val="en-IE" w:eastAsia="hi-IN" w:bidi="hi-IN"/>
        </w:rPr>
        <w:t>and Apple’s</w:t>
      </w:r>
      <w:r w:rsidRPr="00EF4492">
        <w:rPr>
          <w:rFonts w:eastAsia="Arial Unicode MS"/>
          <w:lang w:val="en-IE" w:eastAsia="hi-IN" w:bidi="hi-IN"/>
        </w:rPr>
        <w:t xml:space="preserve"> Mac App Store have strict guidelines for software to be approved and made available to end users. These companies act as gatekeepers to the adoption and success of OTT services.  The application of these guidelines is entirely at their discretion of and may be used to block competitors from accessing services.</w:t>
      </w:r>
      <w:r w:rsidRPr="00EF4492">
        <w:rPr>
          <w:rFonts w:eastAsia="Arial Unicode MS"/>
          <w:vertAlign w:val="superscript"/>
          <w:lang w:val="en-IE" w:eastAsia="hi-IN" w:bidi="hi-IN"/>
        </w:rPr>
        <w:footnoteReference w:id="61"/>
      </w:r>
      <w:r w:rsidRPr="00EF4492">
        <w:rPr>
          <w:rFonts w:eastAsia="Arial Unicode MS"/>
          <w:lang w:val="en-IE" w:eastAsia="hi-IN" w:bidi="hi-IN"/>
        </w:rPr>
        <w:t xml:space="preserve">  There is no external avenue of appeal for developers whose OTT apps are rejected from app store and similar application markets.</w:t>
      </w:r>
    </w:p>
    <w:p w14:paraId="377FCD2B" w14:textId="77777777" w:rsidR="00EF4492" w:rsidRPr="00EF4492" w:rsidRDefault="00EF4492" w:rsidP="00153626">
      <w:pPr>
        <w:pStyle w:val="Heading3"/>
        <w:rPr>
          <w:rFonts w:eastAsia="Arial Unicode MS" w:cstheme="minorBidi"/>
          <w:szCs w:val="22"/>
          <w:lang w:val="en-IE" w:bidi="hi-IN"/>
        </w:rPr>
      </w:pPr>
      <w:bookmarkStart w:id="33" w:name="_Toc465667616"/>
      <w:r w:rsidRPr="00EF4492">
        <w:rPr>
          <w:rFonts w:eastAsia="Arial Unicode MS"/>
          <w:lang w:val="en-IE" w:bidi="hi-IN"/>
        </w:rPr>
        <w:t>Access to all device features</w:t>
      </w:r>
      <w:bookmarkEnd w:id="33"/>
    </w:p>
    <w:p w14:paraId="3CEEACDC" w14:textId="77777777" w:rsidR="00153626" w:rsidRDefault="00EF4492" w:rsidP="00153626">
      <w:pPr>
        <w:rPr>
          <w:rFonts w:eastAsia="Arial Unicode MS"/>
          <w:lang w:val="en-IE" w:eastAsia="hi-IN" w:bidi="hi-IN"/>
        </w:rPr>
      </w:pPr>
      <w:r w:rsidRPr="00EF4492">
        <w:rPr>
          <w:rFonts w:eastAsia="Arial Unicode MS"/>
          <w:lang w:val="en-IE" w:eastAsia="hi-IN" w:bidi="hi-IN"/>
        </w:rPr>
        <w:t xml:space="preserve">Some device manufacturers restrict the use of certain hardware features. For example, Apple does not permit any third party app to access the Near Field Communication chip (NFC) which allows for contactless payments on a mobile.  Apple only allows access to the NFC chip for customers whose banks have reached a commercial arrangement with Apple to share revenue for each transaction. As a result, Apple Pay is currently only available in Australia for customers of ANZ and American Express.  ACCAN notes that the ACCC is </w:t>
      </w:r>
      <w:r w:rsidRPr="00EF4492">
        <w:rPr>
          <w:rFonts w:eastAsia="Arial Unicode MS"/>
          <w:lang w:val="en-IE" w:eastAsia="hi-IN" w:bidi="hi-IN"/>
        </w:rPr>
        <w:lastRenderedPageBreak/>
        <w:t>currently looking into Apple’s decision to keep the NFC chip closed to other banks and will issue a final decision in the coming months.</w:t>
      </w:r>
      <w:r w:rsidRPr="00EF4492">
        <w:rPr>
          <w:rFonts w:eastAsia="Arial Unicode MS"/>
          <w:vertAlign w:val="superscript"/>
          <w:lang w:val="en-IE" w:eastAsia="hi-IN" w:bidi="hi-IN"/>
        </w:rPr>
        <w:footnoteReference w:id="62"/>
      </w:r>
      <w:r w:rsidRPr="00EF4492">
        <w:rPr>
          <w:rFonts w:eastAsia="Arial Unicode MS"/>
          <w:lang w:val="en-IE" w:eastAsia="hi-IN" w:bidi="hi-IN"/>
        </w:rPr>
        <w:t xml:space="preserve"> </w:t>
      </w:r>
    </w:p>
    <w:p w14:paraId="2B6A3D47" w14:textId="77777777" w:rsidR="00EF4492" w:rsidRPr="00EF4492" w:rsidRDefault="00EF4492" w:rsidP="00153626">
      <w:pPr>
        <w:rPr>
          <w:rFonts w:eastAsia="Arial Unicode MS"/>
          <w:lang w:val="en-IE" w:eastAsia="hi-IN" w:bidi="hi-IN"/>
        </w:rPr>
      </w:pPr>
      <w:r w:rsidRPr="00EF4492">
        <w:rPr>
          <w:rFonts w:eastAsia="Arial Unicode MS"/>
          <w:lang w:val="en-IE" w:eastAsia="hi-IN" w:bidi="hi-IN"/>
        </w:rPr>
        <w:t>Any bank can utilize an Android phone’s NFC chip to make payments.</w:t>
      </w:r>
      <w:r w:rsidRPr="00EF4492">
        <w:rPr>
          <w:rFonts w:eastAsia="Arial Unicode MS"/>
          <w:vertAlign w:val="superscript"/>
          <w:lang w:val="en-IE" w:eastAsia="hi-IN" w:bidi="hi-IN"/>
        </w:rPr>
        <w:footnoteReference w:id="63"/>
      </w:r>
      <w:r w:rsidRPr="00EF4492">
        <w:rPr>
          <w:rFonts w:eastAsia="Arial Unicode MS"/>
          <w:lang w:val="en-IE" w:eastAsia="hi-IN" w:bidi="hi-IN"/>
        </w:rPr>
        <w:t xml:space="preserve"> However, these payments can only be made by going into a participating bank’s app. Google also offers a separate service called Android Pay, which allows customers to pay using a card without having to download or open a separate bank’s app. As with Apple’s NFC position, Google only allows banks with whom it has reached agreement to access its service.</w:t>
      </w:r>
      <w:r w:rsidRPr="00EF4492">
        <w:rPr>
          <w:rFonts w:eastAsia="Arial Unicode MS"/>
          <w:vertAlign w:val="superscript"/>
          <w:lang w:val="en-IE" w:eastAsia="hi-IN" w:bidi="hi-IN"/>
        </w:rPr>
        <w:footnoteReference w:id="64"/>
      </w:r>
      <w:r w:rsidR="00153626">
        <w:rPr>
          <w:rFonts w:eastAsia="Arial Unicode MS"/>
          <w:lang w:val="en-IE" w:eastAsia="hi-IN" w:bidi="hi-IN"/>
        </w:rPr>
        <w:t xml:space="preserve">  </w:t>
      </w:r>
    </w:p>
    <w:p w14:paraId="25BD9FF7" w14:textId="77777777" w:rsidR="00EF4492" w:rsidRPr="00EF4492" w:rsidRDefault="00EF4492" w:rsidP="00153626">
      <w:pPr>
        <w:pStyle w:val="Heading2"/>
        <w:rPr>
          <w:lang w:val="en-IE" w:bidi="hi-IN"/>
        </w:rPr>
      </w:pPr>
      <w:bookmarkStart w:id="34" w:name="_Toc465667617"/>
      <w:r w:rsidRPr="00EF4492">
        <w:rPr>
          <w:lang w:val="en-IE" w:bidi="hi-IN"/>
        </w:rPr>
        <w:t>Response to question 8:</w:t>
      </w:r>
      <w:bookmarkEnd w:id="34"/>
      <w:r w:rsidRPr="00EF4492">
        <w:rPr>
          <w:lang w:val="en-IE" w:bidi="hi-IN"/>
        </w:rPr>
        <w:t xml:space="preserve"> </w:t>
      </w:r>
    </w:p>
    <w:p w14:paraId="76AE9208" w14:textId="77777777" w:rsidR="00EF4492" w:rsidRPr="00EF4492" w:rsidRDefault="00EF4492" w:rsidP="00EF4492">
      <w:pPr>
        <w:suppressAutoHyphens/>
        <w:spacing w:before="28" w:beforeAutospacing="0" w:after="28" w:afterAutospacing="0"/>
        <w:ind w:left="1418" w:right="1418"/>
        <w:rPr>
          <w:rFonts w:eastAsia="Arial Unicode MS" w:cs="font391"/>
          <w:kern w:val="1"/>
          <w:szCs w:val="24"/>
          <w:lang w:val="en-IE" w:eastAsia="hi-IN" w:bidi="hi-IN"/>
        </w:rPr>
      </w:pPr>
      <w:r w:rsidRPr="00153626">
        <w:rPr>
          <w:rStyle w:val="Blockquote2Char"/>
          <w:lang w:val="en-IE" w:eastAsia="hi-IN" w:bidi="hi-IN"/>
        </w:rPr>
        <w:t>Are network operators honouring quality of service for IP voice traffic across their networks from OTT service providers? Is there evidence of ISPs seeking to undermine the provision of OTT services? If so, please describe</w:t>
      </w:r>
      <w:r w:rsidRPr="00EF4492">
        <w:rPr>
          <w:rFonts w:eastAsia="Arial Unicode MS" w:cs="font391"/>
          <w:kern w:val="1"/>
          <w:szCs w:val="24"/>
          <w:lang w:val="en-IE" w:eastAsia="hi-IN" w:bidi="hi-IN"/>
        </w:rPr>
        <w:t>.</w:t>
      </w:r>
    </w:p>
    <w:p w14:paraId="22252BCD" w14:textId="70732207" w:rsidR="00EF4492" w:rsidRPr="00EF4492" w:rsidRDefault="00EF4492" w:rsidP="00153626">
      <w:pPr>
        <w:rPr>
          <w:rFonts w:eastAsia="Arial Unicode MS"/>
          <w:lang w:val="en-IE" w:eastAsia="hi-IN" w:bidi="hi-IN"/>
        </w:rPr>
      </w:pPr>
      <w:r w:rsidRPr="00EF4492">
        <w:rPr>
          <w:rFonts w:eastAsia="Arial Unicode MS"/>
          <w:lang w:val="en-IE" w:eastAsia="hi-IN" w:bidi="hi-IN"/>
        </w:rPr>
        <w:t>Voice services will mostly be IP voice traffic in the future, making OTT IP a viabl</w:t>
      </w:r>
      <w:r w:rsidR="00217E01">
        <w:rPr>
          <w:rFonts w:eastAsia="Arial Unicode MS"/>
          <w:lang w:val="en-IE" w:eastAsia="hi-IN" w:bidi="hi-IN"/>
        </w:rPr>
        <w:t xml:space="preserve">e alternative </w:t>
      </w:r>
      <w:r w:rsidR="00AF24FC">
        <w:rPr>
          <w:rFonts w:eastAsia="Arial Unicode MS"/>
          <w:lang w:val="en-IE" w:eastAsia="hi-IN" w:bidi="hi-IN"/>
        </w:rPr>
        <w:t xml:space="preserve">to legacy </w:t>
      </w:r>
      <w:r w:rsidR="00217E01">
        <w:rPr>
          <w:rFonts w:eastAsia="Arial Unicode MS"/>
          <w:lang w:val="en-IE" w:eastAsia="hi-IN" w:bidi="hi-IN"/>
        </w:rPr>
        <w:t>service</w:t>
      </w:r>
      <w:r w:rsidR="00AF24FC">
        <w:rPr>
          <w:rFonts w:eastAsia="Arial Unicode MS"/>
          <w:lang w:val="en-IE" w:eastAsia="hi-IN" w:bidi="hi-IN"/>
        </w:rPr>
        <w:t>s</w:t>
      </w:r>
      <w:r w:rsidR="00217E01">
        <w:rPr>
          <w:rFonts w:eastAsia="Arial Unicode MS"/>
          <w:lang w:val="en-IE" w:eastAsia="hi-IN" w:bidi="hi-IN"/>
        </w:rPr>
        <w:t xml:space="preserve"> which consumers’</w:t>
      </w:r>
      <w:r w:rsidRPr="00EF4492">
        <w:rPr>
          <w:rFonts w:eastAsia="Arial Unicode MS"/>
          <w:lang w:val="en-IE" w:eastAsia="hi-IN" w:bidi="hi-IN"/>
        </w:rPr>
        <w:t xml:space="preserve"> may consider. When consumers are purchasing IP voice services it is currently difficult to understand what level of service is being offered. We have no direct evidence about whether ISPs are honouring the quality of service (QoS) commitments for IP voice traffic from OTT service providers. Similarly, we have no evidence that ISPs are seeking to undermine the provision of OTT services. </w:t>
      </w:r>
      <w:r w:rsidR="00E33881">
        <w:rPr>
          <w:rFonts w:eastAsia="Arial Unicode MS"/>
          <w:lang w:val="en-IE" w:eastAsia="hi-IN" w:bidi="hi-IN"/>
        </w:rPr>
        <w:t>However, this may be an area where competition issues arise in the future.</w:t>
      </w:r>
    </w:p>
    <w:p w14:paraId="070E2AB9" w14:textId="7A03A602" w:rsidR="00EF4492" w:rsidRPr="00EF4492" w:rsidRDefault="00EF4492" w:rsidP="00153626">
      <w:pPr>
        <w:rPr>
          <w:rFonts w:eastAsia="Arial Unicode MS"/>
          <w:lang w:val="en-IE" w:eastAsia="hi-IN" w:bidi="hi-IN"/>
        </w:rPr>
      </w:pPr>
      <w:r w:rsidRPr="00EF4492">
        <w:rPr>
          <w:rFonts w:eastAsia="Arial Unicode MS"/>
          <w:lang w:val="en-IE" w:eastAsia="hi-IN" w:bidi="hi-IN"/>
        </w:rPr>
        <w:t>We can identify no evidence of any commitments to OTT providers of VoIP services that any QoS parameters will be set to either enhance or downgrade their services over retail broadband networks. As referred to in a later question, the only reference is from iiNet to placing these services i</w:t>
      </w:r>
      <w:r w:rsidR="00153626">
        <w:rPr>
          <w:rFonts w:eastAsia="Arial Unicode MS"/>
          <w:lang w:val="en-IE" w:eastAsia="hi-IN" w:bidi="hi-IN"/>
        </w:rPr>
        <w:t xml:space="preserve">nto </w:t>
      </w:r>
      <w:r w:rsidR="00E33881">
        <w:rPr>
          <w:rFonts w:eastAsia="Arial Unicode MS"/>
          <w:lang w:val="en-IE" w:eastAsia="hi-IN" w:bidi="hi-IN"/>
        </w:rPr>
        <w:t xml:space="preserve">a </w:t>
      </w:r>
      <w:r w:rsidR="00153626">
        <w:rPr>
          <w:rFonts w:eastAsia="Arial Unicode MS"/>
          <w:lang w:val="en-IE" w:eastAsia="hi-IN" w:bidi="hi-IN"/>
        </w:rPr>
        <w:t xml:space="preserve">‘best </w:t>
      </w:r>
      <w:r w:rsidR="002902BA">
        <w:rPr>
          <w:rFonts w:eastAsia="Arial Unicode MS"/>
          <w:lang w:val="en-IE" w:eastAsia="hi-IN" w:bidi="hi-IN"/>
        </w:rPr>
        <w:t>effort’ category</w:t>
      </w:r>
      <w:r w:rsidR="00153626">
        <w:rPr>
          <w:rFonts w:eastAsia="Arial Unicode MS"/>
          <w:lang w:val="en-IE" w:eastAsia="hi-IN" w:bidi="hi-IN"/>
        </w:rPr>
        <w:t>.</w:t>
      </w:r>
    </w:p>
    <w:p w14:paraId="4589A71D" w14:textId="77777777" w:rsidR="00EF4492" w:rsidRPr="00EF4492" w:rsidRDefault="00EF4492" w:rsidP="00153626">
      <w:pPr>
        <w:pStyle w:val="Heading2"/>
        <w:rPr>
          <w:lang w:val="en-IE" w:bidi="hi-IN"/>
        </w:rPr>
      </w:pPr>
      <w:bookmarkStart w:id="35" w:name="_Toc465667618"/>
      <w:r w:rsidRPr="00EF4492">
        <w:rPr>
          <w:lang w:val="en-IE" w:bidi="hi-IN"/>
        </w:rPr>
        <w:t>Response to question 9 and 12:</w:t>
      </w:r>
      <w:bookmarkEnd w:id="35"/>
      <w:r w:rsidRPr="00EF4492">
        <w:rPr>
          <w:lang w:val="en-IE" w:bidi="hi-IN"/>
        </w:rPr>
        <w:t xml:space="preserve"> </w:t>
      </w:r>
    </w:p>
    <w:p w14:paraId="4CDCEE4F" w14:textId="77777777" w:rsidR="00EF4492" w:rsidRPr="00EF4492" w:rsidRDefault="00EF4492" w:rsidP="00153626">
      <w:pPr>
        <w:pStyle w:val="Blockquote2"/>
        <w:rPr>
          <w:rFonts w:eastAsia="Arial Unicode MS"/>
          <w:lang w:val="en-IE" w:bidi="hi-IN"/>
        </w:rPr>
      </w:pPr>
      <w:r w:rsidRPr="00EF4492">
        <w:rPr>
          <w:rFonts w:eastAsia="Arial Unicode MS"/>
          <w:lang w:val="en-IE" w:bidi="hi-IN"/>
        </w:rPr>
        <w:t>Does increased collaboration between ISPs and OTT service providers create any concerns for competition and consumer choice? If so, please describe.</w:t>
      </w:r>
    </w:p>
    <w:p w14:paraId="52AF2052" w14:textId="77777777" w:rsidR="00EF4492" w:rsidRDefault="00EF4492" w:rsidP="00153626">
      <w:pPr>
        <w:pStyle w:val="Blockquote2"/>
        <w:rPr>
          <w:rFonts w:eastAsia="Arial Unicode MS"/>
          <w:lang w:val="en-IE" w:bidi="hi-IN"/>
        </w:rPr>
      </w:pPr>
      <w:r w:rsidRPr="00EF4492">
        <w:rPr>
          <w:rFonts w:eastAsia="Arial Unicode MS"/>
          <w:lang w:val="en-IE" w:bidi="hi-IN"/>
        </w:rPr>
        <w:t xml:space="preserve">Does the bundling of content with broadband access and other communications services currently create competition concerns? Is it likely to create competition concerns in the next five years? </w:t>
      </w:r>
      <w:proofErr w:type="gramStart"/>
      <w:r w:rsidRPr="00EF4492">
        <w:rPr>
          <w:rFonts w:eastAsia="Arial Unicode MS"/>
          <w:lang w:val="en-IE" w:bidi="hi-IN"/>
        </w:rPr>
        <w:t>If so, how?</w:t>
      </w:r>
      <w:proofErr w:type="gramEnd"/>
    </w:p>
    <w:p w14:paraId="2377B88A" w14:textId="028E7BF1" w:rsidR="006310EF" w:rsidRPr="00EF4492" w:rsidRDefault="006310EF" w:rsidP="006310EF">
      <w:pPr>
        <w:rPr>
          <w:rFonts w:eastAsia="Arial Unicode MS"/>
          <w:lang w:val="en-IE" w:eastAsia="hi-IN" w:bidi="hi-IN"/>
        </w:rPr>
      </w:pPr>
      <w:r w:rsidRPr="002902BA">
        <w:rPr>
          <w:rFonts w:eastAsia="Arial Unicode MS"/>
          <w:lang w:val="en-IE" w:eastAsia="hi-IN" w:bidi="hi-IN"/>
        </w:rPr>
        <w:lastRenderedPageBreak/>
        <w:t xml:space="preserve">As OTT service such as VOIP and Netflix become more pervasive and reliable, consumers are less likely to value all elements of a bundle and more likely to subscribe to stand-alone broadband services.  OTT </w:t>
      </w:r>
      <w:r w:rsidR="002902BA" w:rsidRPr="002902BA">
        <w:rPr>
          <w:rFonts w:eastAsia="Arial Unicode MS"/>
          <w:lang w:val="en-IE" w:eastAsia="hi-IN" w:bidi="hi-IN"/>
        </w:rPr>
        <w:t>services increase</w:t>
      </w:r>
      <w:r w:rsidRPr="002902BA">
        <w:rPr>
          <w:rFonts w:eastAsia="Arial Unicode MS"/>
          <w:lang w:val="en-IE" w:eastAsia="hi-IN" w:bidi="hi-IN"/>
        </w:rPr>
        <w:t xml:space="preserve"> competition as the</w:t>
      </w:r>
      <w:r w:rsidR="00E33881" w:rsidRPr="002902BA">
        <w:rPr>
          <w:rFonts w:eastAsia="Arial Unicode MS"/>
          <w:lang w:val="en-IE" w:eastAsia="hi-IN" w:bidi="hi-IN"/>
        </w:rPr>
        <w:t>y</w:t>
      </w:r>
      <w:r w:rsidRPr="002902BA">
        <w:rPr>
          <w:rFonts w:eastAsia="Arial Unicode MS"/>
          <w:lang w:val="en-IE" w:eastAsia="hi-IN" w:bidi="hi-IN"/>
        </w:rPr>
        <w:t xml:space="preserve"> increase consumer choice – individuals are able to choose their own OTT providers and are not dependant on what a telecommunications retailer has included in a bundle.</w:t>
      </w:r>
      <w:r w:rsidRPr="002902BA">
        <w:rPr>
          <w:rFonts w:eastAsia="Arial Unicode MS"/>
          <w:vertAlign w:val="superscript"/>
          <w:lang w:val="en-IE" w:eastAsia="hi-IN" w:bidi="hi-IN"/>
        </w:rPr>
        <w:footnoteReference w:id="65"/>
      </w:r>
      <w:r w:rsidR="00AF24FC">
        <w:rPr>
          <w:rFonts w:eastAsia="Arial Unicode MS"/>
          <w:lang w:val="en-IE" w:eastAsia="hi-IN" w:bidi="hi-IN"/>
        </w:rPr>
        <w:t xml:space="preserve"> Below, we raise concerns about exclusive access, unmetered data and network neutrality.</w:t>
      </w:r>
    </w:p>
    <w:p w14:paraId="42EF5C4D" w14:textId="77777777" w:rsidR="00EF4492" w:rsidRPr="00EF4492" w:rsidRDefault="00EF4492" w:rsidP="00153626">
      <w:pPr>
        <w:pStyle w:val="Heading3"/>
        <w:rPr>
          <w:rFonts w:eastAsia="Arial Unicode MS"/>
          <w:lang w:val="en-IE" w:bidi="hi-IN"/>
        </w:rPr>
      </w:pPr>
      <w:bookmarkStart w:id="36" w:name="_Toc465667619"/>
      <w:r w:rsidRPr="00EF4492">
        <w:rPr>
          <w:rFonts w:eastAsia="Arial Unicode MS"/>
          <w:lang w:val="en-IE" w:bidi="hi-IN"/>
        </w:rPr>
        <w:t>Exclusive access to content and unmetered data</w:t>
      </w:r>
      <w:bookmarkEnd w:id="36"/>
    </w:p>
    <w:p w14:paraId="73B4CB77" w14:textId="77777777" w:rsidR="00EF4492" w:rsidRPr="00EF4492" w:rsidRDefault="00EF4492" w:rsidP="00153626">
      <w:pPr>
        <w:rPr>
          <w:rFonts w:eastAsia="Arial Unicode MS"/>
          <w:lang w:val="en-IE" w:eastAsia="hi-IN" w:bidi="hi-IN"/>
        </w:rPr>
      </w:pPr>
      <w:r w:rsidRPr="00EF4492">
        <w:rPr>
          <w:rFonts w:eastAsia="Arial Unicode MS"/>
          <w:lang w:val="en-IE" w:eastAsia="hi-IN" w:bidi="hi-IN"/>
        </w:rPr>
        <w:t>In recent years, ISPs have begun to provide content services bundled with the underlying communications service. A recent online job advertisement for Optus stated that:</w:t>
      </w:r>
    </w:p>
    <w:p w14:paraId="79EE77BB" w14:textId="77777777" w:rsidR="00EF4492" w:rsidRPr="00EF4492" w:rsidRDefault="00EF4492" w:rsidP="00153626">
      <w:pPr>
        <w:ind w:left="720"/>
        <w:rPr>
          <w:rFonts w:eastAsia="Arial Unicode MS"/>
          <w:lang w:val="en-IE" w:eastAsia="hi-IN" w:bidi="hi-IN"/>
        </w:rPr>
      </w:pPr>
      <w:r w:rsidRPr="00EF4492">
        <w:rPr>
          <w:rFonts w:eastAsia="Arial Unicode MS"/>
          <w:lang w:val="en-IE" w:eastAsia="hi-IN" w:bidi="hi-IN"/>
        </w:rPr>
        <w:t xml:space="preserve">“We aren’t just a Telco anymore; we are a company of innovation, we have moved to the forefront of technology and </w:t>
      </w:r>
      <w:r w:rsidRPr="00EF4492">
        <w:rPr>
          <w:rFonts w:eastAsia="Arial Unicode MS"/>
          <w:i/>
          <w:lang w:val="en-IE" w:eastAsia="hi-IN" w:bidi="hi-IN"/>
        </w:rPr>
        <w:t>entertainment</w:t>
      </w:r>
      <w:r w:rsidRPr="00EF4492">
        <w:rPr>
          <w:rFonts w:eastAsia="Arial Unicode MS"/>
          <w:lang w:val="en-IE" w:eastAsia="hi-IN" w:bidi="hi-IN"/>
        </w:rPr>
        <w:t xml:space="preserve">. We are a part of the digital disruption, changing the way we deliver </w:t>
      </w:r>
      <w:r w:rsidRPr="00EF4492">
        <w:rPr>
          <w:rFonts w:eastAsia="Arial Unicode MS"/>
          <w:i/>
          <w:lang w:val="en-IE" w:eastAsia="hi-IN" w:bidi="hi-IN"/>
        </w:rPr>
        <w:t>media services and content to you</w:t>
      </w:r>
      <w:r w:rsidRPr="00EF4492">
        <w:rPr>
          <w:rFonts w:eastAsia="Arial Unicode MS"/>
          <w:lang w:val="en-IE" w:eastAsia="hi-IN" w:bidi="hi-IN"/>
        </w:rPr>
        <w:t>; continuing to create experiences that move you.”</w:t>
      </w:r>
      <w:r w:rsidRPr="00EF4492">
        <w:rPr>
          <w:rFonts w:eastAsia="Arial Unicode MS"/>
          <w:vertAlign w:val="superscript"/>
          <w:lang w:val="en-IE" w:eastAsia="hi-IN" w:bidi="hi-IN"/>
        </w:rPr>
        <w:footnoteReference w:id="66"/>
      </w:r>
    </w:p>
    <w:p w14:paraId="4C744987" w14:textId="77777777" w:rsidR="00EF4492" w:rsidRPr="00EF4492" w:rsidRDefault="00EF4492" w:rsidP="0085295C">
      <w:pPr>
        <w:rPr>
          <w:rFonts w:eastAsia="Arial Unicode MS"/>
          <w:lang w:val="en-IE" w:eastAsia="hi-IN" w:bidi="hi-IN"/>
        </w:rPr>
      </w:pPr>
      <w:r w:rsidRPr="00EF4492">
        <w:rPr>
          <w:rFonts w:eastAsia="Arial Unicode MS"/>
          <w:lang w:val="en-IE" w:eastAsia="hi-IN" w:bidi="hi-IN"/>
        </w:rPr>
        <w:t>This shift in business models is typical of other Australian and global ISPs.</w:t>
      </w:r>
      <w:r w:rsidRPr="00EF4492">
        <w:rPr>
          <w:rFonts w:eastAsia="Arial Unicode MS"/>
          <w:vertAlign w:val="superscript"/>
          <w:lang w:val="en-IE" w:eastAsia="hi-IN" w:bidi="hi-IN"/>
        </w:rPr>
        <w:footnoteReference w:id="67"/>
      </w:r>
      <w:r w:rsidRPr="00EF4492">
        <w:rPr>
          <w:rFonts w:eastAsia="Arial Unicode MS"/>
          <w:lang w:val="en-IE" w:eastAsia="hi-IN" w:bidi="hi-IN"/>
        </w:rPr>
        <w:t xml:space="preserve"> This trend raises several competition and network neutrality concerns. </w:t>
      </w:r>
    </w:p>
    <w:p w14:paraId="24359EFB" w14:textId="77777777" w:rsidR="00EF4492" w:rsidRPr="00EF4492" w:rsidRDefault="00EF4492" w:rsidP="0085295C">
      <w:pPr>
        <w:rPr>
          <w:rFonts w:eastAsia="Arial Unicode MS"/>
          <w:lang w:val="en-IE" w:eastAsia="hi-IN" w:bidi="hi-IN"/>
        </w:rPr>
      </w:pPr>
      <w:r w:rsidRPr="00EF4492">
        <w:rPr>
          <w:rFonts w:eastAsia="Arial Unicode MS"/>
          <w:lang w:val="en-IE" w:eastAsia="hi-IN" w:bidi="hi-IN"/>
        </w:rPr>
        <w:t>In Australia, ISPs are increasingly using exclusive content agreements to attract customers.  One example is Optus’ exclusive access to the English Premier League.</w:t>
      </w:r>
      <w:r w:rsidRPr="00EF4492">
        <w:rPr>
          <w:rFonts w:eastAsia="Arial Unicode MS"/>
          <w:vertAlign w:val="superscript"/>
          <w:lang w:val="en-IE" w:eastAsia="hi-IN" w:bidi="hi-IN"/>
        </w:rPr>
        <w:footnoteReference w:id="68"/>
      </w:r>
      <w:r w:rsidRPr="00EF4492">
        <w:rPr>
          <w:rFonts w:eastAsia="Arial Unicode MS"/>
          <w:lang w:val="en-IE" w:eastAsia="hi-IN" w:bidi="hi-IN"/>
        </w:rPr>
        <w:t xml:space="preserve"> This creates a large incentive for some consumers wishing to watch live sports on their phone or tablet to also purchase an Optus mobile service, even if the other features of the mobile service do not meet the consumer’s main needs.</w:t>
      </w:r>
    </w:p>
    <w:p w14:paraId="5AD859E2" w14:textId="6B58F7F1" w:rsidR="00EF4492" w:rsidRPr="00EF4492" w:rsidRDefault="00EF4492" w:rsidP="0085295C">
      <w:pPr>
        <w:rPr>
          <w:rFonts w:eastAsia="Arial Unicode MS" w:cs="font391"/>
          <w:kern w:val="1"/>
          <w:szCs w:val="24"/>
          <w:lang w:val="en-IE" w:eastAsia="hi-IN" w:bidi="hi-IN"/>
        </w:rPr>
      </w:pPr>
      <w:r w:rsidRPr="00EF4492">
        <w:rPr>
          <w:rFonts w:eastAsia="Arial Unicode MS"/>
          <w:lang w:val="en-IE" w:eastAsia="hi-IN" w:bidi="hi-IN"/>
        </w:rPr>
        <w:t>Another issue that affects competition is the provision of unmetered data. For example, iiNet’s home broadband plans offer unmetered content from ABC iView, FetchTV, and Netflix. Another example is Telstra allowing customers to stream the AFL and NRL without using up their data</w:t>
      </w:r>
      <w:r w:rsidR="00E33881">
        <w:rPr>
          <w:rFonts w:eastAsia="Arial Unicode MS"/>
          <w:lang w:val="en-IE" w:eastAsia="hi-IN" w:bidi="hi-IN"/>
        </w:rPr>
        <w:t>.</w:t>
      </w:r>
      <w:r w:rsidRPr="00EF4492">
        <w:rPr>
          <w:rFonts w:eastAsia="Arial Unicode MS"/>
          <w:lang w:val="en-IE" w:eastAsia="hi-IN" w:bidi="hi-IN"/>
        </w:rPr>
        <w:t xml:space="preserve"> . This means if customers are not with Telstra or using Wi-Fi they are likely to exceed their entire monthly mobile data allowance (about 1GB per game) before a game even ends. This creates a large incentive for a consumer wishing to watch live sports on their phone or tablet to also purchase a Telstra mobile service. </w:t>
      </w:r>
      <w:r w:rsidRPr="00EF4492">
        <w:rPr>
          <w:rFonts w:eastAsia="Arial Unicode MS"/>
          <w:lang w:eastAsia="hi-IN" w:bidi="hi-IN"/>
        </w:rPr>
        <w:t xml:space="preserve">In the US, zero-rating/unmetered content is permitted as long as it does not “unreasonably interfere with or unreasonably disadvantage” the user’s ability to select and access content of their choice, </w:t>
      </w:r>
      <w:r w:rsidRPr="00EF4492">
        <w:rPr>
          <w:rFonts w:eastAsia="Arial Unicode MS"/>
          <w:lang w:eastAsia="hi-IN" w:bidi="hi-IN"/>
        </w:rPr>
        <w:lastRenderedPageBreak/>
        <w:t>or the content provider’s ability to make content available to users.</w:t>
      </w:r>
      <w:r w:rsidRPr="00EF4492">
        <w:rPr>
          <w:rFonts w:eastAsia="Arial Unicode MS"/>
          <w:vertAlign w:val="superscript"/>
          <w:lang w:val="en-IE" w:eastAsia="hi-IN" w:bidi="hi-IN"/>
        </w:rPr>
        <w:footnoteReference w:id="69"/>
      </w:r>
      <w:r w:rsidRPr="00EF4492">
        <w:rPr>
          <w:rFonts w:eastAsia="Arial Unicode MS" w:cs="font391"/>
          <w:kern w:val="1"/>
          <w:szCs w:val="24"/>
          <w:lang w:val="en-IE" w:eastAsia="hi-IN" w:bidi="hi-IN"/>
        </w:rPr>
        <w:t>This issue extends beyond the mobile market, with access to unmetered SVOD services such as Foxtel offered exclusively to Telstra home internet customers.</w:t>
      </w:r>
      <w:r w:rsidRPr="00EF4492">
        <w:rPr>
          <w:rFonts w:eastAsia="Arial Unicode MS" w:cs="font391"/>
          <w:kern w:val="1"/>
          <w:szCs w:val="24"/>
          <w:vertAlign w:val="superscript"/>
          <w:lang w:val="en-IE" w:eastAsia="hi-IN" w:bidi="hi-IN"/>
        </w:rPr>
        <w:footnoteReference w:id="70"/>
      </w:r>
      <w:r w:rsidRPr="00EF4492">
        <w:rPr>
          <w:rFonts w:eastAsia="Arial Unicode MS" w:cs="font391"/>
          <w:kern w:val="1"/>
          <w:szCs w:val="24"/>
          <w:lang w:val="en-IE" w:eastAsia="hi-IN" w:bidi="hi-IN"/>
        </w:rPr>
        <w:t xml:space="preserve"> Video streaming is one of the most resource intensive activities that can be done online. By translating viewing time into data usage we can get an idea of how compelling an unmetered offer becomes in consumer decision making. Foxtel’s video on demand service uses a maximum of 1,310 MB per hour.</w:t>
      </w:r>
      <w:r w:rsidRPr="00EF4492">
        <w:rPr>
          <w:rFonts w:eastAsia="Arial Unicode MS" w:cs="font391"/>
          <w:kern w:val="1"/>
          <w:szCs w:val="24"/>
          <w:vertAlign w:val="superscript"/>
          <w:lang w:val="en-IE" w:eastAsia="hi-IN" w:bidi="hi-IN"/>
        </w:rPr>
        <w:footnoteReference w:id="71"/>
      </w:r>
      <w:r w:rsidRPr="00EF4492">
        <w:rPr>
          <w:rFonts w:eastAsia="Arial Unicode MS" w:cs="font391"/>
          <w:kern w:val="1"/>
          <w:szCs w:val="24"/>
          <w:lang w:val="en-IE" w:eastAsia="hi-IN" w:bidi="hi-IN"/>
        </w:rPr>
        <w:t xml:space="preserve"> If the average viewer consumed all of their content through this service it would equate to about 143 GB a month. Given the average fixed broadband consumer currently only uses about</w:t>
      </w:r>
      <w:r w:rsidR="00751BA2">
        <w:rPr>
          <w:rFonts w:eastAsia="Arial Unicode MS" w:cs="font391"/>
          <w:kern w:val="1"/>
          <w:szCs w:val="24"/>
          <w:lang w:val="en-IE" w:eastAsia="hi-IN" w:bidi="hi-IN"/>
        </w:rPr>
        <w:t xml:space="preserve"> 82GB a month</w:t>
      </w:r>
      <w:r w:rsidRPr="00751BA2">
        <w:rPr>
          <w:rFonts w:eastAsia="Arial Unicode MS" w:cs="font391"/>
          <w:kern w:val="1"/>
          <w:szCs w:val="24"/>
          <w:lang w:val="en-IE" w:eastAsia="hi-IN" w:bidi="hi-IN"/>
        </w:rPr>
        <w:t>,</w:t>
      </w:r>
      <w:r w:rsidRPr="00751BA2">
        <w:rPr>
          <w:rFonts w:eastAsia="Arial Unicode MS" w:cs="font391"/>
          <w:kern w:val="1"/>
          <w:szCs w:val="24"/>
          <w:vertAlign w:val="superscript"/>
          <w:lang w:val="en-IE" w:eastAsia="hi-IN" w:bidi="hi-IN"/>
        </w:rPr>
        <w:footnoteReference w:id="72"/>
      </w:r>
      <w:r w:rsidRPr="00EF4492">
        <w:rPr>
          <w:rFonts w:eastAsia="Arial Unicode MS" w:cs="font391"/>
          <w:kern w:val="1"/>
          <w:szCs w:val="24"/>
          <w:lang w:val="en-IE" w:eastAsia="hi-IN" w:bidi="hi-IN"/>
        </w:rPr>
        <w:t xml:space="preserve"> the ability to have content unmetered represents a significant market advantage for providers who can bundle their content and broadband. </w:t>
      </w:r>
    </w:p>
    <w:p w14:paraId="38FD1ACE" w14:textId="6EB5A5A0" w:rsidR="00EF4492" w:rsidRPr="00EF4492" w:rsidRDefault="00EF4492" w:rsidP="0085295C">
      <w:pPr>
        <w:rPr>
          <w:rFonts w:eastAsia="Arial Unicode MS" w:cs="font391"/>
          <w:kern w:val="1"/>
          <w:szCs w:val="24"/>
          <w:lang w:val="en-IE" w:eastAsia="hi-IN" w:bidi="hi-IN"/>
        </w:rPr>
      </w:pPr>
      <w:r w:rsidRPr="00EF4492">
        <w:rPr>
          <w:rFonts w:eastAsia="Arial Unicode MS" w:cs="font391"/>
          <w:kern w:val="1"/>
          <w:szCs w:val="24"/>
          <w:lang w:val="en-IE" w:eastAsia="hi-IN" w:bidi="hi-IN"/>
        </w:rPr>
        <w:t xml:space="preserve">There may also be </w:t>
      </w:r>
      <w:r w:rsidR="00E33881">
        <w:rPr>
          <w:rFonts w:eastAsia="Arial Unicode MS" w:cs="font391"/>
          <w:kern w:val="1"/>
          <w:szCs w:val="24"/>
          <w:lang w:val="en-IE" w:eastAsia="hi-IN" w:bidi="hi-IN"/>
        </w:rPr>
        <w:t xml:space="preserve">a lack of transparency </w:t>
      </w:r>
      <w:r w:rsidR="002A3F14">
        <w:rPr>
          <w:rFonts w:eastAsia="Arial Unicode MS" w:cs="font391"/>
          <w:kern w:val="1"/>
          <w:szCs w:val="24"/>
          <w:lang w:val="en-IE" w:eastAsia="hi-IN" w:bidi="hi-IN"/>
        </w:rPr>
        <w:t xml:space="preserve">and consumer </w:t>
      </w:r>
      <w:r w:rsidR="002902BA">
        <w:rPr>
          <w:rFonts w:eastAsia="Arial Unicode MS" w:cs="font391"/>
          <w:kern w:val="1"/>
          <w:szCs w:val="24"/>
          <w:lang w:val="en-IE" w:eastAsia="hi-IN" w:bidi="hi-IN"/>
        </w:rPr>
        <w:t xml:space="preserve">confusion </w:t>
      </w:r>
      <w:r w:rsidR="002902BA" w:rsidRPr="00EF4492">
        <w:rPr>
          <w:rFonts w:eastAsia="Arial Unicode MS" w:cs="font391"/>
          <w:kern w:val="1"/>
          <w:szCs w:val="24"/>
          <w:lang w:val="en-IE" w:eastAsia="hi-IN" w:bidi="hi-IN"/>
        </w:rPr>
        <w:t>where</w:t>
      </w:r>
      <w:r w:rsidRPr="00EF4492">
        <w:rPr>
          <w:rFonts w:eastAsia="Arial Unicode MS" w:cs="font391"/>
          <w:kern w:val="1"/>
          <w:szCs w:val="24"/>
          <w:lang w:val="en-IE" w:eastAsia="hi-IN" w:bidi="hi-IN"/>
        </w:rPr>
        <w:t xml:space="preserve"> a piece of content is bundled but where the associated advertising content is not. ACCAN has seen reports</w:t>
      </w:r>
      <w:r w:rsidR="00E33881">
        <w:rPr>
          <w:rFonts w:eastAsia="Arial Unicode MS" w:cs="font391"/>
          <w:kern w:val="1"/>
          <w:szCs w:val="24"/>
          <w:lang w:val="en-IE" w:eastAsia="hi-IN" w:bidi="hi-IN"/>
        </w:rPr>
        <w:t xml:space="preserve"> of</w:t>
      </w:r>
      <w:r w:rsidRPr="00EF4492">
        <w:rPr>
          <w:rFonts w:eastAsia="Arial Unicode MS" w:cs="font391"/>
          <w:kern w:val="1"/>
          <w:szCs w:val="24"/>
          <w:lang w:val="en-IE" w:eastAsia="hi-IN" w:bidi="hi-IN"/>
        </w:rPr>
        <w:t xml:space="preserve"> Verizon in the USA rebating customers for 1GB of data to watch football games, yet there is approximately 0.75GB of advertising in a typical game. </w:t>
      </w:r>
      <w:r w:rsidR="00E33881">
        <w:rPr>
          <w:rFonts w:eastAsia="Arial Unicode MS" w:cs="font391"/>
          <w:kern w:val="1"/>
          <w:szCs w:val="24"/>
          <w:lang w:val="en-IE" w:eastAsia="hi-IN" w:bidi="hi-IN"/>
        </w:rPr>
        <w:t>This practice is also used in Australia. For example</w:t>
      </w:r>
      <w:r w:rsidR="002902BA">
        <w:rPr>
          <w:rFonts w:eastAsia="Arial Unicode MS" w:cs="font391"/>
          <w:kern w:val="1"/>
          <w:szCs w:val="24"/>
          <w:lang w:val="en-IE" w:eastAsia="hi-IN" w:bidi="hi-IN"/>
        </w:rPr>
        <w:t xml:space="preserve">, </w:t>
      </w:r>
      <w:r w:rsidR="002902BA" w:rsidRPr="00EF4492">
        <w:rPr>
          <w:rFonts w:eastAsia="Arial Unicode MS" w:cs="font391"/>
          <w:kern w:val="1"/>
          <w:szCs w:val="24"/>
          <w:lang w:val="en-IE" w:eastAsia="hi-IN" w:bidi="hi-IN"/>
        </w:rPr>
        <w:t>Optus’</w:t>
      </w:r>
      <w:r w:rsidRPr="00EF4492">
        <w:rPr>
          <w:rFonts w:eastAsia="Arial Unicode MS" w:cs="font391"/>
          <w:kern w:val="1"/>
          <w:szCs w:val="24"/>
          <w:lang w:val="en-IE" w:eastAsia="hi-IN" w:bidi="hi-IN"/>
        </w:rPr>
        <w:t xml:space="preserve"> terms and conditions state:</w:t>
      </w:r>
    </w:p>
    <w:p w14:paraId="60FA134C" w14:textId="77777777" w:rsidR="00EF4492" w:rsidRPr="00EF4492" w:rsidRDefault="00EF4492" w:rsidP="0085295C">
      <w:pPr>
        <w:ind w:left="720"/>
        <w:rPr>
          <w:rFonts w:eastAsia="Arial Unicode MS"/>
          <w:lang w:val="en-IE" w:eastAsia="hi-IN" w:bidi="hi-IN"/>
        </w:rPr>
      </w:pPr>
      <w:r w:rsidRPr="00EF4492">
        <w:rPr>
          <w:rFonts w:eastAsia="Arial Unicode MS"/>
          <w:lang w:val="en-IE" w:eastAsia="hi-IN" w:bidi="hi-IN"/>
        </w:rPr>
        <w:t>“For technical reasons downloads, mobile and mobile broadband Wi-Fi hotspots, streaming or casting on TVs (such as through Chromecast and Apple TV), and other data such as DRM pings, advertisements, authentication and app analytics are excluded and will incur data charges.”</w:t>
      </w:r>
    </w:p>
    <w:p w14:paraId="74C328DE" w14:textId="3CCB5190" w:rsidR="00EF4492" w:rsidRPr="00EF4492" w:rsidRDefault="00EF4492" w:rsidP="0085295C">
      <w:pPr>
        <w:rPr>
          <w:rFonts w:eastAsia="Arial Unicode MS"/>
          <w:lang w:val="en-IE" w:eastAsia="hi-IN" w:bidi="hi-IN"/>
        </w:rPr>
      </w:pPr>
      <w:r w:rsidRPr="00EF4492">
        <w:rPr>
          <w:rFonts w:eastAsia="Arial Unicode MS"/>
          <w:lang w:val="en-IE" w:eastAsia="hi-IN" w:bidi="hi-IN"/>
        </w:rPr>
        <w:t xml:space="preserve">Whether this </w:t>
      </w:r>
      <w:r w:rsidR="002A3F14">
        <w:rPr>
          <w:rFonts w:eastAsia="Arial Unicode MS"/>
          <w:lang w:val="en-IE" w:eastAsia="hi-IN" w:bidi="hi-IN"/>
        </w:rPr>
        <w:t xml:space="preserve">goes so far to </w:t>
      </w:r>
      <w:r w:rsidR="002902BA">
        <w:rPr>
          <w:rFonts w:eastAsia="Arial Unicode MS"/>
          <w:lang w:val="en-IE" w:eastAsia="hi-IN" w:bidi="hi-IN"/>
        </w:rPr>
        <w:t xml:space="preserve">be </w:t>
      </w:r>
      <w:r w:rsidR="002902BA" w:rsidRPr="00EF4492">
        <w:rPr>
          <w:rFonts w:eastAsia="Arial Unicode MS"/>
          <w:lang w:val="en-IE" w:eastAsia="hi-IN" w:bidi="hi-IN"/>
        </w:rPr>
        <w:t>deceptive</w:t>
      </w:r>
      <w:r w:rsidRPr="00EF4492">
        <w:rPr>
          <w:rFonts w:eastAsia="Arial Unicode MS"/>
          <w:lang w:val="en-IE" w:eastAsia="hi-IN" w:bidi="hi-IN"/>
        </w:rPr>
        <w:t xml:space="preserve"> conduct or otherwise, the inability of the customer to estimate costs associated with bundled content is problematic.</w:t>
      </w:r>
      <w:r w:rsidR="008864B4" w:rsidRPr="008864B4">
        <w:rPr>
          <w:rFonts w:eastAsia="Arial Unicode MS"/>
          <w:lang w:val="en-IE" w:eastAsia="hi-IN" w:bidi="hi-IN"/>
        </w:rPr>
        <w:t xml:space="preserve"> Both exclusive content agreements and unmetered content have the potential to affect competition on communications markets.</w:t>
      </w:r>
    </w:p>
    <w:p w14:paraId="6FFC79CA" w14:textId="21C74C9E" w:rsidR="00EF4492" w:rsidRPr="00EF4492" w:rsidRDefault="00EF4492" w:rsidP="002A3F14">
      <w:pPr>
        <w:pStyle w:val="Heading3"/>
        <w:rPr>
          <w:rFonts w:eastAsia="Arial Unicode MS"/>
          <w:lang w:val="en-IE" w:bidi="hi-IN"/>
        </w:rPr>
      </w:pPr>
      <w:bookmarkStart w:id="37" w:name="_Toc465667620"/>
      <w:r w:rsidRPr="00EF4492">
        <w:rPr>
          <w:rFonts w:eastAsia="Arial Unicode MS"/>
          <w:lang w:val="en-IE" w:bidi="hi-IN"/>
        </w:rPr>
        <w:t>Network neutrality</w:t>
      </w:r>
      <w:bookmarkEnd w:id="37"/>
    </w:p>
    <w:p w14:paraId="43D925C1" w14:textId="77777777" w:rsidR="00EF4492" w:rsidRPr="00EF4492" w:rsidRDefault="00EF4492" w:rsidP="006D50CA">
      <w:pPr>
        <w:rPr>
          <w:rFonts w:eastAsia="Arial Unicode MS"/>
          <w:lang w:val="en-IE" w:eastAsia="hi-IN" w:bidi="hi-IN"/>
        </w:rPr>
      </w:pPr>
      <w:r w:rsidRPr="00EF4492">
        <w:rPr>
          <w:rFonts w:eastAsia="Arial Unicode MS"/>
          <w:lang w:val="en-IE" w:eastAsia="hi-IN" w:bidi="hi-IN"/>
        </w:rPr>
        <w:t xml:space="preserve">There is also a risk that ISPs will prioritise certain traffic over others because they own the content or otherwise have a commercial relationship with the content owner. This raises issues about network neutrality. Network neutrality is the principle that networks should not discriminate against or prioritise specific services, applications or content delivered over </w:t>
      </w:r>
      <w:r w:rsidRPr="00EF4492">
        <w:rPr>
          <w:rFonts w:eastAsia="Arial Unicode MS"/>
          <w:lang w:val="en-IE" w:eastAsia="hi-IN" w:bidi="hi-IN"/>
        </w:rPr>
        <w:lastRenderedPageBreak/>
        <w:t>the internet.</w:t>
      </w:r>
      <w:r w:rsidRPr="00EF4492">
        <w:rPr>
          <w:rFonts w:eastAsia="Arial Unicode MS"/>
          <w:vertAlign w:val="superscript"/>
          <w:lang w:val="en-IE" w:eastAsia="hi-IN" w:bidi="hi-IN"/>
        </w:rPr>
        <w:footnoteReference w:id="73"/>
      </w:r>
      <w:r w:rsidRPr="00EF4492">
        <w:rPr>
          <w:rFonts w:eastAsia="Arial Unicode MS"/>
          <w:lang w:val="en-IE" w:eastAsia="hi-IN" w:bidi="hi-IN"/>
        </w:rPr>
        <w:t xml:space="preserve"> Concerns arise when internet traffic is subject to practices that are designed to limit competition and reduce innovation.</w:t>
      </w:r>
    </w:p>
    <w:p w14:paraId="7C8A4230" w14:textId="6CE859AE" w:rsidR="00EF4492" w:rsidRPr="00EF4492" w:rsidRDefault="00EF4492" w:rsidP="006D50CA">
      <w:pPr>
        <w:rPr>
          <w:rFonts w:eastAsia="Arial Unicode MS"/>
          <w:lang w:val="en-IE" w:eastAsia="hi-IN" w:bidi="hi-IN"/>
        </w:rPr>
      </w:pPr>
      <w:r w:rsidRPr="00EF4492">
        <w:rPr>
          <w:rFonts w:eastAsia="Arial Unicode MS"/>
          <w:lang w:val="en-IE" w:eastAsia="hi-IN" w:bidi="hi-IN"/>
        </w:rPr>
        <w:t>ACCAN does not have any evidence that Australian ISPs are engaging in this kind of conduct.  However, there are some cases which raise questions about how network-owned or affiliated content traffic is delivered compared to other traffic. For example, iiNet has stated that it prioritises the delivery of its FetchTV service above all other traffic. In response to a user’s question about iiNet’s traffic management of P2P Bittorrent services</w:t>
      </w:r>
      <w:r w:rsidR="002902BA" w:rsidRPr="00EF4492">
        <w:rPr>
          <w:rFonts w:eastAsia="Arial Unicode MS"/>
          <w:lang w:val="en-IE" w:eastAsia="hi-IN" w:bidi="hi-IN"/>
        </w:rPr>
        <w:t xml:space="preserve">, </w:t>
      </w:r>
      <w:r w:rsidR="002902BA">
        <w:rPr>
          <w:rFonts w:eastAsia="Arial Unicode MS"/>
          <w:lang w:val="en-IE" w:eastAsia="hi-IN" w:bidi="hi-IN"/>
        </w:rPr>
        <w:t>iiNet</w:t>
      </w:r>
      <w:r w:rsidR="002A3F14">
        <w:rPr>
          <w:rFonts w:eastAsia="Arial Unicode MS"/>
          <w:lang w:val="en-IE" w:eastAsia="hi-IN" w:bidi="hi-IN"/>
        </w:rPr>
        <w:t xml:space="preserve"> has acknowledged that: </w:t>
      </w:r>
      <w:r w:rsidRPr="00EF4492">
        <w:rPr>
          <w:rFonts w:eastAsia="Arial Unicode MS"/>
          <w:vertAlign w:val="superscript"/>
          <w:lang w:val="en-IE" w:eastAsia="hi-IN" w:bidi="hi-IN"/>
        </w:rPr>
        <w:footnoteReference w:id="74"/>
      </w:r>
      <w:r w:rsidRPr="00EF4492">
        <w:rPr>
          <w:rFonts w:eastAsia="Arial Unicode MS"/>
          <w:lang w:val="en-IE" w:eastAsia="hi-IN" w:bidi="hi-IN"/>
        </w:rPr>
        <w:t xml:space="preserve"> </w:t>
      </w:r>
    </w:p>
    <w:p w14:paraId="5F1A2CE9" w14:textId="34D9A392" w:rsidR="00EF4492" w:rsidRPr="00EF4492" w:rsidRDefault="00EF4492" w:rsidP="006D50CA">
      <w:pPr>
        <w:ind w:left="720"/>
        <w:rPr>
          <w:rFonts w:eastAsia="Arial Unicode MS"/>
          <w:lang w:val="en-IE" w:eastAsia="hi-IN" w:bidi="hi-IN"/>
        </w:rPr>
      </w:pPr>
      <w:r w:rsidRPr="00EF4492">
        <w:rPr>
          <w:rFonts w:eastAsia="Arial Unicode MS"/>
          <w:lang w:val="en-IE" w:eastAsia="hi-IN" w:bidi="hi-IN"/>
        </w:rPr>
        <w:t xml:space="preserve">We don't de-prioritise it [Bittorrent] </w:t>
      </w:r>
      <w:r w:rsidR="002902BA" w:rsidRPr="00EF4492">
        <w:rPr>
          <w:rFonts w:eastAsia="Arial Unicode MS"/>
          <w:lang w:val="en-IE" w:eastAsia="hi-IN" w:bidi="hi-IN"/>
        </w:rPr>
        <w:t>we</w:t>
      </w:r>
      <w:r w:rsidRPr="00EF4492">
        <w:rPr>
          <w:rFonts w:eastAsia="Arial Unicode MS"/>
          <w:lang w:val="en-IE" w:eastAsia="hi-IN" w:bidi="hi-IN"/>
        </w:rPr>
        <w:t xml:space="preserve"> can't identify it. We just leave a whole bunch of traffic completely alone. In that 'left alone' stream </w:t>
      </w:r>
      <w:proofErr w:type="gramStart"/>
      <w:r w:rsidRPr="00EF4492">
        <w:rPr>
          <w:rFonts w:eastAsia="Arial Unicode MS"/>
          <w:lang w:val="en-IE" w:eastAsia="hi-IN" w:bidi="hi-IN"/>
        </w:rPr>
        <w:t>is</w:t>
      </w:r>
      <w:proofErr w:type="gramEnd"/>
      <w:r w:rsidRPr="00EF4492">
        <w:rPr>
          <w:rFonts w:eastAsia="Arial Unicode MS"/>
          <w:lang w:val="en-IE" w:eastAsia="hi-IN" w:bidi="hi-IN"/>
        </w:rPr>
        <w:t xml:space="preserve"> all sorts of stuff including </w:t>
      </w:r>
      <w:proofErr w:type="spellStart"/>
      <w:r w:rsidRPr="00EF4492">
        <w:rPr>
          <w:rFonts w:eastAsia="Arial Unicode MS"/>
          <w:lang w:val="en-IE" w:eastAsia="hi-IN" w:bidi="hi-IN"/>
        </w:rPr>
        <w:t>Bittorent</w:t>
      </w:r>
      <w:proofErr w:type="spellEnd"/>
      <w:r w:rsidRPr="00EF4492">
        <w:rPr>
          <w:rFonts w:eastAsia="Arial Unicode MS"/>
          <w:lang w:val="en-IE" w:eastAsia="hi-IN" w:bidi="hi-IN"/>
        </w:rPr>
        <w:t>.</w:t>
      </w:r>
    </w:p>
    <w:p w14:paraId="0A39E20E" w14:textId="77777777" w:rsidR="00EF4492" w:rsidRPr="00EF4492" w:rsidRDefault="00EF4492" w:rsidP="006D50CA">
      <w:pPr>
        <w:ind w:left="720"/>
        <w:rPr>
          <w:rFonts w:eastAsia="Arial Unicode MS"/>
          <w:i/>
          <w:lang w:val="en-IE" w:eastAsia="hi-IN" w:bidi="hi-IN"/>
        </w:rPr>
      </w:pPr>
      <w:r w:rsidRPr="00EF4492">
        <w:rPr>
          <w:rFonts w:eastAsia="Arial Unicode MS"/>
          <w:i/>
          <w:lang w:val="en-IE" w:eastAsia="hi-IN" w:bidi="hi-IN"/>
        </w:rPr>
        <w:t>What we do is make sure traffic like FetchTV is not affected (people pay extra for that, it's a reasonable thing to ensure it doesn't lose out when competing with 'junk' traffic).</w:t>
      </w:r>
    </w:p>
    <w:p w14:paraId="69A1ECC7" w14:textId="2D0DC344" w:rsidR="00EF4492" w:rsidRPr="00EF4492" w:rsidRDefault="00EF4492" w:rsidP="006D50CA">
      <w:pPr>
        <w:rPr>
          <w:rFonts w:eastAsia="Arial Unicode MS"/>
          <w:lang w:val="en-IE" w:eastAsia="hi-IN" w:bidi="hi-IN"/>
        </w:rPr>
      </w:pPr>
      <w:r w:rsidRPr="00EF4492">
        <w:rPr>
          <w:rFonts w:eastAsia="Arial Unicode MS"/>
          <w:lang w:val="en-IE" w:eastAsia="hi-IN" w:bidi="hi-IN"/>
        </w:rPr>
        <w:t xml:space="preserve">This could mean that some </w:t>
      </w:r>
      <w:r w:rsidR="002A3F14">
        <w:rPr>
          <w:rFonts w:eastAsia="Arial Unicode MS"/>
          <w:lang w:val="en-IE" w:eastAsia="hi-IN" w:bidi="hi-IN"/>
        </w:rPr>
        <w:t xml:space="preserve">customers who purchase such </w:t>
      </w:r>
      <w:r w:rsidR="002902BA">
        <w:rPr>
          <w:rFonts w:eastAsia="Arial Unicode MS"/>
          <w:lang w:val="en-IE" w:eastAsia="hi-IN" w:bidi="hi-IN"/>
        </w:rPr>
        <w:t xml:space="preserve">services </w:t>
      </w:r>
      <w:r w:rsidR="002902BA" w:rsidRPr="00EF4492">
        <w:rPr>
          <w:rFonts w:eastAsia="Arial Unicode MS"/>
          <w:lang w:val="en-IE" w:eastAsia="hi-IN" w:bidi="hi-IN"/>
        </w:rPr>
        <w:t>have</w:t>
      </w:r>
      <w:r w:rsidRPr="00EF4492">
        <w:rPr>
          <w:rFonts w:eastAsia="Arial Unicode MS"/>
          <w:lang w:val="en-IE" w:eastAsia="hi-IN" w:bidi="hi-IN"/>
        </w:rPr>
        <w:t xml:space="preserve"> overall slower internet speeds simply because they do not have the need for the premium service</w:t>
      </w:r>
      <w:r w:rsidR="002A3F14">
        <w:rPr>
          <w:rFonts w:eastAsia="Arial Unicode MS"/>
          <w:lang w:val="en-IE" w:eastAsia="hi-IN" w:bidi="hi-IN"/>
        </w:rPr>
        <w:t xml:space="preserve"> bundled with the product</w:t>
      </w:r>
      <w:r w:rsidRPr="00EF4492">
        <w:rPr>
          <w:rFonts w:eastAsia="Arial Unicode MS"/>
          <w:lang w:val="en-IE" w:eastAsia="hi-IN" w:bidi="hi-IN"/>
        </w:rPr>
        <w:t>. This potentially disadvantages the majority of customers who are still paying the ISP for a baseline internet service.</w:t>
      </w:r>
    </w:p>
    <w:p w14:paraId="4C97D98D" w14:textId="321C831B" w:rsidR="00EF4492" w:rsidRPr="00FE0B29" w:rsidRDefault="00EF4492" w:rsidP="00FE0B29">
      <w:pPr>
        <w:rPr>
          <w:rFonts w:eastAsia="Arial Unicode MS"/>
          <w:lang w:val="en-IE" w:eastAsia="hi-IN" w:bidi="hi-IN"/>
        </w:rPr>
      </w:pPr>
      <w:r w:rsidRPr="00EF4492">
        <w:rPr>
          <w:rFonts w:eastAsia="Arial Unicode MS"/>
          <w:lang w:val="en-IE" w:eastAsia="hi-IN" w:bidi="hi-IN"/>
        </w:rPr>
        <w:t>Overseas, the USA and EU have recently adopted network neutrality rules which prohibit paid prioritization of traffic for retail consumer services, throttling and blocking traffic (with exceptions for “r</w:t>
      </w:r>
      <w:r w:rsidR="00217E01">
        <w:rPr>
          <w:rFonts w:eastAsia="Arial Unicode MS"/>
          <w:lang w:val="en-IE" w:eastAsia="hi-IN" w:bidi="hi-IN"/>
        </w:rPr>
        <w:t>easonable traffic management”).</w:t>
      </w:r>
      <w:r w:rsidRPr="00EF4492">
        <w:rPr>
          <w:rFonts w:eastAsia="Arial Unicode MS"/>
          <w:vertAlign w:val="superscript"/>
          <w:lang w:val="en-IE" w:eastAsia="hi-IN" w:bidi="hi-IN"/>
        </w:rPr>
        <w:footnoteReference w:id="75"/>
      </w:r>
      <w:r w:rsidRPr="00EF4492">
        <w:rPr>
          <w:rFonts w:eastAsia="Arial Unicode MS"/>
          <w:lang w:eastAsia="hi-IN" w:bidi="hi-IN"/>
        </w:rPr>
        <w:t xml:space="preserve"> </w:t>
      </w:r>
      <w:r w:rsidR="00C54484">
        <w:rPr>
          <w:rFonts w:eastAsia="Arial Unicode MS"/>
          <w:lang w:val="en-IE" w:eastAsia="hi-IN" w:bidi="hi-IN"/>
        </w:rPr>
        <w:t xml:space="preserve"> The incidence of services that breach net neutrality will need to be monitored closely to determine whether similar market intervention is warranted in Australia. </w:t>
      </w:r>
      <w:r w:rsidR="00BC3D7E">
        <w:rPr>
          <w:rFonts w:eastAsia="Arial Unicode MS"/>
          <w:lang w:val="en-IE" w:eastAsia="hi-IN" w:bidi="hi-IN"/>
        </w:rPr>
        <w:t>A consideration in how net neutrality issues are approached is the potential impact on the delivery of future public interest services.</w:t>
      </w:r>
      <w:r w:rsidR="00A46F6E">
        <w:rPr>
          <w:rStyle w:val="FootnoteReference"/>
          <w:rFonts w:eastAsia="Arial Unicode MS"/>
          <w:lang w:val="en-IE" w:eastAsia="hi-IN" w:bidi="hi-IN"/>
        </w:rPr>
        <w:footnoteReference w:id="76"/>
      </w:r>
      <w:r w:rsidR="00BC3D7E">
        <w:rPr>
          <w:rFonts w:eastAsia="Arial Unicode MS"/>
          <w:lang w:val="en-IE" w:eastAsia="hi-IN" w:bidi="hi-IN"/>
        </w:rPr>
        <w:t xml:space="preserve">  </w:t>
      </w:r>
    </w:p>
    <w:p w14:paraId="7594C647" w14:textId="77777777" w:rsidR="00EF4492" w:rsidRPr="00EF4492" w:rsidRDefault="00EF4492" w:rsidP="006D50CA">
      <w:pPr>
        <w:pStyle w:val="Heading2"/>
        <w:rPr>
          <w:lang w:val="en-IE" w:bidi="hi-IN"/>
        </w:rPr>
      </w:pPr>
      <w:bookmarkStart w:id="38" w:name="_Toc465667621"/>
      <w:r w:rsidRPr="00EF4492">
        <w:rPr>
          <w:lang w:val="en-IE" w:bidi="hi-IN"/>
        </w:rPr>
        <w:lastRenderedPageBreak/>
        <w:t>Response to question 10:</w:t>
      </w:r>
      <w:bookmarkEnd w:id="38"/>
      <w:r w:rsidRPr="00EF4492">
        <w:rPr>
          <w:lang w:val="en-IE" w:bidi="hi-IN"/>
        </w:rPr>
        <w:t xml:space="preserve"> </w:t>
      </w:r>
    </w:p>
    <w:p w14:paraId="67879451" w14:textId="77777777" w:rsidR="00EF4492" w:rsidRPr="00EF4492" w:rsidRDefault="00EF4492" w:rsidP="006D50CA">
      <w:pPr>
        <w:pStyle w:val="Blockquote2"/>
        <w:rPr>
          <w:rFonts w:eastAsia="Arial Unicode MS"/>
          <w:lang w:val="en-IE" w:bidi="hi-IN"/>
        </w:rPr>
      </w:pPr>
      <w:r w:rsidRPr="00EF4492">
        <w:rPr>
          <w:rFonts w:eastAsia="Arial Unicode MS"/>
          <w:lang w:val="en-IE" w:bidi="hi-IN"/>
        </w:rPr>
        <w:t xml:space="preserve">Does the lack of interoperability and portability of data among different OTT services create competition issues? </w:t>
      </w:r>
      <w:proofErr w:type="gramStart"/>
      <w:r w:rsidRPr="00EF4492">
        <w:rPr>
          <w:rFonts w:eastAsia="Arial Unicode MS"/>
          <w:lang w:val="en-IE" w:bidi="hi-IN"/>
        </w:rPr>
        <w:t>If so, how?</w:t>
      </w:r>
      <w:proofErr w:type="gramEnd"/>
      <w:r w:rsidRPr="00EF4492">
        <w:rPr>
          <w:rFonts w:eastAsia="Arial Unicode MS"/>
          <w:lang w:val="en-IE" w:bidi="hi-IN"/>
        </w:rPr>
        <w:t xml:space="preserve"> Is this likely to change in the next five years?</w:t>
      </w:r>
    </w:p>
    <w:p w14:paraId="5751D173" w14:textId="77777777" w:rsidR="00EF4492" w:rsidRPr="00EF4492" w:rsidRDefault="00EF4492" w:rsidP="006D50CA">
      <w:pPr>
        <w:rPr>
          <w:rFonts w:eastAsia="Arial Unicode MS"/>
          <w:lang w:val="en-IE" w:eastAsia="hi-IN" w:bidi="hi-IN"/>
        </w:rPr>
      </w:pPr>
      <w:r w:rsidRPr="00EF4492">
        <w:rPr>
          <w:rFonts w:eastAsia="Arial Unicode MS"/>
          <w:lang w:val="en-IE" w:eastAsia="hi-IN" w:bidi="hi-IN"/>
        </w:rPr>
        <w:t>The lack of interoperability and portability of data causes friction when consumers consider switching providers and which company to choose. If consumers are unable to bring their data to new devices then they will likely lose any benefit and learning from that data. For example, if consumers use a service to tracking their health and fitness and are unable to port that data to another service they will lose the ability to compare and track their health and fitness. Likewise if devices or services do not ‘talk’ to each other then it limits the usefulness of the services. Consumers, in order to benefit from the services, may be restricted to using OTT services or devices from the same provider. As more intelligent OTT services and devices are used by consumers this issue is likely to increase. The first company to capture the market is likely to benefit and any competitors are likely to struggle to gain market share.</w:t>
      </w:r>
    </w:p>
    <w:p w14:paraId="78DD0370" w14:textId="77777777" w:rsidR="00EF4492" w:rsidRPr="00EF4492" w:rsidRDefault="00EF4492" w:rsidP="006D50CA">
      <w:pPr>
        <w:pStyle w:val="Heading2"/>
        <w:rPr>
          <w:lang w:val="en-IE" w:bidi="hi-IN"/>
        </w:rPr>
      </w:pPr>
      <w:bookmarkStart w:id="39" w:name="_Toc465667622"/>
      <w:r w:rsidRPr="00EF4492">
        <w:rPr>
          <w:lang w:val="en-IE" w:bidi="hi-IN"/>
        </w:rPr>
        <w:t>Response to question 11:</w:t>
      </w:r>
      <w:bookmarkEnd w:id="39"/>
      <w:r w:rsidRPr="00EF4492">
        <w:rPr>
          <w:lang w:val="en-IE" w:bidi="hi-IN"/>
        </w:rPr>
        <w:t xml:space="preserve"> </w:t>
      </w:r>
    </w:p>
    <w:p w14:paraId="51D9D7A6" w14:textId="77777777" w:rsidR="00EF4492" w:rsidRPr="00EF4492" w:rsidRDefault="00EF4492" w:rsidP="006D50CA">
      <w:pPr>
        <w:pStyle w:val="Blockquote2"/>
        <w:rPr>
          <w:rFonts w:eastAsia="Arial Unicode MS"/>
          <w:lang w:val="en-IE" w:bidi="hi-IN"/>
        </w:rPr>
      </w:pPr>
      <w:r w:rsidRPr="00EF4492">
        <w:rPr>
          <w:rFonts w:eastAsia="Arial Unicode MS"/>
          <w:lang w:val="en-IE" w:bidi="hi-IN"/>
        </w:rPr>
        <w:t>What does the emergence of OTT services mean for the current economic regulatory framework for the communications sector?</w:t>
      </w:r>
    </w:p>
    <w:p w14:paraId="2D32CDCD" w14:textId="7929E7E8" w:rsidR="00EF4492" w:rsidRPr="00EF4492" w:rsidRDefault="00EF4492" w:rsidP="006D50CA">
      <w:pPr>
        <w:rPr>
          <w:rFonts w:eastAsia="Arial Unicode MS"/>
          <w:lang w:val="en-IE" w:eastAsia="hi-IN" w:bidi="hi-IN"/>
        </w:rPr>
      </w:pPr>
      <w:r w:rsidRPr="00EF4492">
        <w:rPr>
          <w:rFonts w:eastAsia="Arial Unicode MS"/>
          <w:lang w:val="en-IE" w:eastAsia="hi-IN" w:bidi="hi-IN"/>
        </w:rPr>
        <w:t>OTT services place a greater need f</w:t>
      </w:r>
      <w:r w:rsidR="002151B6">
        <w:rPr>
          <w:rFonts w:eastAsia="Arial Unicode MS"/>
          <w:lang w:val="en-IE" w:eastAsia="hi-IN" w:bidi="hi-IN"/>
        </w:rPr>
        <w:t>or</w:t>
      </w:r>
      <w:r w:rsidRPr="00EF4492">
        <w:rPr>
          <w:rFonts w:eastAsia="Arial Unicode MS"/>
          <w:lang w:val="en-IE" w:eastAsia="hi-IN" w:bidi="hi-IN"/>
        </w:rPr>
        <w:t xml:space="preserve"> transparency </w:t>
      </w:r>
      <w:r w:rsidR="002151B6">
        <w:rPr>
          <w:rFonts w:eastAsia="Arial Unicode MS"/>
          <w:lang w:val="en-IE" w:eastAsia="hi-IN" w:bidi="hi-IN"/>
        </w:rPr>
        <w:t>i</w:t>
      </w:r>
      <w:r w:rsidRPr="00EF4492">
        <w:rPr>
          <w:rFonts w:eastAsia="Arial Unicode MS"/>
          <w:lang w:val="en-IE" w:eastAsia="hi-IN" w:bidi="hi-IN"/>
        </w:rPr>
        <w:t xml:space="preserve">n the relationships that exist between the network and RSP and the OTT services. Regular monitoring may be required to ensure that preferential treatment does not exist. </w:t>
      </w:r>
    </w:p>
    <w:p w14:paraId="110E0ACA" w14:textId="77777777" w:rsidR="00EF4492" w:rsidRPr="00EF4492" w:rsidRDefault="00EF4492" w:rsidP="006D50CA">
      <w:pPr>
        <w:pStyle w:val="Heading2"/>
        <w:rPr>
          <w:lang w:val="en-IE" w:bidi="hi-IN"/>
        </w:rPr>
      </w:pPr>
      <w:bookmarkStart w:id="40" w:name="_Toc465667623"/>
      <w:r w:rsidRPr="00EF4492">
        <w:rPr>
          <w:lang w:val="en-IE" w:bidi="hi-IN"/>
        </w:rPr>
        <w:t>Response to question 13:</w:t>
      </w:r>
      <w:bookmarkEnd w:id="40"/>
      <w:r w:rsidRPr="00EF4492">
        <w:rPr>
          <w:lang w:val="en-IE" w:bidi="hi-IN"/>
        </w:rPr>
        <w:t xml:space="preserve"> </w:t>
      </w:r>
    </w:p>
    <w:p w14:paraId="62C0AEA3" w14:textId="77777777" w:rsidR="00EF4492" w:rsidRPr="00EF4492" w:rsidRDefault="00EF4492" w:rsidP="006D50CA">
      <w:pPr>
        <w:pStyle w:val="Blockquote2"/>
        <w:rPr>
          <w:rFonts w:eastAsia="Arial Unicode MS"/>
          <w:lang w:val="en-IE" w:bidi="hi-IN"/>
        </w:rPr>
      </w:pPr>
      <w:r w:rsidRPr="00EF4492">
        <w:rPr>
          <w:rFonts w:eastAsia="Arial Unicode MS"/>
          <w:lang w:val="en-IE" w:bidi="hi-IN"/>
        </w:rPr>
        <w:t>How prevalent is the use of data traffic management procedures by Australian network operators?</w:t>
      </w:r>
    </w:p>
    <w:p w14:paraId="14F89974" w14:textId="77777777" w:rsidR="00EF4492" w:rsidRPr="00EF4492" w:rsidRDefault="00EF4492" w:rsidP="006D50CA">
      <w:pPr>
        <w:rPr>
          <w:rFonts w:eastAsia="Arial Unicode MS"/>
          <w:lang w:eastAsia="hi-IN" w:bidi="hi-IN"/>
        </w:rPr>
      </w:pPr>
      <w:r w:rsidRPr="00EF4492">
        <w:rPr>
          <w:rFonts w:eastAsia="Arial Unicode MS"/>
          <w:lang w:eastAsia="hi-IN" w:bidi="hi-IN"/>
        </w:rPr>
        <w:t xml:space="preserve">It is reasonable to expect that every Australian ISP uses data traffic management procedures; as it is impossible to operate a network without having rules to manage network congestion given the history of internet traffic growth. However disclosure of traffic management policies by Australian ISPs is wholly inadequate.  </w:t>
      </w:r>
    </w:p>
    <w:p w14:paraId="2023C2BF" w14:textId="77777777" w:rsidR="00EC7AB8" w:rsidRDefault="00EF4492" w:rsidP="006D50CA">
      <w:pPr>
        <w:rPr>
          <w:rFonts w:eastAsia="Arial Unicode MS"/>
          <w:lang w:eastAsia="hi-IN" w:bidi="hi-IN"/>
        </w:rPr>
      </w:pPr>
      <w:r w:rsidRPr="00EF4492">
        <w:rPr>
          <w:rFonts w:eastAsia="Arial Unicode MS"/>
          <w:lang w:eastAsia="hi-IN" w:bidi="hi-IN"/>
        </w:rPr>
        <w:t>ACCAN has reviewed publically available information of the top four ISPs in Australia.  Only two of the ISPs provide information about their traffic management policies.</w:t>
      </w:r>
    </w:p>
    <w:p w14:paraId="16F2D76E" w14:textId="09DEB99A" w:rsidR="00EF4492" w:rsidRPr="00EF4492" w:rsidRDefault="00EF4492" w:rsidP="006D50CA">
      <w:pPr>
        <w:rPr>
          <w:rFonts w:eastAsia="Arial Unicode MS"/>
          <w:lang w:eastAsia="hi-IN" w:bidi="hi-IN"/>
        </w:rPr>
      </w:pPr>
      <w:r w:rsidRPr="00EF4492">
        <w:rPr>
          <w:rFonts w:eastAsia="Arial Unicode MS"/>
          <w:lang w:eastAsia="hi-IN" w:bidi="hi-IN"/>
        </w:rPr>
        <w:t>Where there was disclosure of traffic management policies, that disclosure was very weak, extremely broad and ‘hidden’ in long-form contractual documents. The two ISPs surveyed had such broad statements as to permit the prioritisation of any traffic without clear reasons at any time.</w:t>
      </w:r>
      <w:r w:rsidR="00FD05F6" w:rsidRPr="00FD05F6">
        <w:rPr>
          <w:rFonts w:eastAsia="Arial Unicode MS"/>
          <w:vertAlign w:val="superscript"/>
          <w:lang w:val="en-IE" w:eastAsia="hi-IN" w:bidi="hi-IN"/>
        </w:rPr>
        <w:t xml:space="preserve"> </w:t>
      </w:r>
      <w:r w:rsidRPr="00EF4492">
        <w:rPr>
          <w:rFonts w:eastAsia="Arial Unicode MS"/>
          <w:lang w:eastAsia="hi-IN" w:bidi="hi-IN"/>
        </w:rPr>
        <w:t>For example</w:t>
      </w:r>
      <w:r w:rsidR="00FD05F6">
        <w:rPr>
          <w:rFonts w:eastAsia="Arial Unicode MS"/>
          <w:lang w:eastAsia="hi-IN" w:bidi="hi-IN"/>
        </w:rPr>
        <w:t>, Optus states this</w:t>
      </w:r>
      <w:r w:rsidRPr="00EF4492">
        <w:rPr>
          <w:rFonts w:eastAsia="Arial Unicode MS"/>
          <w:lang w:eastAsia="hi-IN" w:bidi="hi-IN"/>
        </w:rPr>
        <w:t>:</w:t>
      </w:r>
    </w:p>
    <w:p w14:paraId="7D3F59B8" w14:textId="77777777" w:rsidR="00EF4492" w:rsidRPr="00EF4492" w:rsidRDefault="00EF4492" w:rsidP="00EF4492">
      <w:pPr>
        <w:pBdr>
          <w:top w:val="single" w:sz="4" w:space="1" w:color="000000"/>
          <w:left w:val="single" w:sz="4" w:space="4" w:color="000000"/>
          <w:bottom w:val="single" w:sz="4" w:space="1" w:color="000000"/>
          <w:right w:val="single" w:sz="4" w:space="4" w:color="000000"/>
        </w:pBdr>
        <w:suppressAutoHyphens/>
        <w:spacing w:before="28" w:beforeAutospacing="0" w:after="28" w:afterAutospacing="0"/>
        <w:rPr>
          <w:rFonts w:eastAsia="Arial Unicode MS" w:cs="font391"/>
          <w:kern w:val="1"/>
          <w:szCs w:val="24"/>
          <w:lang w:eastAsia="hi-IN" w:bidi="hi-IN"/>
        </w:rPr>
      </w:pPr>
      <w:r w:rsidRPr="00EF4492">
        <w:rPr>
          <w:rFonts w:eastAsia="Arial Unicode MS" w:cs="font391"/>
          <w:kern w:val="1"/>
          <w:szCs w:val="24"/>
          <w:lang w:eastAsia="hi-IN" w:bidi="hi-IN"/>
        </w:rPr>
        <w:lastRenderedPageBreak/>
        <w:t>2.4</w:t>
      </w:r>
      <w:r w:rsidRPr="00EF4492">
        <w:rPr>
          <w:rFonts w:eastAsia="Arial Unicode MS" w:cs="font391"/>
          <w:kern w:val="1"/>
          <w:szCs w:val="24"/>
          <w:lang w:eastAsia="hi-IN" w:bidi="hi-IN"/>
        </w:rPr>
        <w:tab/>
        <w:t>Changes we may make to the service</w:t>
      </w:r>
      <w:r w:rsidRPr="00EF4492">
        <w:rPr>
          <w:rFonts w:eastAsia="Arial Unicode MS" w:cs="font391"/>
          <w:kern w:val="1"/>
          <w:szCs w:val="24"/>
          <w:vertAlign w:val="superscript"/>
          <w:lang w:val="en-IE" w:eastAsia="hi-IN" w:bidi="hi-IN"/>
        </w:rPr>
        <w:footnoteReference w:id="77"/>
      </w:r>
    </w:p>
    <w:p w14:paraId="0261E1FB" w14:textId="77777777" w:rsidR="00EF4492" w:rsidRPr="00EF4492" w:rsidRDefault="00EF4492" w:rsidP="00EF4492">
      <w:pPr>
        <w:pBdr>
          <w:top w:val="single" w:sz="4" w:space="1" w:color="000000"/>
          <w:left w:val="single" w:sz="4" w:space="4" w:color="000000"/>
          <w:bottom w:val="single" w:sz="4" w:space="1" w:color="000000"/>
          <w:right w:val="single" w:sz="4" w:space="4" w:color="000000"/>
        </w:pBdr>
        <w:suppressAutoHyphens/>
        <w:spacing w:before="28" w:beforeAutospacing="0" w:after="28" w:afterAutospacing="0"/>
        <w:rPr>
          <w:rFonts w:eastAsia="Arial Unicode MS" w:cs="font391"/>
          <w:kern w:val="1"/>
          <w:szCs w:val="24"/>
          <w:lang w:eastAsia="hi-IN" w:bidi="hi-IN"/>
        </w:rPr>
      </w:pPr>
      <w:r w:rsidRPr="00EF4492">
        <w:rPr>
          <w:rFonts w:eastAsia="Arial Unicode MS" w:cs="font391"/>
          <w:kern w:val="1"/>
          <w:szCs w:val="24"/>
          <w:lang w:eastAsia="hi-IN" w:bidi="hi-IN"/>
        </w:rPr>
        <w:t>(a)</w:t>
      </w:r>
      <w:r w:rsidRPr="00EF4492">
        <w:rPr>
          <w:rFonts w:eastAsia="Arial Unicode MS" w:cs="font391"/>
          <w:kern w:val="1"/>
          <w:szCs w:val="24"/>
          <w:lang w:eastAsia="hi-IN" w:bidi="hi-IN"/>
        </w:rPr>
        <w:tab/>
        <w:t>Subject to any obligation we have under clause 2A (Changing the Agreement) of the consumer terms or clause 2A (Changing the Agreement) of the SMB terms (as applicable), we may modify an aspect of the service or the delivery of the service if it is necessary to do so for the efficient operation of the network used to supply the service.  For example, we may apply controls to:</w:t>
      </w:r>
    </w:p>
    <w:p w14:paraId="002710A9" w14:textId="77777777" w:rsidR="00EF4492" w:rsidRPr="00EF4492" w:rsidRDefault="00EF4492" w:rsidP="00EF4492">
      <w:pPr>
        <w:pBdr>
          <w:top w:val="single" w:sz="4" w:space="1" w:color="000000"/>
          <w:left w:val="single" w:sz="4" w:space="4" w:color="000000"/>
          <w:bottom w:val="single" w:sz="4" w:space="1" w:color="000000"/>
          <w:right w:val="single" w:sz="4" w:space="4" w:color="000000"/>
        </w:pBdr>
        <w:suppressAutoHyphens/>
        <w:spacing w:before="28" w:beforeAutospacing="0" w:after="28" w:afterAutospacing="0"/>
        <w:rPr>
          <w:rFonts w:eastAsia="Arial Unicode MS" w:cs="font391"/>
          <w:kern w:val="1"/>
          <w:szCs w:val="24"/>
          <w:lang w:eastAsia="hi-IN" w:bidi="hi-IN"/>
        </w:rPr>
      </w:pPr>
      <w:r w:rsidRPr="00EF4492">
        <w:rPr>
          <w:rFonts w:eastAsia="Arial Unicode MS" w:cs="font391"/>
          <w:kern w:val="1"/>
          <w:szCs w:val="24"/>
          <w:lang w:eastAsia="hi-IN" w:bidi="hi-IN"/>
        </w:rPr>
        <w:t>(</w:t>
      </w:r>
      <w:proofErr w:type="spellStart"/>
      <w:proofErr w:type="gramStart"/>
      <w:r w:rsidRPr="00EF4492">
        <w:rPr>
          <w:rFonts w:eastAsia="Arial Unicode MS" w:cs="font391"/>
          <w:kern w:val="1"/>
          <w:szCs w:val="24"/>
          <w:lang w:eastAsia="hi-IN" w:bidi="hi-IN"/>
        </w:rPr>
        <w:t>i</w:t>
      </w:r>
      <w:proofErr w:type="spellEnd"/>
      <w:proofErr w:type="gramEnd"/>
      <w:r w:rsidRPr="00EF4492">
        <w:rPr>
          <w:rFonts w:eastAsia="Arial Unicode MS" w:cs="font391"/>
          <w:kern w:val="1"/>
          <w:szCs w:val="24"/>
          <w:lang w:eastAsia="hi-IN" w:bidi="hi-IN"/>
        </w:rPr>
        <w:t>)</w:t>
      </w:r>
      <w:r w:rsidRPr="00EF4492">
        <w:rPr>
          <w:rFonts w:eastAsia="Arial Unicode MS" w:cs="font391"/>
          <w:kern w:val="1"/>
          <w:szCs w:val="24"/>
          <w:lang w:eastAsia="hi-IN" w:bidi="hi-IN"/>
        </w:rPr>
        <w:tab/>
        <w:t xml:space="preserve">prioritise internet traffic of certain types or users over others; </w:t>
      </w:r>
    </w:p>
    <w:p w14:paraId="75B6D8E5" w14:textId="77777777" w:rsidR="00EF4492" w:rsidRPr="00EF4492" w:rsidRDefault="00EF4492" w:rsidP="00EF4492">
      <w:pPr>
        <w:pBdr>
          <w:top w:val="single" w:sz="4" w:space="1" w:color="000000"/>
          <w:left w:val="single" w:sz="4" w:space="4" w:color="000000"/>
          <w:bottom w:val="single" w:sz="4" w:space="1" w:color="000000"/>
          <w:right w:val="single" w:sz="4" w:space="4" w:color="000000"/>
        </w:pBdr>
        <w:suppressAutoHyphens/>
        <w:spacing w:before="28" w:beforeAutospacing="0" w:after="28" w:afterAutospacing="0"/>
        <w:rPr>
          <w:rFonts w:eastAsia="Arial Unicode MS" w:cs="font391"/>
          <w:kern w:val="1"/>
          <w:szCs w:val="24"/>
          <w:lang w:eastAsia="hi-IN" w:bidi="hi-IN"/>
        </w:rPr>
      </w:pPr>
      <w:r w:rsidRPr="00EF4492">
        <w:rPr>
          <w:rFonts w:eastAsia="Arial Unicode MS" w:cs="font391"/>
          <w:kern w:val="1"/>
          <w:szCs w:val="24"/>
          <w:lang w:eastAsia="hi-IN" w:bidi="hi-IN"/>
        </w:rPr>
        <w:t>(ii)</w:t>
      </w:r>
      <w:r w:rsidRPr="00EF4492">
        <w:rPr>
          <w:rFonts w:eastAsia="Arial Unicode MS" w:cs="font391"/>
          <w:kern w:val="1"/>
          <w:szCs w:val="24"/>
          <w:lang w:eastAsia="hi-IN" w:bidi="hi-IN"/>
        </w:rPr>
        <w:tab/>
      </w:r>
      <w:proofErr w:type="gramStart"/>
      <w:r w:rsidRPr="00EF4492">
        <w:rPr>
          <w:rFonts w:eastAsia="Arial Unicode MS" w:cs="font391"/>
          <w:kern w:val="1"/>
          <w:szCs w:val="24"/>
          <w:lang w:eastAsia="hi-IN" w:bidi="hi-IN"/>
        </w:rPr>
        <w:t>block</w:t>
      </w:r>
      <w:proofErr w:type="gramEnd"/>
      <w:r w:rsidRPr="00EF4492">
        <w:rPr>
          <w:rFonts w:eastAsia="Arial Unicode MS" w:cs="font391"/>
          <w:kern w:val="1"/>
          <w:szCs w:val="24"/>
          <w:lang w:eastAsia="hi-IN" w:bidi="hi-IN"/>
        </w:rPr>
        <w:t xml:space="preserve"> or filter specific internet ports;</w:t>
      </w:r>
    </w:p>
    <w:p w14:paraId="02ABAE31" w14:textId="77777777" w:rsidR="00EF4492" w:rsidRPr="00EF4492" w:rsidRDefault="00EF4492" w:rsidP="00EF4492">
      <w:pPr>
        <w:pBdr>
          <w:top w:val="single" w:sz="4" w:space="1" w:color="000000"/>
          <w:left w:val="single" w:sz="4" w:space="4" w:color="000000"/>
          <w:bottom w:val="single" w:sz="4" w:space="1" w:color="000000"/>
          <w:right w:val="single" w:sz="4" w:space="4" w:color="000000"/>
        </w:pBdr>
        <w:suppressAutoHyphens/>
        <w:spacing w:before="28" w:beforeAutospacing="0" w:after="28" w:afterAutospacing="0"/>
        <w:rPr>
          <w:rFonts w:eastAsia="Arial Unicode MS" w:cs="font391"/>
          <w:kern w:val="1"/>
          <w:szCs w:val="24"/>
          <w:lang w:eastAsia="hi-IN" w:bidi="hi-IN"/>
        </w:rPr>
      </w:pPr>
      <w:r w:rsidRPr="00EF4492">
        <w:rPr>
          <w:rFonts w:eastAsia="Arial Unicode MS" w:cs="font391"/>
          <w:kern w:val="1"/>
          <w:szCs w:val="24"/>
          <w:lang w:eastAsia="hi-IN" w:bidi="hi-IN"/>
        </w:rPr>
        <w:t>…</w:t>
      </w:r>
    </w:p>
    <w:p w14:paraId="0AC3ED32" w14:textId="571B9F60" w:rsidR="006D50CA" w:rsidRDefault="00EF4492" w:rsidP="006D50CA">
      <w:pPr>
        <w:rPr>
          <w:rFonts w:eastAsia="Arial Unicode MS"/>
          <w:lang w:eastAsia="hi-IN" w:bidi="hi-IN"/>
        </w:rPr>
      </w:pPr>
      <w:r w:rsidRPr="00EF4492">
        <w:rPr>
          <w:rFonts w:eastAsia="Arial Unicode MS"/>
          <w:lang w:eastAsia="hi-IN" w:bidi="hi-IN"/>
        </w:rPr>
        <w:t>Another provider included a similar blanket clause, but also provided some examples of what traffic may be prioritised</w:t>
      </w:r>
      <w:r w:rsidR="002902BA" w:rsidRPr="00EF4492">
        <w:rPr>
          <w:rFonts w:eastAsia="Arial Unicode MS"/>
          <w:lang w:eastAsia="hi-IN" w:bidi="hi-IN"/>
        </w:rPr>
        <w:t>:</w:t>
      </w:r>
      <w:r w:rsidR="00FE0B29" w:rsidRPr="00FE0B29">
        <w:rPr>
          <w:rFonts w:eastAsia="Arial Unicode MS"/>
          <w:vertAlign w:val="superscript"/>
          <w:lang w:val="en-IE" w:eastAsia="hi-IN" w:bidi="hi-IN"/>
        </w:rPr>
        <w:t xml:space="preserve"> </w:t>
      </w:r>
      <w:r w:rsidR="00FE0B29" w:rsidRPr="00EF4492">
        <w:rPr>
          <w:rFonts w:eastAsia="Arial Unicode MS"/>
          <w:vertAlign w:val="superscript"/>
          <w:lang w:val="en-IE" w:eastAsia="hi-IN" w:bidi="hi-IN"/>
        </w:rPr>
        <w:footnoteReference w:id="78"/>
      </w:r>
      <w:r w:rsidR="00FE0B29" w:rsidRPr="00EF4492">
        <w:rPr>
          <w:rFonts w:eastAsia="Arial Unicode MS"/>
          <w:lang w:eastAsia="hi-IN" w:bidi="hi-IN"/>
        </w:rPr>
        <w:t xml:space="preserve"> </w:t>
      </w:r>
      <w:r w:rsidR="002902BA" w:rsidRPr="00EF4492">
        <w:rPr>
          <w:rFonts w:eastAsia="Arial Unicode MS"/>
          <w:lang w:val="en-IE" w:eastAsia="hi-IN" w:bidi="hi-IN"/>
        </w:rPr>
        <w:t>The</w:t>
      </w:r>
      <w:r w:rsidRPr="00EF4492">
        <w:rPr>
          <w:rFonts w:eastAsia="Arial Unicode MS"/>
          <w:lang w:val="en-IE" w:eastAsia="hi-IN" w:bidi="hi-IN"/>
        </w:rPr>
        <w:t xml:space="preserve"> paucity of information about traffic management means that consumers</w:t>
      </w:r>
      <w:r w:rsidR="00FD05F6">
        <w:rPr>
          <w:rFonts w:eastAsia="Arial Unicode MS"/>
          <w:lang w:val="en-IE" w:eastAsia="hi-IN" w:bidi="hi-IN"/>
        </w:rPr>
        <w:t>’</w:t>
      </w:r>
      <w:r w:rsidRPr="00EF4492">
        <w:rPr>
          <w:rFonts w:eastAsia="Arial Unicode MS"/>
          <w:lang w:val="en-IE" w:eastAsia="hi-IN" w:bidi="hi-IN"/>
        </w:rPr>
        <w:t xml:space="preserve"> cannot chose a broadband service that is tailored to their needs. Consumers should be able to select a broadband services that is likely to provide their desired speeds at their desired times for their desired applications. </w:t>
      </w:r>
      <w:r w:rsidRPr="00EF4492">
        <w:rPr>
          <w:rFonts w:eastAsia="Arial Unicode MS"/>
          <w:lang w:eastAsia="hi-IN" w:bidi="hi-IN"/>
        </w:rPr>
        <w:t xml:space="preserve">For example, a financial advisor may need high-quality access to live stock data over a particular protocol, but </w:t>
      </w:r>
      <w:r w:rsidR="002151B6">
        <w:rPr>
          <w:rFonts w:eastAsia="Arial Unicode MS"/>
          <w:lang w:eastAsia="hi-IN" w:bidi="hi-IN"/>
        </w:rPr>
        <w:t xml:space="preserve">is unlikely </w:t>
      </w:r>
      <w:r w:rsidR="002902BA">
        <w:rPr>
          <w:rFonts w:eastAsia="Arial Unicode MS"/>
          <w:lang w:eastAsia="hi-IN" w:bidi="hi-IN"/>
        </w:rPr>
        <w:t xml:space="preserve">to </w:t>
      </w:r>
      <w:r w:rsidR="002902BA" w:rsidRPr="00EF4492">
        <w:rPr>
          <w:rFonts w:eastAsia="Arial Unicode MS"/>
          <w:lang w:eastAsia="hi-IN" w:bidi="hi-IN"/>
        </w:rPr>
        <w:t>care</w:t>
      </w:r>
      <w:r w:rsidRPr="00EF4492">
        <w:rPr>
          <w:rFonts w:eastAsia="Arial Unicode MS"/>
          <w:lang w:eastAsia="hi-IN" w:bidi="hi-IN"/>
        </w:rPr>
        <w:t xml:space="preserve"> if they have very slow SVOD services.</w:t>
      </w:r>
    </w:p>
    <w:p w14:paraId="795E47EF" w14:textId="09C49097" w:rsidR="00EF4492" w:rsidRPr="00EF4492" w:rsidRDefault="00EF4492" w:rsidP="00FE0B29">
      <w:pPr>
        <w:rPr>
          <w:rFonts w:eastAsia="Arial Unicode MS"/>
          <w:szCs w:val="24"/>
          <w:lang w:eastAsia="hi-IN" w:bidi="hi-IN"/>
        </w:rPr>
      </w:pPr>
      <w:r w:rsidRPr="00EF4492">
        <w:rPr>
          <w:rFonts w:eastAsia="Arial Unicode MS"/>
          <w:lang w:val="en-IE" w:eastAsia="hi-IN" w:bidi="hi-IN"/>
        </w:rPr>
        <w:t xml:space="preserve">Consumers need </w:t>
      </w:r>
      <w:r w:rsidRPr="00EF4492">
        <w:rPr>
          <w:rFonts w:eastAsia="Arial Unicode MS"/>
          <w:lang w:eastAsia="hi-IN" w:bidi="hi-IN"/>
        </w:rPr>
        <w:t>clear, transparent information about network traffic management before acquiring an internet service and throughout the life of the contract. Key industry participants agree that disclosure is both feasible and appropriate.</w:t>
      </w:r>
      <w:r w:rsidR="00FE0B29">
        <w:rPr>
          <w:rStyle w:val="FootnoteReference"/>
          <w:rFonts w:eastAsia="Arial Unicode MS"/>
          <w:lang w:eastAsia="hi-IN" w:bidi="hi-IN"/>
        </w:rPr>
        <w:footnoteReference w:id="79"/>
      </w:r>
    </w:p>
    <w:p w14:paraId="4478B9D5" w14:textId="53A9049B" w:rsidR="00EC7AB8" w:rsidRPr="00FE0B29" w:rsidRDefault="00EF4492" w:rsidP="00FE0B29">
      <w:pPr>
        <w:rPr>
          <w:rFonts w:eastAsia="Arial Unicode MS"/>
          <w:lang w:val="en-IE" w:eastAsia="hi-IN" w:bidi="hi-IN"/>
        </w:rPr>
      </w:pPr>
      <w:r w:rsidRPr="00EF4492">
        <w:rPr>
          <w:rFonts w:eastAsia="Arial Unicode MS"/>
          <w:lang w:eastAsia="hi-IN" w:bidi="hi-IN"/>
        </w:rPr>
        <w:t>In the UK, industry has developed a common information standard for outlining ISP traffic management practices</w:t>
      </w:r>
      <w:r w:rsidR="00EC7AB8">
        <w:rPr>
          <w:rFonts w:eastAsia="Arial Unicode MS"/>
          <w:lang w:eastAsia="hi-IN" w:bidi="hi-IN"/>
        </w:rPr>
        <w:t xml:space="preserve"> (see image below)</w:t>
      </w:r>
      <w:r w:rsidRPr="00EF4492">
        <w:rPr>
          <w:rFonts w:eastAsia="Arial Unicode MS"/>
          <w:lang w:eastAsia="hi-IN" w:bidi="hi-IN"/>
        </w:rPr>
        <w:t>.</w:t>
      </w:r>
      <w:r w:rsidRPr="00EF4492">
        <w:rPr>
          <w:rFonts w:eastAsia="Arial Unicode MS"/>
          <w:vertAlign w:val="superscript"/>
          <w:lang w:val="en-IE" w:eastAsia="hi-IN" w:bidi="hi-IN"/>
        </w:rPr>
        <w:footnoteReference w:id="80"/>
      </w:r>
      <w:r w:rsidRPr="00EF4492">
        <w:rPr>
          <w:rFonts w:eastAsia="Arial Unicode MS"/>
          <w:lang w:eastAsia="hi-IN" w:bidi="hi-IN"/>
        </w:rPr>
        <w:t xml:space="preserve"> ACCAN believes </w:t>
      </w:r>
      <w:r w:rsidR="00C06226">
        <w:rPr>
          <w:rFonts w:eastAsia="Arial Unicode MS"/>
          <w:lang w:eastAsia="hi-IN" w:bidi="hi-IN"/>
        </w:rPr>
        <w:t xml:space="preserve">there is merit in adopting </w:t>
      </w:r>
      <w:r w:rsidRPr="00EF4492">
        <w:rPr>
          <w:rFonts w:eastAsia="Arial Unicode MS"/>
          <w:lang w:eastAsia="hi-IN" w:bidi="hi-IN"/>
        </w:rPr>
        <w:t xml:space="preserve">a similar </w:t>
      </w:r>
      <w:r w:rsidR="002902BA" w:rsidRPr="00EF4492">
        <w:rPr>
          <w:rFonts w:eastAsia="Arial Unicode MS"/>
          <w:lang w:eastAsia="hi-IN" w:bidi="hi-IN"/>
        </w:rPr>
        <w:t>model in</w:t>
      </w:r>
      <w:r w:rsidRPr="00EF4492">
        <w:rPr>
          <w:rFonts w:eastAsia="Arial Unicode MS"/>
          <w:lang w:eastAsia="hi-IN" w:bidi="hi-IN"/>
        </w:rPr>
        <w:t xml:space="preserve"> Australia.  </w:t>
      </w:r>
      <w:r w:rsidRPr="00EF4492">
        <w:rPr>
          <w:rFonts w:eastAsia="Arial Unicode MS"/>
          <w:lang w:val="en-IE" w:eastAsia="hi-IN" w:bidi="hi-IN"/>
        </w:rPr>
        <w:t>In the US, there is also a requirement to disclose network management practices.</w:t>
      </w:r>
      <w:r w:rsidRPr="00EF4492">
        <w:rPr>
          <w:rFonts w:eastAsia="Arial Unicode MS"/>
          <w:vertAlign w:val="superscript"/>
          <w:lang w:val="en-IE" w:eastAsia="hi-IN" w:bidi="hi-IN"/>
        </w:rPr>
        <w:footnoteReference w:id="81"/>
      </w:r>
      <w:r w:rsidRPr="00EF4492">
        <w:rPr>
          <w:rFonts w:eastAsia="Arial Unicode MS"/>
          <w:lang w:val="en-IE" w:eastAsia="hi-IN" w:bidi="hi-IN"/>
        </w:rPr>
        <w:t xml:space="preserve"> Furthermore, service providers should be encouraged to sign onto standard operating approaches as provided in best practice documents</w:t>
      </w:r>
      <w:r w:rsidR="00EC7AB8">
        <w:rPr>
          <w:rFonts w:eastAsia="Arial Unicode MS"/>
          <w:lang w:val="en-IE" w:eastAsia="hi-IN" w:bidi="hi-IN"/>
        </w:rPr>
        <w:t>.</w:t>
      </w:r>
      <w:r w:rsidRPr="00EF4492">
        <w:rPr>
          <w:rFonts w:eastAsia="Arial Unicode MS"/>
          <w:vertAlign w:val="superscript"/>
          <w:lang w:val="en-IE" w:eastAsia="hi-IN" w:bidi="hi-IN"/>
        </w:rPr>
        <w:footnoteReference w:id="82"/>
      </w:r>
    </w:p>
    <w:p w14:paraId="128DC63E" w14:textId="0FA54DDE" w:rsidR="00EF4492" w:rsidRPr="006D50CA" w:rsidRDefault="00EC7AB8" w:rsidP="006D50CA">
      <w:pPr>
        <w:rPr>
          <w:rFonts w:eastAsia="Arial Unicode MS"/>
          <w:lang w:eastAsia="hi-IN" w:bidi="hi-IN"/>
        </w:rPr>
      </w:pPr>
      <w:r w:rsidRPr="00EF4492">
        <w:rPr>
          <w:rFonts w:eastAsia="Arial Unicode MS"/>
          <w:lang w:eastAsia="hi-IN" w:bidi="hi-IN"/>
        </w:rPr>
        <w:t>Given the overlapping issues between broadband speed and network congestion, it may be appropriate for the ACCC to require disclosure of network management procedures if it decides to introduce bro</w:t>
      </w:r>
      <w:r>
        <w:rPr>
          <w:rFonts w:eastAsia="Arial Unicode MS"/>
          <w:lang w:eastAsia="hi-IN" w:bidi="hi-IN"/>
        </w:rPr>
        <w:t xml:space="preserve">adband performance guidelines. </w:t>
      </w:r>
    </w:p>
    <w:p w14:paraId="63FB05EC" w14:textId="77777777" w:rsidR="00EF4492" w:rsidRPr="00EF4492" w:rsidRDefault="00EF4492" w:rsidP="006D50CA">
      <w:pPr>
        <w:pStyle w:val="Heading2"/>
        <w:rPr>
          <w:lang w:val="en-IE" w:bidi="hi-IN"/>
        </w:rPr>
      </w:pPr>
      <w:bookmarkStart w:id="41" w:name="_Toc465667624"/>
      <w:r w:rsidRPr="00EF4492">
        <w:rPr>
          <w:lang w:val="en-IE" w:bidi="hi-IN"/>
        </w:rPr>
        <w:lastRenderedPageBreak/>
        <w:t>Response to question 15:</w:t>
      </w:r>
      <w:bookmarkEnd w:id="41"/>
      <w:r w:rsidRPr="00EF4492">
        <w:rPr>
          <w:lang w:val="en-IE" w:bidi="hi-IN"/>
        </w:rPr>
        <w:t xml:space="preserve"> </w:t>
      </w:r>
    </w:p>
    <w:p w14:paraId="301F2C6E" w14:textId="77777777" w:rsidR="00EF4492" w:rsidRPr="00EF4492" w:rsidRDefault="00EF4492" w:rsidP="00EF4492">
      <w:pPr>
        <w:suppressAutoHyphens/>
        <w:spacing w:before="28" w:beforeAutospacing="0" w:after="28" w:afterAutospacing="0"/>
        <w:ind w:left="1418" w:right="1418"/>
        <w:rPr>
          <w:rFonts w:eastAsia="Arial Unicode MS" w:cs="font391"/>
          <w:kern w:val="1"/>
          <w:szCs w:val="24"/>
          <w:lang w:val="en-IE" w:eastAsia="hi-IN" w:bidi="hi-IN"/>
        </w:rPr>
      </w:pPr>
      <w:r w:rsidRPr="006D50CA">
        <w:rPr>
          <w:rStyle w:val="Blockquote2Char"/>
          <w:lang w:val="en-IE" w:eastAsia="hi-IN" w:bidi="hi-IN"/>
        </w:rPr>
        <w:t>Are there any barriers to the use of pricing signals to manage network demand? If so, please describe</w:t>
      </w:r>
      <w:r w:rsidRPr="00EF4492">
        <w:rPr>
          <w:rFonts w:eastAsia="Arial Unicode MS" w:cs="font391"/>
          <w:kern w:val="1"/>
          <w:szCs w:val="24"/>
          <w:lang w:val="en-IE" w:eastAsia="hi-IN" w:bidi="hi-IN"/>
        </w:rPr>
        <w:t>.</w:t>
      </w:r>
    </w:p>
    <w:p w14:paraId="6ACF4C09" w14:textId="52036B11" w:rsidR="00EF4492" w:rsidRPr="00EF4492" w:rsidRDefault="00EF4492" w:rsidP="00EC7AB8">
      <w:pPr>
        <w:rPr>
          <w:rFonts w:eastAsia="Arial Unicode MS"/>
          <w:lang w:val="en-IE" w:eastAsia="hi-IN" w:bidi="hi-IN"/>
        </w:rPr>
      </w:pPr>
      <w:r w:rsidRPr="00EF4492">
        <w:rPr>
          <w:rFonts w:eastAsia="Arial Unicode MS"/>
          <w:lang w:val="en-IE" w:eastAsia="hi-IN" w:bidi="hi-IN"/>
        </w:rPr>
        <w:t>Australian ISPs use price signals to manage network demand in some instances. For example, ISPs offer off-peak data allowances for use during the late-night and early morning periods.  One significant barrier</w:t>
      </w:r>
      <w:r w:rsidR="000F207C">
        <w:rPr>
          <w:rFonts w:eastAsia="Arial Unicode MS"/>
          <w:lang w:val="en-IE" w:eastAsia="hi-IN" w:bidi="hi-IN"/>
        </w:rPr>
        <w:t xml:space="preserve"> often cited by service providers</w:t>
      </w:r>
      <w:r w:rsidRPr="00EF4492">
        <w:rPr>
          <w:rFonts w:eastAsia="Arial Unicode MS"/>
          <w:lang w:val="en-IE" w:eastAsia="hi-IN" w:bidi="hi-IN"/>
        </w:rPr>
        <w:t xml:space="preserve"> to using pricing signals is the flexibility of billing systems. </w:t>
      </w:r>
    </w:p>
    <w:p w14:paraId="2DA4F28D" w14:textId="77777777" w:rsidR="00EF4492" w:rsidRPr="00EF4492" w:rsidRDefault="00EF4492" w:rsidP="00A4666D">
      <w:pPr>
        <w:pStyle w:val="Heading2"/>
        <w:rPr>
          <w:lang w:val="en-IE" w:bidi="hi-IN"/>
        </w:rPr>
      </w:pPr>
      <w:bookmarkStart w:id="42" w:name="_Toc465667625"/>
      <w:r w:rsidRPr="00EF4492">
        <w:rPr>
          <w:lang w:val="en-IE" w:bidi="hi-IN"/>
        </w:rPr>
        <w:t>Response to question 16:</w:t>
      </w:r>
      <w:bookmarkEnd w:id="42"/>
      <w:r w:rsidRPr="00EF4492">
        <w:rPr>
          <w:lang w:val="en-IE" w:bidi="hi-IN"/>
        </w:rPr>
        <w:t xml:space="preserve"> </w:t>
      </w:r>
    </w:p>
    <w:p w14:paraId="2BF9D9AD" w14:textId="77777777" w:rsidR="00EF4492" w:rsidRPr="00EF4492" w:rsidRDefault="00EF4492" w:rsidP="006D50CA">
      <w:pPr>
        <w:pStyle w:val="Blockquote2"/>
        <w:rPr>
          <w:rFonts w:eastAsia="Arial Unicode MS"/>
          <w:lang w:val="en-IE" w:bidi="hi-IN"/>
        </w:rPr>
      </w:pPr>
      <w:r w:rsidRPr="00EF4492">
        <w:rPr>
          <w:rFonts w:eastAsia="Arial Unicode MS"/>
          <w:lang w:val="en-IE" w:bidi="hi-IN"/>
        </w:rPr>
        <w:t>Do current data traffic management procedures impact on services, service quality and competition? If so, how can they benefit consumers? Can some applications be deprioritised with no perceptible impact for consumers?</w:t>
      </w:r>
    </w:p>
    <w:p w14:paraId="2B207C25" w14:textId="053D8201" w:rsidR="00EF4492" w:rsidRPr="00EF4492" w:rsidRDefault="00EF4492" w:rsidP="006D50CA">
      <w:pPr>
        <w:rPr>
          <w:rFonts w:eastAsia="Arial Unicode MS"/>
          <w:lang w:eastAsia="hi-IN" w:bidi="hi-IN"/>
        </w:rPr>
      </w:pPr>
      <w:r w:rsidRPr="00EF4492">
        <w:rPr>
          <w:rFonts w:eastAsia="Arial Unicode MS"/>
          <w:lang w:eastAsia="hi-IN" w:bidi="hi-IN"/>
        </w:rPr>
        <w:t xml:space="preserve">In our answer to question 13, we </w:t>
      </w:r>
      <w:r w:rsidR="00A24F89">
        <w:rPr>
          <w:rFonts w:eastAsia="Arial Unicode MS"/>
          <w:lang w:eastAsia="hi-IN" w:bidi="hi-IN"/>
        </w:rPr>
        <w:t xml:space="preserve">referred </w:t>
      </w:r>
      <w:r w:rsidR="002902BA">
        <w:rPr>
          <w:rFonts w:eastAsia="Arial Unicode MS"/>
          <w:lang w:eastAsia="hi-IN" w:bidi="hi-IN"/>
        </w:rPr>
        <w:t xml:space="preserve">to </w:t>
      </w:r>
      <w:r w:rsidR="002902BA" w:rsidRPr="00EF4492">
        <w:rPr>
          <w:rFonts w:eastAsia="Arial Unicode MS"/>
          <w:lang w:eastAsia="hi-IN" w:bidi="hi-IN"/>
        </w:rPr>
        <w:t>several</w:t>
      </w:r>
      <w:r w:rsidRPr="00EF4492">
        <w:rPr>
          <w:rFonts w:eastAsia="Arial Unicode MS"/>
          <w:lang w:eastAsia="hi-IN" w:bidi="hi-IN"/>
        </w:rPr>
        <w:t xml:space="preserve"> ISPs policies on network traffic management. Part of this traffic management involves prioritising ‘time sensitive traffic.’   Services that are time-sensitive include V</w:t>
      </w:r>
      <w:r w:rsidR="000F207C">
        <w:rPr>
          <w:rFonts w:eastAsia="Arial Unicode MS"/>
          <w:lang w:eastAsia="hi-IN" w:bidi="hi-IN"/>
        </w:rPr>
        <w:t>o</w:t>
      </w:r>
      <w:r w:rsidRPr="00EF4492">
        <w:rPr>
          <w:rFonts w:eastAsia="Arial Unicode MS"/>
          <w:lang w:eastAsia="hi-IN" w:bidi="hi-IN"/>
        </w:rPr>
        <w:t xml:space="preserve">IP, </w:t>
      </w:r>
      <w:r w:rsidR="000F207C">
        <w:rPr>
          <w:rFonts w:eastAsia="Arial Unicode MS"/>
          <w:lang w:eastAsia="hi-IN" w:bidi="hi-IN"/>
        </w:rPr>
        <w:t>financial trading, gaming and IP-TV streaming m</w:t>
      </w:r>
      <w:r w:rsidRPr="00EF4492">
        <w:rPr>
          <w:rFonts w:eastAsia="Arial Unicode MS"/>
          <w:lang w:eastAsia="hi-IN" w:bidi="hi-IN"/>
        </w:rPr>
        <w:t>ovie services.</w:t>
      </w:r>
      <w:r w:rsidRPr="00EF4492">
        <w:rPr>
          <w:rFonts w:eastAsia="Arial Unicode MS"/>
          <w:vertAlign w:val="superscript"/>
          <w:lang w:val="en-IE" w:eastAsia="hi-IN" w:bidi="hi-IN"/>
        </w:rPr>
        <w:footnoteReference w:id="83"/>
      </w:r>
      <w:r w:rsidRPr="00EF4492">
        <w:rPr>
          <w:rFonts w:eastAsia="Arial Unicode MS"/>
          <w:lang w:eastAsia="hi-IN" w:bidi="hi-IN"/>
        </w:rPr>
        <w:t xml:space="preserve"> Accordingly, these services are the most common current beneficiaries of traffic management procedures. Some applications can suffer a certain amount of packet loss while still providing a reasonable quality of service, while other applications will simply be un</w:t>
      </w:r>
      <w:r w:rsidR="000F207C">
        <w:rPr>
          <w:rFonts w:eastAsia="Arial Unicode MS"/>
          <w:lang w:eastAsia="hi-IN" w:bidi="hi-IN"/>
        </w:rPr>
        <w:t>usable</w:t>
      </w:r>
      <w:r w:rsidRPr="00EF4492">
        <w:rPr>
          <w:rFonts w:eastAsia="Arial Unicode MS"/>
          <w:lang w:eastAsia="hi-IN" w:bidi="hi-IN"/>
        </w:rPr>
        <w:t xml:space="preserve"> if there is more than a minor amount of packet loss. </w:t>
      </w:r>
    </w:p>
    <w:p w14:paraId="1847570F" w14:textId="77777777" w:rsidR="00EF4492" w:rsidRPr="00EF4492" w:rsidRDefault="00EF4492" w:rsidP="006D50CA">
      <w:pPr>
        <w:rPr>
          <w:rFonts w:eastAsia="Arial Unicode MS"/>
          <w:lang w:val="en-IE" w:eastAsia="hi-IN" w:bidi="hi-IN"/>
        </w:rPr>
      </w:pPr>
      <w:r w:rsidRPr="00EF4492">
        <w:rPr>
          <w:rFonts w:eastAsia="Arial Unicode MS"/>
          <w:lang w:val="en-IE" w:eastAsia="hi-IN" w:bidi="hi-IN"/>
        </w:rPr>
        <w:t>Some data traffic management procedures may benefit consumers. For example, many ISPs use packet compression technologies and content transcoding to provide content suited to the specific user’s device and the level of network congestion.</w:t>
      </w:r>
      <w:r w:rsidR="00217E01">
        <w:rPr>
          <w:rFonts w:eastAsia="Arial Unicode MS"/>
          <w:lang w:val="en-IE" w:eastAsia="hi-IN" w:bidi="hi-IN"/>
        </w:rPr>
        <w:t xml:space="preserve"> </w:t>
      </w:r>
      <w:r w:rsidRPr="00EF4492">
        <w:rPr>
          <w:rFonts w:eastAsia="Arial Unicode MS"/>
          <w:lang w:val="en-IE" w:eastAsia="hi-IN" w:bidi="hi-IN"/>
        </w:rPr>
        <w:t>This can be an effective way of reducing the bandwidth required for these popular types of traffic and reducing the likelihood of con</w:t>
      </w:r>
      <w:r w:rsidR="006D50CA">
        <w:rPr>
          <w:rFonts w:eastAsia="Arial Unicode MS"/>
          <w:lang w:val="en-IE" w:eastAsia="hi-IN" w:bidi="hi-IN"/>
        </w:rPr>
        <w:t xml:space="preserve">gestion in the first instance. </w:t>
      </w:r>
      <w:r w:rsidR="000F207C">
        <w:rPr>
          <w:rFonts w:eastAsia="Arial Unicode MS"/>
          <w:lang w:val="en-IE" w:eastAsia="hi-IN" w:bidi="hi-IN"/>
        </w:rPr>
        <w:t>Again, however, it is important that there are opt in and opt out mechanisms as substitution of a low resolution image for  a high resolution one may lower bandwidth utilization and be acceptable for casual browsing, but not acceptable for a professional photographer attempting to earn a living by the transfer of images.</w:t>
      </w:r>
    </w:p>
    <w:p w14:paraId="03E39619" w14:textId="77777777" w:rsidR="00EF4492" w:rsidRPr="00EF4492" w:rsidRDefault="00EF4492" w:rsidP="00A4666D">
      <w:pPr>
        <w:pStyle w:val="Heading2"/>
        <w:rPr>
          <w:lang w:val="en-IE" w:bidi="hi-IN"/>
        </w:rPr>
      </w:pPr>
      <w:bookmarkStart w:id="43" w:name="_Toc465667626"/>
      <w:r w:rsidRPr="00EF4492">
        <w:rPr>
          <w:lang w:val="en-IE" w:bidi="hi-IN"/>
        </w:rPr>
        <w:t>Response to question 17:</w:t>
      </w:r>
      <w:bookmarkEnd w:id="43"/>
      <w:r w:rsidRPr="00EF4492">
        <w:rPr>
          <w:lang w:val="en-IE" w:bidi="hi-IN"/>
        </w:rPr>
        <w:t xml:space="preserve"> </w:t>
      </w:r>
    </w:p>
    <w:p w14:paraId="4D01E0AC" w14:textId="77777777" w:rsidR="00EF4492" w:rsidRPr="00EF4492" w:rsidRDefault="00EF4492" w:rsidP="006D50CA">
      <w:pPr>
        <w:pStyle w:val="Blockquote2"/>
        <w:rPr>
          <w:rFonts w:eastAsia="Arial Unicode MS"/>
          <w:lang w:val="en-IE" w:bidi="hi-IN"/>
        </w:rPr>
      </w:pPr>
      <w:r w:rsidRPr="00EF4492">
        <w:rPr>
          <w:rFonts w:eastAsia="Arial Unicode MS"/>
          <w:lang w:val="en-IE" w:bidi="hi-IN"/>
        </w:rPr>
        <w:t>What traffic management procedures have the biggest impact on end-users and why?</w:t>
      </w:r>
    </w:p>
    <w:p w14:paraId="2E554F55" w14:textId="7A8AB2F9" w:rsidR="00EF4492" w:rsidRPr="00EF4492" w:rsidRDefault="00EF4492" w:rsidP="006D50CA">
      <w:pPr>
        <w:rPr>
          <w:rFonts w:eastAsia="Arial Unicode MS"/>
          <w:lang w:val="en-IE" w:eastAsia="hi-IN" w:bidi="hi-IN"/>
        </w:rPr>
      </w:pPr>
      <w:r w:rsidRPr="00EF4492">
        <w:rPr>
          <w:rFonts w:eastAsia="Arial Unicode MS"/>
          <w:lang w:val="en-IE" w:eastAsia="hi-IN" w:bidi="hi-IN"/>
        </w:rPr>
        <w:lastRenderedPageBreak/>
        <w:t>Blocking has the biggest impact on end-users and has no place in network traffic management (except where blocking is wholly consistent global recognized industry standards such as the Internet Engineering Task Force’s Best Current Practice Documents – examples include malware and spam blocking).</w:t>
      </w:r>
      <w:r w:rsidRPr="00EF4492">
        <w:rPr>
          <w:rFonts w:eastAsia="Arial Unicode MS"/>
          <w:vertAlign w:val="superscript"/>
          <w:lang w:val="en-IE" w:eastAsia="hi-IN" w:bidi="hi-IN"/>
        </w:rPr>
        <w:footnoteReference w:id="84"/>
      </w:r>
      <w:r w:rsidRPr="00EF4492">
        <w:rPr>
          <w:rFonts w:eastAsia="Arial Unicode MS"/>
          <w:lang w:val="en-IE" w:eastAsia="hi-IN" w:bidi="hi-IN"/>
        </w:rPr>
        <w:t xml:space="preserve"> For any other blocking, ACCAN </w:t>
      </w:r>
      <w:r w:rsidR="002902BA">
        <w:rPr>
          <w:rFonts w:eastAsia="Arial Unicode MS"/>
          <w:lang w:val="en-IE" w:eastAsia="hi-IN" w:bidi="hi-IN"/>
        </w:rPr>
        <w:t xml:space="preserve">has </w:t>
      </w:r>
      <w:r w:rsidR="002902BA" w:rsidRPr="00EF4492">
        <w:rPr>
          <w:rFonts w:eastAsia="Arial Unicode MS"/>
          <w:lang w:val="en-IE" w:eastAsia="hi-IN" w:bidi="hi-IN"/>
        </w:rPr>
        <w:t>advocated</w:t>
      </w:r>
      <w:r w:rsidRPr="00EF4492">
        <w:rPr>
          <w:rFonts w:eastAsia="Arial Unicode MS"/>
          <w:lang w:val="en-IE" w:eastAsia="hi-IN" w:bidi="hi-IN"/>
        </w:rPr>
        <w:t xml:space="preserve"> for rigorous regulatory mechanisms to protect consumers’ right of access to the wide range of innovative service</w:t>
      </w:r>
      <w:r w:rsidR="00A24F89">
        <w:rPr>
          <w:rFonts w:eastAsia="Arial Unicode MS"/>
          <w:lang w:val="en-IE" w:eastAsia="hi-IN" w:bidi="hi-IN"/>
        </w:rPr>
        <w:t>s</w:t>
      </w:r>
      <w:r w:rsidRPr="00EF4492">
        <w:rPr>
          <w:rFonts w:eastAsia="Arial Unicode MS"/>
          <w:lang w:val="en-IE" w:eastAsia="hi-IN" w:bidi="hi-IN"/>
        </w:rPr>
        <w:t xml:space="preserve"> on the Internet.  </w:t>
      </w:r>
    </w:p>
    <w:p w14:paraId="0AE0E238" w14:textId="7C0DDFDE" w:rsidR="006D50CA" w:rsidRDefault="00EF4492" w:rsidP="006D50CA">
      <w:pPr>
        <w:rPr>
          <w:rFonts w:eastAsia="Arial Unicode MS"/>
          <w:lang w:val="en-IE" w:eastAsia="hi-IN" w:bidi="hi-IN"/>
        </w:rPr>
      </w:pPr>
      <w:r w:rsidRPr="00EF4492">
        <w:rPr>
          <w:rFonts w:eastAsia="Arial Unicode MS"/>
          <w:lang w:val="en-IE" w:eastAsia="hi-IN" w:bidi="hi-IN"/>
        </w:rPr>
        <w:t xml:space="preserve">In Australia, many ISPs throttle all traffic if customers exceed data caps. </w:t>
      </w:r>
      <w:r w:rsidR="002902BA" w:rsidRPr="00EF4492">
        <w:rPr>
          <w:rFonts w:eastAsia="Arial Unicode MS"/>
          <w:lang w:val="en-IE" w:eastAsia="hi-IN" w:bidi="hi-IN"/>
        </w:rPr>
        <w:t>Of concern</w:t>
      </w:r>
      <w:r w:rsidRPr="00EF4492">
        <w:rPr>
          <w:rFonts w:eastAsia="Arial Unicode MS"/>
          <w:lang w:val="en-IE" w:eastAsia="hi-IN" w:bidi="hi-IN"/>
        </w:rPr>
        <w:t xml:space="preserve"> are consumers signing up to “unlimited” data plans, only to be told by their ISP that they breached a Fair Use/Acceptable Use or similar policy. Recently, an Australian ISP forced customers on unlimited data plans to change their plans during a contract because they were using too much data and allegedly reducing the performance of the network for the majority of users. </w:t>
      </w:r>
      <w:r w:rsidR="00217E01">
        <w:rPr>
          <w:rFonts w:eastAsia="Arial Unicode MS"/>
          <w:lang w:val="en-IE" w:eastAsia="hi-IN" w:bidi="hi-IN"/>
        </w:rPr>
        <w:t>I</w:t>
      </w:r>
      <w:r w:rsidRPr="00EF4492">
        <w:rPr>
          <w:rFonts w:eastAsia="Arial Unicode MS"/>
          <w:lang w:val="en-IE" w:eastAsia="hi-IN" w:bidi="hi-IN"/>
        </w:rPr>
        <w:t>n that case, the ACCC discovered the conduct and ordered the ISP to refund the difference in price between the new and old plans for the life of the contract.</w:t>
      </w:r>
      <w:r w:rsidRPr="00EF4492">
        <w:rPr>
          <w:rFonts w:eastAsia="Arial Unicode MS"/>
          <w:vertAlign w:val="superscript"/>
          <w:lang w:val="en-IE" w:eastAsia="hi-IN" w:bidi="hi-IN"/>
        </w:rPr>
        <w:footnoteReference w:id="85"/>
      </w:r>
      <w:r w:rsidR="006D50CA">
        <w:rPr>
          <w:rFonts w:eastAsia="Arial Unicode MS"/>
          <w:lang w:val="en-IE" w:eastAsia="hi-IN" w:bidi="hi-IN"/>
        </w:rPr>
        <w:t xml:space="preserve"> </w:t>
      </w:r>
    </w:p>
    <w:p w14:paraId="70534539" w14:textId="77777777" w:rsidR="00EF4492" w:rsidRPr="00EF4492" w:rsidRDefault="00EF4492" w:rsidP="006D50CA">
      <w:pPr>
        <w:rPr>
          <w:rFonts w:eastAsia="Arial Unicode MS"/>
          <w:lang w:val="en-IE" w:eastAsia="hi-IN" w:bidi="hi-IN"/>
        </w:rPr>
      </w:pPr>
      <w:r w:rsidRPr="00EF4492">
        <w:rPr>
          <w:rFonts w:eastAsia="Arial Unicode MS"/>
          <w:lang w:val="en-IE" w:eastAsia="hi-IN" w:bidi="hi-IN"/>
        </w:rPr>
        <w:t>ACCAN does not consider that paid prioritization is a legitimate form of network traffic management. We discuss this issue in ou</w:t>
      </w:r>
      <w:r w:rsidR="006D50CA">
        <w:rPr>
          <w:rFonts w:eastAsia="Arial Unicode MS"/>
          <w:lang w:val="en-IE" w:eastAsia="hi-IN" w:bidi="hi-IN"/>
        </w:rPr>
        <w:t>r answer to questions 9 and 12.</w:t>
      </w:r>
    </w:p>
    <w:p w14:paraId="45939577" w14:textId="77777777" w:rsidR="00EF4492" w:rsidRPr="00EF4492" w:rsidRDefault="00EF4492" w:rsidP="006D50CA">
      <w:pPr>
        <w:pStyle w:val="Heading2"/>
        <w:rPr>
          <w:lang w:val="en-IE" w:bidi="hi-IN"/>
        </w:rPr>
      </w:pPr>
      <w:bookmarkStart w:id="44" w:name="_Toc465667627"/>
      <w:r w:rsidRPr="00EF4492">
        <w:rPr>
          <w:lang w:val="en-IE" w:bidi="hi-IN"/>
        </w:rPr>
        <w:t>Response to question 18:</w:t>
      </w:r>
      <w:bookmarkEnd w:id="44"/>
      <w:r w:rsidRPr="00EF4492">
        <w:rPr>
          <w:lang w:val="en-IE" w:bidi="hi-IN"/>
        </w:rPr>
        <w:t xml:space="preserve"> </w:t>
      </w:r>
    </w:p>
    <w:p w14:paraId="49D9D683" w14:textId="77777777" w:rsidR="00EF4492" w:rsidRPr="00EF4492" w:rsidRDefault="00EF4492" w:rsidP="006D50CA">
      <w:pPr>
        <w:pStyle w:val="Blockquote2"/>
        <w:rPr>
          <w:rFonts w:eastAsia="Arial Unicode MS"/>
          <w:lang w:val="en-IE" w:bidi="hi-IN"/>
        </w:rPr>
      </w:pPr>
      <w:r w:rsidRPr="00EF4492">
        <w:rPr>
          <w:rFonts w:eastAsia="Arial Unicode MS"/>
          <w:lang w:val="en-IE" w:bidi="hi-IN"/>
        </w:rPr>
        <w:t>Are there any other strategies that could be used to deal with congestion issues, particularly if network congestion worsens in the future? If so, please describe.</w:t>
      </w:r>
    </w:p>
    <w:p w14:paraId="438BC79B" w14:textId="2CB711BB" w:rsidR="00EF4492" w:rsidRPr="00EF4492" w:rsidRDefault="00EF4492" w:rsidP="006D50CA">
      <w:pPr>
        <w:rPr>
          <w:rFonts w:eastAsia="Arial Unicode MS"/>
          <w:lang w:val="en-IE" w:eastAsia="hi-IN" w:bidi="hi-IN"/>
        </w:rPr>
      </w:pPr>
      <w:r w:rsidRPr="00EF4492">
        <w:rPr>
          <w:rFonts w:eastAsia="Arial Unicode MS"/>
          <w:lang w:val="en-IE" w:eastAsia="hi-IN" w:bidi="hi-IN"/>
        </w:rPr>
        <w:t>Network congestion is predicted to increase as a result of increased demand for data. Estimates show that total busy hour internet traffic wil</w:t>
      </w:r>
      <w:r w:rsidR="000F207C">
        <w:rPr>
          <w:rFonts w:eastAsia="Arial Unicode MS"/>
          <w:lang w:val="en-IE" w:eastAsia="hi-IN" w:bidi="hi-IN"/>
        </w:rPr>
        <w:t>l grow over four</w:t>
      </w:r>
      <w:r w:rsidRPr="00EF4492">
        <w:rPr>
          <w:rFonts w:eastAsia="Arial Unicode MS"/>
          <w:lang w:val="en-IE" w:eastAsia="hi-IN" w:bidi="hi-IN"/>
        </w:rPr>
        <w:t xml:space="preserve"> times between 2015 and 2020.</w:t>
      </w:r>
      <w:r w:rsidRPr="00EF4492">
        <w:rPr>
          <w:rFonts w:eastAsia="Arial Unicode MS"/>
          <w:vertAlign w:val="superscript"/>
          <w:lang w:val="en-IE" w:eastAsia="hi-IN" w:bidi="hi-IN"/>
        </w:rPr>
        <w:footnoteReference w:id="86"/>
      </w:r>
      <w:r w:rsidRPr="00EF4492">
        <w:rPr>
          <w:rFonts w:eastAsia="Arial Unicode MS"/>
          <w:lang w:val="en-IE" w:eastAsia="hi-IN" w:bidi="hi-IN"/>
        </w:rPr>
        <w:t xml:space="preserve"> ACCAN notes the ACCC’s consultation about broadband performance and believes more transparency about actual </w:t>
      </w:r>
      <w:r w:rsidR="000F207C">
        <w:rPr>
          <w:rFonts w:eastAsia="Arial Unicode MS"/>
          <w:lang w:val="en-IE" w:eastAsia="hi-IN" w:bidi="hi-IN"/>
        </w:rPr>
        <w:t>service performance</w:t>
      </w:r>
      <w:r w:rsidRPr="00EF4492">
        <w:rPr>
          <w:rFonts w:eastAsia="Arial Unicode MS"/>
          <w:lang w:val="en-IE" w:eastAsia="hi-IN" w:bidi="hi-IN"/>
        </w:rPr>
        <w:t xml:space="preserve"> will allow ISPs to </w:t>
      </w:r>
      <w:r w:rsidR="000F207C">
        <w:rPr>
          <w:rFonts w:eastAsia="Arial Unicode MS"/>
          <w:lang w:val="en-IE" w:eastAsia="hi-IN" w:bidi="hi-IN"/>
        </w:rPr>
        <w:t>openly point to future investment when</w:t>
      </w:r>
      <w:r w:rsidRPr="00EF4492">
        <w:rPr>
          <w:rFonts w:eastAsia="Arial Unicode MS"/>
          <w:lang w:val="en-IE" w:eastAsia="hi-IN" w:bidi="hi-IN"/>
        </w:rPr>
        <w:t xml:space="preserve"> required. While no ISP can provide ample bandwidth for every customer</w:t>
      </w:r>
      <w:r w:rsidR="000F207C">
        <w:rPr>
          <w:rFonts w:eastAsia="Arial Unicode MS"/>
          <w:lang w:val="en-IE" w:eastAsia="hi-IN" w:bidi="hi-IN"/>
        </w:rPr>
        <w:t xml:space="preserve"> link to sit at maximum utilization at all times, </w:t>
      </w:r>
      <w:r w:rsidRPr="00EF4492">
        <w:rPr>
          <w:rFonts w:eastAsia="Arial Unicode MS"/>
          <w:lang w:val="en-IE" w:eastAsia="hi-IN" w:bidi="hi-IN"/>
        </w:rPr>
        <w:t xml:space="preserve">a good ISP </w:t>
      </w:r>
      <w:r w:rsidR="000F207C">
        <w:rPr>
          <w:rFonts w:eastAsia="Arial Unicode MS"/>
          <w:lang w:val="en-IE" w:eastAsia="hi-IN" w:bidi="hi-IN"/>
        </w:rPr>
        <w:t>builds</w:t>
      </w:r>
      <w:r w:rsidRPr="00EF4492">
        <w:rPr>
          <w:rFonts w:eastAsia="Arial Unicode MS"/>
          <w:lang w:val="en-IE" w:eastAsia="hi-IN" w:bidi="hi-IN"/>
        </w:rPr>
        <w:t xml:space="preserve"> their network so that it can provide adequate </w:t>
      </w:r>
      <w:r w:rsidR="000F207C">
        <w:rPr>
          <w:rFonts w:eastAsia="Arial Unicode MS"/>
          <w:lang w:val="en-IE" w:eastAsia="hi-IN" w:bidi="hi-IN"/>
        </w:rPr>
        <w:t>throughput</w:t>
      </w:r>
      <w:r w:rsidRPr="00EF4492">
        <w:rPr>
          <w:rFonts w:eastAsia="Arial Unicode MS"/>
          <w:lang w:val="en-IE" w:eastAsia="hi-IN" w:bidi="hi-IN"/>
        </w:rPr>
        <w:t xml:space="preserve"> even during peaks of demand.</w:t>
      </w:r>
      <w:r w:rsidRPr="00EF4492">
        <w:rPr>
          <w:rFonts w:eastAsia="Arial Unicode MS"/>
          <w:vertAlign w:val="superscript"/>
          <w:lang w:val="en-IE" w:eastAsia="hi-IN" w:bidi="hi-IN"/>
        </w:rPr>
        <w:footnoteReference w:id="87"/>
      </w:r>
      <w:r w:rsidR="006D50CA">
        <w:rPr>
          <w:rFonts w:eastAsia="Arial Unicode MS"/>
          <w:lang w:val="en-IE" w:eastAsia="hi-IN" w:bidi="hi-IN"/>
        </w:rPr>
        <w:t xml:space="preserve"> </w:t>
      </w:r>
    </w:p>
    <w:p w14:paraId="64754D63" w14:textId="77777777" w:rsidR="00EF4492" w:rsidRPr="00EF4492" w:rsidRDefault="00EF4492" w:rsidP="006D50CA">
      <w:pPr>
        <w:pStyle w:val="Heading2"/>
        <w:rPr>
          <w:lang w:val="en-IE" w:bidi="hi-IN"/>
        </w:rPr>
      </w:pPr>
      <w:bookmarkStart w:id="45" w:name="_Toc465667628"/>
      <w:r w:rsidRPr="00EF4492">
        <w:rPr>
          <w:lang w:val="en-IE" w:bidi="hi-IN"/>
        </w:rPr>
        <w:t>Response to question 19:</w:t>
      </w:r>
      <w:bookmarkEnd w:id="45"/>
      <w:r w:rsidRPr="00EF4492">
        <w:rPr>
          <w:lang w:val="en-IE" w:bidi="hi-IN"/>
        </w:rPr>
        <w:t xml:space="preserve"> </w:t>
      </w:r>
    </w:p>
    <w:p w14:paraId="0326C521" w14:textId="77777777" w:rsidR="00EF4492" w:rsidRPr="00EF4492" w:rsidRDefault="00EF4492" w:rsidP="006D50CA">
      <w:pPr>
        <w:pStyle w:val="Blockquote2"/>
        <w:rPr>
          <w:rFonts w:eastAsia="Arial Unicode MS"/>
          <w:lang w:val="en-IE" w:bidi="hi-IN"/>
        </w:rPr>
      </w:pPr>
      <w:r w:rsidRPr="00EF4492">
        <w:rPr>
          <w:rFonts w:eastAsia="Arial Unicode MS"/>
          <w:lang w:val="en-IE" w:bidi="hi-IN"/>
        </w:rPr>
        <w:t>Are there any trends emerging from the adoption of IoT and M2M technologies that could materially impact the communications sector in Australia?</w:t>
      </w:r>
    </w:p>
    <w:p w14:paraId="016547A0" w14:textId="77777777" w:rsidR="00EF4492" w:rsidRPr="00EF4492" w:rsidRDefault="00EF4492" w:rsidP="006D50CA">
      <w:pPr>
        <w:rPr>
          <w:rFonts w:eastAsia="Arial Unicode MS"/>
          <w:lang w:val="en-IE" w:eastAsia="hi-IN" w:bidi="hi-IN"/>
        </w:rPr>
      </w:pPr>
      <w:r w:rsidRPr="00EF4492">
        <w:rPr>
          <w:rFonts w:eastAsia="Arial Unicode MS"/>
          <w:lang w:val="en-IE" w:eastAsia="hi-IN" w:bidi="hi-IN"/>
        </w:rPr>
        <w:lastRenderedPageBreak/>
        <w:t>Most IoT devices are reliant on an underlying service offered by the device manufacturer for continued operation. A consumer’s ongoing enjoyment of these products often depends on paying a subscription fee to use the product they have ‘purchased’. Recently it was revealed that Revolv (owned by Google) hardware would no longer be supported after June 19, 2016.</w:t>
      </w:r>
      <w:r w:rsidRPr="00EF4492">
        <w:rPr>
          <w:rFonts w:eastAsia="Arial Unicode MS"/>
          <w:vertAlign w:val="superscript"/>
          <w:lang w:val="en-IE" w:eastAsia="hi-IN" w:bidi="hi-IN"/>
        </w:rPr>
        <w:footnoteReference w:id="88"/>
      </w:r>
      <w:r w:rsidRPr="00EF4492">
        <w:rPr>
          <w:rFonts w:eastAsia="Arial Unicode MS"/>
          <w:lang w:val="en-IE" w:eastAsia="hi-IN" w:bidi="hi-IN"/>
        </w:rPr>
        <w:t xml:space="preserve"> Consumers who had spent thousands of dollars on hardware to create smart homes were left with useless hardware and were offered no compensation for this loss.</w:t>
      </w:r>
    </w:p>
    <w:p w14:paraId="4247FB44" w14:textId="791DD33E" w:rsidR="00EF4492" w:rsidRPr="00EF4492" w:rsidRDefault="00EF4492" w:rsidP="006D50CA">
      <w:pPr>
        <w:rPr>
          <w:rFonts w:eastAsia="Arial Unicode MS"/>
          <w:lang w:val="en-IE" w:eastAsia="hi-IN" w:bidi="hi-IN"/>
        </w:rPr>
      </w:pPr>
      <w:r w:rsidRPr="00EF4492">
        <w:rPr>
          <w:rFonts w:eastAsia="Arial Unicode MS"/>
          <w:lang w:val="en-IE" w:eastAsia="hi-IN" w:bidi="hi-IN"/>
        </w:rPr>
        <w:t>In the future, these devices could be bundled together with mobile and</w:t>
      </w:r>
      <w:r w:rsidR="008864B4">
        <w:rPr>
          <w:rFonts w:eastAsia="Arial Unicode MS"/>
          <w:lang w:val="en-IE" w:eastAsia="hi-IN" w:bidi="hi-IN"/>
        </w:rPr>
        <w:t xml:space="preserve"> fixed-line broadband products.</w:t>
      </w:r>
      <w:r w:rsidRPr="00EF4492">
        <w:rPr>
          <w:rFonts w:eastAsia="Arial Unicode MS"/>
          <w:lang w:val="en-IE" w:eastAsia="hi-IN" w:bidi="hi-IN"/>
        </w:rPr>
        <w:t xml:space="preserve"> In the event that these products are discontinued, there is no redress for the consumer who has chosen the bundle based on price and included features. Interoperability issues may also pose a threat to competition in IoT goods and services in Australia. Apple and Google have both introduced separate incompatible standards for IoT home devices.</w:t>
      </w:r>
      <w:r w:rsidRPr="00EF4492">
        <w:rPr>
          <w:rFonts w:eastAsia="Arial Unicode MS"/>
          <w:vertAlign w:val="superscript"/>
          <w:lang w:val="en-IE" w:eastAsia="hi-IN" w:bidi="hi-IN"/>
        </w:rPr>
        <w:footnoteReference w:id="89"/>
      </w:r>
      <w:r w:rsidR="00217E01">
        <w:rPr>
          <w:rFonts w:eastAsia="Arial Unicode MS"/>
          <w:lang w:val="en-IE" w:eastAsia="hi-IN" w:bidi="hi-IN"/>
        </w:rPr>
        <w:t xml:space="preserve"> </w:t>
      </w:r>
      <w:r w:rsidRPr="00EF4492">
        <w:rPr>
          <w:rFonts w:eastAsia="Arial Unicode MS"/>
          <w:lang w:val="en-IE" w:eastAsia="hi-IN" w:bidi="hi-IN"/>
        </w:rPr>
        <w:t xml:space="preserve">It is not yet clear if Apple and Google have entered into arrangements with IoT device manufacturers to ensure that they are exclusive to the Apple or Google platform and cannot </w:t>
      </w:r>
      <w:r w:rsidR="00217E01">
        <w:rPr>
          <w:rFonts w:eastAsia="Arial Unicode MS"/>
          <w:lang w:val="en-IE" w:eastAsia="hi-IN" w:bidi="hi-IN"/>
        </w:rPr>
        <w:t xml:space="preserve">be used on competing platforms. </w:t>
      </w:r>
      <w:r w:rsidRPr="00EF4492">
        <w:rPr>
          <w:rFonts w:eastAsia="Arial Unicode MS"/>
          <w:lang w:val="en-IE" w:eastAsia="hi-IN" w:bidi="hi-IN"/>
        </w:rPr>
        <w:t xml:space="preserve">The ACCC should closely monitor this area. </w:t>
      </w:r>
    </w:p>
    <w:p w14:paraId="5E7F4125" w14:textId="62DF7D41" w:rsidR="00EF4492" w:rsidRPr="00EF4492" w:rsidRDefault="00EF4492" w:rsidP="006D50CA">
      <w:pPr>
        <w:rPr>
          <w:rFonts w:eastAsia="Arial Unicode MS"/>
          <w:lang w:val="en-IE" w:eastAsia="hi-IN" w:bidi="hi-IN"/>
        </w:rPr>
      </w:pPr>
      <w:r w:rsidRPr="00EF4492">
        <w:rPr>
          <w:rFonts w:eastAsia="Arial Unicode MS"/>
          <w:lang w:val="en-IE" w:eastAsia="hi-IN" w:bidi="hi-IN"/>
        </w:rPr>
        <w:t>Recent events have also shown IoT devices to be woefully insecure</w:t>
      </w:r>
      <w:r w:rsidR="00217E01">
        <w:rPr>
          <w:rFonts w:eastAsia="Arial Unicode MS"/>
          <w:lang w:val="en-IE" w:eastAsia="hi-IN" w:bidi="hi-IN"/>
        </w:rPr>
        <w:t>.</w:t>
      </w:r>
      <w:r w:rsidRPr="00EF4492">
        <w:rPr>
          <w:rFonts w:eastAsia="Arial Unicode MS"/>
          <w:vertAlign w:val="superscript"/>
          <w:lang w:val="en-IE" w:eastAsia="hi-IN" w:bidi="hi-IN"/>
        </w:rPr>
        <w:footnoteReference w:id="90"/>
      </w:r>
      <w:r w:rsidRPr="00EF4492">
        <w:rPr>
          <w:rFonts w:eastAsia="Arial Unicode MS"/>
          <w:lang w:val="en-IE" w:eastAsia="hi-IN" w:bidi="hi-IN"/>
        </w:rPr>
        <w:t xml:space="preserve"> It is arguable that many of these products are not fit for service and may cause a range of cybersecurity problems for consumers from minor inconvenience, such as having to reinstall software or minor increases in traffic use (and therefore charges), through to significant identity fraud or theft. The responsibility for ensuring that these devices are secure for normal, expected operation has been left to consumers, however </w:t>
      </w:r>
      <w:r w:rsidR="00EB3C67">
        <w:rPr>
          <w:rFonts w:eastAsia="Arial Unicode MS"/>
          <w:lang w:val="en-IE" w:eastAsia="hi-IN" w:bidi="hi-IN"/>
        </w:rPr>
        <w:t xml:space="preserve">there may be a role for </w:t>
      </w:r>
      <w:r w:rsidRPr="00EF4492">
        <w:rPr>
          <w:rFonts w:eastAsia="Arial Unicode MS"/>
          <w:lang w:val="en-IE" w:eastAsia="hi-IN" w:bidi="hi-IN"/>
        </w:rPr>
        <w:t xml:space="preserve"> the ACCC to consider whether this responsibility is fair and reasonable.</w:t>
      </w:r>
    </w:p>
    <w:p w14:paraId="52F31E14" w14:textId="77777777" w:rsidR="00EF4492" w:rsidRPr="00EF4492" w:rsidRDefault="00EF4492" w:rsidP="006D50CA">
      <w:pPr>
        <w:rPr>
          <w:rFonts w:eastAsia="Arial Unicode MS"/>
          <w:lang w:val="en-IE" w:eastAsia="hi-IN" w:bidi="hi-IN"/>
        </w:rPr>
      </w:pPr>
      <w:r w:rsidRPr="00EF4492">
        <w:rPr>
          <w:rFonts w:eastAsia="Arial Unicode MS"/>
          <w:lang w:val="en-IE" w:eastAsia="hi-IN" w:bidi="hi-IN"/>
        </w:rPr>
        <w:t>It is arguable that there is existing unrecognized liability from network termination equipment (home gateways) already in the broadband access market. Retail ISPs and consumer electronics stores often supply and ship network access equipment without changes to default passwords</w:t>
      </w:r>
      <w:r w:rsidR="00217E01">
        <w:rPr>
          <w:rFonts w:eastAsia="Arial Unicode MS"/>
          <w:lang w:val="en-IE" w:eastAsia="hi-IN" w:bidi="hi-IN"/>
        </w:rPr>
        <w:t>.</w:t>
      </w:r>
      <w:r w:rsidRPr="00EF4492">
        <w:rPr>
          <w:rFonts w:eastAsia="Arial Unicode MS"/>
          <w:vertAlign w:val="superscript"/>
          <w:lang w:val="en-IE" w:eastAsia="hi-IN" w:bidi="hi-IN"/>
        </w:rPr>
        <w:footnoteReference w:id="91"/>
      </w:r>
      <w:r w:rsidRPr="00EF4492">
        <w:rPr>
          <w:rFonts w:eastAsia="Arial Unicode MS"/>
          <w:lang w:val="en-IE" w:eastAsia="hi-IN" w:bidi="hi-IN"/>
        </w:rPr>
        <w:t xml:space="preserve"> Where this is the case there is the potential for serious harm to both the consumer purchasing the service and to other consumers connected to both the retail provider’s network and the Internet more broadly</w:t>
      </w:r>
      <w:r w:rsidR="00217E01">
        <w:rPr>
          <w:rFonts w:eastAsia="Arial Unicode MS"/>
          <w:lang w:val="en-IE" w:eastAsia="hi-IN" w:bidi="hi-IN"/>
        </w:rPr>
        <w:t>.</w:t>
      </w:r>
      <w:r w:rsidRPr="00EF4492">
        <w:rPr>
          <w:rFonts w:eastAsia="Arial Unicode MS"/>
          <w:vertAlign w:val="superscript"/>
          <w:lang w:val="en-IE" w:eastAsia="hi-IN" w:bidi="hi-IN"/>
        </w:rPr>
        <w:footnoteReference w:id="92"/>
      </w:r>
    </w:p>
    <w:p w14:paraId="53D5C5D9" w14:textId="77777777" w:rsidR="00EF4492" w:rsidRPr="00EF4492" w:rsidRDefault="00EF4492" w:rsidP="006D50CA">
      <w:pPr>
        <w:pStyle w:val="Heading2"/>
        <w:rPr>
          <w:lang w:val="en-IE" w:bidi="hi-IN"/>
        </w:rPr>
      </w:pPr>
      <w:bookmarkStart w:id="46" w:name="_Toc465667629"/>
      <w:r w:rsidRPr="00EF4492">
        <w:rPr>
          <w:lang w:val="en-IE" w:bidi="hi-IN"/>
        </w:rPr>
        <w:t>Response to question 20:</w:t>
      </w:r>
      <w:bookmarkEnd w:id="46"/>
      <w:r w:rsidRPr="00EF4492">
        <w:rPr>
          <w:lang w:val="en-IE" w:bidi="hi-IN"/>
        </w:rPr>
        <w:t xml:space="preserve"> </w:t>
      </w:r>
    </w:p>
    <w:p w14:paraId="4B13F4D7" w14:textId="77777777" w:rsidR="00EF4492" w:rsidRPr="00EF4492" w:rsidRDefault="00EF4492" w:rsidP="006D50CA">
      <w:pPr>
        <w:pStyle w:val="Blockquote2"/>
        <w:rPr>
          <w:rFonts w:eastAsia="Arial Unicode MS"/>
          <w:lang w:val="en-IE" w:bidi="hi-IN"/>
        </w:rPr>
      </w:pPr>
      <w:r w:rsidRPr="00EF4492">
        <w:rPr>
          <w:rFonts w:eastAsia="Arial Unicode MS"/>
          <w:lang w:val="en-IE" w:bidi="hi-IN"/>
        </w:rPr>
        <w:t xml:space="preserve">Is the emergence of IoT and/or M2M changing the nature of competition in the provision of communication equipment and/or services? </w:t>
      </w:r>
      <w:proofErr w:type="gramStart"/>
      <w:r w:rsidRPr="00EF4492">
        <w:rPr>
          <w:rFonts w:eastAsia="Arial Unicode MS"/>
          <w:lang w:val="en-IE" w:bidi="hi-IN"/>
        </w:rPr>
        <w:t>If so, how?</w:t>
      </w:r>
      <w:proofErr w:type="gramEnd"/>
      <w:r w:rsidRPr="00EF4492">
        <w:rPr>
          <w:rFonts w:eastAsia="Arial Unicode MS"/>
          <w:lang w:val="en-IE" w:bidi="hi-IN"/>
        </w:rPr>
        <w:t xml:space="preserve"> Are these developments likely to have </w:t>
      </w:r>
      <w:r w:rsidRPr="00EF4492">
        <w:rPr>
          <w:rFonts w:eastAsia="Arial Unicode MS"/>
          <w:lang w:val="en-IE" w:bidi="hi-IN"/>
        </w:rPr>
        <w:lastRenderedPageBreak/>
        <w:t xml:space="preserve">significant implications for market structures, supply chains and business models? </w:t>
      </w:r>
      <w:proofErr w:type="gramStart"/>
      <w:r w:rsidRPr="00EF4492">
        <w:rPr>
          <w:rFonts w:eastAsia="Arial Unicode MS"/>
          <w:lang w:val="en-IE" w:bidi="hi-IN"/>
        </w:rPr>
        <w:t>If so, how?</w:t>
      </w:r>
      <w:proofErr w:type="gramEnd"/>
    </w:p>
    <w:p w14:paraId="57A4C23B" w14:textId="77777777" w:rsidR="00EF4492" w:rsidRPr="00EF4492" w:rsidRDefault="00EF4492" w:rsidP="006D50CA">
      <w:pPr>
        <w:rPr>
          <w:rFonts w:eastAsia="Arial Unicode MS"/>
          <w:lang w:val="en-IE" w:eastAsia="hi-IN" w:bidi="hi-IN"/>
        </w:rPr>
      </w:pPr>
      <w:r w:rsidRPr="00EF4492">
        <w:rPr>
          <w:rFonts w:eastAsia="Arial Unicode MS"/>
          <w:lang w:val="en-IE" w:eastAsia="hi-IN" w:bidi="hi-IN"/>
        </w:rPr>
        <w:t>By 2021, Telstra predicts that the IoT “at home” market is could be at least $1 billion,</w:t>
      </w:r>
      <w:r w:rsidRPr="00EF4492">
        <w:rPr>
          <w:rFonts w:eastAsia="Arial Unicode MS"/>
          <w:vertAlign w:val="superscript"/>
          <w:lang w:val="en-IE" w:eastAsia="hi-IN" w:bidi="hi-IN"/>
        </w:rPr>
        <w:footnoteReference w:id="93"/>
      </w:r>
      <w:r w:rsidRPr="00EF4492">
        <w:rPr>
          <w:rFonts w:eastAsia="Arial Unicode MS"/>
          <w:lang w:val="en-IE" w:eastAsia="hi-IN" w:bidi="hi-IN"/>
        </w:rPr>
        <w:t xml:space="preserve"> with another estimate reaching as high as $3.2 billion.</w:t>
      </w:r>
      <w:r w:rsidRPr="00EF4492">
        <w:rPr>
          <w:rFonts w:eastAsia="Arial Unicode MS"/>
          <w:vertAlign w:val="superscript"/>
          <w:lang w:val="en-IE" w:eastAsia="hi-IN" w:bidi="hi-IN"/>
        </w:rPr>
        <w:footnoteReference w:id="94"/>
      </w:r>
      <w:r w:rsidRPr="00EF4492">
        <w:rPr>
          <w:rFonts w:eastAsia="Arial Unicode MS"/>
          <w:lang w:val="en-IE" w:eastAsia="hi-IN" w:bidi="hi-IN"/>
        </w:rPr>
        <w:t xml:space="preserve"> By the end of 2016, Telstra will introduce two IoT </w:t>
      </w:r>
      <w:proofErr w:type="spellStart"/>
      <w:r w:rsidRPr="00EF4492">
        <w:rPr>
          <w:rFonts w:eastAsia="Arial Unicode MS"/>
          <w:lang w:val="en-IE" w:eastAsia="hi-IN" w:bidi="hi-IN"/>
        </w:rPr>
        <w:t>SmartHome</w:t>
      </w:r>
      <w:proofErr w:type="spellEnd"/>
      <w:r w:rsidRPr="00EF4492">
        <w:rPr>
          <w:rFonts w:eastAsia="Arial Unicode MS"/>
          <w:lang w:val="en-IE" w:eastAsia="hi-IN" w:bidi="hi-IN"/>
        </w:rPr>
        <w:t xml:space="preserve"> packages. One package will offer home security goods and services and the second will offer solutions for smart energy usage.</w:t>
      </w:r>
      <w:r w:rsidRPr="00EF4492">
        <w:rPr>
          <w:rFonts w:eastAsia="Arial Unicode MS"/>
          <w:vertAlign w:val="superscript"/>
          <w:lang w:val="en-IE" w:eastAsia="hi-IN" w:bidi="hi-IN"/>
        </w:rPr>
        <w:footnoteReference w:id="95"/>
      </w:r>
      <w:r w:rsidRPr="00EF4492">
        <w:rPr>
          <w:rFonts w:eastAsia="Arial Unicode MS"/>
          <w:lang w:val="en-IE" w:eastAsia="hi-IN" w:bidi="hi-IN"/>
        </w:rPr>
        <w:t xml:space="preserve">  It is possible that other carriers will follow suit by providing similar services. </w:t>
      </w:r>
    </w:p>
    <w:p w14:paraId="5F24E7F3" w14:textId="5E2E0CDB" w:rsidR="00EF4492" w:rsidRPr="00EF4492" w:rsidRDefault="00EF4492" w:rsidP="006D50CA">
      <w:pPr>
        <w:rPr>
          <w:rFonts w:eastAsia="Arial Unicode MS"/>
          <w:lang w:val="en-IE" w:eastAsia="hi-IN" w:bidi="hi-IN"/>
        </w:rPr>
      </w:pPr>
      <w:r w:rsidRPr="00EF4492">
        <w:rPr>
          <w:rFonts w:eastAsia="Arial Unicode MS"/>
          <w:lang w:val="en-IE" w:eastAsia="hi-IN" w:bidi="hi-IN"/>
        </w:rPr>
        <w:t>It is too early to tell if distribution arrangements between carriers, phone and consumption devices manufacturers, and IoT device manufacturers will affect competition in the provision of communications equipment and services</w:t>
      </w:r>
      <w:r w:rsidR="002902BA" w:rsidRPr="00EF4492">
        <w:rPr>
          <w:rFonts w:eastAsia="Arial Unicode MS"/>
          <w:lang w:val="en-IE" w:eastAsia="hi-IN" w:bidi="hi-IN"/>
        </w:rPr>
        <w:t>.</w:t>
      </w:r>
      <w:r w:rsidRPr="00EF4492">
        <w:rPr>
          <w:rFonts w:eastAsia="Arial Unicode MS"/>
          <w:lang w:val="en-IE" w:eastAsia="hi-IN" w:bidi="hi-IN"/>
        </w:rPr>
        <w:t xml:space="preserve"> IoT will also have a substantial effect in the industrial and commercial sectors, allowing businesses to use sensors to track the location, quality and other characteristics throughout the supply chain. Many of ACCAN’s members are small businesses who are likely to use IoT devices for these purposes.  The</w:t>
      </w:r>
      <w:r w:rsidR="00EB3C67">
        <w:rPr>
          <w:rFonts w:eastAsia="Arial Unicode MS"/>
          <w:lang w:val="en-IE" w:eastAsia="hi-IN" w:bidi="hi-IN"/>
        </w:rPr>
        <w:t xml:space="preserve">re may be a need for </w:t>
      </w:r>
      <w:r w:rsidR="007B22ED">
        <w:rPr>
          <w:rFonts w:eastAsia="Arial Unicode MS"/>
          <w:lang w:val="en-IE" w:eastAsia="hi-IN" w:bidi="hi-IN"/>
        </w:rPr>
        <w:t xml:space="preserve">future </w:t>
      </w:r>
      <w:r w:rsidR="00EB3C67">
        <w:rPr>
          <w:rFonts w:eastAsia="Arial Unicode MS"/>
          <w:lang w:val="en-IE" w:eastAsia="hi-IN" w:bidi="hi-IN"/>
        </w:rPr>
        <w:t xml:space="preserve">intervention </w:t>
      </w:r>
      <w:r w:rsidR="007B22ED">
        <w:rPr>
          <w:rFonts w:eastAsia="Arial Unicode MS"/>
          <w:lang w:val="en-IE" w:eastAsia="hi-IN" w:bidi="hi-IN"/>
        </w:rPr>
        <w:t>should evidence arise of anti-</w:t>
      </w:r>
      <w:r w:rsidRPr="00EF4492">
        <w:rPr>
          <w:rFonts w:eastAsia="Arial Unicode MS"/>
          <w:lang w:val="en-IE" w:eastAsia="hi-IN" w:bidi="hi-IN"/>
        </w:rPr>
        <w:t xml:space="preserve">competitive </w:t>
      </w:r>
      <w:r w:rsidR="007B22ED">
        <w:rPr>
          <w:rFonts w:eastAsia="Arial Unicode MS"/>
          <w:lang w:val="en-IE" w:eastAsia="hi-IN" w:bidi="hi-IN"/>
        </w:rPr>
        <w:t xml:space="preserve">conduct that </w:t>
      </w:r>
      <w:r w:rsidRPr="00EF4492">
        <w:rPr>
          <w:rFonts w:eastAsia="Arial Unicode MS"/>
          <w:lang w:val="en-IE" w:eastAsia="hi-IN" w:bidi="hi-IN"/>
        </w:rPr>
        <w:t>hinder</w:t>
      </w:r>
      <w:r w:rsidR="007B22ED">
        <w:rPr>
          <w:rFonts w:eastAsia="Arial Unicode MS"/>
          <w:lang w:val="en-IE" w:eastAsia="hi-IN" w:bidi="hi-IN"/>
        </w:rPr>
        <w:t>s</w:t>
      </w:r>
      <w:r w:rsidRPr="00EF4492">
        <w:rPr>
          <w:rFonts w:eastAsia="Arial Unicode MS"/>
          <w:lang w:val="en-IE" w:eastAsia="hi-IN" w:bidi="hi-IN"/>
        </w:rPr>
        <w:t xml:space="preserve"> the uptake of these products which have the potential to dramatically increase the productivity of Australian small businesses.  </w:t>
      </w:r>
    </w:p>
    <w:p w14:paraId="46C28636" w14:textId="77777777" w:rsidR="00EF4492" w:rsidRPr="00EF4492" w:rsidRDefault="00EF4492" w:rsidP="006D50CA">
      <w:pPr>
        <w:pStyle w:val="Heading1"/>
        <w:rPr>
          <w:rFonts w:eastAsia="Arial Unicode MS"/>
          <w:lang w:val="en-IE" w:bidi="hi-IN"/>
        </w:rPr>
      </w:pPr>
      <w:bookmarkStart w:id="47" w:name="_Toc465667630"/>
      <w:r w:rsidRPr="00EF4492">
        <w:rPr>
          <w:rFonts w:eastAsia="Arial Unicode MS"/>
          <w:lang w:val="en-IE" w:bidi="hi-IN"/>
        </w:rPr>
        <w:lastRenderedPageBreak/>
        <w:t>Fixed-line voice and broadband services</w:t>
      </w:r>
      <w:bookmarkEnd w:id="47"/>
    </w:p>
    <w:p w14:paraId="2FA38FB9" w14:textId="77777777" w:rsidR="00EF4492" w:rsidRPr="00EF4492" w:rsidRDefault="00EF4492" w:rsidP="006D50CA">
      <w:pPr>
        <w:pStyle w:val="Heading2"/>
        <w:rPr>
          <w:lang w:val="en-IE" w:bidi="hi-IN"/>
        </w:rPr>
      </w:pPr>
      <w:bookmarkStart w:id="48" w:name="_Toc465667631"/>
      <w:r w:rsidRPr="00EF4492">
        <w:rPr>
          <w:lang w:val="en-IE" w:bidi="hi-IN"/>
        </w:rPr>
        <w:t>Response to question 22:</w:t>
      </w:r>
      <w:bookmarkEnd w:id="48"/>
      <w:r w:rsidRPr="00EF4492">
        <w:rPr>
          <w:lang w:val="en-IE" w:bidi="hi-IN"/>
        </w:rPr>
        <w:t xml:space="preserve"> </w:t>
      </w:r>
    </w:p>
    <w:p w14:paraId="30CD7856" w14:textId="77777777" w:rsidR="00EF4492" w:rsidRPr="00EF4492" w:rsidRDefault="00EF4492" w:rsidP="006D50CA">
      <w:pPr>
        <w:pStyle w:val="Blockquote2"/>
        <w:rPr>
          <w:rFonts w:eastAsia="Arial Unicode MS"/>
          <w:lang w:val="en-IE" w:bidi="hi-IN"/>
        </w:rPr>
      </w:pPr>
      <w:r w:rsidRPr="00EF4492">
        <w:rPr>
          <w:rFonts w:eastAsia="Arial Unicode MS"/>
          <w:lang w:val="en-IE" w:bidi="hi-IN"/>
        </w:rPr>
        <w:t xml:space="preserve">Is there competition in the supply of retail fixed-line voice and broadband services supplied over both Telstra’s legacy access network and next generation networks, including the NBN? If so, how would you describe the state of competition, what form is it taking (price and non-price differentiation) and how is it likely to evolve? What are the key factors shaping the competitive state? Please provide details and examples. </w:t>
      </w:r>
    </w:p>
    <w:p w14:paraId="558E43B2" w14:textId="5AF910D1" w:rsidR="00EF4492" w:rsidRPr="00EF4492" w:rsidRDefault="00EF4492" w:rsidP="006D50CA">
      <w:pPr>
        <w:rPr>
          <w:rFonts w:eastAsia="Arial Unicode MS"/>
          <w:lang w:val="en-IE" w:eastAsia="hi-IN" w:bidi="hi-IN"/>
        </w:rPr>
      </w:pPr>
      <w:r w:rsidRPr="00EF4492">
        <w:rPr>
          <w:rFonts w:eastAsia="Arial Unicode MS"/>
          <w:lang w:val="en-IE" w:eastAsia="hi-IN" w:bidi="hi-IN"/>
        </w:rPr>
        <w:t>Recent</w:t>
      </w:r>
      <w:r w:rsidR="00617692">
        <w:rPr>
          <w:rFonts w:eastAsia="Arial Unicode MS"/>
          <w:lang w:val="en-IE" w:eastAsia="hi-IN" w:bidi="hi-IN"/>
        </w:rPr>
        <w:t xml:space="preserve"> competition</w:t>
      </w:r>
      <w:r w:rsidRPr="00EF4492">
        <w:rPr>
          <w:rFonts w:eastAsia="Arial Unicode MS"/>
          <w:lang w:val="en-IE" w:eastAsia="hi-IN" w:bidi="hi-IN"/>
        </w:rPr>
        <w:t xml:space="preserve"> theory suggests that there should be at least </w:t>
      </w:r>
      <w:r w:rsidR="00617692">
        <w:rPr>
          <w:rFonts w:eastAsia="Arial Unicode MS"/>
          <w:lang w:val="en-IE" w:eastAsia="hi-IN" w:bidi="hi-IN"/>
        </w:rPr>
        <w:t>five</w:t>
      </w:r>
      <w:r w:rsidRPr="00EF4492">
        <w:rPr>
          <w:rFonts w:eastAsia="Arial Unicode MS"/>
          <w:lang w:val="en-IE" w:eastAsia="hi-IN" w:bidi="hi-IN"/>
        </w:rPr>
        <w:t xml:space="preserve"> firms with no more than 40% market share each and easy entry </w:t>
      </w:r>
      <w:r w:rsidR="00617692">
        <w:rPr>
          <w:rFonts w:eastAsia="Arial Unicode MS"/>
          <w:lang w:val="en-IE" w:eastAsia="hi-IN" w:bidi="hi-IN"/>
        </w:rPr>
        <w:t>for</w:t>
      </w:r>
      <w:r w:rsidRPr="00EF4492">
        <w:rPr>
          <w:rFonts w:eastAsia="Arial Unicode MS"/>
          <w:lang w:val="en-IE" w:eastAsia="hi-IN" w:bidi="hi-IN"/>
        </w:rPr>
        <w:t xml:space="preserve"> newcomers.</w:t>
      </w:r>
      <w:r w:rsidRPr="00EF4492">
        <w:rPr>
          <w:rFonts w:eastAsia="Arial Unicode MS"/>
          <w:vertAlign w:val="superscript"/>
          <w:lang w:val="en-IE" w:eastAsia="hi-IN" w:bidi="hi-IN"/>
        </w:rPr>
        <w:footnoteReference w:id="96"/>
      </w:r>
      <w:r w:rsidRPr="00EF4492">
        <w:rPr>
          <w:rFonts w:eastAsia="Arial Unicode MS"/>
          <w:lang w:val="en-IE" w:eastAsia="hi-IN" w:bidi="hi-IN"/>
        </w:rPr>
        <w:t xml:space="preserve"> Telstra has over 40% market share in fixed voice and fixed broadband services and is maintaining this over nbn.</w:t>
      </w:r>
      <w:r w:rsidRPr="00EF4492">
        <w:rPr>
          <w:rFonts w:eastAsia="Arial Unicode MS"/>
          <w:vertAlign w:val="superscript"/>
          <w:lang w:val="en-IE" w:eastAsia="hi-IN" w:bidi="hi-IN"/>
        </w:rPr>
        <w:footnoteReference w:id="97"/>
      </w:r>
      <w:r w:rsidRPr="00EF4492">
        <w:rPr>
          <w:rFonts w:eastAsia="Arial Unicode MS"/>
          <w:lang w:val="en-IE" w:eastAsia="hi-IN" w:bidi="hi-IN"/>
        </w:rPr>
        <w:t xml:space="preserve"> </w:t>
      </w:r>
      <w:r w:rsidR="000F344F">
        <w:rPr>
          <w:rFonts w:eastAsia="Arial Unicode MS"/>
          <w:lang w:val="en-IE" w:eastAsia="hi-IN" w:bidi="hi-IN"/>
        </w:rPr>
        <w:t>The level of competition is affect</w:t>
      </w:r>
      <w:r w:rsidR="007B22ED">
        <w:rPr>
          <w:rFonts w:eastAsia="Arial Unicode MS"/>
          <w:lang w:val="en-IE" w:eastAsia="hi-IN" w:bidi="hi-IN"/>
        </w:rPr>
        <w:t xml:space="preserve">ing </w:t>
      </w:r>
      <w:r w:rsidR="000F344F">
        <w:rPr>
          <w:rFonts w:eastAsia="Arial Unicode MS"/>
          <w:lang w:val="en-IE" w:eastAsia="hi-IN" w:bidi="hi-IN"/>
        </w:rPr>
        <w:t xml:space="preserve">the choice and price paid by consumers in regional areas. </w:t>
      </w:r>
      <w:r w:rsidRPr="00EF4492">
        <w:rPr>
          <w:rFonts w:eastAsia="Arial Unicode MS"/>
          <w:lang w:val="en-IE" w:eastAsia="hi-IN" w:bidi="hi-IN"/>
        </w:rPr>
        <w:t>Consumers in regional areas</w:t>
      </w:r>
      <w:r w:rsidR="000F344F">
        <w:rPr>
          <w:rFonts w:eastAsia="Arial Unicode MS"/>
          <w:lang w:val="en-IE" w:eastAsia="hi-IN" w:bidi="hi-IN"/>
        </w:rPr>
        <w:t>,</w:t>
      </w:r>
      <w:r w:rsidRPr="00EF4492">
        <w:rPr>
          <w:rFonts w:eastAsia="Arial Unicode MS"/>
          <w:lang w:val="en-IE" w:eastAsia="hi-IN" w:bidi="hi-IN"/>
        </w:rPr>
        <w:t xml:space="preserve"> over legacy networks</w:t>
      </w:r>
      <w:r w:rsidR="000F344F">
        <w:rPr>
          <w:rFonts w:eastAsia="Arial Unicode MS"/>
          <w:lang w:val="en-IE" w:eastAsia="hi-IN" w:bidi="hi-IN"/>
        </w:rPr>
        <w:t>,</w:t>
      </w:r>
      <w:r w:rsidRPr="00EF4492">
        <w:rPr>
          <w:rFonts w:eastAsia="Arial Unicode MS"/>
          <w:lang w:val="en-IE" w:eastAsia="hi-IN" w:bidi="hi-IN"/>
        </w:rPr>
        <w:t xml:space="preserve"> are likely to </w:t>
      </w:r>
      <w:r w:rsidR="000F344F">
        <w:rPr>
          <w:rFonts w:eastAsia="Arial Unicode MS"/>
          <w:lang w:val="en-IE" w:eastAsia="hi-IN" w:bidi="hi-IN"/>
        </w:rPr>
        <w:t xml:space="preserve">have </w:t>
      </w:r>
      <w:r w:rsidRPr="00EF4492">
        <w:rPr>
          <w:rFonts w:eastAsia="Arial Unicode MS"/>
          <w:lang w:val="en-IE" w:eastAsia="hi-IN" w:bidi="hi-IN"/>
        </w:rPr>
        <w:t>fewer options of providers at their exchange.</w:t>
      </w:r>
      <w:r w:rsidRPr="00EF4492">
        <w:rPr>
          <w:rFonts w:eastAsia="Arial Unicode MS"/>
          <w:vertAlign w:val="superscript"/>
          <w:lang w:val="en-IE" w:eastAsia="hi-IN" w:bidi="hi-IN"/>
        </w:rPr>
        <w:footnoteReference w:id="98"/>
      </w:r>
      <w:r w:rsidRPr="00EF4492">
        <w:rPr>
          <w:rFonts w:eastAsia="Arial Unicode MS"/>
          <w:lang w:val="en-IE" w:eastAsia="hi-IN" w:bidi="hi-IN"/>
        </w:rPr>
        <w:t xml:space="preserve"> This trend is continuing over NBN, with not all providers offering services in regional areas and consumers in these areas only having access to higher cost services.</w:t>
      </w:r>
      <w:r w:rsidRPr="00EF4492">
        <w:rPr>
          <w:rFonts w:eastAsia="Arial Unicode MS"/>
          <w:vertAlign w:val="superscript"/>
          <w:lang w:val="en-IE" w:eastAsia="hi-IN" w:bidi="hi-IN"/>
        </w:rPr>
        <w:footnoteReference w:id="99"/>
      </w:r>
      <w:r w:rsidR="000F344F">
        <w:rPr>
          <w:rFonts w:eastAsia="Arial Unicode MS"/>
          <w:lang w:val="en-IE" w:eastAsia="hi-IN" w:bidi="hi-IN"/>
        </w:rPr>
        <w:t xml:space="preserve"> This could be due to the range of costs in connecting to all consumers in Australia. A resulting reduced choice, or lower performance if providers are pricing nationally</w:t>
      </w:r>
      <w:r w:rsidR="00617692">
        <w:rPr>
          <w:rFonts w:eastAsia="Arial Unicode MS"/>
          <w:lang w:val="en-IE" w:eastAsia="hi-IN" w:bidi="hi-IN"/>
        </w:rPr>
        <w:t xml:space="preserve"> and can only afford reduced capacity in regional areas</w:t>
      </w:r>
      <w:r w:rsidR="000F344F">
        <w:rPr>
          <w:rFonts w:eastAsia="Arial Unicode MS"/>
          <w:lang w:val="en-IE" w:eastAsia="hi-IN" w:bidi="hi-IN"/>
        </w:rPr>
        <w:t xml:space="preserve">, is a concern. </w:t>
      </w:r>
    </w:p>
    <w:p w14:paraId="4DC7F64E" w14:textId="484E505B" w:rsidR="00EF4492" w:rsidRPr="00EF4492" w:rsidRDefault="00EF4492" w:rsidP="006D50CA">
      <w:pPr>
        <w:rPr>
          <w:rFonts w:eastAsia="Arial Unicode MS"/>
          <w:lang w:val="en-IE" w:eastAsia="hi-IN" w:bidi="hi-IN"/>
        </w:rPr>
      </w:pPr>
      <w:r w:rsidRPr="00EF4492">
        <w:rPr>
          <w:rFonts w:eastAsia="Arial Unicode MS"/>
          <w:lang w:val="en-IE" w:eastAsia="hi-IN" w:bidi="hi-IN"/>
        </w:rPr>
        <w:t xml:space="preserve">Furthermore, consumers in the most remote and rural areas, on Sky Muster nbn services, will face the highest prices and lowest choice of providers. The recent announcement by Vodafone and </w:t>
      </w:r>
      <w:proofErr w:type="spellStart"/>
      <w:r w:rsidRPr="00EF4492">
        <w:rPr>
          <w:rFonts w:eastAsia="Arial Unicode MS"/>
          <w:lang w:val="en-IE" w:eastAsia="hi-IN" w:bidi="hi-IN"/>
        </w:rPr>
        <w:t>amaysim</w:t>
      </w:r>
      <w:proofErr w:type="spellEnd"/>
      <w:r w:rsidRPr="00EF4492">
        <w:rPr>
          <w:rFonts w:eastAsia="Arial Unicode MS"/>
          <w:lang w:val="en-IE" w:eastAsia="hi-IN" w:bidi="hi-IN"/>
        </w:rPr>
        <w:t xml:space="preserve"> to enter the nbn fixed line market is likely to have a positive effect on competition</w:t>
      </w:r>
      <w:r w:rsidR="00FA2618">
        <w:rPr>
          <w:rFonts w:eastAsia="Arial Unicode MS"/>
          <w:lang w:val="en-IE" w:eastAsia="hi-IN" w:bidi="hi-IN"/>
        </w:rPr>
        <w:t>,</w:t>
      </w:r>
      <w:r w:rsidRPr="00EF4492">
        <w:rPr>
          <w:rFonts w:eastAsia="Arial Unicode MS"/>
          <w:vertAlign w:val="superscript"/>
          <w:lang w:val="en-IE" w:eastAsia="hi-IN" w:bidi="hi-IN"/>
        </w:rPr>
        <w:footnoteReference w:id="100"/>
      </w:r>
      <w:r w:rsidRPr="00EF4492">
        <w:rPr>
          <w:rFonts w:eastAsia="Arial Unicode MS"/>
          <w:lang w:val="en-IE" w:eastAsia="hi-IN" w:bidi="hi-IN"/>
        </w:rPr>
        <w:t xml:space="preserve"> </w:t>
      </w:r>
      <w:r w:rsidR="00FA2618">
        <w:rPr>
          <w:rFonts w:eastAsia="Arial Unicode MS"/>
          <w:lang w:val="en-IE" w:eastAsia="hi-IN" w:bidi="hi-IN"/>
        </w:rPr>
        <w:t>p</w:t>
      </w:r>
      <w:r w:rsidRPr="00EF4492">
        <w:rPr>
          <w:rFonts w:eastAsia="Arial Unicode MS"/>
          <w:lang w:val="en-IE" w:eastAsia="hi-IN" w:bidi="hi-IN"/>
        </w:rPr>
        <w:t>articularly if these providers will offer services nationally over all nbn technologies and bundle the servi</w:t>
      </w:r>
      <w:r w:rsidR="006D50CA">
        <w:rPr>
          <w:rFonts w:eastAsia="Arial Unicode MS"/>
          <w:lang w:val="en-IE" w:eastAsia="hi-IN" w:bidi="hi-IN"/>
        </w:rPr>
        <w:t>ces with mobile voice and data</w:t>
      </w:r>
      <w:r w:rsidR="00617692">
        <w:rPr>
          <w:rFonts w:eastAsia="Arial Unicode MS"/>
          <w:lang w:val="en-IE" w:eastAsia="hi-IN" w:bidi="hi-IN"/>
        </w:rPr>
        <w:t xml:space="preserve"> (where they have coverage in these areas)</w:t>
      </w:r>
      <w:r w:rsidR="006D50CA">
        <w:rPr>
          <w:rFonts w:eastAsia="Arial Unicode MS"/>
          <w:lang w:val="en-IE" w:eastAsia="hi-IN" w:bidi="hi-IN"/>
        </w:rPr>
        <w:t>.</w:t>
      </w:r>
    </w:p>
    <w:p w14:paraId="0B40E4BB" w14:textId="091605DC" w:rsidR="00EF4492" w:rsidRPr="00EF4492" w:rsidRDefault="00EF4492" w:rsidP="006D50CA">
      <w:pPr>
        <w:rPr>
          <w:rFonts w:eastAsia="Arial Unicode MS"/>
          <w:lang w:val="en-IE" w:eastAsia="hi-IN" w:bidi="hi-IN"/>
        </w:rPr>
      </w:pPr>
      <w:r w:rsidRPr="00EF4492">
        <w:rPr>
          <w:rFonts w:eastAsia="Arial Unicode MS"/>
          <w:lang w:val="en-IE" w:eastAsia="hi-IN" w:bidi="hi-IN"/>
        </w:rPr>
        <w:t>Much of the competition over nbn appears to remain focused on data inclusions and price. Competition on factors such as performance and speed and customer service (outlined above) is not as evidential.</w:t>
      </w:r>
      <w:r w:rsidR="006D50CA">
        <w:rPr>
          <w:rFonts w:eastAsia="Arial Unicode MS"/>
          <w:lang w:val="en-IE" w:eastAsia="hi-IN" w:bidi="hi-IN"/>
        </w:rPr>
        <w:t xml:space="preserve"> </w:t>
      </w:r>
      <w:r w:rsidR="000F344F">
        <w:rPr>
          <w:rFonts w:eastAsia="Arial Unicode MS"/>
          <w:lang w:val="en-IE" w:eastAsia="hi-IN" w:bidi="hi-IN"/>
        </w:rPr>
        <w:t xml:space="preserve">ACCAN strongly believes that these other factors are important for consumers’ and </w:t>
      </w:r>
      <w:r w:rsidR="002902BA">
        <w:rPr>
          <w:rFonts w:eastAsia="Arial Unicode MS"/>
          <w:lang w:val="en-IE" w:eastAsia="hi-IN" w:bidi="hi-IN"/>
        </w:rPr>
        <w:t>could</w:t>
      </w:r>
      <w:r w:rsidR="000F344F">
        <w:rPr>
          <w:rFonts w:eastAsia="Arial Unicode MS"/>
          <w:lang w:val="en-IE" w:eastAsia="hi-IN" w:bidi="hi-IN"/>
        </w:rPr>
        <w:t xml:space="preserve"> be used to create a greater range of competition.</w:t>
      </w:r>
    </w:p>
    <w:p w14:paraId="53939DF8" w14:textId="77777777" w:rsidR="00EF4492" w:rsidRPr="00EF4492" w:rsidRDefault="00EF4492" w:rsidP="006D50CA">
      <w:pPr>
        <w:pStyle w:val="Heading2"/>
        <w:rPr>
          <w:lang w:val="en-IE" w:bidi="hi-IN"/>
        </w:rPr>
      </w:pPr>
      <w:bookmarkStart w:id="49" w:name="_Toc465667632"/>
      <w:r w:rsidRPr="00EF4492">
        <w:rPr>
          <w:lang w:val="en-IE" w:bidi="hi-IN"/>
        </w:rPr>
        <w:lastRenderedPageBreak/>
        <w:t>Response to question 23:</w:t>
      </w:r>
      <w:bookmarkEnd w:id="49"/>
      <w:r w:rsidRPr="00EF4492">
        <w:rPr>
          <w:lang w:val="en-IE" w:bidi="hi-IN"/>
        </w:rPr>
        <w:t xml:space="preserve"> </w:t>
      </w:r>
    </w:p>
    <w:p w14:paraId="61200A3C" w14:textId="77777777" w:rsidR="00EF4492" w:rsidRPr="00EF4492" w:rsidRDefault="00EF4492" w:rsidP="006D50CA">
      <w:pPr>
        <w:pStyle w:val="Blockquote2"/>
        <w:rPr>
          <w:rFonts w:eastAsia="Arial Unicode MS"/>
          <w:lang w:val="en-IE" w:bidi="hi-IN"/>
        </w:rPr>
      </w:pPr>
      <w:r w:rsidRPr="00EF4492">
        <w:rPr>
          <w:rFonts w:eastAsia="Arial Unicode MS"/>
          <w:lang w:val="en-IE" w:bidi="hi-IN"/>
        </w:rPr>
        <w:t xml:space="preserve">What impediments are there to RSPs winning new customers during the transition to supply of fixed-line services over next generation networks, including the NBN? Please provide details and examples including with reference to those possible impediments noted above. </w:t>
      </w:r>
    </w:p>
    <w:p w14:paraId="25358327" w14:textId="499D6D5D" w:rsidR="00EF4492" w:rsidRPr="00EF4492" w:rsidRDefault="00EF4492" w:rsidP="006D50CA">
      <w:pPr>
        <w:rPr>
          <w:rFonts w:eastAsia="Arial Unicode MS"/>
          <w:lang w:val="en-IE" w:eastAsia="hi-IN" w:bidi="hi-IN"/>
        </w:rPr>
      </w:pPr>
      <w:r w:rsidRPr="00EF4492">
        <w:rPr>
          <w:rFonts w:eastAsia="Arial Unicode MS"/>
          <w:lang w:val="en-IE" w:eastAsia="hi-IN" w:bidi="hi-IN"/>
        </w:rPr>
        <w:t>The switch over to NBN can be a difficult process for consumers, in terms of understanding what is required of them and which services they need. Switching to a new RSP during this time often makes it more complicated. Consumers switching providers may face periods without any service (disconnect</w:t>
      </w:r>
      <w:r w:rsidR="00FA2618">
        <w:rPr>
          <w:rFonts w:eastAsia="Arial Unicode MS"/>
          <w:lang w:val="en-IE" w:eastAsia="hi-IN" w:bidi="hi-IN"/>
        </w:rPr>
        <w:t xml:space="preserve">ion </w:t>
      </w:r>
      <w:r w:rsidR="002902BA">
        <w:rPr>
          <w:rFonts w:eastAsia="Arial Unicode MS"/>
          <w:lang w:val="en-IE" w:eastAsia="hi-IN" w:bidi="hi-IN"/>
        </w:rPr>
        <w:t xml:space="preserve">of </w:t>
      </w:r>
      <w:r w:rsidR="002902BA" w:rsidRPr="00EF4492">
        <w:rPr>
          <w:rFonts w:eastAsia="Arial Unicode MS"/>
          <w:lang w:val="en-IE" w:eastAsia="hi-IN" w:bidi="hi-IN"/>
        </w:rPr>
        <w:t>the</w:t>
      </w:r>
      <w:r w:rsidRPr="00EF4492">
        <w:rPr>
          <w:rFonts w:eastAsia="Arial Unicode MS"/>
          <w:lang w:val="en-IE" w:eastAsia="hi-IN" w:bidi="hi-IN"/>
        </w:rPr>
        <w:t xml:space="preserve"> legacy service before the NBN </w:t>
      </w:r>
      <w:r w:rsidR="00FA2618">
        <w:rPr>
          <w:rFonts w:eastAsia="Arial Unicode MS"/>
          <w:lang w:val="en-IE" w:eastAsia="hi-IN" w:bidi="hi-IN"/>
        </w:rPr>
        <w:t>i</w:t>
      </w:r>
      <w:r w:rsidRPr="00EF4492">
        <w:rPr>
          <w:rFonts w:eastAsia="Arial Unicode MS"/>
          <w:lang w:val="en-IE" w:eastAsia="hi-IN" w:bidi="hi-IN"/>
        </w:rPr>
        <w:t xml:space="preserve">s functioning), paying for multiple services (the installation, switch over and billing periods not aligning), </w:t>
      </w:r>
      <w:r w:rsidR="00EC7AB8" w:rsidRPr="00EF4492">
        <w:rPr>
          <w:rFonts w:eastAsia="Arial Unicode MS"/>
          <w:lang w:val="en-IE" w:eastAsia="hi-IN" w:bidi="hi-IN"/>
        </w:rPr>
        <w:t>losing</w:t>
      </w:r>
      <w:r w:rsidRPr="00EF4492">
        <w:rPr>
          <w:rFonts w:eastAsia="Arial Unicode MS"/>
          <w:lang w:val="en-IE" w:eastAsia="hi-IN" w:bidi="hi-IN"/>
        </w:rPr>
        <w:t xml:space="preserve"> their number or paying to exit pr</w:t>
      </w:r>
      <w:r w:rsidR="00FA2618">
        <w:rPr>
          <w:rFonts w:eastAsia="Arial Unicode MS"/>
          <w:lang w:val="en-IE" w:eastAsia="hi-IN" w:bidi="hi-IN"/>
        </w:rPr>
        <w:t>e</w:t>
      </w:r>
      <w:r w:rsidRPr="00EF4492">
        <w:rPr>
          <w:rFonts w:eastAsia="Arial Unicode MS"/>
          <w:lang w:val="en-IE" w:eastAsia="hi-IN" w:bidi="hi-IN"/>
        </w:rPr>
        <w:t>vious contracts (early termination fees). Often it is easier to stay with the same provider in the transition. ACCAN is providing a few case studies below to demonstrate the impediments to increased competition over NBN.</w:t>
      </w:r>
    </w:p>
    <w:p w14:paraId="10F54377" w14:textId="36C2FF17" w:rsidR="00EF4492" w:rsidRPr="00EF4492" w:rsidRDefault="00617692" w:rsidP="006D50CA">
      <w:pPr>
        <w:ind w:left="720"/>
        <w:rPr>
          <w:rFonts w:eastAsia="Arial Unicode MS"/>
          <w:lang w:val="en-IE" w:eastAsia="hi-IN" w:bidi="hi-IN"/>
        </w:rPr>
      </w:pPr>
      <w:r>
        <w:rPr>
          <w:rFonts w:eastAsia="Arial Unicode MS"/>
          <w:lang w:val="en-IE" w:eastAsia="hi-IN" w:bidi="hi-IN"/>
        </w:rPr>
        <w:t xml:space="preserve">Case Study: </w:t>
      </w:r>
      <w:r w:rsidR="00EF4492" w:rsidRPr="00EF4492">
        <w:rPr>
          <w:rFonts w:eastAsia="Arial Unicode MS"/>
          <w:lang w:val="en-IE" w:eastAsia="hi-IN" w:bidi="hi-IN"/>
        </w:rPr>
        <w:t xml:space="preserve">ACCAN was contacted by an elderly consumer living in South Australia who transitioned to NBN in September 2016. They switched providers from Primus to Optus and unfortunately lost their number in the process. The consumer was told that the “technology was too old </w:t>
      </w:r>
      <w:r w:rsidR="006D50CA">
        <w:rPr>
          <w:rFonts w:eastAsia="Arial Unicode MS"/>
          <w:lang w:val="en-IE" w:eastAsia="hi-IN" w:bidi="hi-IN"/>
        </w:rPr>
        <w:t>for them to keep their number”.</w:t>
      </w:r>
    </w:p>
    <w:p w14:paraId="2C29ECF8" w14:textId="1D43477F" w:rsidR="00EF4492" w:rsidRPr="00EF4492" w:rsidRDefault="00617692" w:rsidP="006D50CA">
      <w:pPr>
        <w:ind w:left="720"/>
        <w:rPr>
          <w:rFonts w:eastAsia="Arial Unicode MS"/>
          <w:lang w:val="en-IE" w:eastAsia="hi-IN" w:bidi="hi-IN"/>
        </w:rPr>
      </w:pPr>
      <w:r>
        <w:rPr>
          <w:rFonts w:eastAsia="Arial Unicode MS"/>
          <w:lang w:val="en-IE" w:eastAsia="hi-IN" w:bidi="hi-IN"/>
        </w:rPr>
        <w:t xml:space="preserve">Case Study: </w:t>
      </w:r>
      <w:r w:rsidR="00EF4492" w:rsidRPr="00EF4492">
        <w:rPr>
          <w:rFonts w:eastAsia="Arial Unicode MS"/>
          <w:lang w:val="en-IE" w:eastAsia="hi-IN" w:bidi="hi-IN"/>
        </w:rPr>
        <w:t>ACCAN was contacted by a consumer in Tasmania in July 2015. They chose to switch to TPG while moving over to NBN. TPG charged the consumer immediately for the first month in advance, prepayment for calls not included in the plan, equipment postage and the set up costs. The installation appointment was made for two months later. As the consumer needed to continue to pay for their current services and were not in a position to pay for the new services two months before it was useable they cancelled the new provider and</w:t>
      </w:r>
      <w:r w:rsidR="002902BA">
        <w:rPr>
          <w:rFonts w:eastAsia="Arial Unicode MS"/>
          <w:lang w:val="en-IE" w:eastAsia="hi-IN" w:bidi="hi-IN"/>
        </w:rPr>
        <w:t xml:space="preserve"> chose to switch to NBN</w:t>
      </w:r>
      <w:r w:rsidR="006D50CA">
        <w:rPr>
          <w:rFonts w:eastAsia="Arial Unicode MS"/>
          <w:lang w:val="en-IE" w:eastAsia="hi-IN" w:bidi="hi-IN"/>
        </w:rPr>
        <w:t xml:space="preserve"> with their current provider.</w:t>
      </w:r>
    </w:p>
    <w:p w14:paraId="5F74BD89" w14:textId="021BE616" w:rsidR="00EF4492" w:rsidRPr="00EF4492" w:rsidRDefault="00EF4492" w:rsidP="006D50CA">
      <w:pPr>
        <w:rPr>
          <w:rFonts w:eastAsia="Arial Unicode MS"/>
          <w:lang w:val="en-IE" w:eastAsia="hi-IN" w:bidi="hi-IN"/>
        </w:rPr>
      </w:pPr>
      <w:r w:rsidRPr="00EF4492">
        <w:rPr>
          <w:rFonts w:eastAsia="Arial Unicode MS"/>
          <w:lang w:val="en-IE" w:eastAsia="hi-IN" w:bidi="hi-IN"/>
        </w:rPr>
        <w:t xml:space="preserve">Additionally, a number of consumers have contacted ACCAN with grievances </w:t>
      </w:r>
      <w:r w:rsidR="00617692">
        <w:rPr>
          <w:rFonts w:eastAsia="Arial Unicode MS"/>
          <w:lang w:val="en-IE" w:eastAsia="hi-IN" w:bidi="hi-IN"/>
        </w:rPr>
        <w:t>with</w:t>
      </w:r>
      <w:r w:rsidRPr="00EF4492">
        <w:rPr>
          <w:rFonts w:eastAsia="Arial Unicode MS"/>
          <w:lang w:val="en-IE" w:eastAsia="hi-IN" w:bidi="hi-IN"/>
        </w:rPr>
        <w:t xml:space="preserve"> RSPs</w:t>
      </w:r>
      <w:r w:rsidR="00617692">
        <w:rPr>
          <w:rFonts w:eastAsia="Arial Unicode MS"/>
          <w:lang w:val="en-IE" w:eastAsia="hi-IN" w:bidi="hi-IN"/>
        </w:rPr>
        <w:t>/nbn</w:t>
      </w:r>
      <w:r w:rsidRPr="00EF4492">
        <w:rPr>
          <w:rFonts w:eastAsia="Arial Unicode MS"/>
          <w:lang w:val="en-IE" w:eastAsia="hi-IN" w:bidi="hi-IN"/>
        </w:rPr>
        <w:t xml:space="preserve"> in cases where they have been unable to connect </w:t>
      </w:r>
      <w:r w:rsidR="00356C2F">
        <w:rPr>
          <w:rFonts w:eastAsia="Arial Unicode MS"/>
          <w:lang w:val="en-IE" w:eastAsia="hi-IN" w:bidi="hi-IN"/>
        </w:rPr>
        <w:t xml:space="preserve">to a service </w:t>
      </w:r>
      <w:r w:rsidRPr="00EF4492">
        <w:rPr>
          <w:rFonts w:eastAsia="Arial Unicode MS"/>
          <w:lang w:val="en-IE" w:eastAsia="hi-IN" w:bidi="hi-IN"/>
        </w:rPr>
        <w:t>due to the switch over. These consumers have moved into an area and not previously had services at the address. Due to the availability, or soon to be availability, of nbn the consumer has been unable to get a service within</w:t>
      </w:r>
      <w:r w:rsidR="00356C2F">
        <w:rPr>
          <w:rFonts w:eastAsia="Arial Unicode MS"/>
          <w:lang w:val="en-IE" w:eastAsia="hi-IN" w:bidi="hi-IN"/>
        </w:rPr>
        <w:t xml:space="preserve"> a</w:t>
      </w:r>
      <w:r w:rsidRPr="00EF4492">
        <w:rPr>
          <w:rFonts w:eastAsia="Arial Unicode MS"/>
          <w:lang w:val="en-IE" w:eastAsia="hi-IN" w:bidi="hi-IN"/>
        </w:rPr>
        <w:t xml:space="preserve"> sufficient time frame, sometimes </w:t>
      </w:r>
      <w:r w:rsidR="006D50CA">
        <w:rPr>
          <w:rFonts w:eastAsia="Arial Unicode MS"/>
          <w:lang w:val="en-IE" w:eastAsia="hi-IN" w:bidi="hi-IN"/>
        </w:rPr>
        <w:t>waiting months to be connected</w:t>
      </w:r>
      <w:r w:rsidR="00617692">
        <w:rPr>
          <w:rFonts w:eastAsia="Arial Unicode MS"/>
          <w:lang w:val="en-IE" w:eastAsia="hi-IN" w:bidi="hi-IN"/>
        </w:rPr>
        <w:t xml:space="preserve"> to any service</w:t>
      </w:r>
      <w:r w:rsidR="006D50CA">
        <w:rPr>
          <w:rFonts w:eastAsia="Arial Unicode MS"/>
          <w:lang w:val="en-IE" w:eastAsia="hi-IN" w:bidi="hi-IN"/>
        </w:rPr>
        <w:t>.</w:t>
      </w:r>
      <w:r w:rsidR="00356C2F">
        <w:rPr>
          <w:rFonts w:eastAsia="Arial Unicode MS"/>
          <w:lang w:val="en-IE" w:eastAsia="hi-IN" w:bidi="hi-IN"/>
        </w:rPr>
        <w:t xml:space="preserve"> This has caused frustration and</w:t>
      </w:r>
      <w:r w:rsidR="00617692">
        <w:rPr>
          <w:rFonts w:eastAsia="Arial Unicode MS"/>
          <w:lang w:val="en-IE" w:eastAsia="hi-IN" w:bidi="hi-IN"/>
        </w:rPr>
        <w:t xml:space="preserve"> bad feeling about RSPs inability to provide services, in some cases</w:t>
      </w:r>
      <w:r w:rsidR="00356C2F">
        <w:rPr>
          <w:rFonts w:eastAsia="Arial Unicode MS"/>
          <w:lang w:val="en-IE" w:eastAsia="hi-IN" w:bidi="hi-IN"/>
        </w:rPr>
        <w:t xml:space="preserve"> consumers</w:t>
      </w:r>
      <w:r w:rsidR="00617692">
        <w:rPr>
          <w:rFonts w:eastAsia="Arial Unicode MS"/>
          <w:lang w:val="en-IE" w:eastAsia="hi-IN" w:bidi="hi-IN"/>
        </w:rPr>
        <w:t xml:space="preserve"> are</w:t>
      </w:r>
      <w:r w:rsidR="00356C2F">
        <w:rPr>
          <w:rFonts w:eastAsia="Arial Unicode MS"/>
          <w:lang w:val="en-IE" w:eastAsia="hi-IN" w:bidi="hi-IN"/>
        </w:rPr>
        <w:t xml:space="preserve"> looking to alternative platforms and technologies for services.</w:t>
      </w:r>
    </w:p>
    <w:p w14:paraId="1C9809A3" w14:textId="77777777" w:rsidR="00EF4492" w:rsidRPr="00EF4492" w:rsidRDefault="00EF4492" w:rsidP="006D50CA">
      <w:pPr>
        <w:pStyle w:val="Heading2"/>
        <w:rPr>
          <w:lang w:val="en-IE" w:bidi="hi-IN"/>
        </w:rPr>
      </w:pPr>
      <w:bookmarkStart w:id="50" w:name="_Toc465667633"/>
      <w:r w:rsidRPr="00EF4492">
        <w:rPr>
          <w:lang w:val="en-IE" w:bidi="hi-IN"/>
        </w:rPr>
        <w:t>Response to question 29:</w:t>
      </w:r>
      <w:bookmarkEnd w:id="50"/>
      <w:r w:rsidRPr="00EF4492">
        <w:rPr>
          <w:lang w:val="en-IE" w:bidi="hi-IN"/>
        </w:rPr>
        <w:t xml:space="preserve"> </w:t>
      </w:r>
    </w:p>
    <w:p w14:paraId="0FB67607" w14:textId="77777777" w:rsidR="00EF4492" w:rsidRPr="00EF4492" w:rsidRDefault="00EF4492" w:rsidP="006D50CA">
      <w:pPr>
        <w:pStyle w:val="Blockquote2"/>
        <w:rPr>
          <w:rFonts w:eastAsia="Arial Unicode MS"/>
          <w:lang w:val="en-IE" w:bidi="hi-IN"/>
        </w:rPr>
      </w:pPr>
      <w:r w:rsidRPr="00EF4492">
        <w:rPr>
          <w:rFonts w:eastAsia="Arial Unicode MS"/>
          <w:lang w:val="en-IE" w:bidi="hi-IN"/>
        </w:rPr>
        <w:t xml:space="preserve">What refinements to NBN pricing could improve RSPs ability to compete on the NBN and to develop products to meet business and consumer needs? Please provide details and ensure your response takes account of the requirements of the SAU, the economies of scale associated with the network and the legitimate commercial interests of NBN Co to recover its costs. </w:t>
      </w:r>
    </w:p>
    <w:p w14:paraId="65DAACC7" w14:textId="1D8B66DA" w:rsidR="00EF4492" w:rsidRPr="00EF4492" w:rsidRDefault="00EF4492" w:rsidP="006D50CA">
      <w:pPr>
        <w:rPr>
          <w:rFonts w:eastAsia="Arial Unicode MS"/>
          <w:lang w:val="en-IE" w:eastAsia="hi-IN" w:bidi="hi-IN"/>
        </w:rPr>
      </w:pPr>
      <w:r w:rsidRPr="00EF4492">
        <w:rPr>
          <w:rFonts w:eastAsia="Arial Unicode MS"/>
          <w:lang w:val="en-IE" w:eastAsia="hi-IN" w:bidi="hi-IN"/>
        </w:rPr>
        <w:lastRenderedPageBreak/>
        <w:t>Entry level internet and voice plans provide very little return for NBN or RSPs. A</w:t>
      </w:r>
      <w:r w:rsidR="00FD534F">
        <w:rPr>
          <w:rFonts w:eastAsia="Arial Unicode MS"/>
          <w:lang w:val="en-IE" w:eastAsia="hi-IN" w:bidi="hi-IN"/>
        </w:rPr>
        <w:t>dditionally a</w:t>
      </w:r>
      <w:r w:rsidRPr="00EF4492">
        <w:rPr>
          <w:rFonts w:eastAsia="Arial Unicode MS"/>
          <w:lang w:val="en-IE" w:eastAsia="hi-IN" w:bidi="hi-IN"/>
        </w:rPr>
        <w:t>s NBN is restricted in the amount that it can increase prices</w:t>
      </w:r>
      <w:r w:rsidR="00356C2F">
        <w:rPr>
          <w:rFonts w:eastAsia="Arial Unicode MS"/>
          <w:lang w:val="en-IE" w:eastAsia="hi-IN" w:bidi="hi-IN"/>
        </w:rPr>
        <w:t>,</w:t>
      </w:r>
      <w:r w:rsidRPr="00EF4492">
        <w:rPr>
          <w:rFonts w:eastAsia="Arial Unicode MS"/>
          <w:lang w:val="en-IE" w:eastAsia="hi-IN" w:bidi="hi-IN"/>
        </w:rPr>
        <w:t xml:space="preserve"> </w:t>
      </w:r>
      <w:r w:rsidR="00356C2F">
        <w:rPr>
          <w:rFonts w:eastAsia="Arial Unicode MS"/>
          <w:lang w:val="en-IE" w:eastAsia="hi-IN" w:bidi="hi-IN"/>
        </w:rPr>
        <w:t xml:space="preserve">in </w:t>
      </w:r>
      <w:r w:rsidRPr="00EF4492">
        <w:rPr>
          <w:rFonts w:eastAsia="Arial Unicode MS"/>
          <w:lang w:val="en-IE" w:eastAsia="hi-IN" w:bidi="hi-IN"/>
        </w:rPr>
        <w:t>the Special Access Undertaking</w:t>
      </w:r>
      <w:r w:rsidR="00356C2F">
        <w:rPr>
          <w:rFonts w:eastAsia="Arial Unicode MS"/>
          <w:lang w:val="en-IE" w:eastAsia="hi-IN" w:bidi="hi-IN"/>
        </w:rPr>
        <w:t>,</w:t>
      </w:r>
      <w:r w:rsidRPr="00EF4492">
        <w:rPr>
          <w:rFonts w:eastAsia="Arial Unicode MS"/>
          <w:lang w:val="en-IE" w:eastAsia="hi-IN" w:bidi="hi-IN"/>
        </w:rPr>
        <w:t xml:space="preserve"> and in order t</w:t>
      </w:r>
      <w:r w:rsidR="00356C2F">
        <w:rPr>
          <w:rFonts w:eastAsia="Arial Unicode MS"/>
          <w:lang w:val="en-IE" w:eastAsia="hi-IN" w:bidi="hi-IN"/>
        </w:rPr>
        <w:t>o earn the return that it needs</w:t>
      </w:r>
      <w:r w:rsidRPr="00EF4492">
        <w:rPr>
          <w:rFonts w:eastAsia="Arial Unicode MS"/>
          <w:lang w:val="en-IE" w:eastAsia="hi-IN" w:bidi="hi-IN"/>
        </w:rPr>
        <w:t xml:space="preserve"> it will need </w:t>
      </w:r>
      <w:r w:rsidR="00356C2F">
        <w:rPr>
          <w:rFonts w:eastAsia="Arial Unicode MS"/>
          <w:lang w:val="en-IE" w:eastAsia="hi-IN" w:bidi="hi-IN"/>
        </w:rPr>
        <w:t xml:space="preserve">to ensure </w:t>
      </w:r>
      <w:r w:rsidRPr="00EF4492">
        <w:rPr>
          <w:rFonts w:eastAsia="Arial Unicode MS"/>
          <w:lang w:val="en-IE" w:eastAsia="hi-IN" w:bidi="hi-IN"/>
        </w:rPr>
        <w:t xml:space="preserve">a high take up rate or a large number of consumers purchasing higher tier plans. </w:t>
      </w:r>
      <w:r w:rsidR="00FD534F" w:rsidRPr="00EF4492">
        <w:rPr>
          <w:rFonts w:eastAsia="Arial Unicode MS"/>
          <w:lang w:val="en-IE" w:eastAsia="hi-IN" w:bidi="hi-IN"/>
        </w:rPr>
        <w:t>Th</w:t>
      </w:r>
      <w:r w:rsidR="00FD534F">
        <w:rPr>
          <w:rFonts w:eastAsia="Arial Unicode MS"/>
          <w:lang w:val="en-IE" w:eastAsia="hi-IN" w:bidi="hi-IN"/>
        </w:rPr>
        <w:t>is promotes</w:t>
      </w:r>
      <w:r w:rsidR="00FD534F" w:rsidRPr="00EF4492">
        <w:rPr>
          <w:rFonts w:eastAsia="Arial Unicode MS"/>
          <w:lang w:val="en-IE" w:eastAsia="hi-IN" w:bidi="hi-IN"/>
        </w:rPr>
        <w:t xml:space="preserve"> higher tier plans to be promoted to consumers. </w:t>
      </w:r>
      <w:r w:rsidR="00356C2F">
        <w:rPr>
          <w:rFonts w:eastAsia="Arial Unicode MS"/>
          <w:lang w:val="en-IE" w:eastAsia="hi-IN" w:bidi="hi-IN"/>
        </w:rPr>
        <w:t>C</w:t>
      </w:r>
      <w:r w:rsidRPr="00EF4492">
        <w:rPr>
          <w:rFonts w:eastAsia="Arial Unicode MS"/>
          <w:lang w:val="en-IE" w:eastAsia="hi-IN" w:bidi="hi-IN"/>
        </w:rPr>
        <w:t xml:space="preserve">onsumers who are low users of the internet or only require a voice plan are likely to find better value in other telecommunications platforms, such as mobile. </w:t>
      </w:r>
    </w:p>
    <w:p w14:paraId="11233E04" w14:textId="77777777" w:rsidR="00EF4492" w:rsidRPr="00EF4492" w:rsidRDefault="00EF4492" w:rsidP="006D50CA">
      <w:pPr>
        <w:pStyle w:val="Heading2"/>
        <w:rPr>
          <w:lang w:val="en-IE" w:bidi="hi-IN"/>
        </w:rPr>
      </w:pPr>
      <w:bookmarkStart w:id="51" w:name="_Toc465667634"/>
      <w:r w:rsidRPr="00EF4492">
        <w:rPr>
          <w:lang w:val="en-IE" w:bidi="hi-IN"/>
        </w:rPr>
        <w:t>Response to question 30:</w:t>
      </w:r>
      <w:bookmarkEnd w:id="51"/>
      <w:r w:rsidRPr="00EF4492">
        <w:rPr>
          <w:lang w:val="en-IE" w:bidi="hi-IN"/>
        </w:rPr>
        <w:t xml:space="preserve"> </w:t>
      </w:r>
    </w:p>
    <w:p w14:paraId="100ECC43" w14:textId="77777777" w:rsidR="00EF4492" w:rsidRPr="00EF4492" w:rsidRDefault="00EF4492" w:rsidP="006D50CA">
      <w:pPr>
        <w:pStyle w:val="Blockquote2"/>
        <w:rPr>
          <w:rFonts w:eastAsia="Arial Unicode MS"/>
          <w:lang w:val="en-IE" w:bidi="hi-IN"/>
        </w:rPr>
      </w:pPr>
      <w:r w:rsidRPr="00EF4492">
        <w:rPr>
          <w:rFonts w:eastAsia="Arial Unicode MS"/>
          <w:lang w:val="en-IE" w:bidi="hi-IN"/>
        </w:rPr>
        <w:t xml:space="preserve">Does NBN </w:t>
      </w:r>
      <w:proofErr w:type="spellStart"/>
      <w:r w:rsidRPr="00EF4492">
        <w:rPr>
          <w:rFonts w:eastAsia="Arial Unicode MS"/>
          <w:lang w:val="en-IE" w:bidi="hi-IN"/>
        </w:rPr>
        <w:t>Co’s</w:t>
      </w:r>
      <w:proofErr w:type="spellEnd"/>
      <w:r w:rsidRPr="00EF4492">
        <w:rPr>
          <w:rFonts w:eastAsia="Arial Unicode MS"/>
          <w:lang w:val="en-IE" w:bidi="hi-IN"/>
        </w:rPr>
        <w:t xml:space="preserve"> current dimension-based discount for CVC improve the opportunity for competition in the provision of fixed-line voice and broadband services? Please provide details. What would be the impact of a dimension-based discount which reflected RSP use, rather than industry specific use? More specifically, will the size and timing of any discounts impact competition? </w:t>
      </w:r>
    </w:p>
    <w:p w14:paraId="22BEF1A5" w14:textId="57996FEB" w:rsidR="00A63BCF" w:rsidRDefault="00EF4492" w:rsidP="006D50CA">
      <w:pPr>
        <w:rPr>
          <w:rFonts w:eastAsia="Arial Unicode MS"/>
          <w:lang w:val="en-IE" w:eastAsia="hi-IN" w:bidi="hi-IN"/>
        </w:rPr>
      </w:pPr>
      <w:r w:rsidRPr="00EF4492">
        <w:rPr>
          <w:rFonts w:eastAsia="Arial Unicode MS"/>
          <w:lang w:val="en-IE" w:eastAsia="hi-IN" w:bidi="hi-IN"/>
        </w:rPr>
        <w:t xml:space="preserve">CVC discounts are needed in order for the RSPs to </w:t>
      </w:r>
      <w:r w:rsidR="00A63BCF">
        <w:rPr>
          <w:rFonts w:eastAsia="Arial Unicode MS"/>
          <w:lang w:val="en-IE" w:eastAsia="hi-IN" w:bidi="hi-IN"/>
        </w:rPr>
        <w:t>adequately provide</w:t>
      </w:r>
      <w:r w:rsidRPr="00EF4492">
        <w:rPr>
          <w:rFonts w:eastAsia="Arial Unicode MS"/>
          <w:lang w:val="en-IE" w:eastAsia="hi-IN" w:bidi="hi-IN"/>
        </w:rPr>
        <w:t xml:space="preserve"> the level of service</w:t>
      </w:r>
      <w:r w:rsidR="00A63BCF">
        <w:rPr>
          <w:rFonts w:eastAsia="Arial Unicode MS"/>
          <w:lang w:val="en-IE" w:eastAsia="hi-IN" w:bidi="hi-IN"/>
        </w:rPr>
        <w:t xml:space="preserve"> offered and</w:t>
      </w:r>
      <w:r w:rsidRPr="00EF4492">
        <w:rPr>
          <w:rFonts w:eastAsia="Arial Unicode MS"/>
          <w:lang w:val="en-IE" w:eastAsia="hi-IN" w:bidi="hi-IN"/>
        </w:rPr>
        <w:t xml:space="preserve"> needed. </w:t>
      </w:r>
      <w:r w:rsidR="00A63BCF">
        <w:rPr>
          <w:rFonts w:eastAsia="Arial Unicode MS"/>
          <w:lang w:val="en-IE" w:eastAsia="hi-IN" w:bidi="hi-IN"/>
        </w:rPr>
        <w:t xml:space="preserve">The current timing of the CVCs discounts, </w:t>
      </w:r>
      <w:r w:rsidR="00FD534F">
        <w:rPr>
          <w:rFonts w:eastAsia="Arial Unicode MS"/>
          <w:lang w:val="en-IE" w:eastAsia="hi-IN" w:bidi="hi-IN"/>
        </w:rPr>
        <w:t>following</w:t>
      </w:r>
      <w:r w:rsidR="00A63BCF">
        <w:rPr>
          <w:rFonts w:eastAsia="Arial Unicode MS"/>
          <w:lang w:val="en-IE" w:eastAsia="hi-IN" w:bidi="hi-IN"/>
        </w:rPr>
        <w:t xml:space="preserve"> consumption increase</w:t>
      </w:r>
      <w:r w:rsidR="00FD534F">
        <w:rPr>
          <w:rFonts w:eastAsia="Arial Unicode MS"/>
          <w:lang w:val="en-IE" w:eastAsia="hi-IN" w:bidi="hi-IN"/>
        </w:rPr>
        <w:t>s</w:t>
      </w:r>
      <w:r w:rsidR="00A63BCF">
        <w:rPr>
          <w:rFonts w:eastAsia="Arial Unicode MS"/>
          <w:lang w:val="en-IE" w:eastAsia="hi-IN" w:bidi="hi-IN"/>
        </w:rPr>
        <w:t xml:space="preserve">, </w:t>
      </w:r>
      <w:proofErr w:type="gramStart"/>
      <w:r w:rsidR="00FD534F">
        <w:rPr>
          <w:rFonts w:eastAsia="Arial Unicode MS"/>
          <w:lang w:val="en-IE" w:eastAsia="hi-IN" w:bidi="hi-IN"/>
        </w:rPr>
        <w:t>are</w:t>
      </w:r>
      <w:proofErr w:type="gramEnd"/>
      <w:r w:rsidR="00A63BCF">
        <w:rPr>
          <w:rFonts w:eastAsia="Arial Unicode MS"/>
          <w:lang w:val="en-IE" w:eastAsia="hi-IN" w:bidi="hi-IN"/>
        </w:rPr>
        <w:t xml:space="preserve"> likely to dampen the increase of data usage and impact on competition. As outlined above, in response to question 18, data is expected to increase rapidly. If the CVC pricing is not set at a level which allows for the expected amount of data</w:t>
      </w:r>
      <w:r w:rsidR="00FD534F" w:rsidRPr="00FD534F">
        <w:rPr>
          <w:rFonts w:eastAsia="Arial Unicode MS"/>
          <w:lang w:val="en-IE" w:eastAsia="hi-IN" w:bidi="hi-IN"/>
        </w:rPr>
        <w:t xml:space="preserve"> </w:t>
      </w:r>
      <w:r w:rsidR="00FD534F">
        <w:rPr>
          <w:rFonts w:eastAsia="Arial Unicode MS"/>
          <w:lang w:val="en-IE" w:eastAsia="hi-IN" w:bidi="hi-IN"/>
        </w:rPr>
        <w:t xml:space="preserve">to be provided affordably </w:t>
      </w:r>
      <w:r w:rsidR="00A63BCF">
        <w:rPr>
          <w:rFonts w:eastAsia="Arial Unicode MS"/>
          <w:lang w:val="en-IE" w:eastAsia="hi-IN" w:bidi="hi-IN"/>
        </w:rPr>
        <w:t>then consumers are likely to suffer from slow speeds and look for other service providers in the hope that they can deliver the service needed.</w:t>
      </w:r>
    </w:p>
    <w:p w14:paraId="12490F7A" w14:textId="346777FE" w:rsidR="00EF4492" w:rsidRPr="00EF4492" w:rsidRDefault="00EF4492" w:rsidP="006D50CA">
      <w:pPr>
        <w:rPr>
          <w:rFonts w:eastAsia="Arial Unicode MS"/>
          <w:lang w:val="en-IE" w:eastAsia="hi-IN" w:bidi="hi-IN"/>
        </w:rPr>
      </w:pPr>
      <w:r w:rsidRPr="00EF4492">
        <w:rPr>
          <w:rFonts w:eastAsia="Arial Unicode MS"/>
          <w:lang w:val="en-IE" w:eastAsia="hi-IN" w:bidi="hi-IN"/>
        </w:rPr>
        <w:t>ACCAN has concerns that the dimension-based discount which reflect</w:t>
      </w:r>
      <w:r w:rsidR="00C94B39">
        <w:rPr>
          <w:rFonts w:eastAsia="Arial Unicode MS"/>
          <w:lang w:val="en-IE" w:eastAsia="hi-IN" w:bidi="hi-IN"/>
        </w:rPr>
        <w:t>s</w:t>
      </w:r>
      <w:r w:rsidRPr="00EF4492">
        <w:rPr>
          <w:rFonts w:eastAsia="Arial Unicode MS"/>
          <w:lang w:val="en-IE" w:eastAsia="hi-IN" w:bidi="hi-IN"/>
        </w:rPr>
        <w:t xml:space="preserve"> RSP use, may not deliver the intended impact without further visibility for consumers. </w:t>
      </w:r>
      <w:r w:rsidR="00A63BCF">
        <w:rPr>
          <w:rFonts w:eastAsia="Arial Unicode MS"/>
          <w:lang w:val="en-IE" w:eastAsia="hi-IN" w:bidi="hi-IN"/>
        </w:rPr>
        <w:t xml:space="preserve">Varying levels of provisioning by RSPs should be a competitive element of plans. </w:t>
      </w:r>
      <w:r w:rsidRPr="00EF4492">
        <w:rPr>
          <w:rFonts w:eastAsia="Arial Unicode MS"/>
          <w:lang w:val="en-IE" w:eastAsia="hi-IN" w:bidi="hi-IN"/>
        </w:rPr>
        <w:t>Consumers</w:t>
      </w:r>
      <w:r w:rsidR="00A63BCF">
        <w:rPr>
          <w:rFonts w:eastAsia="Arial Unicode MS"/>
          <w:lang w:val="en-IE" w:eastAsia="hi-IN" w:bidi="hi-IN"/>
        </w:rPr>
        <w:t>, however,</w:t>
      </w:r>
      <w:r w:rsidRPr="00EF4492">
        <w:rPr>
          <w:rFonts w:eastAsia="Arial Unicode MS"/>
          <w:lang w:val="en-IE" w:eastAsia="hi-IN" w:bidi="hi-IN"/>
        </w:rPr>
        <w:t xml:space="preserve"> will not easily see the CVC pricing that is being paid by each RSP. </w:t>
      </w:r>
      <w:r w:rsidR="00A63BCF">
        <w:rPr>
          <w:rFonts w:eastAsia="Arial Unicode MS"/>
          <w:lang w:val="en-IE" w:eastAsia="hi-IN" w:bidi="hi-IN"/>
        </w:rPr>
        <w:t xml:space="preserve">Additionally, </w:t>
      </w:r>
      <w:r w:rsidRPr="00EF4492">
        <w:rPr>
          <w:rFonts w:eastAsia="Arial Unicode MS"/>
          <w:lang w:val="en-IE" w:eastAsia="hi-IN" w:bidi="hi-IN"/>
        </w:rPr>
        <w:t xml:space="preserve">RSPs are not likely to signal to consumers that they are </w:t>
      </w:r>
      <w:r w:rsidR="00A63BCF">
        <w:rPr>
          <w:rFonts w:eastAsia="Arial Unicode MS"/>
          <w:lang w:val="en-IE" w:eastAsia="hi-IN" w:bidi="hi-IN"/>
        </w:rPr>
        <w:t>offering low</w:t>
      </w:r>
      <w:r w:rsidR="00FD534F">
        <w:rPr>
          <w:rFonts w:eastAsia="Arial Unicode MS"/>
          <w:lang w:val="en-IE" w:eastAsia="hi-IN" w:bidi="hi-IN"/>
        </w:rPr>
        <w:t>er or higher</w:t>
      </w:r>
      <w:r w:rsidR="00A63BCF">
        <w:rPr>
          <w:rFonts w:eastAsia="Arial Unicode MS"/>
          <w:lang w:val="en-IE" w:eastAsia="hi-IN" w:bidi="hi-IN"/>
        </w:rPr>
        <w:t xml:space="preserve"> performing services</w:t>
      </w:r>
      <w:r w:rsidRPr="00EF4492">
        <w:rPr>
          <w:rFonts w:eastAsia="Arial Unicode MS"/>
          <w:lang w:val="en-IE" w:eastAsia="hi-IN" w:bidi="hi-IN"/>
        </w:rPr>
        <w:t>; rather it is in their interest to signal through a high price that they are a high quality product.</w:t>
      </w:r>
      <w:r w:rsidRPr="00EF4492">
        <w:rPr>
          <w:rFonts w:eastAsia="Arial Unicode MS"/>
          <w:vertAlign w:val="superscript"/>
          <w:lang w:val="en-IE" w:eastAsia="hi-IN" w:bidi="hi-IN"/>
        </w:rPr>
        <w:footnoteReference w:id="101"/>
      </w:r>
      <w:r w:rsidRPr="00EF4492">
        <w:rPr>
          <w:rFonts w:eastAsia="Arial Unicode MS"/>
          <w:lang w:val="en-IE" w:eastAsia="hi-IN" w:bidi="hi-IN"/>
        </w:rPr>
        <w:t xml:space="preserve"> </w:t>
      </w:r>
      <w:r w:rsidR="00A63BCF">
        <w:rPr>
          <w:rFonts w:eastAsia="Arial Unicode MS"/>
          <w:lang w:val="en-IE" w:eastAsia="hi-IN" w:bidi="hi-IN"/>
        </w:rPr>
        <w:t>Visibility over the level of provisioning is likely to result in more competition than individual pricing</w:t>
      </w:r>
      <w:r w:rsidR="00FD534F">
        <w:rPr>
          <w:rFonts w:eastAsia="Arial Unicode MS"/>
          <w:lang w:val="en-IE" w:eastAsia="hi-IN" w:bidi="hi-IN"/>
        </w:rPr>
        <w:t xml:space="preserve"> discounts</w:t>
      </w:r>
      <w:r w:rsidR="00A63BCF">
        <w:rPr>
          <w:rFonts w:eastAsia="Arial Unicode MS"/>
          <w:lang w:val="en-IE" w:eastAsia="hi-IN" w:bidi="hi-IN"/>
        </w:rPr>
        <w:t>.</w:t>
      </w:r>
    </w:p>
    <w:p w14:paraId="17E36835" w14:textId="77777777" w:rsidR="00EF4492" w:rsidRPr="00EF4492" w:rsidRDefault="00EF4492" w:rsidP="006D50CA">
      <w:pPr>
        <w:pStyle w:val="Heading2"/>
        <w:rPr>
          <w:lang w:val="en-IE" w:bidi="hi-IN"/>
        </w:rPr>
      </w:pPr>
      <w:bookmarkStart w:id="52" w:name="_Toc465667635"/>
      <w:r w:rsidRPr="00EF4492">
        <w:rPr>
          <w:lang w:val="en-IE" w:bidi="hi-IN"/>
        </w:rPr>
        <w:t>Response to question 33 &amp; 34:</w:t>
      </w:r>
      <w:bookmarkEnd w:id="52"/>
      <w:r w:rsidRPr="00EF4492">
        <w:rPr>
          <w:lang w:val="en-IE" w:bidi="hi-IN"/>
        </w:rPr>
        <w:t xml:space="preserve"> </w:t>
      </w:r>
    </w:p>
    <w:p w14:paraId="0A21652A" w14:textId="77777777" w:rsidR="00EF4492" w:rsidRPr="00EF4492" w:rsidRDefault="00EF4492" w:rsidP="006D50CA">
      <w:pPr>
        <w:pStyle w:val="Blockquote2"/>
        <w:rPr>
          <w:rFonts w:eastAsia="Arial Unicode MS"/>
          <w:lang w:val="en-IE" w:bidi="hi-IN"/>
        </w:rPr>
      </w:pPr>
      <w:r w:rsidRPr="00EF4492">
        <w:rPr>
          <w:rFonts w:eastAsia="Arial Unicode MS"/>
          <w:lang w:val="en-IE" w:bidi="hi-IN"/>
        </w:rPr>
        <w:t xml:space="preserve">Are there any barriers to entry for RSPs supplying fixed-line voice and broadband services on the NBN and other next generation networks? </w:t>
      </w:r>
      <w:proofErr w:type="gramStart"/>
      <w:r w:rsidRPr="00EF4492">
        <w:rPr>
          <w:rFonts w:eastAsia="Arial Unicode MS"/>
          <w:lang w:val="en-IE" w:bidi="hi-IN"/>
        </w:rPr>
        <w:t>Or any other factors affecting the competitive supply of these services?</w:t>
      </w:r>
      <w:proofErr w:type="gramEnd"/>
      <w:r w:rsidRPr="00EF4492">
        <w:rPr>
          <w:rFonts w:eastAsia="Arial Unicode MS"/>
          <w:lang w:val="en-IE" w:bidi="hi-IN"/>
        </w:rPr>
        <w:t xml:space="preserve"> Are there any particular issues which impact smaller RSPs? </w:t>
      </w:r>
    </w:p>
    <w:p w14:paraId="3E32C0AB" w14:textId="77777777" w:rsidR="00EF4492" w:rsidRPr="00EF4492" w:rsidRDefault="00EF4492" w:rsidP="006D50CA">
      <w:pPr>
        <w:pStyle w:val="Blockquote2"/>
        <w:rPr>
          <w:rFonts w:eastAsia="Arial Unicode MS"/>
          <w:lang w:val="en-IE" w:bidi="hi-IN"/>
        </w:rPr>
      </w:pPr>
      <w:r w:rsidRPr="00EF4492">
        <w:rPr>
          <w:rFonts w:eastAsia="Arial Unicode MS"/>
          <w:lang w:val="en-IE" w:bidi="hi-IN"/>
        </w:rPr>
        <w:lastRenderedPageBreak/>
        <w:t xml:space="preserve">Are there any implications for competition, and outcomes for consumers, as a result of the presence and ongoing operation of regulated non-NBN next generation networks?  </w:t>
      </w:r>
    </w:p>
    <w:p w14:paraId="3ACBCEC6" w14:textId="4A4BFF77" w:rsidR="00EF4492" w:rsidRPr="00EF4492" w:rsidRDefault="006D50CA" w:rsidP="006D50CA">
      <w:pPr>
        <w:rPr>
          <w:rFonts w:eastAsia="Arial Unicode MS"/>
          <w:lang w:val="en-IE" w:eastAsia="hi-IN" w:bidi="hi-IN"/>
        </w:rPr>
      </w:pPr>
      <w:r w:rsidRPr="006D50CA">
        <w:rPr>
          <w:rFonts w:eastAsia="Arial Unicode MS"/>
          <w:lang w:eastAsia="hi-IN" w:bidi="hi-IN"/>
        </w:rPr>
        <w:t>ACCAN regularly hears about the effect and harm which results from being served by a monopoly network that restricts their choice and services.</w:t>
      </w:r>
      <w:r w:rsidRPr="006D50CA">
        <w:rPr>
          <w:rFonts w:eastAsia="Arial Unicode MS"/>
          <w:vertAlign w:val="superscript"/>
          <w:lang w:eastAsia="hi-IN" w:bidi="hi-IN"/>
        </w:rPr>
        <w:footnoteReference w:id="102"/>
      </w:r>
      <w:r w:rsidRPr="006D50CA">
        <w:rPr>
          <w:rFonts w:eastAsia="Arial Unicode MS"/>
          <w:lang w:eastAsia="hi-IN" w:bidi="hi-IN"/>
        </w:rPr>
        <w:t xml:space="preserve"> This includes frustration about not being able to access the range of offers available in the market, bundled plans (fixed and mobile services)</w:t>
      </w:r>
      <w:r w:rsidR="00EC7AB8" w:rsidRPr="006D50CA">
        <w:rPr>
          <w:rFonts w:eastAsia="Arial Unicode MS"/>
          <w:lang w:eastAsia="hi-IN" w:bidi="hi-IN"/>
        </w:rPr>
        <w:t>;</w:t>
      </w:r>
      <w:r w:rsidRPr="006D50CA">
        <w:rPr>
          <w:rFonts w:eastAsia="Arial Unicode MS"/>
          <w:lang w:eastAsia="hi-IN" w:bidi="hi-IN"/>
        </w:rPr>
        <w:t xml:space="preserve"> content </w:t>
      </w:r>
      <w:proofErr w:type="gramStart"/>
      <w:r w:rsidRPr="006D50CA">
        <w:rPr>
          <w:rFonts w:eastAsia="Arial Unicode MS"/>
          <w:lang w:eastAsia="hi-IN" w:bidi="hi-IN"/>
        </w:rPr>
        <w:t xml:space="preserve">that is tied to certain providers and </w:t>
      </w:r>
      <w:r w:rsidR="0029346A">
        <w:rPr>
          <w:rFonts w:eastAsia="Arial Unicode MS"/>
          <w:lang w:eastAsia="hi-IN" w:bidi="hi-IN"/>
        </w:rPr>
        <w:t>the</w:t>
      </w:r>
      <w:r w:rsidRPr="006D50CA">
        <w:rPr>
          <w:rFonts w:eastAsia="Arial Unicode MS"/>
          <w:lang w:eastAsia="hi-IN" w:bidi="hi-IN"/>
        </w:rPr>
        <w:t xml:space="preserve"> range of download and upload</w:t>
      </w:r>
      <w:proofErr w:type="gramEnd"/>
      <w:r w:rsidRPr="006D50CA">
        <w:rPr>
          <w:rFonts w:eastAsia="Arial Unicode MS"/>
          <w:lang w:eastAsia="hi-IN" w:bidi="hi-IN"/>
        </w:rPr>
        <w:t xml:space="preserve"> speeds</w:t>
      </w:r>
      <w:r w:rsidR="0029346A">
        <w:rPr>
          <w:rFonts w:eastAsia="Arial Unicode MS"/>
          <w:lang w:eastAsia="hi-IN" w:bidi="hi-IN"/>
        </w:rPr>
        <w:t xml:space="preserve"> needed</w:t>
      </w:r>
      <w:r w:rsidRPr="006D50CA">
        <w:rPr>
          <w:rFonts w:eastAsia="Arial Unicode MS"/>
          <w:lang w:eastAsia="hi-IN" w:bidi="hi-IN"/>
        </w:rPr>
        <w:t xml:space="preserve">. The level of service guaranteed, the connection and repair timeframes, the complaint systems, safeguards and the ability to compare services on offer are also important for these end users. </w:t>
      </w:r>
      <w:r w:rsidR="00EF4492" w:rsidRPr="00EF4492">
        <w:rPr>
          <w:rFonts w:eastAsia="Arial Unicode MS"/>
          <w:lang w:val="en-IE" w:eastAsia="hi-IN" w:bidi="hi-IN"/>
        </w:rPr>
        <w:t>The presence and ongoing operation of regulated non-nbn next generation networks appears to be  limiting the choice that</w:t>
      </w:r>
      <w:r w:rsidR="002902BA">
        <w:rPr>
          <w:rFonts w:eastAsia="Arial Unicode MS"/>
          <w:lang w:val="en-IE" w:eastAsia="hi-IN" w:bidi="hi-IN"/>
        </w:rPr>
        <w:t xml:space="preserve"> consumers have in RSPs. Non-NBN</w:t>
      </w:r>
      <w:r w:rsidR="00EF4492" w:rsidRPr="00EF4492">
        <w:rPr>
          <w:rFonts w:eastAsia="Arial Unicode MS"/>
          <w:lang w:val="en-IE" w:eastAsia="hi-IN" w:bidi="hi-IN"/>
        </w:rPr>
        <w:t xml:space="preserve"> networks do not have the range of RSPs that offer services over NBN. </w:t>
      </w:r>
    </w:p>
    <w:p w14:paraId="37C85819" w14:textId="34F51006" w:rsidR="00EF4492" w:rsidRPr="00EF4492" w:rsidRDefault="00EF4492" w:rsidP="006D50CA">
      <w:pPr>
        <w:rPr>
          <w:rFonts w:eastAsia="Arial Unicode MS"/>
          <w:lang w:val="en-IE" w:eastAsia="hi-IN" w:bidi="hi-IN"/>
        </w:rPr>
      </w:pPr>
      <w:r w:rsidRPr="00EF4492">
        <w:rPr>
          <w:rFonts w:eastAsia="Arial Unicode MS"/>
          <w:lang w:val="en-IE" w:eastAsia="hi-IN" w:bidi="hi-IN"/>
        </w:rPr>
        <w:t xml:space="preserve">The </w:t>
      </w:r>
      <w:proofErr w:type="gramStart"/>
      <w:r w:rsidRPr="00EF4492">
        <w:rPr>
          <w:rFonts w:eastAsia="Arial Unicode MS"/>
          <w:lang w:val="en-IE" w:eastAsia="hi-IN" w:bidi="hi-IN"/>
        </w:rPr>
        <w:t>operation of NBN and non-NBN networks operate</w:t>
      </w:r>
      <w:proofErr w:type="gramEnd"/>
      <w:r w:rsidRPr="00EF4492">
        <w:rPr>
          <w:rFonts w:eastAsia="Arial Unicode MS"/>
          <w:lang w:val="en-IE" w:eastAsia="hi-IN" w:bidi="hi-IN"/>
        </w:rPr>
        <w:t xml:space="preserve"> under a number of regulations which aim to deliver a varie</w:t>
      </w:r>
      <w:r w:rsidR="00C94B39">
        <w:rPr>
          <w:rFonts w:eastAsia="Arial Unicode MS"/>
          <w:lang w:val="en-IE" w:eastAsia="hi-IN" w:bidi="hi-IN"/>
        </w:rPr>
        <w:t>ty</w:t>
      </w:r>
      <w:r w:rsidRPr="00EF4492">
        <w:rPr>
          <w:rFonts w:eastAsia="Arial Unicode MS"/>
          <w:lang w:val="en-IE" w:eastAsia="hi-IN" w:bidi="hi-IN"/>
        </w:rPr>
        <w:t xml:space="preserve"> of outcomes.</w:t>
      </w:r>
      <w:r w:rsidRPr="00EF4492">
        <w:rPr>
          <w:rFonts w:eastAsia="Arial Unicode MS"/>
          <w:vertAlign w:val="superscript"/>
          <w:lang w:val="en-IE" w:eastAsia="hi-IN" w:bidi="hi-IN"/>
        </w:rPr>
        <w:footnoteReference w:id="103"/>
      </w:r>
      <w:r w:rsidRPr="00EF4492">
        <w:rPr>
          <w:rFonts w:eastAsia="Arial Unicode MS"/>
          <w:lang w:val="en-IE" w:eastAsia="hi-IN" w:bidi="hi-IN"/>
        </w:rPr>
        <w:t xml:space="preserve"> For consumers this can be complicated, with the number of providers, guarantees and level of service offered varying depending on which network they are connected to. RSPs are not required to operate over any of the networks, rather the regulation and legislation place</w:t>
      </w:r>
      <w:r w:rsidR="002902BA">
        <w:rPr>
          <w:rFonts w:eastAsia="Arial Unicode MS"/>
          <w:lang w:val="en-IE" w:eastAsia="hi-IN" w:bidi="hi-IN"/>
        </w:rPr>
        <w:t>s the requirement on the non-NBN</w:t>
      </w:r>
      <w:r w:rsidRPr="00EF4492">
        <w:rPr>
          <w:rFonts w:eastAsia="Arial Unicode MS"/>
          <w:lang w:val="en-IE" w:eastAsia="hi-IN" w:bidi="hi-IN"/>
        </w:rPr>
        <w:t xml:space="preserve"> network to secure a range of RSP which it offers wholesale services to. </w:t>
      </w:r>
    </w:p>
    <w:p w14:paraId="1BE88C94" w14:textId="77777777" w:rsidR="00EF4492" w:rsidRPr="00EF4492" w:rsidRDefault="00EF4492" w:rsidP="00EF4492">
      <w:pPr>
        <w:suppressAutoHyphens/>
        <w:spacing w:before="28" w:beforeAutospacing="0" w:after="28" w:afterAutospacing="0"/>
        <w:rPr>
          <w:rFonts w:eastAsia="Arial Unicode MS" w:cs="font391"/>
          <w:kern w:val="1"/>
          <w:szCs w:val="24"/>
          <w:lang w:val="en-IE" w:eastAsia="hi-IN" w:bidi="hi-IN"/>
        </w:rPr>
      </w:pPr>
    </w:p>
    <w:p w14:paraId="4365C6E8" w14:textId="77777777" w:rsidR="00EF4492" w:rsidRDefault="00EF4492" w:rsidP="00A44E78">
      <w:pPr>
        <w:pStyle w:val="Heading1"/>
        <w:rPr>
          <w:rFonts w:eastAsia="Arial Unicode MS"/>
          <w:lang w:val="en-IE" w:bidi="hi-IN"/>
        </w:rPr>
      </w:pPr>
      <w:bookmarkStart w:id="53" w:name="_Toc465667636"/>
      <w:r w:rsidRPr="00EF4492">
        <w:rPr>
          <w:rFonts w:eastAsia="Arial Unicode MS"/>
          <w:lang w:val="en-IE" w:bidi="hi-IN"/>
        </w:rPr>
        <w:lastRenderedPageBreak/>
        <w:t>Mobile voice and broadband services</w:t>
      </w:r>
      <w:bookmarkEnd w:id="53"/>
    </w:p>
    <w:p w14:paraId="328C9483" w14:textId="195636A8" w:rsidR="00222095" w:rsidRDefault="00222095" w:rsidP="00222095">
      <w:pPr>
        <w:rPr>
          <w:rFonts w:eastAsia="Arial Unicode MS"/>
          <w:lang w:val="en-IE" w:eastAsia="hi-IN" w:bidi="hi-IN"/>
        </w:rPr>
      </w:pPr>
      <w:r w:rsidRPr="0096766C">
        <w:rPr>
          <w:rFonts w:eastAsia="Arial Unicode MS"/>
          <w:lang w:val="en-IE" w:eastAsia="hi-IN" w:bidi="hi-IN"/>
        </w:rPr>
        <w:t>Mobile coverage was found to be the primary concern fo</w:t>
      </w:r>
      <w:r>
        <w:rPr>
          <w:rFonts w:eastAsia="Arial Unicode MS"/>
          <w:lang w:val="en-IE" w:eastAsia="hi-IN" w:bidi="hi-IN"/>
        </w:rPr>
        <w:t xml:space="preserve">r consumers in the Glasson, </w:t>
      </w:r>
      <w:r w:rsidRPr="0096766C">
        <w:rPr>
          <w:rFonts w:eastAsia="Arial Unicode MS"/>
          <w:lang w:val="en-IE" w:eastAsia="hi-IN" w:bidi="hi-IN"/>
        </w:rPr>
        <w:t>Sinclair</w:t>
      </w:r>
      <w:r>
        <w:rPr>
          <w:rFonts w:eastAsia="Arial Unicode MS"/>
          <w:lang w:val="en-IE" w:eastAsia="hi-IN" w:bidi="hi-IN"/>
        </w:rPr>
        <w:t xml:space="preserve"> and Shiff Regional Telecommunication</w:t>
      </w:r>
      <w:r w:rsidRPr="0096766C">
        <w:rPr>
          <w:rFonts w:eastAsia="Arial Unicode MS"/>
          <w:lang w:val="en-IE" w:eastAsia="hi-IN" w:bidi="hi-IN"/>
        </w:rPr>
        <w:t xml:space="preserve"> Review</w:t>
      </w:r>
      <w:r>
        <w:rPr>
          <w:rFonts w:eastAsia="Arial Unicode MS"/>
          <w:lang w:val="en-IE" w:eastAsia="hi-IN" w:bidi="hi-IN"/>
        </w:rPr>
        <w:t>s</w:t>
      </w:r>
      <w:r w:rsidRPr="0096766C">
        <w:rPr>
          <w:rFonts w:eastAsia="Arial Unicode MS"/>
          <w:lang w:val="en-IE" w:eastAsia="hi-IN" w:bidi="hi-IN"/>
        </w:rPr>
        <w:t>. The ACMA reported that regional consumers were more likely to be mobile only</w:t>
      </w:r>
      <w:r>
        <w:rPr>
          <w:rFonts w:eastAsia="Arial Unicode MS"/>
          <w:lang w:val="en-IE" w:eastAsia="hi-IN" w:bidi="hi-IN"/>
        </w:rPr>
        <w:t>,</w:t>
      </w:r>
      <w:r w:rsidRPr="00E237D3">
        <w:rPr>
          <w:rFonts w:eastAsia="Arial Unicode MS"/>
          <w:lang w:val="en-IE" w:eastAsia="hi-IN" w:bidi="hi-IN"/>
        </w:rPr>
        <w:t xml:space="preserve"> </w:t>
      </w:r>
      <w:r w:rsidRPr="0096766C">
        <w:rPr>
          <w:rFonts w:eastAsia="Arial Unicode MS"/>
          <w:lang w:val="en-IE" w:eastAsia="hi-IN" w:bidi="hi-IN"/>
        </w:rPr>
        <w:t>that 15% of consumers in regional areas are exclusively mobile users. This is greater than the capital city figure of 10% of consumers.</w:t>
      </w:r>
      <w:r>
        <w:rPr>
          <w:rStyle w:val="FootnoteReference"/>
          <w:rFonts w:eastAsia="Arial Unicode MS" w:cs="Calibri"/>
          <w:kern w:val="1"/>
          <w:szCs w:val="24"/>
          <w:lang w:val="en-IE" w:eastAsia="hi-IN" w:bidi="hi-IN"/>
        </w:rPr>
        <w:footnoteReference w:id="104"/>
      </w:r>
      <w:r>
        <w:rPr>
          <w:rFonts w:eastAsia="Arial Unicode MS"/>
          <w:lang w:val="en-IE" w:eastAsia="hi-IN" w:bidi="hi-IN"/>
        </w:rPr>
        <w:t xml:space="preserve"> </w:t>
      </w:r>
      <w:r w:rsidRPr="0096766C">
        <w:rPr>
          <w:rFonts w:eastAsia="Arial Unicode MS"/>
          <w:lang w:val="en-IE" w:eastAsia="hi-IN" w:bidi="hi-IN"/>
        </w:rPr>
        <w:t>If</w:t>
      </w:r>
      <w:r>
        <w:rPr>
          <w:rFonts w:eastAsia="Arial Unicode MS"/>
          <w:lang w:val="en-IE" w:eastAsia="hi-IN" w:bidi="hi-IN"/>
        </w:rPr>
        <w:t xml:space="preserve"> mobile</w:t>
      </w:r>
      <w:r w:rsidRPr="0096766C">
        <w:rPr>
          <w:rFonts w:eastAsia="Arial Unicode MS"/>
          <w:lang w:val="en-IE" w:eastAsia="hi-IN" w:bidi="hi-IN"/>
        </w:rPr>
        <w:t xml:space="preserve"> </w:t>
      </w:r>
      <w:r>
        <w:rPr>
          <w:rFonts w:eastAsia="Arial Unicode MS"/>
          <w:lang w:val="en-IE" w:eastAsia="hi-IN" w:bidi="hi-IN"/>
        </w:rPr>
        <w:t xml:space="preserve">coverage and competition </w:t>
      </w:r>
      <w:r w:rsidRPr="0096766C">
        <w:rPr>
          <w:rFonts w:eastAsia="Arial Unicode MS"/>
          <w:lang w:val="en-IE" w:eastAsia="hi-IN" w:bidi="hi-IN"/>
        </w:rPr>
        <w:t xml:space="preserve">were available more extensively in regional areas then consumers are likely to benefit. </w:t>
      </w:r>
    </w:p>
    <w:p w14:paraId="562A4473" w14:textId="71F93E8D" w:rsidR="00222095" w:rsidRDefault="00222095" w:rsidP="00222095">
      <w:pPr>
        <w:rPr>
          <w:rFonts w:eastAsia="Arial Unicode MS"/>
          <w:lang w:val="en-IE" w:eastAsia="hi-IN" w:bidi="hi-IN"/>
        </w:rPr>
      </w:pPr>
      <w:r w:rsidRPr="0096766C">
        <w:rPr>
          <w:rFonts w:eastAsia="Arial Unicode MS"/>
          <w:lang w:val="en-IE" w:eastAsia="hi-IN" w:bidi="hi-IN"/>
        </w:rPr>
        <w:t>The Mobile Black Spot Program</w:t>
      </w:r>
      <w:r>
        <w:rPr>
          <w:rFonts w:eastAsia="Arial Unicode MS"/>
          <w:lang w:val="en-IE" w:eastAsia="hi-IN" w:bidi="hi-IN"/>
        </w:rPr>
        <w:t>me</w:t>
      </w:r>
      <w:r w:rsidRPr="0096766C">
        <w:rPr>
          <w:rFonts w:eastAsia="Arial Unicode MS"/>
          <w:lang w:val="en-IE" w:eastAsia="hi-IN" w:bidi="hi-IN"/>
        </w:rPr>
        <w:t xml:space="preserve"> (MBSP)</w:t>
      </w:r>
      <w:r>
        <w:rPr>
          <w:rFonts w:eastAsia="Arial Unicode MS"/>
          <w:lang w:val="en-IE" w:eastAsia="hi-IN" w:bidi="hi-IN"/>
        </w:rPr>
        <w:t xml:space="preserve"> </w:t>
      </w:r>
      <w:r w:rsidRPr="0096766C">
        <w:rPr>
          <w:rFonts w:eastAsia="Arial Unicode MS"/>
          <w:lang w:val="en-IE" w:eastAsia="hi-IN" w:bidi="hi-IN"/>
        </w:rPr>
        <w:t xml:space="preserve">will improve coverage for </w:t>
      </w:r>
      <w:r>
        <w:rPr>
          <w:rFonts w:eastAsia="Arial Unicode MS"/>
          <w:lang w:val="en-IE" w:eastAsia="hi-IN" w:bidi="hi-IN"/>
        </w:rPr>
        <w:t>some</w:t>
      </w:r>
      <w:r w:rsidRPr="0096766C">
        <w:rPr>
          <w:rFonts w:eastAsia="Arial Unicode MS"/>
          <w:lang w:val="en-IE" w:eastAsia="hi-IN" w:bidi="hi-IN"/>
        </w:rPr>
        <w:t xml:space="preserve"> consumers</w:t>
      </w:r>
      <w:r>
        <w:rPr>
          <w:rFonts w:eastAsia="Arial Unicode MS"/>
          <w:lang w:val="en-IE" w:eastAsia="hi-IN" w:bidi="hi-IN"/>
        </w:rPr>
        <w:t>; however it has not resulted in as much coverage expansion as expected.</w:t>
      </w:r>
      <w:r>
        <w:rPr>
          <w:rStyle w:val="FootnoteReference"/>
          <w:rFonts w:eastAsia="Arial Unicode MS" w:cs="Calibri"/>
          <w:kern w:val="1"/>
          <w:szCs w:val="24"/>
          <w:lang w:val="en-IE" w:eastAsia="hi-IN" w:bidi="hi-IN"/>
        </w:rPr>
        <w:footnoteReference w:id="105"/>
      </w:r>
      <w:r>
        <w:rPr>
          <w:rFonts w:eastAsia="Arial Unicode MS"/>
          <w:lang w:val="en-IE" w:eastAsia="hi-IN" w:bidi="hi-IN"/>
        </w:rPr>
        <w:t xml:space="preserve"> Additionally, </w:t>
      </w:r>
      <w:r w:rsidRPr="0096766C">
        <w:rPr>
          <w:rFonts w:eastAsia="Arial Unicode MS"/>
          <w:lang w:val="en-IE" w:eastAsia="hi-IN" w:bidi="hi-IN"/>
        </w:rPr>
        <w:t xml:space="preserve">such a program will not address all consumers’ needs. Funding from round one and two will not address </w:t>
      </w:r>
      <w:r>
        <w:rPr>
          <w:rFonts w:eastAsia="Arial Unicode MS"/>
          <w:lang w:val="en-IE" w:eastAsia="hi-IN" w:bidi="hi-IN"/>
        </w:rPr>
        <w:t xml:space="preserve">the less economical regional and remote </w:t>
      </w:r>
      <w:r w:rsidRPr="0096766C">
        <w:rPr>
          <w:rFonts w:eastAsia="Arial Unicode MS"/>
          <w:lang w:val="en-IE" w:eastAsia="hi-IN" w:bidi="hi-IN"/>
        </w:rPr>
        <w:t xml:space="preserve">black spots identified. Furthermore it </w:t>
      </w:r>
      <w:r w:rsidR="00C94B39">
        <w:rPr>
          <w:rFonts w:eastAsia="Arial Unicode MS"/>
          <w:lang w:val="en-IE" w:eastAsia="hi-IN" w:bidi="hi-IN"/>
        </w:rPr>
        <w:t xml:space="preserve">is </w:t>
      </w:r>
      <w:r w:rsidRPr="0096766C">
        <w:rPr>
          <w:rFonts w:eastAsia="Arial Unicode MS"/>
          <w:lang w:val="en-IE" w:eastAsia="hi-IN" w:bidi="hi-IN"/>
        </w:rPr>
        <w:t xml:space="preserve">likely that </w:t>
      </w:r>
      <w:r>
        <w:rPr>
          <w:rFonts w:eastAsia="Arial Unicode MS"/>
          <w:lang w:val="en-IE" w:eastAsia="hi-IN" w:bidi="hi-IN"/>
        </w:rPr>
        <w:t xml:space="preserve">the lack of </w:t>
      </w:r>
      <w:r w:rsidRPr="0096766C">
        <w:rPr>
          <w:rFonts w:eastAsia="Arial Unicode MS"/>
          <w:lang w:val="en-IE" w:eastAsia="hi-IN" w:bidi="hi-IN"/>
        </w:rPr>
        <w:t>backhaul to the proposed locations will increasingly become an issue</w:t>
      </w:r>
      <w:r>
        <w:rPr>
          <w:rFonts w:eastAsia="Arial Unicode MS"/>
          <w:lang w:val="en-IE" w:eastAsia="hi-IN" w:bidi="hi-IN"/>
        </w:rPr>
        <w:t xml:space="preserve"> and reduce the likelihood of further extensions. </w:t>
      </w:r>
      <w:r w:rsidRPr="0096766C">
        <w:rPr>
          <w:rFonts w:eastAsia="Arial Unicode MS"/>
          <w:lang w:val="en-IE" w:eastAsia="hi-IN" w:bidi="hi-IN"/>
        </w:rPr>
        <w:t>It is likely that the MBSP will end b</w:t>
      </w:r>
      <w:r>
        <w:rPr>
          <w:rFonts w:eastAsia="Arial Unicode MS"/>
          <w:lang w:val="en-IE" w:eastAsia="hi-IN" w:bidi="hi-IN"/>
        </w:rPr>
        <w:t>efore all premises have coverage</w:t>
      </w:r>
      <w:r w:rsidRPr="0096766C">
        <w:rPr>
          <w:rFonts w:eastAsia="Arial Unicode MS"/>
          <w:lang w:val="en-IE" w:eastAsia="hi-IN" w:bidi="hi-IN"/>
        </w:rPr>
        <w:t xml:space="preserve">. </w:t>
      </w:r>
      <w:r>
        <w:rPr>
          <w:rFonts w:eastAsia="Arial Unicode MS"/>
          <w:lang w:val="en-IE" w:eastAsia="hi-IN" w:bidi="hi-IN"/>
        </w:rPr>
        <w:t>Programs that encourage</w:t>
      </w:r>
      <w:r w:rsidR="00C94B39">
        <w:rPr>
          <w:rFonts w:eastAsia="Arial Unicode MS"/>
          <w:lang w:val="en-IE" w:eastAsia="hi-IN" w:bidi="hi-IN"/>
        </w:rPr>
        <w:t>,</w:t>
      </w:r>
      <w:r>
        <w:rPr>
          <w:rFonts w:eastAsia="Arial Unicode MS"/>
          <w:lang w:val="en-IE" w:eastAsia="hi-IN" w:bidi="hi-IN"/>
        </w:rPr>
        <w:t xml:space="preserve"> and funding</w:t>
      </w:r>
      <w:r w:rsidR="00C94B39">
        <w:rPr>
          <w:rFonts w:eastAsia="Arial Unicode MS"/>
          <w:lang w:val="en-IE" w:eastAsia="hi-IN" w:bidi="hi-IN"/>
        </w:rPr>
        <w:t xml:space="preserve"> for,</w:t>
      </w:r>
      <w:r>
        <w:rPr>
          <w:rFonts w:eastAsia="Arial Unicode MS"/>
          <w:lang w:val="en-IE" w:eastAsia="hi-IN" w:bidi="hi-IN"/>
        </w:rPr>
        <w:t xml:space="preserve"> increased coverage are needed. </w:t>
      </w:r>
      <w:r w:rsidR="00EF50C4">
        <w:rPr>
          <w:rFonts w:eastAsia="Arial Unicode MS"/>
          <w:lang w:val="en-IE" w:eastAsia="hi-IN" w:bidi="hi-IN"/>
        </w:rPr>
        <w:t>T</w:t>
      </w:r>
      <w:r>
        <w:rPr>
          <w:rFonts w:eastAsia="Arial Unicode MS"/>
          <w:lang w:val="en-IE" w:eastAsia="hi-IN" w:bidi="hi-IN"/>
        </w:rPr>
        <w:t xml:space="preserve">his funding should ensure that the technology is </w:t>
      </w:r>
      <w:r w:rsidR="00EF50C4">
        <w:rPr>
          <w:rFonts w:eastAsia="Arial Unicode MS"/>
          <w:lang w:val="en-IE" w:eastAsia="hi-IN" w:bidi="hi-IN"/>
        </w:rPr>
        <w:t xml:space="preserve">available on an </w:t>
      </w:r>
      <w:r>
        <w:rPr>
          <w:rFonts w:eastAsia="Arial Unicode MS"/>
          <w:lang w:val="en-IE" w:eastAsia="hi-IN" w:bidi="hi-IN"/>
        </w:rPr>
        <w:t xml:space="preserve">open access </w:t>
      </w:r>
      <w:r w:rsidR="00422946">
        <w:rPr>
          <w:rFonts w:eastAsia="Arial Unicode MS"/>
          <w:lang w:val="en-IE" w:eastAsia="hi-IN" w:bidi="hi-IN"/>
        </w:rPr>
        <w:t>bas</w:t>
      </w:r>
      <w:r w:rsidR="00BF4CB5">
        <w:rPr>
          <w:rFonts w:eastAsia="Arial Unicode MS"/>
          <w:lang w:val="en-IE" w:eastAsia="hi-IN" w:bidi="hi-IN"/>
        </w:rPr>
        <w:t>ed</w:t>
      </w:r>
      <w:r w:rsidR="00422946">
        <w:rPr>
          <w:rFonts w:eastAsia="Arial Unicode MS"/>
          <w:lang w:val="en-IE" w:eastAsia="hi-IN" w:bidi="hi-IN"/>
        </w:rPr>
        <w:t xml:space="preserve"> </w:t>
      </w:r>
      <w:r>
        <w:rPr>
          <w:rFonts w:eastAsia="Arial Unicode MS"/>
          <w:lang w:val="en-IE" w:eastAsia="hi-IN" w:bidi="hi-IN"/>
        </w:rPr>
        <w:t xml:space="preserve">to ensure that competition is not impacted. </w:t>
      </w:r>
    </w:p>
    <w:p w14:paraId="2E90C7F8" w14:textId="77777777" w:rsidR="00222095" w:rsidRPr="00222095" w:rsidRDefault="00422946" w:rsidP="00222095">
      <w:pPr>
        <w:rPr>
          <w:rFonts w:eastAsia="Arial Unicode MS"/>
          <w:lang w:val="en-IE" w:eastAsia="hi-IN" w:bidi="hi-IN"/>
        </w:rPr>
      </w:pPr>
      <w:r>
        <w:rPr>
          <w:rFonts w:eastAsia="Arial Unicode MS"/>
          <w:lang w:val="en-IE" w:eastAsia="hi-IN" w:bidi="hi-IN"/>
        </w:rPr>
        <w:t>Choice of provider is important for consumers. While the population difference between the networks is small, the resulting population and areas that do not have access to a range of providers is significant. MVNOs have had a positive impact for consumers in</w:t>
      </w:r>
      <w:r w:rsidR="00BF4CB5">
        <w:rPr>
          <w:rFonts w:eastAsia="Arial Unicode MS"/>
          <w:lang w:val="en-IE" w:eastAsia="hi-IN" w:bidi="hi-IN"/>
        </w:rPr>
        <w:t xml:space="preserve"> expanding</w:t>
      </w:r>
      <w:r>
        <w:rPr>
          <w:rFonts w:eastAsia="Arial Unicode MS"/>
          <w:lang w:val="en-IE" w:eastAsia="hi-IN" w:bidi="hi-IN"/>
        </w:rPr>
        <w:t xml:space="preserve"> choice of </w:t>
      </w:r>
      <w:proofErr w:type="gramStart"/>
      <w:r>
        <w:rPr>
          <w:rFonts w:eastAsia="Arial Unicode MS"/>
          <w:lang w:val="en-IE" w:eastAsia="hi-IN" w:bidi="hi-IN"/>
        </w:rPr>
        <w:t>providers,</w:t>
      </w:r>
      <w:proofErr w:type="gramEnd"/>
      <w:r>
        <w:rPr>
          <w:rFonts w:eastAsia="Arial Unicode MS"/>
          <w:lang w:val="en-IE" w:eastAsia="hi-IN" w:bidi="hi-IN"/>
        </w:rPr>
        <w:t xml:space="preserve"> however, we are aware that there are varying agreements between the MNOs and MVNOs in relation to the network that they are able to access. This can be confusing for consumers and difficult to understand where the service will work. </w:t>
      </w:r>
    </w:p>
    <w:p w14:paraId="035446EB" w14:textId="77777777" w:rsidR="00EF4492" w:rsidRPr="00EF4492" w:rsidRDefault="00EF4492" w:rsidP="00A44E78">
      <w:pPr>
        <w:pStyle w:val="Heading2"/>
        <w:rPr>
          <w:lang w:val="en-IE" w:bidi="hi-IN"/>
        </w:rPr>
      </w:pPr>
      <w:bookmarkStart w:id="54" w:name="_Toc465667637"/>
      <w:r w:rsidRPr="00EF4492">
        <w:rPr>
          <w:lang w:val="en-IE" w:bidi="hi-IN"/>
        </w:rPr>
        <w:t>Response to question 40:</w:t>
      </w:r>
      <w:bookmarkEnd w:id="54"/>
    </w:p>
    <w:p w14:paraId="53316655" w14:textId="77777777" w:rsidR="00EF4492" w:rsidRPr="00EF4492" w:rsidRDefault="00EF4492" w:rsidP="00A44E78">
      <w:pPr>
        <w:pStyle w:val="Blockquote2"/>
        <w:rPr>
          <w:rFonts w:eastAsia="Arial Unicode MS"/>
          <w:lang w:val="en-IE" w:bidi="hi-IN"/>
        </w:rPr>
      </w:pPr>
      <w:r w:rsidRPr="00EF4492">
        <w:rPr>
          <w:rFonts w:eastAsia="Arial Unicode MS"/>
          <w:lang w:val="en-IE" w:bidi="hi-IN"/>
        </w:rPr>
        <w:t>Are there other competitive issues in the mobile services market?</w:t>
      </w:r>
    </w:p>
    <w:p w14:paraId="292FB73B" w14:textId="77777777" w:rsidR="00EF4492" w:rsidRPr="00EF4492" w:rsidRDefault="00EF4492" w:rsidP="00A44E78">
      <w:pPr>
        <w:rPr>
          <w:rFonts w:eastAsia="Arial Unicode MS"/>
          <w:lang w:val="en-IE" w:eastAsia="hi-IN" w:bidi="hi-IN"/>
        </w:rPr>
      </w:pPr>
      <w:r w:rsidRPr="00EF4492">
        <w:rPr>
          <w:rFonts w:eastAsia="Arial Unicode MS"/>
          <w:lang w:val="en-IE" w:eastAsia="hi-IN" w:bidi="hi-IN"/>
        </w:rPr>
        <w:t>Recent developments in mobile service portability has both helped and hindered competition in the sector. To date, if a consumer wished to acquire a new mobile service, they had to purchase a new SIM card from a particular carrier. The consumer would either have to purchase a SIM card at a retail outlet or wait for a SIM card to arrive in the mail. However new technology has removed this need.</w:t>
      </w:r>
    </w:p>
    <w:p w14:paraId="26950F94" w14:textId="6F7722C8" w:rsidR="00A44E78" w:rsidRDefault="00EF4492" w:rsidP="00A44E78">
      <w:pPr>
        <w:rPr>
          <w:rFonts w:eastAsia="Arial Unicode MS"/>
          <w:lang w:val="en-IE" w:eastAsia="hi-IN" w:bidi="hi-IN"/>
        </w:rPr>
      </w:pPr>
      <w:r w:rsidRPr="00EF4492">
        <w:rPr>
          <w:rFonts w:eastAsia="Arial Unicode MS"/>
          <w:lang w:val="en-IE" w:eastAsia="hi-IN" w:bidi="hi-IN"/>
        </w:rPr>
        <w:t xml:space="preserve">Apple ships some iPads in Australia with an “Apple SIM”. This is a physical generic SIM card that allows consumers to sign up for a data plan on the device. </w:t>
      </w:r>
      <w:r w:rsidR="00BF4CB5">
        <w:rPr>
          <w:rFonts w:eastAsia="Arial Unicode MS"/>
          <w:lang w:val="en-IE" w:eastAsia="hi-IN" w:bidi="hi-IN"/>
        </w:rPr>
        <w:t>In addition</w:t>
      </w:r>
      <w:r w:rsidRPr="00EF4492">
        <w:rPr>
          <w:rFonts w:eastAsia="Arial Unicode MS"/>
          <w:lang w:val="en-IE" w:eastAsia="hi-IN" w:bidi="hi-IN"/>
        </w:rPr>
        <w:t xml:space="preserve">, manufacturers have begun to adopt embedded SIM (e-SIM) technology. </w:t>
      </w:r>
      <w:r w:rsidR="002902BA" w:rsidRPr="00EF4492">
        <w:rPr>
          <w:rFonts w:eastAsia="Arial Unicode MS"/>
          <w:lang w:val="en-IE" w:eastAsia="hi-IN" w:bidi="hi-IN"/>
        </w:rPr>
        <w:t>E-SIMs</w:t>
      </w:r>
      <w:r w:rsidRPr="00EF4492">
        <w:rPr>
          <w:rFonts w:eastAsia="Arial Unicode MS"/>
          <w:lang w:val="en-IE" w:eastAsia="hi-IN" w:bidi="hi-IN"/>
        </w:rPr>
        <w:t xml:space="preserve"> are not physical SIMs, but are incorporated into the hardware of the phone. This allows consumers to activate or switch carriers for mobile or mobile broadband service without having to purchase a </w:t>
      </w:r>
      <w:r w:rsidRPr="00EF4492">
        <w:rPr>
          <w:rFonts w:eastAsia="Arial Unicode MS"/>
          <w:lang w:val="en-IE" w:eastAsia="hi-IN" w:bidi="hi-IN"/>
        </w:rPr>
        <w:lastRenderedPageBreak/>
        <w:t xml:space="preserve">physical </w:t>
      </w:r>
      <w:r w:rsidR="00FE0B29" w:rsidRPr="00EF4492">
        <w:rPr>
          <w:rFonts w:eastAsia="Arial Unicode MS"/>
          <w:lang w:val="en-IE" w:eastAsia="hi-IN" w:bidi="hi-IN"/>
        </w:rPr>
        <w:t>SIM card</w:t>
      </w:r>
      <w:r w:rsidRPr="00EF4492">
        <w:rPr>
          <w:rFonts w:eastAsia="Arial Unicode MS"/>
          <w:lang w:val="en-IE" w:eastAsia="hi-IN" w:bidi="hi-IN"/>
        </w:rPr>
        <w:t>. There is also potential flexibility to allow the customer to have multiple services on the same device (although it is not clear if whether they can be used simultaneously).</w:t>
      </w:r>
    </w:p>
    <w:p w14:paraId="3F835CA2" w14:textId="77777777" w:rsidR="00EF4492" w:rsidRPr="00EF4492" w:rsidRDefault="00EF4492" w:rsidP="00A44E78">
      <w:pPr>
        <w:rPr>
          <w:rFonts w:eastAsia="Arial Unicode MS"/>
          <w:lang w:val="en-IE" w:eastAsia="hi-IN" w:bidi="hi-IN"/>
        </w:rPr>
      </w:pPr>
      <w:r w:rsidRPr="00EF4492">
        <w:rPr>
          <w:rFonts w:eastAsia="Arial Unicode MS"/>
          <w:lang w:val="en-IE" w:eastAsia="hi-IN" w:bidi="hi-IN"/>
        </w:rPr>
        <w:t>However</w:t>
      </w:r>
      <w:r w:rsidR="00422946">
        <w:rPr>
          <w:rFonts w:eastAsia="Arial Unicode MS"/>
          <w:lang w:val="en-IE" w:eastAsia="hi-IN" w:bidi="hi-IN"/>
        </w:rPr>
        <w:t>,</w:t>
      </w:r>
      <w:r w:rsidRPr="00EF4492">
        <w:rPr>
          <w:rFonts w:eastAsia="Arial Unicode MS"/>
          <w:lang w:val="en-IE" w:eastAsia="hi-IN" w:bidi="hi-IN"/>
        </w:rPr>
        <w:t xml:space="preserve"> there are clear competition issues, with the e-SIM and Apple SIM models.  In Australia, consumers can only select a plan with Optus, Vodafone and Telstra.</w:t>
      </w:r>
      <w:r w:rsidRPr="00EF4492">
        <w:rPr>
          <w:rFonts w:eastAsia="Arial Unicode MS"/>
          <w:vertAlign w:val="superscript"/>
          <w:lang w:val="en-IE" w:eastAsia="hi-IN" w:bidi="hi-IN"/>
        </w:rPr>
        <w:footnoteReference w:id="106"/>
      </w:r>
      <w:r w:rsidRPr="00EF4492">
        <w:rPr>
          <w:rFonts w:eastAsia="Arial Unicode MS"/>
          <w:lang w:val="en-IE" w:eastAsia="hi-IN" w:bidi="hi-IN"/>
        </w:rPr>
        <w:t xml:space="preserve"> Consumers cannot sign up for a service with any MVNOs. Faced with a shiny new device, a consumer is much more likely to want to buy a service then and there rather than wait to buy a SIM card.   While it is not the regulator’s responsibility to require free advertising for all services in every sector, there are some cases where product placement and convenience will have an anti-competitive effect if not offered to all services.  We believe this is one such case. </w:t>
      </w:r>
    </w:p>
    <w:p w14:paraId="7833CB4E" w14:textId="77777777" w:rsidR="00EF4492" w:rsidRPr="00EF4492" w:rsidRDefault="00EF4492" w:rsidP="00A44E78">
      <w:pPr>
        <w:pStyle w:val="Heading1"/>
        <w:rPr>
          <w:rFonts w:eastAsia="Arial Unicode MS"/>
          <w:lang w:val="en-IE" w:bidi="hi-IN"/>
        </w:rPr>
      </w:pPr>
      <w:bookmarkStart w:id="55" w:name="_Toc465667638"/>
      <w:r w:rsidRPr="00EF4492">
        <w:rPr>
          <w:rFonts w:eastAsia="Arial Unicode MS"/>
          <w:lang w:val="en-IE" w:bidi="hi-IN"/>
        </w:rPr>
        <w:lastRenderedPageBreak/>
        <w:t>Interaction between fixed line and mobile services</w:t>
      </w:r>
      <w:bookmarkEnd w:id="55"/>
    </w:p>
    <w:p w14:paraId="760B6785" w14:textId="77777777" w:rsidR="00EF4492" w:rsidRPr="00EF4492" w:rsidRDefault="00EF4492" w:rsidP="00A44E78">
      <w:pPr>
        <w:pStyle w:val="Heading2"/>
        <w:rPr>
          <w:lang w:val="en-IE" w:bidi="hi-IN"/>
        </w:rPr>
      </w:pPr>
      <w:bookmarkStart w:id="56" w:name="_Toc465667639"/>
      <w:r w:rsidRPr="00EF4492">
        <w:rPr>
          <w:lang w:val="en-IE" w:bidi="hi-IN"/>
        </w:rPr>
        <w:t>Response to question 52:</w:t>
      </w:r>
      <w:bookmarkEnd w:id="56"/>
    </w:p>
    <w:p w14:paraId="2E8F40A5" w14:textId="77777777" w:rsidR="00EF4492" w:rsidRPr="00EF4492" w:rsidRDefault="00EF4492" w:rsidP="00A44E78">
      <w:pPr>
        <w:pStyle w:val="Blockquote2"/>
        <w:rPr>
          <w:rFonts w:eastAsia="Arial Unicode MS"/>
          <w:lang w:val="en-IE" w:bidi="hi-IN"/>
        </w:rPr>
      </w:pPr>
      <w:r w:rsidRPr="00EF4492">
        <w:rPr>
          <w:rFonts w:eastAsia="Arial Unicode MS"/>
          <w:lang w:val="en-IE" w:bidi="hi-IN"/>
        </w:rPr>
        <w:t xml:space="preserve">What factors influence consumers’ choice of communications platform, and how are these changing? Please provide details and examples. </w:t>
      </w:r>
    </w:p>
    <w:p w14:paraId="48AFC000" w14:textId="234FF322" w:rsidR="00EF4492" w:rsidRPr="00EF4492" w:rsidRDefault="00EF4492" w:rsidP="00A44E78">
      <w:pPr>
        <w:rPr>
          <w:rFonts w:eastAsia="Arial Unicode MS"/>
          <w:lang w:val="en-IE" w:eastAsia="hi-IN" w:bidi="hi-IN"/>
        </w:rPr>
      </w:pPr>
      <w:r w:rsidRPr="00EF4492">
        <w:rPr>
          <w:rFonts w:eastAsia="Arial Unicode MS"/>
          <w:lang w:val="en-IE" w:eastAsia="hi-IN" w:bidi="hi-IN"/>
        </w:rPr>
        <w:t xml:space="preserve">Largely the choice of communications platform is influenced by capacity allowance and coverage of the technology. Until recently mobile platforms only allowed very small amounts of data and were priced at higher </w:t>
      </w:r>
      <w:r w:rsidR="007A0C03">
        <w:rPr>
          <w:rFonts w:eastAsia="Arial Unicode MS"/>
          <w:lang w:val="en-IE" w:eastAsia="hi-IN" w:bidi="hi-IN"/>
        </w:rPr>
        <w:t>rate</w:t>
      </w:r>
      <w:r w:rsidRPr="00EF4492">
        <w:rPr>
          <w:rFonts w:eastAsia="Arial Unicode MS"/>
          <w:lang w:val="en-IE" w:eastAsia="hi-IN" w:bidi="hi-IN"/>
        </w:rPr>
        <w:t xml:space="preserve"> tha</w:t>
      </w:r>
      <w:r w:rsidR="007A0C03">
        <w:rPr>
          <w:rFonts w:eastAsia="Arial Unicode MS"/>
          <w:lang w:val="en-IE" w:eastAsia="hi-IN" w:bidi="hi-IN"/>
        </w:rPr>
        <w:t>n</w:t>
      </w:r>
      <w:r w:rsidRPr="00EF4492">
        <w:rPr>
          <w:rFonts w:eastAsia="Arial Unicode MS"/>
          <w:lang w:val="en-IE" w:eastAsia="hi-IN" w:bidi="hi-IN"/>
        </w:rPr>
        <w:t xml:space="preserve"> fixed line. This is </w:t>
      </w:r>
      <w:r w:rsidR="007A0C03">
        <w:rPr>
          <w:rFonts w:eastAsia="Arial Unicode MS"/>
          <w:lang w:val="en-IE" w:eastAsia="hi-IN" w:bidi="hi-IN"/>
        </w:rPr>
        <w:t xml:space="preserve">beginning to </w:t>
      </w:r>
      <w:r w:rsidRPr="00EF4492">
        <w:rPr>
          <w:rFonts w:eastAsia="Arial Unicode MS"/>
          <w:lang w:val="en-IE" w:eastAsia="hi-IN" w:bidi="hi-IN"/>
        </w:rPr>
        <w:t>chang</w:t>
      </w:r>
      <w:r w:rsidR="007A0C03">
        <w:rPr>
          <w:rFonts w:eastAsia="Arial Unicode MS"/>
          <w:lang w:val="en-IE" w:eastAsia="hi-IN" w:bidi="hi-IN"/>
        </w:rPr>
        <w:t>e</w:t>
      </w:r>
      <w:r w:rsidRPr="00EF4492">
        <w:rPr>
          <w:rFonts w:eastAsia="Arial Unicode MS"/>
          <w:lang w:val="en-IE" w:eastAsia="hi-IN" w:bidi="hi-IN"/>
        </w:rPr>
        <w:t xml:space="preserve"> with increased data available on mobile plans. Most recently, Optus released a 200GB home wireless plan for $80 a month which would be sufficient for the average household </w:t>
      </w:r>
      <w:r w:rsidR="002902BA">
        <w:rPr>
          <w:rFonts w:eastAsia="Arial Unicode MS"/>
          <w:lang w:val="en-IE" w:eastAsia="hi-IN" w:bidi="hi-IN"/>
        </w:rPr>
        <w:t xml:space="preserve">usage </w:t>
      </w:r>
      <w:r w:rsidRPr="00EF4492">
        <w:rPr>
          <w:rFonts w:eastAsia="Arial Unicode MS"/>
          <w:lang w:val="en-IE" w:eastAsia="hi-IN" w:bidi="hi-IN"/>
        </w:rPr>
        <w:t>currently and compare with fixed line offerings.</w:t>
      </w:r>
      <w:r w:rsidR="007A0C03">
        <w:rPr>
          <w:rStyle w:val="FootnoteReference"/>
          <w:rFonts w:eastAsia="Arial Unicode MS"/>
          <w:lang w:val="en-IE" w:eastAsia="hi-IN" w:bidi="hi-IN"/>
        </w:rPr>
        <w:footnoteReference w:id="107"/>
      </w:r>
      <w:r w:rsidR="007A0C03">
        <w:rPr>
          <w:rFonts w:eastAsia="Arial Unicode MS"/>
          <w:lang w:val="en-IE" w:eastAsia="hi-IN" w:bidi="hi-IN"/>
        </w:rPr>
        <w:t xml:space="preserve"> </w:t>
      </w:r>
      <w:r w:rsidRPr="00EF4492">
        <w:rPr>
          <w:rFonts w:eastAsia="Arial Unicode MS"/>
          <w:lang w:val="en-IE" w:eastAsia="hi-IN" w:bidi="hi-IN"/>
        </w:rPr>
        <w:t>Likewise other platforms, such as fixed wireless and mobile solutions, are geographically restricted to certain areas.</w:t>
      </w:r>
    </w:p>
    <w:p w14:paraId="19659379" w14:textId="4D2F2C9A" w:rsidR="00EF4492" w:rsidRPr="00EF4492" w:rsidRDefault="007A0C03" w:rsidP="00A44E78">
      <w:pPr>
        <w:rPr>
          <w:rFonts w:eastAsia="Arial Unicode MS"/>
          <w:lang w:val="en-IE" w:eastAsia="hi-IN" w:bidi="hi-IN"/>
        </w:rPr>
      </w:pPr>
      <w:r>
        <w:rPr>
          <w:rFonts w:eastAsia="Arial Unicode MS"/>
          <w:lang w:val="en-IE" w:eastAsia="hi-IN" w:bidi="hi-IN"/>
        </w:rPr>
        <w:t xml:space="preserve">The quality and reliability of voice services is also likely to affect </w:t>
      </w:r>
      <w:r w:rsidR="00EC7AB8">
        <w:rPr>
          <w:rFonts w:eastAsia="Arial Unicode MS"/>
          <w:lang w:val="en-IE" w:eastAsia="hi-IN" w:bidi="hi-IN"/>
        </w:rPr>
        <w:t>consumer’s</w:t>
      </w:r>
      <w:r>
        <w:rPr>
          <w:rFonts w:eastAsia="Arial Unicode MS"/>
          <w:lang w:val="en-IE" w:eastAsia="hi-IN" w:bidi="hi-IN"/>
        </w:rPr>
        <w:t xml:space="preserve"> choice of platforms. As discussed </w:t>
      </w:r>
      <w:r w:rsidR="00E61E82">
        <w:rPr>
          <w:rFonts w:eastAsia="Arial Unicode MS"/>
          <w:lang w:val="en-IE" w:eastAsia="hi-IN" w:bidi="hi-IN"/>
        </w:rPr>
        <w:t>in response to question 1,</w:t>
      </w:r>
      <w:r>
        <w:rPr>
          <w:rFonts w:eastAsia="Arial Unicode MS"/>
          <w:lang w:val="en-IE" w:eastAsia="hi-IN" w:bidi="hi-IN"/>
        </w:rPr>
        <w:t xml:space="preserve"> there are increasing complaints about the standards of fixed phone services. Consumers, </w:t>
      </w:r>
      <w:r w:rsidR="00EC7AB8">
        <w:rPr>
          <w:rFonts w:eastAsia="Arial Unicode MS"/>
          <w:lang w:val="en-IE" w:eastAsia="hi-IN" w:bidi="hi-IN"/>
        </w:rPr>
        <w:t>anecdotally</w:t>
      </w:r>
      <w:r>
        <w:rPr>
          <w:rFonts w:eastAsia="Arial Unicode MS"/>
          <w:lang w:val="en-IE" w:eastAsia="hi-IN" w:bidi="hi-IN"/>
        </w:rPr>
        <w:t xml:space="preserve">, have told us that they are switching to mobile technologies as the fixed phone is not sufficiently reliable and mobile offers better value for money. </w:t>
      </w:r>
      <w:r w:rsidR="002902BA">
        <w:rPr>
          <w:rFonts w:eastAsia="Arial Unicode MS"/>
          <w:lang w:val="en-IE" w:eastAsia="hi-IN" w:bidi="hi-IN"/>
        </w:rPr>
        <w:t>Additionally, a</w:t>
      </w:r>
      <w:r>
        <w:rPr>
          <w:rFonts w:eastAsia="Arial Unicode MS"/>
          <w:lang w:val="en-IE" w:eastAsia="hi-IN" w:bidi="hi-IN"/>
        </w:rPr>
        <w:t>s consumers switch to NBN, it is likely that they may consider their requirements for a fixed voice service</w:t>
      </w:r>
      <w:r w:rsidR="002C3A23">
        <w:rPr>
          <w:rFonts w:eastAsia="Arial Unicode MS"/>
          <w:lang w:val="en-IE" w:eastAsia="hi-IN" w:bidi="hi-IN"/>
        </w:rPr>
        <w:t xml:space="preserve"> where viable</w:t>
      </w:r>
      <w:r>
        <w:rPr>
          <w:rFonts w:eastAsia="Arial Unicode MS"/>
          <w:lang w:val="en-IE" w:eastAsia="hi-IN" w:bidi="hi-IN"/>
        </w:rPr>
        <w:t xml:space="preserve">. </w:t>
      </w:r>
    </w:p>
    <w:p w14:paraId="68D749C5" w14:textId="77777777" w:rsidR="00EF4492" w:rsidRPr="00EF4492" w:rsidRDefault="00EF4492" w:rsidP="00A44E78">
      <w:pPr>
        <w:pStyle w:val="Heading2"/>
        <w:rPr>
          <w:lang w:val="en-IE" w:bidi="hi-IN"/>
        </w:rPr>
      </w:pPr>
      <w:bookmarkStart w:id="57" w:name="_Toc465667640"/>
      <w:r w:rsidRPr="00EF4492">
        <w:rPr>
          <w:lang w:val="en-IE" w:bidi="hi-IN"/>
        </w:rPr>
        <w:t>Response to question 54:</w:t>
      </w:r>
      <w:bookmarkEnd w:id="57"/>
      <w:r w:rsidRPr="00EF4492">
        <w:rPr>
          <w:lang w:val="en-IE" w:bidi="hi-IN"/>
        </w:rPr>
        <w:t xml:space="preserve"> </w:t>
      </w:r>
    </w:p>
    <w:p w14:paraId="2635E8FA" w14:textId="77777777" w:rsidR="00EF4492" w:rsidRPr="00EF4492" w:rsidRDefault="00EF4492" w:rsidP="00A44E78">
      <w:pPr>
        <w:pStyle w:val="Blockquote2"/>
        <w:rPr>
          <w:rFonts w:eastAsia="Arial Unicode MS"/>
          <w:lang w:val="en-IE" w:bidi="hi-IN"/>
        </w:rPr>
      </w:pPr>
      <w:r w:rsidRPr="00EF4492">
        <w:rPr>
          <w:rFonts w:eastAsia="Arial Unicode MS"/>
          <w:lang w:val="en-IE" w:bidi="hi-IN"/>
        </w:rPr>
        <w:t xml:space="preserve">Are there factors currently limiting further substitution between mobile and fixed-line voice and broadband services? If so, what are these factors? </w:t>
      </w:r>
    </w:p>
    <w:p w14:paraId="7D379390" w14:textId="1514E068" w:rsidR="00EF4492" w:rsidRPr="00EF4492" w:rsidRDefault="00EF4492" w:rsidP="00A44E78">
      <w:pPr>
        <w:rPr>
          <w:rFonts w:eastAsia="Arial Unicode MS"/>
          <w:lang w:val="en-IE" w:eastAsia="hi-IN" w:bidi="hi-IN"/>
        </w:rPr>
      </w:pPr>
      <w:r w:rsidRPr="00EF4492">
        <w:rPr>
          <w:rFonts w:eastAsia="Arial Unicode MS"/>
          <w:lang w:val="en-IE" w:eastAsia="hi-IN" w:bidi="hi-IN"/>
        </w:rPr>
        <w:t xml:space="preserve">Coverage, awareness and an uncertainty over the level of quality may be limiting to an extent the substitution for these services. </w:t>
      </w:r>
      <w:r w:rsidR="007A0C03">
        <w:rPr>
          <w:rFonts w:eastAsia="Arial Unicode MS"/>
          <w:lang w:val="en-IE" w:eastAsia="hi-IN" w:bidi="hi-IN"/>
        </w:rPr>
        <w:t xml:space="preserve">This is particularly true for consumers in regional and remote areas who may </w:t>
      </w:r>
      <w:r w:rsidR="00FE0B29">
        <w:rPr>
          <w:rFonts w:eastAsia="Arial Unicode MS"/>
          <w:lang w:val="en-IE" w:eastAsia="hi-IN" w:bidi="hi-IN"/>
        </w:rPr>
        <w:t>require a</w:t>
      </w:r>
      <w:r w:rsidR="007A0C03">
        <w:rPr>
          <w:rFonts w:eastAsia="Arial Unicode MS"/>
          <w:lang w:val="en-IE" w:eastAsia="hi-IN" w:bidi="hi-IN"/>
        </w:rPr>
        <w:t xml:space="preserve"> number of platforms (Satellite, mobile and fixed line) to ensure continuity of services and to meet the quality and reliability that they need. </w:t>
      </w:r>
    </w:p>
    <w:p w14:paraId="5824E5DC" w14:textId="77777777" w:rsidR="00EF4492" w:rsidRPr="00EF4492" w:rsidRDefault="00EF4492" w:rsidP="00A44E78">
      <w:pPr>
        <w:pStyle w:val="Heading2"/>
        <w:rPr>
          <w:lang w:val="en-IE" w:bidi="hi-IN"/>
        </w:rPr>
      </w:pPr>
      <w:bookmarkStart w:id="58" w:name="_Toc465667641"/>
      <w:r w:rsidRPr="00EF4492">
        <w:rPr>
          <w:lang w:val="en-IE" w:bidi="hi-IN"/>
        </w:rPr>
        <w:t>Response to question 55:</w:t>
      </w:r>
      <w:bookmarkEnd w:id="58"/>
      <w:r w:rsidRPr="00EF4492">
        <w:rPr>
          <w:lang w:val="en-IE" w:bidi="hi-IN"/>
        </w:rPr>
        <w:t xml:space="preserve"> </w:t>
      </w:r>
    </w:p>
    <w:p w14:paraId="1A930E27" w14:textId="77777777" w:rsidR="00EF4492" w:rsidRPr="00EF4492" w:rsidRDefault="00EF4492" w:rsidP="00A44E78">
      <w:pPr>
        <w:pStyle w:val="Blockquote2"/>
        <w:rPr>
          <w:rFonts w:eastAsia="Arial Unicode MS"/>
          <w:lang w:val="en-IE" w:bidi="hi-IN"/>
        </w:rPr>
      </w:pPr>
      <w:r w:rsidRPr="00EF4492">
        <w:rPr>
          <w:rFonts w:eastAsia="Arial Unicode MS"/>
          <w:lang w:val="en-IE" w:bidi="hi-IN"/>
        </w:rPr>
        <w:t xml:space="preserve">How will substitution between fixed-line and mobile voice and broadband services develop in the future? How will the development of 5G mobile networks and the growth of Wi-Fi services impact substitution between the two services? </w:t>
      </w:r>
    </w:p>
    <w:p w14:paraId="1F71A399" w14:textId="2AF369BA" w:rsidR="00EF4492" w:rsidRPr="002902BA" w:rsidRDefault="00EF4492" w:rsidP="002902BA">
      <w:pPr>
        <w:suppressAutoHyphens/>
        <w:spacing w:before="28" w:beforeAutospacing="0" w:after="28" w:afterAutospacing="0"/>
        <w:rPr>
          <w:rFonts w:eastAsia="Arial Unicode MS" w:cs="font391"/>
          <w:kern w:val="1"/>
          <w:szCs w:val="24"/>
          <w:lang w:val="en-IE" w:eastAsia="hi-IN" w:bidi="hi-IN"/>
        </w:rPr>
      </w:pPr>
      <w:r w:rsidRPr="00EF4492">
        <w:rPr>
          <w:rFonts w:eastAsia="Arial Unicode MS" w:cs="font391"/>
          <w:kern w:val="1"/>
          <w:szCs w:val="24"/>
          <w:lang w:val="en-IE" w:eastAsia="hi-IN" w:bidi="hi-IN"/>
        </w:rPr>
        <w:lastRenderedPageBreak/>
        <w:t xml:space="preserve">5G and other services are likely to increase the level of substitution as they are likely to offer a more equivalent level of inclusions </w:t>
      </w:r>
      <w:r w:rsidR="007A0C03">
        <w:rPr>
          <w:rFonts w:eastAsia="Arial Unicode MS" w:cs="font391"/>
          <w:kern w:val="1"/>
          <w:szCs w:val="24"/>
          <w:lang w:val="en-IE" w:eastAsia="hi-IN" w:bidi="hi-IN"/>
        </w:rPr>
        <w:t xml:space="preserve">(higher amounts of data) </w:t>
      </w:r>
      <w:r w:rsidRPr="00EF4492">
        <w:rPr>
          <w:rFonts w:eastAsia="Arial Unicode MS" w:cs="font391"/>
          <w:kern w:val="1"/>
          <w:szCs w:val="24"/>
          <w:lang w:val="en-IE" w:eastAsia="hi-IN" w:bidi="hi-IN"/>
        </w:rPr>
        <w:t>and quality of service as fixed line platforms</w:t>
      </w:r>
      <w:r w:rsidR="007A0C03">
        <w:rPr>
          <w:rFonts w:eastAsia="Arial Unicode MS" w:cs="font391"/>
          <w:kern w:val="1"/>
          <w:szCs w:val="24"/>
          <w:lang w:val="en-IE" w:eastAsia="hi-IN" w:bidi="hi-IN"/>
        </w:rPr>
        <w:t xml:space="preserve"> (faster speed levels)</w:t>
      </w:r>
      <w:r w:rsidRPr="00EF4492">
        <w:rPr>
          <w:rFonts w:eastAsia="Arial Unicode MS" w:cs="font391"/>
          <w:kern w:val="1"/>
          <w:szCs w:val="24"/>
          <w:lang w:val="en-IE" w:eastAsia="hi-IN" w:bidi="hi-IN"/>
        </w:rPr>
        <w:t xml:space="preserve">. </w:t>
      </w:r>
      <w:r w:rsidR="007A0C03">
        <w:rPr>
          <w:rFonts w:eastAsia="Arial Unicode MS" w:cs="font391"/>
          <w:kern w:val="1"/>
          <w:szCs w:val="24"/>
          <w:lang w:val="en-IE" w:eastAsia="hi-IN" w:bidi="hi-IN"/>
        </w:rPr>
        <w:t>The extent of the coverage of 5G and Wi-Fi services will affect the level of substitution.</w:t>
      </w:r>
      <w:bookmarkStart w:id="59" w:name="_GoBack1"/>
      <w:bookmarkEnd w:id="59"/>
    </w:p>
    <w:sectPr w:rsidR="00EF4492" w:rsidRPr="002902BA" w:rsidSect="00A13B92">
      <w:headerReference w:type="default" r:id="rId17"/>
      <w:footerReference w:type="default" r:id="rId18"/>
      <w:headerReference w:type="first" r:id="rId19"/>
      <w:footerReference w:type="first" r:id="rId20"/>
      <w:type w:val="continuous"/>
      <w:pgSz w:w="11906" w:h="16838" w:code="9"/>
      <w:pgMar w:top="1440" w:right="1440" w:bottom="1440" w:left="1440"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A20D6D" w14:textId="77777777" w:rsidR="009943A3" w:rsidRDefault="009943A3" w:rsidP="00B14DFB">
      <w:r>
        <w:separator/>
      </w:r>
    </w:p>
  </w:endnote>
  <w:endnote w:type="continuationSeparator" w:id="0">
    <w:p w14:paraId="3E625D97" w14:textId="77777777" w:rsidR="009943A3" w:rsidRDefault="009943A3" w:rsidP="00B14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font391">
    <w:altName w:val="MS Mincho"/>
    <w:charset w:val="8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4ACED4" w14:textId="77777777" w:rsidR="00746125" w:rsidRDefault="00746125" w:rsidP="000F58CC">
    <w:pPr>
      <w:spacing w:after="0"/>
      <w:rPr>
        <w:noProof/>
      </w:rPr>
    </w:pPr>
    <w:r w:rsidRPr="00E05115">
      <w:rPr>
        <w:color w:val="23B0E6"/>
      </w:rPr>
      <w:t>www.accan.org.au | info@accan.org.au | twitter: @ACCAN_AU</w:t>
    </w:r>
    <w:r>
      <w:rPr>
        <w:color w:val="23B0E6"/>
      </w:rPr>
      <w:ptab w:relativeTo="margin" w:alignment="right" w:leader="none"/>
    </w:r>
    <w:r w:rsidRPr="00C4251E">
      <w:fldChar w:fldCharType="begin"/>
    </w:r>
    <w:r w:rsidRPr="00C4251E">
      <w:instrText xml:space="preserve"> PAGE   \* MERGEFORMAT </w:instrText>
    </w:r>
    <w:r w:rsidRPr="00C4251E">
      <w:fldChar w:fldCharType="separate"/>
    </w:r>
    <w:r w:rsidR="0078655A">
      <w:rPr>
        <w:noProof/>
      </w:rPr>
      <w:t>23</w:t>
    </w:r>
    <w:r w:rsidRPr="00C4251E">
      <w:rPr>
        <w:noProof/>
      </w:rPr>
      <w:fldChar w:fldCharType="end"/>
    </w:r>
  </w:p>
  <w:p w14:paraId="20ED5696" w14:textId="77777777" w:rsidR="00746125" w:rsidRPr="000F58CC" w:rsidRDefault="00746125" w:rsidP="00A13B9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40F16B" w14:textId="77777777" w:rsidR="00746125" w:rsidRDefault="00746125" w:rsidP="00A13B92">
    <w:pPr>
      <w:pStyle w:val="Footerpage1"/>
    </w:pPr>
    <w:r w:rsidRPr="004A0B0A">
      <w:rPr>
        <w:color w:val="44C8F5"/>
      </w:rPr>
      <w:t>Australian Communications Consumer Action Network (ACCAN)</w:t>
    </w:r>
  </w:p>
  <w:p w14:paraId="017A618E" w14:textId="77777777" w:rsidR="00746125" w:rsidRDefault="00746125" w:rsidP="00A13B92">
    <w:pPr>
      <w:pStyle w:val="Footerpage1"/>
      <w:rPr>
        <w:i/>
      </w:rPr>
    </w:pPr>
    <w:r w:rsidRPr="004A0B0A">
      <w:rPr>
        <w:i/>
        <w:color w:val="44C8F5"/>
      </w:rPr>
      <w:t>Australia’s peak telecommunications consumer organisation</w:t>
    </w:r>
  </w:p>
  <w:p w14:paraId="4EFD233B" w14:textId="77777777" w:rsidR="00746125" w:rsidRDefault="00746125" w:rsidP="00A13B92">
    <w:pPr>
      <w:pStyle w:val="Footerpage1"/>
    </w:pPr>
    <w:r w:rsidRPr="008E763A">
      <w:rPr>
        <w:noProof/>
        <w:lang w:val="en-IE" w:eastAsia="en-IE"/>
      </w:rPr>
      <mc:AlternateContent>
        <mc:Choice Requires="wps">
          <w:drawing>
            <wp:inline distT="0" distB="0" distL="0" distR="0" wp14:anchorId="096A8190" wp14:editId="576DA635">
              <wp:extent cx="6699600" cy="0"/>
              <wp:effectExtent l="0" t="19050" r="6350" b="19050"/>
              <wp:docPr id="5" name="Straight Connector 5" descr="' '"/>
              <wp:cNvGraphicFramePr/>
              <a:graphic xmlns:a="http://schemas.openxmlformats.org/drawingml/2006/main">
                <a:graphicData uri="http://schemas.microsoft.com/office/word/2010/wordprocessingShape">
                  <wps:wsp>
                    <wps:cNvCnPr/>
                    <wps:spPr>
                      <a:xfrm>
                        <a:off x="0" y="0"/>
                        <a:ext cx="6699600" cy="0"/>
                      </a:xfrm>
                      <a:prstGeom prst="line">
                        <a:avLst/>
                      </a:prstGeom>
                      <a:ln w="38100">
                        <a:solidFill>
                          <a:srgbClr val="23B0E6"/>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id="Straight Connector 5" o:spid="_x0000_s1026" alt="' '" style="visibility:visible;mso-wrap-style:square;mso-left-percent:-10001;mso-top-percent:-10001;mso-position-horizontal:absolute;mso-position-horizontal-relative:char;mso-position-vertical:absolute;mso-position-vertical-relative:line;mso-left-percent:-10001;mso-top-percent:-10001" from="0,0" to="527.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" strokecolor="#23b0e6" strokeweight="3pt">
              <w10:anchorlock/>
            </v:line>
          </w:pict>
        </mc:Fallback>
      </mc:AlternateContent>
    </w:r>
    <w:r>
      <w:t>PO Box 639, Broadway</w:t>
    </w:r>
    <w:r w:rsidRPr="008E763A">
      <w:t xml:space="preserve"> NSW 2007</w:t>
    </w:r>
  </w:p>
  <w:p w14:paraId="603D7370" w14:textId="77777777" w:rsidR="00746125" w:rsidRDefault="00746125" w:rsidP="00A13B92">
    <w:pPr>
      <w:pStyle w:val="Footerpage1"/>
    </w:pPr>
    <w:r w:rsidRPr="008E763A">
      <w:t>Tel: (02) 9288 4000 | Fax: (02) 9288 4019</w:t>
    </w:r>
  </w:p>
  <w:p w14:paraId="30826F4C" w14:textId="77777777" w:rsidR="00746125" w:rsidRDefault="00746125" w:rsidP="00A13B92">
    <w:pPr>
      <w:pStyle w:val="Footerpage1"/>
    </w:pPr>
    <w:r w:rsidRPr="004A0B0A">
      <w:rPr>
        <w:color w:val="44C8F5"/>
      </w:rPr>
      <w:t>www.accan.org.au | info@accan.org.au | twitter: @ACCAN_AU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5E16D0" w14:textId="77777777" w:rsidR="009943A3" w:rsidRDefault="009943A3" w:rsidP="00B14DFB">
      <w:r>
        <w:separator/>
      </w:r>
    </w:p>
  </w:footnote>
  <w:footnote w:type="continuationSeparator" w:id="0">
    <w:p w14:paraId="5D214FB3" w14:textId="77777777" w:rsidR="009943A3" w:rsidRDefault="009943A3" w:rsidP="00B14DFB">
      <w:r>
        <w:continuationSeparator/>
      </w:r>
    </w:p>
  </w:footnote>
  <w:footnote w:id="1">
    <w:p w14:paraId="529D8433" w14:textId="77777777" w:rsidR="00746125" w:rsidRDefault="00746125" w:rsidP="002902BA">
      <w:pPr>
        <w:pStyle w:val="FootnoteText"/>
      </w:pPr>
      <w:r w:rsidRPr="002902BA">
        <w:rPr>
          <w:rStyle w:val="FootnoteReference"/>
        </w:rPr>
        <w:footnoteRef/>
      </w:r>
      <w:r>
        <w:tab/>
        <w:t>Issues paper pg. 16 provides examples of GP videoconferencing, mobile payments, 24-7 chats, videoconferencing etc.</w:t>
      </w:r>
    </w:p>
  </w:footnote>
  <w:footnote w:id="2">
    <w:p w14:paraId="7FE57DAD" w14:textId="02DB5774" w:rsidR="00746125" w:rsidRDefault="00746125">
      <w:pPr>
        <w:pStyle w:val="FootnoteText"/>
      </w:pPr>
      <w:r>
        <w:rPr>
          <w:rStyle w:val="FootnoteReference"/>
        </w:rPr>
        <w:footnoteRef/>
      </w:r>
      <w:r>
        <w:t xml:space="preserve"> </w:t>
      </w:r>
      <w:r>
        <w:tab/>
      </w:r>
      <w:proofErr w:type="gramStart"/>
      <w:r w:rsidRPr="003538B5">
        <w:t>ACCAN, Connected Consumers position statement, June 2016.</w:t>
      </w:r>
      <w:proofErr w:type="gramEnd"/>
      <w:r w:rsidRPr="003538B5">
        <w:t xml:space="preserve"> </w:t>
      </w:r>
      <w:hyperlink r:id="rId1" w:tooltip="ACCAN website [opens in a seperate window]" w:history="1">
        <w:r w:rsidRPr="003538B5">
          <w:rPr>
            <w:rStyle w:val="Hyperlink"/>
          </w:rPr>
          <w:t>https://accan.org.au/our-work/policy/1245-the-future-of-consumer-focused-communication-services</w:t>
        </w:r>
      </w:hyperlink>
    </w:p>
  </w:footnote>
  <w:footnote w:id="3">
    <w:p w14:paraId="5C15343E" w14:textId="632ACEEB" w:rsidR="00746125" w:rsidRDefault="00746125" w:rsidP="002902BA">
      <w:pPr>
        <w:pStyle w:val="FootnoteText"/>
      </w:pPr>
      <w:r w:rsidRPr="002902BA">
        <w:rPr>
          <w:rStyle w:val="FootnoteReference"/>
        </w:rPr>
        <w:footnoteRef/>
      </w:r>
      <w:r>
        <w:tab/>
      </w:r>
      <w:proofErr w:type="gramStart"/>
      <w:r>
        <w:t>Department of Communications, 2014.</w:t>
      </w:r>
      <w:proofErr w:type="gramEnd"/>
      <w:r>
        <w:t xml:space="preserve"> </w:t>
      </w:r>
      <w:proofErr w:type="gramStart"/>
      <w:r>
        <w:t>Broadband Availability and Quality Report.</w:t>
      </w:r>
      <w:proofErr w:type="gramEnd"/>
      <w:r>
        <w:t xml:space="preserve"> Only approximately 28% of premises have access to high speed broadband. Approximately 6% of premises cannot access fixed broadband services and nearly 1 million premises receive speeds below 4.8Mbps </w:t>
      </w:r>
      <w:hyperlink r:id="rId2" w:tooltip="Communications wbesite [opens in a seperate window]" w:history="1">
        <w:r>
          <w:rPr>
            <w:rStyle w:val="Hyperlink"/>
          </w:rPr>
          <w:t>https://www.communications.gov.au/publications/broadband-availability-and-quality-report</w:t>
        </w:r>
      </w:hyperlink>
    </w:p>
  </w:footnote>
  <w:footnote w:id="4">
    <w:p w14:paraId="348215ED" w14:textId="190568B6" w:rsidR="00746125" w:rsidRDefault="00746125" w:rsidP="002902BA">
      <w:pPr>
        <w:pStyle w:val="FootnoteText"/>
      </w:pPr>
      <w:r w:rsidRPr="002902BA">
        <w:rPr>
          <w:rStyle w:val="FootnoteReference"/>
        </w:rPr>
        <w:footnoteRef/>
      </w:r>
      <w:r>
        <w:tab/>
      </w:r>
      <w:proofErr w:type="gramStart"/>
      <w:r>
        <w:t>TIO 2015 Submission to the Productivity Commission.</w:t>
      </w:r>
      <w:proofErr w:type="gramEnd"/>
      <w:r>
        <w:t xml:space="preserve"> </w:t>
      </w:r>
      <w:hyperlink r:id="rId3" w:tooltip="Productivity Commission website [opens in a seperate window]" w:history="1">
        <w:r>
          <w:rPr>
            <w:rStyle w:val="Hyperlink"/>
          </w:rPr>
          <w:t>http://www.pc.gov.au/__data/assets/pdf_file/0020/205490/sub052-telecommunications.pdf</w:t>
        </w:r>
      </w:hyperlink>
    </w:p>
  </w:footnote>
  <w:footnote w:id="5">
    <w:p w14:paraId="5D0EDAB9" w14:textId="118D0279" w:rsidR="00661166" w:rsidRPr="002902BA" w:rsidRDefault="00746125" w:rsidP="002902BA">
      <w:pPr>
        <w:pStyle w:val="FootnoteText"/>
        <w:rPr>
          <w:rStyle w:val="FootnoteReference"/>
          <w:vertAlign w:val="baseline"/>
        </w:rPr>
      </w:pPr>
      <w:r w:rsidRPr="002902BA">
        <w:rPr>
          <w:rStyle w:val="FootnoteReference"/>
        </w:rPr>
        <w:footnoteRef/>
      </w:r>
      <w:r w:rsidRPr="002902BA">
        <w:rPr>
          <w:rStyle w:val="FootnoteReference"/>
          <w:vertAlign w:val="baseline"/>
        </w:rPr>
        <w:tab/>
        <w:t xml:space="preserve">As demonstrated by the high take up of Netflix streaming services since its introduction to the Australian market in April 2015. </w:t>
      </w:r>
      <w:hyperlink r:id="rId4" w:tooltip="[opens in a seperate window]" w:history="1">
        <w:r w:rsidRPr="002902BA">
          <w:rPr>
            <w:rStyle w:val="FootnoteReference"/>
            <w:vertAlign w:val="baseline"/>
          </w:rPr>
          <w:t>http://www.businessinsider.com.au/netflix-just-cracked-10-of-the-australian-market-2015-10</w:t>
        </w:r>
      </w:hyperlink>
    </w:p>
  </w:footnote>
  <w:footnote w:id="6">
    <w:p w14:paraId="09099E1A" w14:textId="66DCC5C4" w:rsidR="00661166" w:rsidRPr="002902BA" w:rsidRDefault="00746125" w:rsidP="002902BA">
      <w:pPr>
        <w:pStyle w:val="FootnoteText"/>
        <w:rPr>
          <w:rStyle w:val="FootnoteReference"/>
          <w:vertAlign w:val="baseline"/>
        </w:rPr>
      </w:pPr>
      <w:r w:rsidRPr="002902BA">
        <w:rPr>
          <w:rStyle w:val="FootnoteReference"/>
        </w:rPr>
        <w:footnoteRef/>
      </w:r>
      <w:r w:rsidRPr="002902BA">
        <w:rPr>
          <w:rStyle w:val="FootnoteReference"/>
          <w:vertAlign w:val="baseline"/>
        </w:rPr>
        <w:tab/>
        <w:t>ACCAN Get Connected</w:t>
      </w:r>
      <w:r w:rsidR="00661166">
        <w:rPr>
          <w:rStyle w:val="FootnoteReference"/>
          <w:vertAlign w:val="baseline"/>
        </w:rPr>
        <w:t>.</w:t>
      </w:r>
      <w:r w:rsidRPr="002902BA">
        <w:rPr>
          <w:rStyle w:val="FootnoteReference"/>
          <w:vertAlign w:val="baseline"/>
        </w:rPr>
        <w:t xml:space="preserve"> </w:t>
      </w:r>
      <w:hyperlink r:id="rId5" w:tooltip="[opens in a seperate window]" w:history="1">
        <w:r w:rsidRPr="002902BA">
          <w:rPr>
            <w:rStyle w:val="FootnoteReference"/>
            <w:vertAlign w:val="baseline"/>
          </w:rPr>
          <w:t>https://accan.org.au/broadband/get-connected</w:t>
        </w:r>
      </w:hyperlink>
    </w:p>
  </w:footnote>
  <w:footnote w:id="7">
    <w:p w14:paraId="08DBC245" w14:textId="77777777" w:rsidR="00746125" w:rsidRPr="002902BA" w:rsidRDefault="00746125" w:rsidP="002902BA">
      <w:pPr>
        <w:pStyle w:val="FootnoteText"/>
        <w:rPr>
          <w:rStyle w:val="FootnoteReference"/>
          <w:vertAlign w:val="baseline"/>
        </w:rPr>
      </w:pPr>
      <w:r w:rsidRPr="002902BA">
        <w:rPr>
          <w:rStyle w:val="FootnoteReference"/>
        </w:rPr>
        <w:footnoteRef/>
      </w:r>
      <w:r w:rsidRPr="002902BA">
        <w:rPr>
          <w:rStyle w:val="FootnoteReference"/>
        </w:rPr>
        <w:t xml:space="preserve"> </w:t>
      </w:r>
      <w:r>
        <w:tab/>
      </w:r>
      <w:r w:rsidRPr="002902BA">
        <w:rPr>
          <w:rStyle w:val="FootnoteReference"/>
          <w:vertAlign w:val="baseline"/>
        </w:rPr>
        <w:t xml:space="preserve">ACCAN Small Business Survey, 2016. Preliminary analysis of result. To be published. conducted from July to August 2016 </w:t>
      </w:r>
    </w:p>
  </w:footnote>
  <w:footnote w:id="8">
    <w:p w14:paraId="71B89327" w14:textId="3077D905" w:rsidR="00746125" w:rsidRPr="002902BA" w:rsidRDefault="00746125" w:rsidP="002902BA">
      <w:pPr>
        <w:pStyle w:val="FootnoteText"/>
        <w:rPr>
          <w:rStyle w:val="FootnoteReference"/>
          <w:vertAlign w:val="baseline"/>
        </w:rPr>
      </w:pPr>
      <w:r w:rsidRPr="002902BA">
        <w:rPr>
          <w:rStyle w:val="FootnoteReference"/>
        </w:rPr>
        <w:footnoteRef/>
      </w:r>
      <w:r w:rsidRPr="002902BA">
        <w:rPr>
          <w:rStyle w:val="FootnoteReference"/>
          <w:vertAlign w:val="baseline"/>
        </w:rPr>
        <w:tab/>
        <w:t xml:space="preserve">ACCAN submission to SAU outlines concerns about the range of service offerings over NBN MTM technologies. </w:t>
      </w:r>
      <w:hyperlink r:id="rId6" w:tooltip="[opens in a seperate window]" w:history="1">
        <w:r w:rsidRPr="002902BA">
          <w:rPr>
            <w:rStyle w:val="FootnoteReference"/>
            <w:vertAlign w:val="baseline"/>
          </w:rPr>
          <w:t>https://accan.org.au/our-work/submissions/1295-special-access-undertaking</w:t>
        </w:r>
      </w:hyperlink>
    </w:p>
  </w:footnote>
  <w:footnote w:id="9">
    <w:p w14:paraId="50F220F3" w14:textId="55A5B8DD" w:rsidR="00746125" w:rsidRDefault="00746125" w:rsidP="002902BA">
      <w:pPr>
        <w:pStyle w:val="FootnoteText"/>
      </w:pPr>
      <w:r w:rsidRPr="002902BA">
        <w:rPr>
          <w:rStyle w:val="FootnoteReference"/>
        </w:rPr>
        <w:footnoteRef/>
      </w:r>
      <w:r w:rsidRPr="002902BA">
        <w:rPr>
          <w:rStyle w:val="FootnoteReference"/>
          <w:vertAlign w:val="baseline"/>
        </w:rPr>
        <w:tab/>
      </w:r>
      <w:proofErr w:type="spellStart"/>
      <w:r w:rsidRPr="002902BA">
        <w:rPr>
          <w:rStyle w:val="FootnoteReference"/>
          <w:vertAlign w:val="baseline"/>
        </w:rPr>
        <w:t>Maddocks</w:t>
      </w:r>
      <w:proofErr w:type="spellEnd"/>
      <w:r w:rsidRPr="002902BA">
        <w:rPr>
          <w:rStyle w:val="FootnoteReference"/>
          <w:vertAlign w:val="baseline"/>
        </w:rPr>
        <w:t xml:space="preserve">. NBN pricing model puts hand break on speed. </w:t>
      </w:r>
      <w:hyperlink r:id="rId7" w:tooltip="[opens in a seperate window]" w:history="1">
        <w:r w:rsidRPr="002902BA">
          <w:rPr>
            <w:rStyle w:val="FootnoteReference"/>
            <w:vertAlign w:val="baseline"/>
          </w:rPr>
          <w:t>Https://www.maddocks.com.au/blog/nbn-pricing-model-puts-hand-break-speed/</w:t>
        </w:r>
      </w:hyperlink>
    </w:p>
  </w:footnote>
  <w:footnote w:id="10">
    <w:p w14:paraId="73E6E5C3" w14:textId="56A9C8DC" w:rsidR="00746125" w:rsidRPr="00CE7D92" w:rsidRDefault="00746125" w:rsidP="002902BA">
      <w:pPr>
        <w:pStyle w:val="FootnoteText"/>
      </w:pPr>
      <w:r w:rsidRPr="002902BA">
        <w:rPr>
          <w:rStyle w:val="FootnoteReference"/>
        </w:rPr>
        <w:footnoteRef/>
      </w:r>
      <w:r w:rsidRPr="00CE7D92">
        <w:tab/>
        <w:t xml:space="preserve">De Ridder, John, April 2016. Let’s abolish CVC pricing and the IRCA! </w:t>
      </w:r>
      <w:hyperlink r:id="rId8" w:tooltip="[opens in a seperate window]" w:history="1">
        <w:r w:rsidRPr="002902BA">
          <w:rPr>
            <w:rStyle w:val="Hyperlink"/>
            <w:color w:val="auto"/>
            <w:u w:val="none"/>
          </w:rPr>
          <w:t>http://deridder.com.au/site/wp-content/uploads/2016/04/COMMUNICATIONS-DAY-7-4-2016.pdf</w:t>
        </w:r>
      </w:hyperlink>
    </w:p>
  </w:footnote>
  <w:footnote w:id="11">
    <w:p w14:paraId="7C0961B9" w14:textId="65CB91D7" w:rsidR="00746125" w:rsidRDefault="00746125" w:rsidP="002902BA">
      <w:pPr>
        <w:pStyle w:val="FootnoteText"/>
      </w:pPr>
      <w:r w:rsidRPr="002902BA">
        <w:rPr>
          <w:rStyle w:val="FootnoteReference"/>
        </w:rPr>
        <w:footnoteRef/>
      </w:r>
      <w:r w:rsidRPr="00CE7D92">
        <w:tab/>
        <w:t>Thomas, R</w:t>
      </w:r>
      <w:r>
        <w:t>, 2016</w:t>
      </w:r>
      <w:r w:rsidRPr="00CE7D92">
        <w:t xml:space="preserve"> Consumers feel the need for speed</w:t>
      </w:r>
      <w:r>
        <w:t xml:space="preserve">: why increased visibility over broadband performance will empower consumers. Australian Journal of Competition and Consumer Law </w:t>
      </w:r>
    </w:p>
  </w:footnote>
  <w:footnote w:id="12">
    <w:p w14:paraId="0EF6E807" w14:textId="77777777" w:rsidR="00746125" w:rsidRDefault="00746125" w:rsidP="002902BA">
      <w:pPr>
        <w:pStyle w:val="FootnoteText"/>
      </w:pPr>
      <w:r w:rsidRPr="002902BA">
        <w:rPr>
          <w:rStyle w:val="FootnoteReference"/>
        </w:rPr>
        <w:footnoteRef/>
      </w:r>
      <w:r>
        <w:tab/>
        <w:t>For example Telstra basic phone plans changed in October 2016. Consumers that are out of contract and remain on their plan may benefit from switching to a newer plan or even another provider.</w:t>
      </w:r>
    </w:p>
  </w:footnote>
  <w:footnote w:id="13">
    <w:p w14:paraId="598A6245" w14:textId="78B58D01" w:rsidR="00746125" w:rsidRDefault="00746125" w:rsidP="00831052">
      <w:pPr>
        <w:pStyle w:val="FootnoteText"/>
      </w:pPr>
      <w:r>
        <w:rPr>
          <w:rStyle w:val="FootnoteReference"/>
        </w:rPr>
        <w:footnoteRef/>
      </w:r>
      <w:r>
        <w:t xml:space="preserve"> </w:t>
      </w:r>
      <w:r>
        <w:tab/>
      </w:r>
      <w:proofErr w:type="spellStart"/>
      <w:proofErr w:type="gramStart"/>
      <w:r>
        <w:t>Harrisson</w:t>
      </w:r>
      <w:proofErr w:type="spellEnd"/>
      <w:r>
        <w:t>, Paul, Hill, Laura ad Gray, Charles, 2016.</w:t>
      </w:r>
      <w:proofErr w:type="gramEnd"/>
      <w:r>
        <w:t xml:space="preserve"> Confident but confounded: Consumer Comprehension of Telecommunications Agreements. </w:t>
      </w:r>
      <w:proofErr w:type="gramStart"/>
      <w:r>
        <w:t>Australian Communications Consumer Action Network, Sydney.</w:t>
      </w:r>
      <w:proofErr w:type="gramEnd"/>
    </w:p>
  </w:footnote>
  <w:footnote w:id="14">
    <w:p w14:paraId="313004B9" w14:textId="549E5218" w:rsidR="00746125" w:rsidRPr="002F652F" w:rsidRDefault="00746125" w:rsidP="002902BA">
      <w:pPr>
        <w:pStyle w:val="FootnoteText"/>
        <w:rPr>
          <w:szCs w:val="18"/>
        </w:rPr>
      </w:pPr>
      <w:r w:rsidRPr="002902BA">
        <w:rPr>
          <w:rStyle w:val="FootnoteReference"/>
        </w:rPr>
        <w:footnoteRef/>
      </w:r>
      <w:r w:rsidRPr="002F652F">
        <w:rPr>
          <w:szCs w:val="18"/>
        </w:rPr>
        <w:t xml:space="preserve"> </w:t>
      </w:r>
      <w:r>
        <w:rPr>
          <w:szCs w:val="18"/>
        </w:rPr>
        <w:tab/>
      </w:r>
      <w:r w:rsidRPr="002F652F">
        <w:rPr>
          <w:szCs w:val="18"/>
        </w:rPr>
        <w:t>ACCC, ASIC and all state and territory ACL Regulators, ‘Unfair contract terms A GUIDE FOR BUSINESSES AND LEGAL PRACTITIONERS’, March 2016, available at &lt;</w:t>
      </w:r>
      <w:hyperlink r:id="rId9" w:tooltip="[opens in a seperate window]" w:history="1">
        <w:r w:rsidRPr="002F652F">
          <w:rPr>
            <w:rStyle w:val="Hyperlink"/>
            <w:szCs w:val="18"/>
          </w:rPr>
          <w:t>http://consumerlaw-staging.tspace.gov.au/files/2016/05/0553FT_ACL-guides_ContractTerms_web.pdf</w:t>
        </w:r>
      </w:hyperlink>
      <w:r w:rsidRPr="002F652F">
        <w:rPr>
          <w:szCs w:val="18"/>
        </w:rPr>
        <w:t>&gt; at p. 15.</w:t>
      </w:r>
    </w:p>
  </w:footnote>
  <w:footnote w:id="15">
    <w:p w14:paraId="1A31FF2E" w14:textId="0E35EBF1" w:rsidR="00746125" w:rsidRPr="002902BA" w:rsidRDefault="00746125" w:rsidP="002902BA">
      <w:pPr>
        <w:pStyle w:val="FootnoteText"/>
        <w:rPr>
          <w:rStyle w:val="FootnoteReference"/>
          <w:vertAlign w:val="baseline"/>
        </w:rPr>
      </w:pPr>
      <w:r w:rsidRPr="002902BA">
        <w:rPr>
          <w:rStyle w:val="FootnoteReference"/>
        </w:rPr>
        <w:footnoteRef/>
      </w:r>
      <w:r w:rsidRPr="002902BA">
        <w:rPr>
          <w:rStyle w:val="FootnoteReference"/>
        </w:rPr>
        <w:t xml:space="preserve"> </w:t>
      </w:r>
      <w:r>
        <w:rPr>
          <w:rStyle w:val="FootnoteReference"/>
        </w:rPr>
        <w:tab/>
      </w:r>
      <w:r w:rsidRPr="002902BA">
        <w:rPr>
          <w:rStyle w:val="FootnoteReference"/>
          <w:vertAlign w:val="baseline"/>
        </w:rPr>
        <w:t xml:space="preserve">Tony Ibrahim, ‘Optus woos new customers with $450 credit for cancellation fees’, </w:t>
      </w:r>
      <w:proofErr w:type="spellStart"/>
      <w:r w:rsidRPr="002902BA">
        <w:rPr>
          <w:rStyle w:val="FootnoteReference"/>
          <w:vertAlign w:val="baseline"/>
        </w:rPr>
        <w:t>PCWorld</w:t>
      </w:r>
      <w:proofErr w:type="spellEnd"/>
      <w:r w:rsidRPr="002902BA">
        <w:rPr>
          <w:rStyle w:val="FootnoteReference"/>
          <w:vertAlign w:val="baseline"/>
        </w:rPr>
        <w:t>, 8 September 2014 available at &lt;</w:t>
      </w:r>
      <w:hyperlink r:id="rId10" w:tooltip="[opens in a seperate window]" w:history="1">
        <w:r w:rsidRPr="002902BA">
          <w:rPr>
            <w:rStyle w:val="FootnoteReference"/>
            <w:vertAlign w:val="baseline"/>
          </w:rPr>
          <w:t>http://www.pcworld.idg.com.au/article/554441/optus-goes-after-telstra-vodafone-customers-by-crediting-cancellation-fees/</w:t>
        </w:r>
      </w:hyperlink>
    </w:p>
  </w:footnote>
  <w:footnote w:id="16">
    <w:p w14:paraId="0B17569D" w14:textId="2776FBB9" w:rsidR="00746125" w:rsidRPr="002902BA" w:rsidRDefault="00746125" w:rsidP="002902BA">
      <w:pPr>
        <w:pStyle w:val="FootnoteText"/>
        <w:rPr>
          <w:rStyle w:val="FootnoteReference"/>
          <w:vertAlign w:val="baseline"/>
        </w:rPr>
      </w:pPr>
      <w:r w:rsidRPr="002902BA">
        <w:rPr>
          <w:rStyle w:val="FootnoteReference"/>
        </w:rPr>
        <w:footnoteRef/>
      </w:r>
      <w:r w:rsidRPr="002902BA">
        <w:rPr>
          <w:rStyle w:val="FootnoteReference"/>
          <w:vertAlign w:val="baseline"/>
        </w:rPr>
        <w:t xml:space="preserve"> </w:t>
      </w:r>
      <w:r>
        <w:tab/>
      </w:r>
      <w:r w:rsidRPr="002902BA">
        <w:rPr>
          <w:rStyle w:val="FootnoteReference"/>
          <w:vertAlign w:val="baseline"/>
        </w:rPr>
        <w:t>Optus, ‘Optus says yes to a new phone early’, 11 March 2016, &lt;</w:t>
      </w:r>
      <w:hyperlink r:id="rId11" w:tooltip="[opens in a seperate window]" w:history="1">
        <w:r w:rsidRPr="002902BA">
          <w:rPr>
            <w:rStyle w:val="FootnoteReference"/>
            <w:vertAlign w:val="baseline"/>
          </w:rPr>
          <w:t>https://media.optus.com.au/media-releases/2016/optus-says-yes-to-a-new-phone-early/</w:t>
        </w:r>
      </w:hyperlink>
    </w:p>
  </w:footnote>
  <w:footnote w:id="17">
    <w:p w14:paraId="036694B1" w14:textId="190549C6" w:rsidR="00746125" w:rsidRPr="009D07DB" w:rsidRDefault="00746125" w:rsidP="002902BA">
      <w:pPr>
        <w:pStyle w:val="FootnoteText"/>
        <w:rPr>
          <w:rStyle w:val="FootnoteReference"/>
          <w:vertAlign w:val="baseline"/>
        </w:rPr>
      </w:pPr>
      <w:r w:rsidRPr="002902BA">
        <w:rPr>
          <w:rStyle w:val="FootnoteReference"/>
        </w:rPr>
        <w:footnoteRef/>
      </w:r>
      <w:r w:rsidRPr="002902BA">
        <w:rPr>
          <w:rStyle w:val="FootnoteReference"/>
        </w:rPr>
        <w:t xml:space="preserve"> </w:t>
      </w:r>
      <w:r w:rsidRPr="009D07DB">
        <w:rPr>
          <w:rStyle w:val="FootnoteReference"/>
          <w:vertAlign w:val="baseline"/>
        </w:rPr>
        <w:tab/>
      </w:r>
      <w:r w:rsidRPr="002902BA">
        <w:rPr>
          <w:rStyle w:val="FootnoteReference"/>
          <w:vertAlign w:val="baseline"/>
        </w:rPr>
        <w:t>John de Ridder, ‘Why you should buy a phone and add a SIM card separately’, 12 September 2016, available at &lt;</w:t>
      </w:r>
      <w:hyperlink r:id="rId12" w:tooltip="[opens in a seperate window]" w:history="1">
        <w:r w:rsidRPr="002902BA">
          <w:rPr>
            <w:rStyle w:val="FootnoteReference"/>
            <w:vertAlign w:val="baseline"/>
          </w:rPr>
          <w:t>http://deridder.com.au/site/wp-content/uploads/2016/09/iPhone-7-study.pdf</w:t>
        </w:r>
      </w:hyperlink>
      <w:r w:rsidRPr="002902BA">
        <w:rPr>
          <w:rStyle w:val="FootnoteReference"/>
          <w:vertAlign w:val="baseline"/>
        </w:rPr>
        <w:t>&gt; at page 11.</w:t>
      </w:r>
      <w:r w:rsidRPr="009D07DB">
        <w:rPr>
          <w:rStyle w:val="FootnoteReference"/>
          <w:vertAlign w:val="baseline"/>
        </w:rPr>
        <w:t xml:space="preserve"> </w:t>
      </w:r>
    </w:p>
  </w:footnote>
  <w:footnote w:id="18">
    <w:p w14:paraId="75593C30" w14:textId="0E9F9C2C" w:rsidR="00746125" w:rsidRDefault="00746125" w:rsidP="00661166">
      <w:pPr>
        <w:pStyle w:val="FootnoteText"/>
        <w:rPr>
          <w:rStyle w:val="FootnoteReference1"/>
        </w:rPr>
      </w:pPr>
      <w:r w:rsidRPr="002902BA">
        <w:rPr>
          <w:rStyle w:val="FootnoteReference"/>
        </w:rPr>
        <w:footnoteRef/>
      </w:r>
      <w:r>
        <w:t xml:space="preserve"> </w:t>
      </w:r>
      <w:r>
        <w:tab/>
      </w:r>
      <w:r w:rsidRPr="002F652F">
        <w:t>Only consumers in FTTP areas, or about 20% of premises, will have an optional battery backup to ensure services co</w:t>
      </w:r>
      <w:r w:rsidR="00AC5E48">
        <w:t xml:space="preserve">ntinue to work in power outages and have informed consent obligations. </w:t>
      </w:r>
    </w:p>
  </w:footnote>
  <w:footnote w:id="19">
    <w:p w14:paraId="38EC7099" w14:textId="6B93E43D" w:rsidR="00746125" w:rsidRDefault="00746125" w:rsidP="002902BA">
      <w:pPr>
        <w:spacing w:before="0" w:beforeAutospacing="0" w:after="0" w:afterAutospacing="0"/>
        <w:jc w:val="left"/>
        <w:rPr>
          <w:rStyle w:val="FootnoteReference1"/>
        </w:rPr>
      </w:pPr>
      <w:r w:rsidRPr="00FE0B29">
        <w:rPr>
          <w:rStyle w:val="FootnoteReference"/>
          <w:sz w:val="18"/>
          <w:szCs w:val="18"/>
        </w:rPr>
        <w:footnoteRef/>
      </w:r>
      <w:r w:rsidRPr="00FE0B29">
        <w:rPr>
          <w:rStyle w:val="FootnoteReference"/>
          <w:sz w:val="18"/>
          <w:szCs w:val="18"/>
        </w:rPr>
        <w:t xml:space="preserve"> </w:t>
      </w:r>
      <w:r>
        <w:tab/>
      </w:r>
      <w:r w:rsidRPr="00FE0B29">
        <w:rPr>
          <w:rStyle w:val="FootnoteTextChar"/>
        </w:rPr>
        <w:t xml:space="preserve">see ACCAN Disability Mystery Shopping  </w:t>
      </w:r>
      <w:hyperlink r:id="rId13" w:tooltip="[opens in a seperate window]" w:history="1">
        <w:r w:rsidRPr="00444A07">
          <w:rPr>
            <w:rStyle w:val="Hyperlink"/>
            <w:sz w:val="18"/>
            <w:szCs w:val="18"/>
          </w:rPr>
          <w:t>https://accan.org.au/our-work/submissions/953-accan-s-disability-mystery-shopping-report</w:t>
        </w:r>
      </w:hyperlink>
    </w:p>
  </w:footnote>
  <w:footnote w:id="20">
    <w:p w14:paraId="1B17D455" w14:textId="77777777" w:rsidR="00746125" w:rsidRDefault="00746125" w:rsidP="00525DC9">
      <w:pPr>
        <w:pStyle w:val="FootnoteText"/>
      </w:pPr>
      <w:r>
        <w:rPr>
          <w:rStyle w:val="FootnoteReference"/>
        </w:rPr>
        <w:footnoteRef/>
      </w:r>
      <w:r>
        <w:t xml:space="preserve"> </w:t>
      </w:r>
      <w:r>
        <w:tab/>
      </w:r>
      <w:proofErr w:type="gramStart"/>
      <w:r>
        <w:t>Market Clarity, 2015.</w:t>
      </w:r>
      <w:proofErr w:type="gramEnd"/>
      <w:r>
        <w:t xml:space="preserve"> </w:t>
      </w:r>
      <w:proofErr w:type="gramStart"/>
      <w:r>
        <w:t>Informing Small Business: Examining fixed phone and broadband products.</w:t>
      </w:r>
      <w:proofErr w:type="gramEnd"/>
      <w:r>
        <w:t xml:space="preserve"> </w:t>
      </w:r>
      <w:proofErr w:type="gramStart"/>
      <w:r>
        <w:t>Australian Communications Consumer Action Network, Sydney.</w:t>
      </w:r>
      <w:proofErr w:type="gramEnd"/>
    </w:p>
  </w:footnote>
  <w:footnote w:id="21">
    <w:p w14:paraId="61A87E50" w14:textId="7C3AB876" w:rsidR="00746125" w:rsidRDefault="00746125" w:rsidP="006B1BA3">
      <w:pPr>
        <w:pStyle w:val="FootnoteText"/>
      </w:pPr>
      <w:r>
        <w:rPr>
          <w:rStyle w:val="FootnoteReference"/>
        </w:rPr>
        <w:footnoteRef/>
      </w:r>
      <w:r>
        <w:t xml:space="preserve"> </w:t>
      </w:r>
      <w:r>
        <w:tab/>
        <w:t>Services are to be provided with due care and skill, be fit for purpose, supplied within a reasonable time (ACL, s.60,61,62)</w:t>
      </w:r>
    </w:p>
  </w:footnote>
  <w:footnote w:id="22">
    <w:p w14:paraId="1802B003" w14:textId="6B288C4E" w:rsidR="00746125" w:rsidRDefault="00746125" w:rsidP="006B1BA3">
      <w:pPr>
        <w:pStyle w:val="FootnoteText"/>
      </w:pPr>
      <w:r>
        <w:rPr>
          <w:rStyle w:val="FootnoteReference"/>
        </w:rPr>
        <w:footnoteRef/>
      </w:r>
      <w:r>
        <w:t xml:space="preserve"> </w:t>
      </w:r>
      <w:r>
        <w:tab/>
      </w:r>
      <w:proofErr w:type="gramStart"/>
      <w:r>
        <w:t>ACCAN 2016, A Guarantee for the future policy position.</w:t>
      </w:r>
      <w:proofErr w:type="gramEnd"/>
      <w:r>
        <w:t xml:space="preserve"> </w:t>
      </w:r>
      <w:hyperlink r:id="rId14" w:tooltip="[opens in a seperate window]" w:history="1">
        <w:r w:rsidRPr="00EC5F1B">
          <w:rPr>
            <w:rStyle w:val="Hyperlink"/>
          </w:rPr>
          <w:t>https://accan.org.au/files/Position_Statements/ACCAN%20policy%20position%20on%20a%20customer%20service%20and%20reliability%20standard.pdf</w:t>
        </w:r>
      </w:hyperlink>
    </w:p>
  </w:footnote>
  <w:footnote w:id="23">
    <w:p w14:paraId="3A271A9D" w14:textId="4A2FDB99" w:rsidR="00746125" w:rsidRPr="00274BCA" w:rsidRDefault="00746125" w:rsidP="002902BA">
      <w:pPr>
        <w:pStyle w:val="FootnoteText"/>
        <w:rPr>
          <w:szCs w:val="18"/>
        </w:rPr>
      </w:pPr>
      <w:r w:rsidRPr="002902BA">
        <w:rPr>
          <w:rStyle w:val="FootnoteReference"/>
        </w:rPr>
        <w:footnoteRef/>
      </w:r>
      <w:r w:rsidRPr="00274BCA">
        <w:rPr>
          <w:szCs w:val="18"/>
        </w:rPr>
        <w:t xml:space="preserve"> </w:t>
      </w:r>
      <w:r>
        <w:rPr>
          <w:szCs w:val="18"/>
        </w:rPr>
        <w:tab/>
      </w:r>
      <w:r w:rsidRPr="00274BCA">
        <w:rPr>
          <w:szCs w:val="18"/>
        </w:rPr>
        <w:t xml:space="preserve">Telstra, 2016, ‘Update on our mobile network disruption and free data day’, available at: </w:t>
      </w:r>
      <w:hyperlink r:id="rId15" w:tooltip="[opens in a seperate window]" w:history="1">
        <w:r w:rsidRPr="00274BCA">
          <w:rPr>
            <w:rStyle w:val="Hyperlink"/>
            <w:szCs w:val="18"/>
          </w:rPr>
          <w:t>http://exchange.telstra.com.au/2016/03/18/update-on-our-mobile-network-disruption-and-free-data-day/</w:t>
        </w:r>
      </w:hyperlink>
      <w:r w:rsidRPr="00274BCA">
        <w:rPr>
          <w:szCs w:val="18"/>
        </w:rPr>
        <w:t xml:space="preserve"> </w:t>
      </w:r>
    </w:p>
  </w:footnote>
  <w:footnote w:id="24">
    <w:p w14:paraId="0934C35E" w14:textId="58FD8475" w:rsidR="00746125" w:rsidRPr="00274BCA" w:rsidRDefault="00746125" w:rsidP="002902BA">
      <w:pPr>
        <w:pStyle w:val="FootnoteText"/>
        <w:rPr>
          <w:szCs w:val="18"/>
        </w:rPr>
      </w:pPr>
      <w:r w:rsidRPr="002902BA">
        <w:rPr>
          <w:rStyle w:val="FootnoteReference"/>
        </w:rPr>
        <w:footnoteRef/>
      </w:r>
      <w:r w:rsidRPr="002902BA">
        <w:rPr>
          <w:rStyle w:val="FootnoteReference"/>
        </w:rPr>
        <w:t xml:space="preserve"> </w:t>
      </w:r>
      <w:r>
        <w:tab/>
      </w:r>
      <w:r w:rsidRPr="00274BCA">
        <w:rPr>
          <w:szCs w:val="18"/>
        </w:rPr>
        <w:t>Matthew Dunn, ‘Telstra customers want early termination, not free data for recent network errors’, 23 March 2016, available at &lt;</w:t>
      </w:r>
      <w:hyperlink r:id="rId16" w:tooltip="[opens in a seperate window]" w:history="1">
        <w:r w:rsidRPr="00274BCA">
          <w:rPr>
            <w:rStyle w:val="Hyperlink"/>
            <w:szCs w:val="18"/>
          </w:rPr>
          <w:t>http://www.news.com.au/technology/gadgets/mobile-phones/telstra-customers-want-early-termination-not-free-data-for-recent-network-errors/news-story/cc6b2656c0bb266e2faf06e8ff4286d6</w:t>
        </w:r>
      </w:hyperlink>
      <w:r w:rsidRPr="00274BCA">
        <w:rPr>
          <w:szCs w:val="18"/>
        </w:rPr>
        <w:t>&gt;</w:t>
      </w:r>
    </w:p>
  </w:footnote>
  <w:footnote w:id="25">
    <w:p w14:paraId="4837A7D1" w14:textId="170B0339" w:rsidR="00746125" w:rsidRDefault="00746125" w:rsidP="002902BA">
      <w:pPr>
        <w:pStyle w:val="FootnoteText"/>
      </w:pPr>
      <w:r w:rsidRPr="002902BA">
        <w:rPr>
          <w:rStyle w:val="FootnoteReference"/>
        </w:rPr>
        <w:footnoteRef/>
      </w:r>
      <w:r w:rsidRPr="00274BCA">
        <w:rPr>
          <w:szCs w:val="18"/>
        </w:rPr>
        <w:t xml:space="preserve"> </w:t>
      </w:r>
      <w:r>
        <w:rPr>
          <w:szCs w:val="18"/>
        </w:rPr>
        <w:tab/>
      </w:r>
      <w:r w:rsidRPr="00274BCA">
        <w:rPr>
          <w:i/>
          <w:szCs w:val="18"/>
        </w:rPr>
        <w:t>Competition and Consumer Act 2010</w:t>
      </w:r>
      <w:r w:rsidRPr="00274BCA">
        <w:rPr>
          <w:szCs w:val="18"/>
        </w:rPr>
        <w:t xml:space="preserve"> Schedule 2</w:t>
      </w:r>
    </w:p>
  </w:footnote>
  <w:footnote w:id="26">
    <w:p w14:paraId="1A2DDF62" w14:textId="08DACB01" w:rsidR="00746125" w:rsidRPr="00274BCA" w:rsidRDefault="00746125" w:rsidP="002902BA">
      <w:pPr>
        <w:pStyle w:val="FootnoteText"/>
      </w:pPr>
      <w:r w:rsidRPr="002902BA">
        <w:rPr>
          <w:rStyle w:val="FootnoteReference"/>
        </w:rPr>
        <w:footnoteRef/>
      </w:r>
      <w:r>
        <w:t xml:space="preserve"> </w:t>
      </w:r>
      <w:r>
        <w:tab/>
      </w:r>
      <w:proofErr w:type="gramStart"/>
      <w:r w:rsidRPr="00274BCA">
        <w:t xml:space="preserve">Kate McKenzie, ‘An update on today’s mobile outage’, </w:t>
      </w:r>
      <w:r w:rsidRPr="00274BCA">
        <w:rPr>
          <w:i/>
        </w:rPr>
        <w:t>Telstra Exchange</w:t>
      </w:r>
      <w:r w:rsidRPr="00274BCA">
        <w:t>, 9 February 2016, available at &lt;</w:t>
      </w:r>
      <w:hyperlink r:id="rId17" w:tooltip="[opens in a seperate window]" w:history="1">
        <w:r w:rsidRPr="00274BCA">
          <w:rPr>
            <w:rStyle w:val="Hyperlink"/>
            <w:szCs w:val="18"/>
          </w:rPr>
          <w:t>https://exchange.telstra.com.au/2016/02/09/an-update-on-todays-mobile-outage/</w:t>
        </w:r>
      </w:hyperlink>
      <w:r w:rsidRPr="00274BCA">
        <w:t>&gt;.</w:t>
      </w:r>
      <w:proofErr w:type="gramEnd"/>
    </w:p>
  </w:footnote>
  <w:footnote w:id="27">
    <w:p w14:paraId="553E7231" w14:textId="77777777" w:rsidR="00746125" w:rsidRPr="00444A07" w:rsidRDefault="00746125" w:rsidP="002902BA">
      <w:pPr>
        <w:pStyle w:val="FootnoteText"/>
      </w:pPr>
      <w:r w:rsidRPr="002902BA">
        <w:rPr>
          <w:rStyle w:val="FootnoteReference"/>
        </w:rPr>
        <w:footnoteRef/>
      </w:r>
      <w:r w:rsidRPr="00444A07">
        <w:tab/>
        <w:t xml:space="preserve"> </w:t>
      </w:r>
      <w:proofErr w:type="gramStart"/>
      <w:r w:rsidRPr="00444A07">
        <w:t>Adams, P. 2008, Handbook of Research on Global Diffusion of Broadband Data Transmission, Chapter XIX Factors Affecting Broadband Adoption for Mainstream Consumers.</w:t>
      </w:r>
      <w:proofErr w:type="gramEnd"/>
    </w:p>
  </w:footnote>
  <w:footnote w:id="28">
    <w:p w14:paraId="57AF94BF" w14:textId="7DC57A21" w:rsidR="00746125" w:rsidRPr="00444A07" w:rsidRDefault="00746125" w:rsidP="002902BA">
      <w:pPr>
        <w:pStyle w:val="FootnoteText"/>
        <w:rPr>
          <w:rStyle w:val="FootnoteReference1"/>
          <w:szCs w:val="18"/>
          <w:vertAlign w:val="baseline"/>
        </w:rPr>
      </w:pPr>
      <w:r w:rsidRPr="002902BA">
        <w:rPr>
          <w:rStyle w:val="FootnoteReference"/>
        </w:rPr>
        <w:footnoteRef/>
      </w:r>
      <w:r>
        <w:rPr>
          <w:lang w:val="en-IE"/>
        </w:rPr>
        <w:t xml:space="preserve"> </w:t>
      </w:r>
      <w:r>
        <w:rPr>
          <w:lang w:val="en-IE"/>
        </w:rPr>
        <w:tab/>
      </w:r>
      <w:proofErr w:type="spellStart"/>
      <w:r w:rsidRPr="00444A07">
        <w:rPr>
          <w:lang w:val="en-IE"/>
        </w:rPr>
        <w:t>Ariely</w:t>
      </w:r>
      <w:proofErr w:type="spellEnd"/>
      <w:r w:rsidRPr="00444A07">
        <w:rPr>
          <w:lang w:val="en-IE"/>
        </w:rPr>
        <w:t xml:space="preserve">, D &amp; Norton, Michael, From thinking too little to thinking too much: a continuum of decision making </w:t>
      </w:r>
      <w:r w:rsidRPr="00444A07">
        <w:t xml:space="preserve"> </w:t>
      </w:r>
      <w:hyperlink r:id="rId18" w:tooltip="[opens in a seperate window]" w:history="1">
        <w:r w:rsidRPr="00444A07">
          <w:rPr>
            <w:rStyle w:val="Hyperlink"/>
            <w:szCs w:val="18"/>
          </w:rPr>
          <w:t>http://people.duke.edu/~dandan/webfiles/PapersOther/A%20continuum%20of%20decision%20making.pdf</w:t>
        </w:r>
      </w:hyperlink>
    </w:p>
  </w:footnote>
  <w:footnote w:id="29">
    <w:p w14:paraId="05EA4027" w14:textId="26583AF5" w:rsidR="00746125" w:rsidRPr="00444A07" w:rsidRDefault="00746125" w:rsidP="002902BA">
      <w:pPr>
        <w:pStyle w:val="FootnoteText"/>
        <w:rPr>
          <w:rStyle w:val="FootnoteReference1"/>
          <w:szCs w:val="18"/>
          <w:vertAlign w:val="baseline"/>
        </w:rPr>
      </w:pPr>
      <w:r w:rsidRPr="002902BA">
        <w:rPr>
          <w:rStyle w:val="FootnoteReference"/>
        </w:rPr>
        <w:footnoteRef/>
      </w:r>
      <w:r w:rsidRPr="00444A07">
        <w:rPr>
          <w:szCs w:val="18"/>
        </w:rPr>
        <w:t xml:space="preserve"> </w:t>
      </w:r>
      <w:r>
        <w:rPr>
          <w:szCs w:val="18"/>
        </w:rPr>
        <w:tab/>
      </w:r>
      <w:proofErr w:type="spellStart"/>
      <w:r w:rsidRPr="00444A07">
        <w:rPr>
          <w:szCs w:val="18"/>
        </w:rPr>
        <w:t>Ariely</w:t>
      </w:r>
      <w:proofErr w:type="spellEnd"/>
      <w:r w:rsidRPr="00444A07">
        <w:rPr>
          <w:szCs w:val="18"/>
        </w:rPr>
        <w:t xml:space="preserve">, D &amp; Norton, Michael, </w:t>
      </w:r>
      <w:proofErr w:type="gramStart"/>
      <w:r w:rsidRPr="00444A07">
        <w:rPr>
          <w:szCs w:val="18"/>
          <w:lang w:val="en-IE"/>
        </w:rPr>
        <w:t>How</w:t>
      </w:r>
      <w:proofErr w:type="gramEnd"/>
      <w:r w:rsidRPr="00444A07">
        <w:rPr>
          <w:szCs w:val="18"/>
          <w:lang w:val="en-IE"/>
        </w:rPr>
        <w:t xml:space="preserve"> actions create – not just reveal – preferences. </w:t>
      </w:r>
      <w:hyperlink r:id="rId19" w:tooltip="[opens in a seperate window]" w:history="1">
        <w:r w:rsidRPr="00444A07">
          <w:rPr>
            <w:rStyle w:val="Hyperlink"/>
            <w:szCs w:val="18"/>
          </w:rPr>
          <w:t>http://people.duke.edu/~dandan/webfiles/PapersIY/HowActionsCreate%20Preferences.pdf</w:t>
        </w:r>
      </w:hyperlink>
    </w:p>
  </w:footnote>
  <w:footnote w:id="30">
    <w:p w14:paraId="06ABC6B4" w14:textId="2DA37786" w:rsidR="00746125" w:rsidRPr="00153626" w:rsidRDefault="00746125" w:rsidP="00FE0B29">
      <w:pPr>
        <w:pStyle w:val="FootnoteText"/>
      </w:pPr>
      <w:r w:rsidRPr="002902BA">
        <w:rPr>
          <w:rStyle w:val="FootnoteReference"/>
        </w:rPr>
        <w:footnoteRef/>
      </w:r>
      <w:r w:rsidRPr="002902BA">
        <w:rPr>
          <w:rStyle w:val="FootnoteReference"/>
        </w:rPr>
        <w:t xml:space="preserve"> </w:t>
      </w:r>
      <w:r>
        <w:tab/>
      </w:r>
      <w:r w:rsidRPr="00444A07">
        <w:t>Productivity Commission, Public Inquiry into Data Availability and Use, http://www.pc.gov.au/inquiries/current/data-access#draft</w:t>
      </w:r>
    </w:p>
  </w:footnote>
  <w:footnote w:id="31">
    <w:p w14:paraId="06F29327" w14:textId="43FA80BE" w:rsidR="00746125" w:rsidRPr="00444A07" w:rsidRDefault="00746125" w:rsidP="00FE0B29">
      <w:pPr>
        <w:pStyle w:val="FootnoteText"/>
      </w:pPr>
      <w:r w:rsidRPr="002902BA">
        <w:rPr>
          <w:rStyle w:val="FootnoteReference"/>
        </w:rPr>
        <w:footnoteRef/>
      </w:r>
      <w:r w:rsidRPr="00444A07">
        <w:t xml:space="preserve"> </w:t>
      </w:r>
      <w:r>
        <w:tab/>
      </w:r>
      <w:r w:rsidRPr="00444A07">
        <w:t xml:space="preserve">See ACCAN’s submission to the Productivity Commission, </w:t>
      </w:r>
      <w:hyperlink r:id="rId20" w:tooltip="[opens in a seperate window]" w:history="1">
        <w:r w:rsidRPr="00EC5F1B">
          <w:rPr>
            <w:rStyle w:val="Hyperlink"/>
            <w:szCs w:val="18"/>
          </w:rPr>
          <w:t>http://accan.org.au/PC%20Data%20Availability%20and%20Use%20submission%202016.pdf</w:t>
        </w:r>
      </w:hyperlink>
    </w:p>
  </w:footnote>
  <w:footnote w:id="32">
    <w:p w14:paraId="2303F5A5" w14:textId="2487FD0B" w:rsidR="00746125" w:rsidRPr="00444A07" w:rsidRDefault="00746125" w:rsidP="00FE0B29">
      <w:pPr>
        <w:pStyle w:val="FootnoteText"/>
      </w:pPr>
      <w:r w:rsidRPr="002902BA">
        <w:rPr>
          <w:rStyle w:val="FootnoteReference"/>
        </w:rPr>
        <w:footnoteRef/>
      </w:r>
      <w:r w:rsidRPr="00444A07">
        <w:t xml:space="preserve"> </w:t>
      </w:r>
      <w:r>
        <w:tab/>
      </w:r>
      <w:r w:rsidRPr="00444A07">
        <w:t>Office of Fair Trading, 2010, ‘What does Behavioural Economics mean for Competition Policy?</w:t>
      </w:r>
      <w:proofErr w:type="gramStart"/>
      <w:r w:rsidRPr="00444A07">
        <w:t>’,</w:t>
      </w:r>
      <w:proofErr w:type="gramEnd"/>
      <w:r w:rsidRPr="00444A07">
        <w:t xml:space="preserve"> March 2010, at p5.</w:t>
      </w:r>
    </w:p>
  </w:footnote>
  <w:footnote w:id="33">
    <w:p w14:paraId="69F37070" w14:textId="364CEBC8" w:rsidR="00746125" w:rsidRPr="00444A07" w:rsidRDefault="00746125" w:rsidP="00FE0B29">
      <w:pPr>
        <w:pStyle w:val="FootnoteText"/>
      </w:pPr>
      <w:r w:rsidRPr="00FE0B29">
        <w:rPr>
          <w:rStyle w:val="FootnoteReference"/>
        </w:rPr>
        <w:footnoteRef/>
      </w:r>
      <w:r w:rsidRPr="00FE0B29">
        <w:rPr>
          <w:rStyle w:val="FootnoteReference"/>
        </w:rPr>
        <w:t xml:space="preserve"> </w:t>
      </w:r>
      <w:r>
        <w:tab/>
      </w:r>
      <w:hyperlink r:id="rId21" w:tooltip="[opens in a seperate window]" w:history="1">
        <w:proofErr w:type="gramStart"/>
        <w:r w:rsidRPr="00444A07">
          <w:rPr>
            <w:rStyle w:val="Hyperlink"/>
            <w:szCs w:val="18"/>
          </w:rPr>
          <w:t>http://www.which.co.uk/money/bank-accounts/guides/switching-your-bank-account/what-is-midata</w:t>
        </w:r>
      </w:hyperlink>
      <w:r w:rsidRPr="00444A07">
        <w:t>; (accessed 20 July 2016).</w:t>
      </w:r>
      <w:proofErr w:type="gramEnd"/>
      <w:r>
        <w:t xml:space="preserve"> </w:t>
      </w:r>
    </w:p>
  </w:footnote>
  <w:footnote w:id="34">
    <w:p w14:paraId="3B2D6D0D" w14:textId="739040BE" w:rsidR="00746125" w:rsidRPr="00444A07" w:rsidRDefault="00746125" w:rsidP="00FE0B29">
      <w:pPr>
        <w:pStyle w:val="FootnoteText"/>
      </w:pPr>
      <w:r w:rsidRPr="00FE0B29">
        <w:rPr>
          <w:rStyle w:val="FootnoteReference"/>
        </w:rPr>
        <w:footnoteRef/>
      </w:r>
      <w:r w:rsidRPr="00444A07">
        <w:t xml:space="preserve"> </w:t>
      </w:r>
      <w:r>
        <w:tab/>
      </w:r>
      <w:r w:rsidRPr="00444A07">
        <w:t>It is important to note that a scheme such as midata still presents privacy risks for consumers, which are addressed later in this submission.</w:t>
      </w:r>
    </w:p>
  </w:footnote>
  <w:footnote w:id="35">
    <w:p w14:paraId="58BD68EF" w14:textId="61AAE140" w:rsidR="00746125" w:rsidRPr="00444A07" w:rsidRDefault="00746125" w:rsidP="00FE0B29">
      <w:pPr>
        <w:pStyle w:val="FootnoteText"/>
      </w:pPr>
      <w:r w:rsidRPr="00FE0B29">
        <w:rPr>
          <w:rStyle w:val="FootnoteReference"/>
        </w:rPr>
        <w:footnoteRef/>
      </w:r>
      <w:r w:rsidRPr="00444A07">
        <w:t xml:space="preserve"> </w:t>
      </w:r>
      <w:r>
        <w:tab/>
      </w:r>
      <w:r w:rsidRPr="00444A07">
        <w:t>https://www.billmonitor.com/</w:t>
      </w:r>
    </w:p>
  </w:footnote>
  <w:footnote w:id="36">
    <w:p w14:paraId="4F553804" w14:textId="49E38A58" w:rsidR="00746125" w:rsidRDefault="00746125" w:rsidP="00661166">
      <w:pPr>
        <w:pStyle w:val="FootnoteText"/>
        <w:rPr>
          <w:rFonts w:cs="Calibri"/>
          <w:vertAlign w:val="superscript"/>
        </w:rPr>
      </w:pPr>
      <w:r w:rsidRPr="00FE0B29">
        <w:rPr>
          <w:rStyle w:val="FootnoteReference"/>
        </w:rPr>
        <w:footnoteRef/>
      </w:r>
      <w:r>
        <w:tab/>
      </w:r>
      <w:r w:rsidRPr="00444A07">
        <w:t>http://blog.billmonitor.com/post/48733514754/billmonitorcom-prescribes-a-tariff-diet-to-he</w:t>
      </w:r>
    </w:p>
  </w:footnote>
  <w:footnote w:id="37">
    <w:p w14:paraId="1352D0B1" w14:textId="0231FC6A" w:rsidR="00746125" w:rsidRDefault="00746125" w:rsidP="00EF4492">
      <w:pPr>
        <w:pStyle w:val="FootnoteText"/>
        <w:suppressLineNumbers/>
        <w:spacing w:before="28" w:after="28"/>
        <w:ind w:left="283" w:hanging="283"/>
      </w:pPr>
      <w:r w:rsidRPr="00FE0B29">
        <w:rPr>
          <w:rStyle w:val="FootnoteReference"/>
        </w:rPr>
        <w:footnoteRef/>
      </w:r>
      <w:r>
        <w:tab/>
      </w:r>
      <w:r>
        <w:tab/>
        <w:t>Issues paper pg.21.</w:t>
      </w:r>
    </w:p>
  </w:footnote>
  <w:footnote w:id="38">
    <w:p w14:paraId="30FA67FB" w14:textId="7DC1678F" w:rsidR="00746125" w:rsidRDefault="00746125" w:rsidP="002C1763">
      <w:pPr>
        <w:pStyle w:val="FootnoteText"/>
      </w:pPr>
      <w:r>
        <w:rPr>
          <w:rStyle w:val="FootnoteReference"/>
        </w:rPr>
        <w:footnoteRef/>
      </w:r>
      <w:r>
        <w:t xml:space="preserve"> </w:t>
      </w:r>
      <w:r>
        <w:tab/>
      </w:r>
      <w:proofErr w:type="gramStart"/>
      <w:r>
        <w:t>ACCAN, 2016.</w:t>
      </w:r>
      <w:proofErr w:type="gramEnd"/>
      <w:r>
        <w:t xml:space="preserve"> What ’28 day months’ mean for you. https://accan.org.au/hot-issues/1174-what-28-day-months-mean-for-you</w:t>
      </w:r>
    </w:p>
  </w:footnote>
  <w:footnote w:id="39">
    <w:p w14:paraId="0AE0BC8F" w14:textId="3D9EDC54" w:rsidR="00746125" w:rsidRDefault="00746125" w:rsidP="002C1763">
      <w:pPr>
        <w:pStyle w:val="FootnoteText"/>
      </w:pPr>
      <w:r>
        <w:rPr>
          <w:rStyle w:val="FootnoteReference"/>
        </w:rPr>
        <w:footnoteRef/>
      </w:r>
      <w:r>
        <w:t xml:space="preserve"> </w:t>
      </w:r>
      <w:r>
        <w:tab/>
      </w:r>
      <w:proofErr w:type="spellStart"/>
      <w:r>
        <w:t>Musolino</w:t>
      </w:r>
      <w:proofErr w:type="spellEnd"/>
      <w:r>
        <w:t xml:space="preserve">, V &amp; Ogle, G, 2016, Analogue entitlements in a digital age: Preliminary data briefings on income support and the digital divide. </w:t>
      </w:r>
      <w:proofErr w:type="gramStart"/>
      <w:r>
        <w:t>Australian Communications Consumer Action Network, Sydney.</w:t>
      </w:r>
      <w:proofErr w:type="gramEnd"/>
    </w:p>
  </w:footnote>
  <w:footnote w:id="40">
    <w:p w14:paraId="6B1CC49B" w14:textId="5F227F10" w:rsidR="00746125" w:rsidRPr="00153626" w:rsidRDefault="00746125" w:rsidP="002902BA">
      <w:pPr>
        <w:pStyle w:val="FootnoteText"/>
        <w:rPr>
          <w:szCs w:val="18"/>
        </w:rPr>
      </w:pPr>
      <w:r w:rsidRPr="002902BA">
        <w:rPr>
          <w:rStyle w:val="FootnoteReference"/>
        </w:rPr>
        <w:footnoteRef/>
      </w:r>
      <w:r w:rsidRPr="002902BA">
        <w:rPr>
          <w:rStyle w:val="FootnoteReference"/>
        </w:rPr>
        <w:t xml:space="preserve"> </w:t>
      </w:r>
      <w:r>
        <w:tab/>
      </w:r>
      <w:proofErr w:type="spellStart"/>
      <w:r w:rsidRPr="00444A07">
        <w:rPr>
          <w:szCs w:val="18"/>
        </w:rPr>
        <w:t>whistleOut</w:t>
      </w:r>
      <w:proofErr w:type="spellEnd"/>
      <w:r w:rsidRPr="00444A07">
        <w:rPr>
          <w:szCs w:val="18"/>
        </w:rPr>
        <w:t xml:space="preserve">, 2016, available at: </w:t>
      </w:r>
      <w:hyperlink r:id="rId22" w:tooltip="[opens in a seperate window]" w:history="1">
        <w:r w:rsidRPr="00444A07">
          <w:rPr>
            <w:rStyle w:val="Hyperlink"/>
            <w:szCs w:val="18"/>
          </w:rPr>
          <w:t>https://www.whistleout.com.au/</w:t>
        </w:r>
      </w:hyperlink>
      <w:r w:rsidRPr="00444A07">
        <w:rPr>
          <w:szCs w:val="18"/>
        </w:rPr>
        <w:t xml:space="preserve"> ; Finder.com.au, 2016, available at: </w:t>
      </w:r>
      <w:hyperlink r:id="rId23" w:tooltip="[opens in a seperate window]" w:history="1">
        <w:r w:rsidRPr="00444A07">
          <w:rPr>
            <w:rStyle w:val="Hyperlink"/>
            <w:szCs w:val="18"/>
          </w:rPr>
          <w:t>http://www.finder.com.au/</w:t>
        </w:r>
      </w:hyperlink>
      <w:r w:rsidRPr="00444A07">
        <w:rPr>
          <w:szCs w:val="18"/>
        </w:rPr>
        <w:t xml:space="preserve"> </w:t>
      </w:r>
    </w:p>
  </w:footnote>
  <w:footnote w:id="41">
    <w:p w14:paraId="49AF51E3" w14:textId="50501B6A" w:rsidR="00746125" w:rsidRPr="00444A07" w:rsidRDefault="00746125" w:rsidP="002902BA">
      <w:pPr>
        <w:pStyle w:val="FootnoteText"/>
        <w:rPr>
          <w:szCs w:val="18"/>
        </w:rPr>
      </w:pPr>
      <w:r w:rsidRPr="002902BA">
        <w:rPr>
          <w:rStyle w:val="FootnoteReference"/>
        </w:rPr>
        <w:footnoteRef/>
      </w:r>
      <w:r w:rsidRPr="00444A07">
        <w:rPr>
          <w:szCs w:val="18"/>
        </w:rPr>
        <w:t xml:space="preserve"> </w:t>
      </w:r>
      <w:r>
        <w:rPr>
          <w:szCs w:val="18"/>
        </w:rPr>
        <w:tab/>
      </w:r>
      <w:proofErr w:type="gramStart"/>
      <w:r w:rsidRPr="00444A07">
        <w:rPr>
          <w:szCs w:val="18"/>
        </w:rPr>
        <w:t xml:space="preserve">ACCC, Comparator websites - A guide for comparator website operators and suppliers, August 2015, available at </w:t>
      </w:r>
      <w:r w:rsidRPr="00444A07">
        <w:rPr>
          <w:szCs w:val="18"/>
        </w:rPr>
        <w:br/>
        <w:t>&lt;</w:t>
      </w:r>
      <w:hyperlink r:id="rId24" w:tooltip="[opens in a seperate window]" w:history="1">
        <w:r w:rsidRPr="00444A07">
          <w:rPr>
            <w:rStyle w:val="Hyperlink"/>
            <w:szCs w:val="18"/>
          </w:rPr>
          <w:t>https://www.accc.gov.au/system/files/CSBS%20-%20Comparator%20web%20sites%20project%20-%20Industry%20Guidance%20-%20final.pdf</w:t>
        </w:r>
      </w:hyperlink>
      <w:r w:rsidRPr="00444A07">
        <w:rPr>
          <w:szCs w:val="18"/>
        </w:rPr>
        <w:t>&gt;.</w:t>
      </w:r>
      <w:proofErr w:type="gramEnd"/>
    </w:p>
  </w:footnote>
  <w:footnote w:id="42">
    <w:p w14:paraId="65E55ABD" w14:textId="119B7A02" w:rsidR="00746125" w:rsidRDefault="00746125" w:rsidP="002902BA">
      <w:pPr>
        <w:pStyle w:val="FootnoteText"/>
      </w:pPr>
      <w:r w:rsidRPr="002902BA">
        <w:rPr>
          <w:rStyle w:val="FootnoteReference"/>
        </w:rPr>
        <w:footnoteRef/>
      </w:r>
      <w:r w:rsidRPr="00444A07">
        <w:t xml:space="preserve"> </w:t>
      </w:r>
      <w:r>
        <w:tab/>
      </w:r>
      <w:r w:rsidRPr="00444A07">
        <w:t xml:space="preserve">Energy Made Easy, 2016, available at: </w:t>
      </w:r>
      <w:hyperlink r:id="rId25" w:tooltip="[opens in a seperate window]" w:history="1">
        <w:r w:rsidRPr="00444A07">
          <w:rPr>
            <w:rStyle w:val="Hyperlink"/>
            <w:szCs w:val="18"/>
          </w:rPr>
          <w:t>https://www.energymadeeasy.gov.au/</w:t>
        </w:r>
      </w:hyperlink>
      <w:r>
        <w:t xml:space="preserve"> </w:t>
      </w:r>
    </w:p>
  </w:footnote>
  <w:footnote w:id="43">
    <w:p w14:paraId="2AD6E65E" w14:textId="61104985" w:rsidR="00746125" w:rsidRPr="00444A07" w:rsidRDefault="00746125" w:rsidP="002902BA">
      <w:pPr>
        <w:pStyle w:val="FootnoteText"/>
      </w:pPr>
      <w:r w:rsidRPr="002902BA">
        <w:rPr>
          <w:rStyle w:val="FootnoteReference"/>
        </w:rPr>
        <w:footnoteRef/>
      </w:r>
      <w:r w:rsidRPr="00444A07">
        <w:t xml:space="preserve"> </w:t>
      </w:r>
      <w:r>
        <w:tab/>
      </w:r>
      <w:proofErr w:type="gramStart"/>
      <w:r w:rsidRPr="00444A07">
        <w:t>Silva-</w:t>
      </w:r>
      <w:proofErr w:type="spellStart"/>
      <w:r w:rsidRPr="00444A07">
        <w:t>Goncalves</w:t>
      </w:r>
      <w:proofErr w:type="spellEnd"/>
      <w:r w:rsidRPr="00444A07">
        <w:t>, J, 2015, ‘Australians’ switching behaviour in banking, insurance services and main utilities’, QUT and Heritage Bank.</w:t>
      </w:r>
      <w:proofErr w:type="gramEnd"/>
    </w:p>
    <w:p w14:paraId="11507899" w14:textId="77777777" w:rsidR="00746125" w:rsidRDefault="00746125" w:rsidP="00EF4492">
      <w:pPr>
        <w:pStyle w:val="FootnoteText"/>
        <w:suppressLineNumbers/>
        <w:spacing w:before="28" w:after="28"/>
        <w:ind w:left="283" w:hanging="283"/>
      </w:pPr>
    </w:p>
  </w:footnote>
  <w:footnote w:id="44">
    <w:p w14:paraId="572F2DE4" w14:textId="36388540" w:rsidR="00746125" w:rsidRPr="002902BA" w:rsidRDefault="00746125" w:rsidP="002902BA">
      <w:pPr>
        <w:pStyle w:val="FootnoteText"/>
      </w:pPr>
      <w:r w:rsidRPr="002902BA">
        <w:rPr>
          <w:rStyle w:val="FootnoteReference"/>
        </w:rPr>
        <w:footnoteRef/>
      </w:r>
      <w:r w:rsidRPr="002902BA">
        <w:tab/>
      </w:r>
      <w:proofErr w:type="gramStart"/>
      <w:r w:rsidRPr="002902BA">
        <w:t>ACCAN August 2016 submission to ACCC.</w:t>
      </w:r>
      <w:proofErr w:type="gramEnd"/>
      <w:r w:rsidRPr="002902BA">
        <w:t xml:space="preserve"> </w:t>
      </w:r>
      <w:hyperlink r:id="rId26" w:tooltip="[opens in a seperate window]" w:history="1">
        <w:r w:rsidRPr="002902BA">
          <w:rPr>
            <w:rStyle w:val="Hyperlink"/>
            <w:color w:val="auto"/>
            <w:u w:val="none"/>
          </w:rPr>
          <w:t>http://accan.org.au/our-work/submissions/1291-broadband-speed-claims</w:t>
        </w:r>
      </w:hyperlink>
    </w:p>
  </w:footnote>
  <w:footnote w:id="45">
    <w:p w14:paraId="48007964" w14:textId="2FA6D22D" w:rsidR="00746125" w:rsidRPr="00274BCA" w:rsidRDefault="00746125" w:rsidP="002902BA">
      <w:pPr>
        <w:pStyle w:val="FootnoteText"/>
      </w:pPr>
      <w:r w:rsidRPr="002902BA">
        <w:rPr>
          <w:rStyle w:val="FootnoteReference"/>
        </w:rPr>
        <w:footnoteRef/>
      </w:r>
      <w:r w:rsidRPr="00EC7AB8">
        <w:tab/>
      </w:r>
      <w:proofErr w:type="gramStart"/>
      <w:r w:rsidRPr="00EC7AB8">
        <w:t>Macquarie Telecom to publish real time NPS.</w:t>
      </w:r>
      <w:proofErr w:type="gramEnd"/>
      <w:r w:rsidRPr="00EC7AB8">
        <w:t xml:space="preserve"> </w:t>
      </w:r>
      <w:hyperlink r:id="rId27" w:tooltip="[opens in a seperate window]" w:history="1">
        <w:r w:rsidRPr="00EC7AB8">
          <w:rPr>
            <w:rStyle w:val="Hyperlink"/>
            <w:rFonts w:asciiTheme="minorHAnsi" w:hAnsiTheme="minorHAnsi"/>
            <w:szCs w:val="18"/>
          </w:rPr>
          <w:t>http://www.zdnet.com/article/macquarie-telecom-to-publish-real-time-nps/</w:t>
        </w:r>
      </w:hyperlink>
    </w:p>
  </w:footnote>
  <w:footnote w:id="46">
    <w:p w14:paraId="553DCAF1" w14:textId="16A0E3A4" w:rsidR="00746125" w:rsidRPr="00274BCA" w:rsidRDefault="00746125" w:rsidP="002902BA">
      <w:pPr>
        <w:pStyle w:val="FootnoteText"/>
      </w:pPr>
      <w:r w:rsidRPr="002902BA">
        <w:rPr>
          <w:rStyle w:val="FootnoteReference"/>
        </w:rPr>
        <w:footnoteRef/>
      </w:r>
      <w:r w:rsidRPr="002902BA">
        <w:rPr>
          <w:rStyle w:val="FootnoteReference"/>
        </w:rPr>
        <w:t xml:space="preserve"> </w:t>
      </w:r>
      <w:r>
        <w:rPr>
          <w:rStyle w:val="FootnoteReference"/>
        </w:rPr>
        <w:tab/>
      </w:r>
      <w:r w:rsidRPr="00274BCA">
        <w:t xml:space="preserve">Paul Harrison, ACCAN, Seeking Straight Answers: Consumer Decision-Making in Telecommunications, 2011, </w:t>
      </w:r>
      <w:hyperlink r:id="rId28" w:tooltip="[opens in a seperate window]" w:history="1">
        <w:r w:rsidRPr="00274BCA">
          <w:rPr>
            <w:rStyle w:val="Hyperlink"/>
            <w:szCs w:val="18"/>
          </w:rPr>
          <w:t>http://accan.org.au/files/Reports/Seeking%20Straight%20Answers%20Report.pdf</w:t>
        </w:r>
      </w:hyperlink>
      <w:r w:rsidRPr="00274BCA">
        <w:t xml:space="preserve"> at 19.</w:t>
      </w:r>
    </w:p>
  </w:footnote>
  <w:footnote w:id="47">
    <w:p w14:paraId="3E9F62AE" w14:textId="169E36AB" w:rsidR="00746125" w:rsidRPr="00274BCA" w:rsidRDefault="00746125" w:rsidP="002902BA">
      <w:pPr>
        <w:pStyle w:val="FootnoteText"/>
      </w:pPr>
      <w:r w:rsidRPr="002902BA">
        <w:rPr>
          <w:rStyle w:val="FootnoteReference"/>
        </w:rPr>
        <w:footnoteRef/>
      </w:r>
      <w:r w:rsidRPr="002902BA">
        <w:rPr>
          <w:rStyle w:val="FootnoteReference"/>
        </w:rPr>
        <w:t xml:space="preserve"> </w:t>
      </w:r>
      <w:r>
        <w:rPr>
          <w:rStyle w:val="FootnoteReference"/>
        </w:rPr>
        <w:tab/>
      </w:r>
      <w:r w:rsidRPr="00274BCA">
        <w:t>OECD 2015 at 7</w:t>
      </w:r>
    </w:p>
  </w:footnote>
  <w:footnote w:id="48">
    <w:p w14:paraId="039992F8" w14:textId="4EA406CD" w:rsidR="00746125" w:rsidRPr="00274BCA" w:rsidRDefault="00746125" w:rsidP="002902BA">
      <w:pPr>
        <w:pStyle w:val="FootnoteText"/>
      </w:pPr>
      <w:r w:rsidRPr="002902BA">
        <w:rPr>
          <w:rStyle w:val="FootnoteReference"/>
        </w:rPr>
        <w:footnoteRef/>
      </w:r>
      <w:r w:rsidRPr="00274BCA">
        <w:t xml:space="preserve"> </w:t>
      </w:r>
      <w:r>
        <w:tab/>
      </w:r>
      <w:proofErr w:type="gramStart"/>
      <w:r w:rsidRPr="00274BCA">
        <w:t>OECD 2015 at 2.</w:t>
      </w:r>
      <w:proofErr w:type="gramEnd"/>
      <w:r w:rsidRPr="00274BCA">
        <w:t xml:space="preserve"> </w:t>
      </w:r>
    </w:p>
  </w:footnote>
  <w:footnote w:id="49">
    <w:p w14:paraId="35A7DAD5" w14:textId="05A5C7A9" w:rsidR="00746125" w:rsidRPr="00274BCA" w:rsidRDefault="00746125" w:rsidP="002902BA">
      <w:pPr>
        <w:pStyle w:val="FootnoteText"/>
      </w:pPr>
      <w:r w:rsidRPr="002902BA">
        <w:rPr>
          <w:rStyle w:val="FootnoteReference"/>
        </w:rPr>
        <w:footnoteRef/>
      </w:r>
      <w:r w:rsidRPr="00274BCA">
        <w:t xml:space="preserve"> </w:t>
      </w:r>
      <w:r>
        <w:tab/>
      </w:r>
      <w:proofErr w:type="gramStart"/>
      <w:r w:rsidRPr="00274BCA">
        <w:t>OECD 2015 at 8.</w:t>
      </w:r>
      <w:proofErr w:type="gramEnd"/>
    </w:p>
  </w:footnote>
  <w:footnote w:id="50">
    <w:p w14:paraId="0382F3B3" w14:textId="43E9420F" w:rsidR="00746125" w:rsidRPr="00274BCA" w:rsidRDefault="00746125" w:rsidP="002902BA">
      <w:pPr>
        <w:pStyle w:val="FootnoteText"/>
      </w:pPr>
      <w:r w:rsidRPr="002902BA">
        <w:rPr>
          <w:rStyle w:val="FootnoteReference"/>
        </w:rPr>
        <w:footnoteRef/>
      </w:r>
      <w:r w:rsidRPr="002902BA">
        <w:rPr>
          <w:rStyle w:val="FootnoteReference"/>
        </w:rPr>
        <w:t xml:space="preserve"> </w:t>
      </w:r>
      <w:r>
        <w:rPr>
          <w:rStyle w:val="FootnoteReference"/>
        </w:rPr>
        <w:tab/>
      </w:r>
      <w:proofErr w:type="gramStart"/>
      <w:r w:rsidRPr="00274BCA">
        <w:t>OECD 2015 at 2.</w:t>
      </w:r>
      <w:proofErr w:type="gramEnd"/>
    </w:p>
  </w:footnote>
  <w:footnote w:id="51">
    <w:p w14:paraId="51CBD718" w14:textId="669824F8" w:rsidR="00746125" w:rsidRPr="00153626" w:rsidRDefault="00746125" w:rsidP="002902BA">
      <w:pPr>
        <w:pStyle w:val="FootnoteText"/>
      </w:pPr>
      <w:r w:rsidRPr="002902BA">
        <w:rPr>
          <w:rStyle w:val="FootnoteReference"/>
        </w:rPr>
        <w:footnoteRef/>
      </w:r>
      <w:r w:rsidRPr="00153626">
        <w:t xml:space="preserve"> </w:t>
      </w:r>
      <w:r>
        <w:tab/>
      </w:r>
      <w:proofErr w:type="gramStart"/>
      <w:r w:rsidRPr="00153626">
        <w:t>OECD at 5.</w:t>
      </w:r>
      <w:proofErr w:type="gramEnd"/>
    </w:p>
  </w:footnote>
  <w:footnote w:id="52">
    <w:p w14:paraId="14078EFC" w14:textId="4E65F4F7" w:rsidR="00746125" w:rsidRPr="00153626" w:rsidRDefault="00746125" w:rsidP="002902BA">
      <w:pPr>
        <w:pStyle w:val="FootnoteText"/>
      </w:pPr>
      <w:r w:rsidRPr="002902BA">
        <w:rPr>
          <w:rStyle w:val="FootnoteReference"/>
        </w:rPr>
        <w:footnoteRef/>
      </w:r>
      <w:r w:rsidRPr="00153626">
        <w:rPr>
          <w:lang w:val="en-IE"/>
        </w:rPr>
        <w:t xml:space="preserve"> </w:t>
      </w:r>
      <w:r>
        <w:rPr>
          <w:lang w:val="en-IE"/>
        </w:rPr>
        <w:tab/>
      </w:r>
      <w:proofErr w:type="spellStart"/>
      <w:r w:rsidRPr="00153626">
        <w:rPr>
          <w:lang w:val="en-IE"/>
        </w:rPr>
        <w:t>Shampanier</w:t>
      </w:r>
      <w:proofErr w:type="spellEnd"/>
      <w:r w:rsidRPr="00153626">
        <w:rPr>
          <w:lang w:val="en-IE"/>
        </w:rPr>
        <w:t xml:space="preserve">, </w:t>
      </w:r>
      <w:proofErr w:type="spellStart"/>
      <w:r w:rsidRPr="00153626">
        <w:rPr>
          <w:lang w:val="en-IE"/>
        </w:rPr>
        <w:t>Mazar</w:t>
      </w:r>
      <w:proofErr w:type="spellEnd"/>
      <w:r w:rsidRPr="00153626">
        <w:rPr>
          <w:lang w:val="en-IE"/>
        </w:rPr>
        <w:t xml:space="preserve">, and </w:t>
      </w:r>
      <w:proofErr w:type="spellStart"/>
      <w:r w:rsidRPr="00153626">
        <w:rPr>
          <w:lang w:val="en-IE"/>
        </w:rPr>
        <w:t>Ariely</w:t>
      </w:r>
      <w:proofErr w:type="spellEnd"/>
      <w:r w:rsidRPr="00153626">
        <w:rPr>
          <w:lang w:val="en-IE"/>
        </w:rPr>
        <w:t xml:space="preserve">: Zero as a Special Price: The True Value of Free Products. Marketing Science 26(6), pp. 742–757, © 2007 INFORMS </w:t>
      </w:r>
      <w:hyperlink r:id="rId29" w:tooltip="[opens in a seperate window]" w:history="1">
        <w:r w:rsidRPr="00153626">
          <w:rPr>
            <w:rStyle w:val="Hyperlink"/>
            <w:szCs w:val="18"/>
          </w:rPr>
          <w:t>http://people.duke.edu/~dandan/webfiles/PapersPI/Zero%20as%20a%20Special%20Price.pdf</w:t>
        </w:r>
      </w:hyperlink>
    </w:p>
  </w:footnote>
  <w:footnote w:id="53">
    <w:p w14:paraId="0105162B" w14:textId="2898F22C" w:rsidR="00746125" w:rsidRPr="00153626" w:rsidRDefault="00746125" w:rsidP="002902BA">
      <w:pPr>
        <w:pStyle w:val="FootnoteText"/>
      </w:pPr>
      <w:r w:rsidRPr="002902BA">
        <w:rPr>
          <w:rStyle w:val="FootnoteReference"/>
        </w:rPr>
        <w:footnoteRef/>
      </w:r>
      <w:r w:rsidRPr="002902BA">
        <w:rPr>
          <w:rStyle w:val="FootnoteReference"/>
        </w:rPr>
        <w:t xml:space="preserve"> </w:t>
      </w:r>
      <w:r>
        <w:tab/>
      </w:r>
      <w:proofErr w:type="gramStart"/>
      <w:r w:rsidRPr="00153626">
        <w:t>OECD at 5.</w:t>
      </w:r>
      <w:proofErr w:type="gramEnd"/>
    </w:p>
  </w:footnote>
  <w:footnote w:id="54">
    <w:p w14:paraId="3B302113" w14:textId="0E8F5BFA" w:rsidR="00746125" w:rsidRDefault="00746125" w:rsidP="002902BA">
      <w:pPr>
        <w:pStyle w:val="FootnoteText"/>
      </w:pPr>
      <w:r>
        <w:rPr>
          <w:rStyle w:val="FootnoteReference"/>
        </w:rPr>
        <w:footnoteRef/>
      </w:r>
      <w:r>
        <w:t xml:space="preserve"> </w:t>
      </w:r>
      <w:r>
        <w:tab/>
        <w:t>Created by ACCAN</w:t>
      </w:r>
    </w:p>
  </w:footnote>
  <w:footnote w:id="55">
    <w:p w14:paraId="4071AB3F" w14:textId="77777777" w:rsidR="00746125" w:rsidRPr="006C38C0" w:rsidRDefault="00746125" w:rsidP="002902BA">
      <w:pPr>
        <w:pStyle w:val="FootnoteText"/>
      </w:pPr>
      <w:r w:rsidRPr="002902BA">
        <w:rPr>
          <w:rStyle w:val="FootnoteReference"/>
        </w:rPr>
        <w:footnoteRef/>
      </w:r>
      <w:r w:rsidRPr="006C38C0">
        <w:tab/>
        <w:t>Issues paper 5.9 pg. 25.</w:t>
      </w:r>
    </w:p>
  </w:footnote>
  <w:footnote w:id="56">
    <w:p w14:paraId="63C370EB" w14:textId="0FC3F2C2" w:rsidR="00746125" w:rsidRDefault="00746125" w:rsidP="006C38C0">
      <w:pPr>
        <w:pStyle w:val="FootnoteText"/>
      </w:pPr>
      <w:r w:rsidRPr="006C38C0">
        <w:rPr>
          <w:rStyle w:val="FootnoteReference"/>
        </w:rPr>
        <w:footnoteRef/>
      </w:r>
      <w:r w:rsidRPr="006C38C0">
        <w:t xml:space="preserve"> </w:t>
      </w:r>
      <w:r>
        <w:tab/>
      </w:r>
      <w:r w:rsidRPr="006C38C0">
        <w:t xml:space="preserve">Bureau of Communications Research, 2016, The Communications Sector: recent trends and developments. </w:t>
      </w:r>
      <w:hyperlink r:id="rId30" w:tooltip="[opens in a seperate window]" w:history="1">
        <w:r w:rsidRPr="002902BA">
          <w:rPr>
            <w:rStyle w:val="Hyperlink"/>
            <w:color w:val="auto"/>
            <w:u w:val="none"/>
          </w:rPr>
          <w:t>https://www.communications.gov.au/sites/g/files/net301/f/bcr_environmental_scan_report_05.pdf</w:t>
        </w:r>
      </w:hyperlink>
    </w:p>
  </w:footnote>
  <w:footnote w:id="57">
    <w:p w14:paraId="5BCFC9D3" w14:textId="52AD22E2" w:rsidR="00746125" w:rsidRPr="00153626" w:rsidRDefault="00746125" w:rsidP="002902BA">
      <w:pPr>
        <w:pStyle w:val="FootnoteText"/>
      </w:pPr>
      <w:r w:rsidRPr="002902BA">
        <w:rPr>
          <w:rStyle w:val="FootnoteReference"/>
        </w:rPr>
        <w:footnoteRef/>
      </w:r>
      <w:r w:rsidRPr="00153626">
        <w:rPr>
          <w:rStyle w:val="FootnoteReference1"/>
          <w:szCs w:val="18"/>
        </w:rPr>
        <w:t xml:space="preserve">  </w:t>
      </w:r>
      <w:r>
        <w:rPr>
          <w:rStyle w:val="FootnoteReference1"/>
          <w:szCs w:val="18"/>
        </w:rPr>
        <w:tab/>
      </w:r>
      <w:r w:rsidRPr="00153626">
        <w:t xml:space="preserve">Many ISPs block malware through voluntary compliance with Industry Code – C6 50:2014 – </w:t>
      </w:r>
      <w:proofErr w:type="spellStart"/>
      <w:r w:rsidRPr="00153626">
        <w:t>iCode</w:t>
      </w:r>
      <w:proofErr w:type="spellEnd"/>
      <w:r w:rsidRPr="00153626">
        <w:t xml:space="preserve"> – Internet Service Providers Voluntary Code of Practice for Industry Self-Regulation in the Area of Cyber Security.</w:t>
      </w:r>
    </w:p>
  </w:footnote>
  <w:footnote w:id="58">
    <w:p w14:paraId="4D7E976B" w14:textId="572010AB" w:rsidR="00746125" w:rsidRPr="00153626" w:rsidRDefault="00746125" w:rsidP="002902BA">
      <w:pPr>
        <w:pStyle w:val="FootnoteText"/>
      </w:pPr>
      <w:r w:rsidRPr="002902BA">
        <w:rPr>
          <w:rStyle w:val="FootnoteReference"/>
        </w:rPr>
        <w:footnoteRef/>
      </w:r>
      <w:r w:rsidRPr="002902BA">
        <w:rPr>
          <w:rStyle w:val="FootnoteReference"/>
        </w:rPr>
        <w:t xml:space="preserve"> </w:t>
      </w:r>
      <w:r>
        <w:tab/>
      </w:r>
      <w:r w:rsidRPr="00153626">
        <w:t>Mutually Agreed Norms for Routing Security (MANRS) https://www.routingmanifesto.org/manrs/</w:t>
      </w:r>
    </w:p>
  </w:footnote>
  <w:footnote w:id="59">
    <w:p w14:paraId="0C83AFB4" w14:textId="042C556E" w:rsidR="00746125" w:rsidRDefault="00746125" w:rsidP="002902BA">
      <w:pPr>
        <w:pStyle w:val="FootnoteText"/>
      </w:pPr>
      <w:r w:rsidRPr="002902BA">
        <w:rPr>
          <w:rStyle w:val="FootnoteReference"/>
        </w:rPr>
        <w:footnoteRef/>
      </w:r>
      <w:r w:rsidRPr="00153626">
        <w:t xml:space="preserve"> </w:t>
      </w:r>
      <w:r>
        <w:tab/>
      </w:r>
      <w:r w:rsidRPr="00153626">
        <w:t xml:space="preserve">Who do you sync you are? Smartphone Fingerprinting via Application Behaviour, </w:t>
      </w:r>
      <w:proofErr w:type="spellStart"/>
      <w:r w:rsidRPr="00153626">
        <w:t>Stöber</w:t>
      </w:r>
      <w:proofErr w:type="spellEnd"/>
      <w:r w:rsidRPr="00153626">
        <w:t xml:space="preserve"> et al 2013 ACM 978-1-4503-1998-0/13/04</w:t>
      </w:r>
    </w:p>
  </w:footnote>
  <w:footnote w:id="60">
    <w:p w14:paraId="32F838F9" w14:textId="244C155A" w:rsidR="00746125" w:rsidRPr="00153626" w:rsidRDefault="00746125" w:rsidP="002902BA">
      <w:pPr>
        <w:pStyle w:val="FootnoteText"/>
      </w:pPr>
      <w:r w:rsidRPr="002902BA">
        <w:rPr>
          <w:rStyle w:val="FootnoteReference"/>
        </w:rPr>
        <w:footnoteRef/>
      </w:r>
      <w:r w:rsidRPr="00153626">
        <w:rPr>
          <w:rStyle w:val="FootnoteReference1"/>
          <w:szCs w:val="18"/>
        </w:rPr>
        <w:t xml:space="preserve">  </w:t>
      </w:r>
      <w:r>
        <w:rPr>
          <w:rStyle w:val="FootnoteReference1"/>
          <w:szCs w:val="18"/>
        </w:rPr>
        <w:tab/>
      </w:r>
      <w:r w:rsidRPr="00153626">
        <w:t>European Commission, ‘Antitrust: Commission sends Statement of Objections to Google on Android operating system and applications’, 20 April 2016, Brussels, available at &lt;</w:t>
      </w:r>
      <w:hyperlink r:id="rId31" w:tooltip="[opens in a seperate window]" w:history="1">
        <w:r w:rsidRPr="00153626">
          <w:rPr>
            <w:rStyle w:val="Hyperlink"/>
            <w:szCs w:val="18"/>
          </w:rPr>
          <w:t>http://europa.eu/rapid/press-release_IP-16-1492_en.htm</w:t>
        </w:r>
      </w:hyperlink>
      <w:r w:rsidRPr="00153626">
        <w:t xml:space="preserve">&gt;, full case at: European Commission, Competition Cases - 40099 Google Android, available at </w:t>
      </w:r>
      <w:r w:rsidRPr="00153626">
        <w:br/>
        <w:t xml:space="preserve">&lt; </w:t>
      </w:r>
      <w:hyperlink r:id="rId32" w:tooltip="[opens in a seperate window]" w:history="1">
        <w:r w:rsidRPr="00153626">
          <w:rPr>
            <w:rStyle w:val="Hyperlink"/>
            <w:szCs w:val="18"/>
          </w:rPr>
          <w:t>http://ec.europa.eu/competition/elojade/isef/case_details.cfm?proc_code=1_40099</w:t>
        </w:r>
      </w:hyperlink>
      <w:r w:rsidRPr="00153626">
        <w:t xml:space="preserve">&gt;; </w:t>
      </w:r>
    </w:p>
  </w:footnote>
  <w:footnote w:id="61">
    <w:p w14:paraId="77AE8537" w14:textId="0CACEFEC" w:rsidR="00746125" w:rsidRPr="00153626" w:rsidRDefault="00746125" w:rsidP="002902BA">
      <w:pPr>
        <w:pStyle w:val="FootnoteText"/>
      </w:pPr>
      <w:r w:rsidRPr="002902BA">
        <w:rPr>
          <w:rStyle w:val="FootnoteReference"/>
        </w:rPr>
        <w:footnoteRef/>
      </w:r>
      <w:r w:rsidRPr="002902BA">
        <w:rPr>
          <w:rStyle w:val="FootnoteReference"/>
        </w:rPr>
        <w:t xml:space="preserve"> </w:t>
      </w:r>
      <w:r w:rsidRPr="00153626">
        <w:rPr>
          <w:rStyle w:val="FootnoteReference1"/>
          <w:szCs w:val="18"/>
        </w:rPr>
        <w:t xml:space="preserve"> </w:t>
      </w:r>
      <w:r>
        <w:rPr>
          <w:rStyle w:val="FootnoteReference1"/>
          <w:szCs w:val="18"/>
        </w:rPr>
        <w:tab/>
      </w:r>
      <w:r w:rsidRPr="00153626">
        <w:t xml:space="preserve">Soon after the iPhone was released, Apple was accused of blocking access to OTT voice services, Tony Bradley, ‘AT&amp;T and Apple Admit Deal to Block VoIP on iPhone’, 24 August 2009, </w:t>
      </w:r>
      <w:proofErr w:type="spellStart"/>
      <w:r w:rsidRPr="00153626">
        <w:rPr>
          <w:i/>
        </w:rPr>
        <w:t>PCWorld</w:t>
      </w:r>
      <w:proofErr w:type="spellEnd"/>
      <w:r w:rsidRPr="00153626">
        <w:t>, available at &lt;</w:t>
      </w:r>
      <w:hyperlink r:id="rId33" w:tooltip="[opens in a seperate window]" w:history="1">
        <w:r w:rsidRPr="00153626">
          <w:rPr>
            <w:rStyle w:val="Hyperlink"/>
            <w:szCs w:val="18"/>
          </w:rPr>
          <w:t>http://www.pcworld.com/article/170661/apple_att_fight_voip_on_iphone.html</w:t>
        </w:r>
      </w:hyperlink>
      <w:r w:rsidRPr="00153626">
        <w:t>&gt;</w:t>
      </w:r>
    </w:p>
  </w:footnote>
  <w:footnote w:id="62">
    <w:p w14:paraId="7D398A3C" w14:textId="7B30CC6D" w:rsidR="00746125" w:rsidRDefault="00746125" w:rsidP="002902BA">
      <w:pPr>
        <w:pStyle w:val="FootnoteText"/>
      </w:pPr>
      <w:r w:rsidRPr="002902BA">
        <w:rPr>
          <w:rStyle w:val="FootnoteReference"/>
        </w:rPr>
        <w:footnoteRef/>
      </w:r>
      <w:r w:rsidRPr="00153626">
        <w:t xml:space="preserve"> </w:t>
      </w:r>
      <w:r>
        <w:tab/>
      </w:r>
      <w:r w:rsidRPr="00153626">
        <w:t xml:space="preserve">ACCC, ‘ACCC continues its review of banks’ application for authorisation to collectively bargain with Apple’, 19 August 2016, available at </w:t>
      </w:r>
      <w:r w:rsidRPr="00153626">
        <w:br/>
        <w:t>&lt;</w:t>
      </w:r>
      <w:hyperlink r:id="rId34" w:history="1">
        <w:r w:rsidRPr="00153626">
          <w:rPr>
            <w:rStyle w:val="Hyperlink"/>
            <w:szCs w:val="18"/>
          </w:rPr>
          <w:t>https://www.accc.gov.au/media-release/accc-continues-its-review-of-banks%E2%80%99-application-for-authorisation-to-collectively-bargain-with-apple</w:t>
        </w:r>
      </w:hyperlink>
      <w:r w:rsidRPr="00153626">
        <w:t>&gt;</w:t>
      </w:r>
    </w:p>
  </w:footnote>
  <w:footnote w:id="63">
    <w:p w14:paraId="2379185C" w14:textId="48851BE5" w:rsidR="00746125" w:rsidRPr="00153626" w:rsidRDefault="00746125" w:rsidP="002902BA">
      <w:pPr>
        <w:pStyle w:val="FootnoteText"/>
        <w:rPr>
          <w:szCs w:val="18"/>
        </w:rPr>
      </w:pPr>
      <w:r w:rsidRPr="002902BA">
        <w:rPr>
          <w:rStyle w:val="FootnoteReference"/>
        </w:rPr>
        <w:footnoteRef/>
      </w:r>
      <w:r w:rsidRPr="00153626">
        <w:rPr>
          <w:szCs w:val="18"/>
        </w:rPr>
        <w:t xml:space="preserve"> </w:t>
      </w:r>
      <w:r>
        <w:rPr>
          <w:szCs w:val="18"/>
        </w:rPr>
        <w:tab/>
      </w:r>
      <w:r w:rsidRPr="00153626">
        <w:rPr>
          <w:szCs w:val="18"/>
        </w:rPr>
        <w:t>Google, ‘New NFC capabilities through Host Card Emulation’, available at &lt;</w:t>
      </w:r>
      <w:hyperlink r:id="rId35" w:tooltip="[opens in a seperate window]" w:history="1">
        <w:r w:rsidRPr="00153626">
          <w:rPr>
            <w:rStyle w:val="Hyperlink"/>
            <w:szCs w:val="18"/>
          </w:rPr>
          <w:t>https://developer.android.com/about/versions/kitkat.html</w:t>
        </w:r>
      </w:hyperlink>
      <w:r w:rsidRPr="00153626">
        <w:rPr>
          <w:szCs w:val="18"/>
        </w:rPr>
        <w:t xml:space="preserve">&gt; </w:t>
      </w:r>
    </w:p>
  </w:footnote>
  <w:footnote w:id="64">
    <w:p w14:paraId="77A83EEF" w14:textId="4ADF9986" w:rsidR="00746125" w:rsidRDefault="00746125" w:rsidP="002902BA">
      <w:pPr>
        <w:pStyle w:val="FootnoteText"/>
      </w:pPr>
      <w:r w:rsidRPr="002902BA">
        <w:rPr>
          <w:rStyle w:val="FootnoteReference"/>
        </w:rPr>
        <w:footnoteRef/>
      </w:r>
      <w:r w:rsidRPr="00153626">
        <w:rPr>
          <w:rStyle w:val="FootnoteReference1"/>
          <w:szCs w:val="18"/>
        </w:rPr>
        <w:t xml:space="preserve"> </w:t>
      </w:r>
      <w:r>
        <w:rPr>
          <w:rStyle w:val="FootnoteReference1"/>
          <w:szCs w:val="18"/>
        </w:rPr>
        <w:tab/>
      </w:r>
      <w:proofErr w:type="gramStart"/>
      <w:r w:rsidRPr="00153626">
        <w:rPr>
          <w:szCs w:val="18"/>
        </w:rPr>
        <w:t>Google, ‘Android Pay’, available at &lt;</w:t>
      </w:r>
      <w:hyperlink r:id="rId36" w:tooltip="[opens in a seperate window]" w:history="1">
        <w:r w:rsidRPr="00153626">
          <w:rPr>
            <w:rStyle w:val="Hyperlink"/>
            <w:szCs w:val="18"/>
          </w:rPr>
          <w:t>https://www.android.com/intl/en_au/pay/</w:t>
        </w:r>
      </w:hyperlink>
      <w:r w:rsidRPr="00153626">
        <w:rPr>
          <w:szCs w:val="18"/>
        </w:rPr>
        <w:t>&gt;.</w:t>
      </w:r>
      <w:proofErr w:type="gramEnd"/>
    </w:p>
  </w:footnote>
  <w:footnote w:id="65">
    <w:p w14:paraId="266950CF" w14:textId="0EFA4D6C" w:rsidR="00746125" w:rsidRDefault="00746125" w:rsidP="002902BA">
      <w:pPr>
        <w:pStyle w:val="FootnoteText"/>
      </w:pPr>
      <w:r w:rsidRPr="002902BA">
        <w:rPr>
          <w:rStyle w:val="FootnoteReference"/>
        </w:rPr>
        <w:footnoteRef/>
      </w:r>
      <w:r w:rsidRPr="002902BA">
        <w:rPr>
          <w:rStyle w:val="FootnoteReference"/>
        </w:rPr>
        <w:t xml:space="preserve"> </w:t>
      </w:r>
      <w:r>
        <w:tab/>
      </w:r>
      <w:r w:rsidRPr="002902BA">
        <w:t>OECD 2011 at 27-28.</w:t>
      </w:r>
    </w:p>
  </w:footnote>
  <w:footnote w:id="66">
    <w:p w14:paraId="314DEF44" w14:textId="4C2763C3" w:rsidR="00746125" w:rsidRPr="00153626" w:rsidRDefault="00746125" w:rsidP="002902BA">
      <w:pPr>
        <w:pStyle w:val="FootnoteText"/>
      </w:pPr>
      <w:r w:rsidRPr="002902BA">
        <w:rPr>
          <w:rStyle w:val="FootnoteReference"/>
        </w:rPr>
        <w:footnoteRef/>
      </w:r>
      <w:r w:rsidRPr="00153626">
        <w:t xml:space="preserve"> </w:t>
      </w:r>
      <w:r>
        <w:tab/>
      </w:r>
      <w:r w:rsidRPr="00153626">
        <w:t>Optus Job Advertisement, as at 16 October 2016, available at &lt;</w:t>
      </w:r>
      <w:hyperlink r:id="rId37" w:tooltip="[opens in a seperate window]" w:history="1">
        <w:r w:rsidRPr="00153626">
          <w:rPr>
            <w:rStyle w:val="Hyperlink"/>
            <w:szCs w:val="18"/>
          </w:rPr>
          <w:t>http://web.archive.org/web/20161018223534/https://groupcareers.singtel.com/job/Sydney-Digital-Strategy-Analyst-Sydn/369648000/</w:t>
        </w:r>
      </w:hyperlink>
      <w:r w:rsidRPr="00153626">
        <w:t>&gt;</w:t>
      </w:r>
    </w:p>
  </w:footnote>
  <w:footnote w:id="67">
    <w:p w14:paraId="15E0C3EB" w14:textId="5F59AC51" w:rsidR="00746125" w:rsidRPr="00153626" w:rsidRDefault="00746125" w:rsidP="002902BA">
      <w:pPr>
        <w:pStyle w:val="FootnoteText"/>
      </w:pPr>
      <w:r w:rsidRPr="002902BA">
        <w:rPr>
          <w:rStyle w:val="FootnoteReference"/>
        </w:rPr>
        <w:footnoteRef/>
      </w:r>
      <w:r>
        <w:t xml:space="preserve"> </w:t>
      </w:r>
      <w:r>
        <w:tab/>
      </w:r>
      <w:r w:rsidRPr="002902BA">
        <w:rPr>
          <w:rStyle w:val="FootnoteReference"/>
        </w:rPr>
        <w:t xml:space="preserve"> </w:t>
      </w:r>
      <w:r w:rsidRPr="00153626">
        <w:t xml:space="preserve">In October 2016, US carrier AT&amp;T agreed to buy Time Warner (which owns the HBO pay-tv channel, cable channels that including CNN and the Warner Bros movie studio).  Earlier in 2016 another US carrier Verizon agreed to purchase Yahoo’s content and advertising businesses. Both mergers are conditional on approval from the Department of Justice which oversees competition law in the United States.  In 2012, ISP Comcast merged with NBC Universal, picking up its pay-tv and movie studio assets.  </w:t>
      </w:r>
    </w:p>
  </w:footnote>
  <w:footnote w:id="68">
    <w:p w14:paraId="6AC8DB65" w14:textId="055D15EB" w:rsidR="00746125" w:rsidRPr="00153626" w:rsidRDefault="00746125" w:rsidP="002902BA">
      <w:pPr>
        <w:pStyle w:val="FootnoteText"/>
      </w:pPr>
      <w:r w:rsidRPr="002902BA">
        <w:rPr>
          <w:rStyle w:val="FootnoteReference"/>
        </w:rPr>
        <w:footnoteRef/>
      </w:r>
      <w:r w:rsidRPr="002902BA">
        <w:rPr>
          <w:rStyle w:val="FootnoteReference"/>
        </w:rPr>
        <w:t xml:space="preserve"> </w:t>
      </w:r>
      <w:r>
        <w:rPr>
          <w:rStyle w:val="FootnoteReference"/>
        </w:rPr>
        <w:tab/>
      </w:r>
      <w:r w:rsidRPr="00153626">
        <w:t>Optus, ‘Premier League’, available at &lt;</w:t>
      </w:r>
      <w:hyperlink r:id="rId38" w:tooltip="[opens in a seperate window]" w:history="1">
        <w:r w:rsidRPr="00153626">
          <w:rPr>
            <w:rStyle w:val="Hyperlink"/>
            <w:szCs w:val="18"/>
          </w:rPr>
          <w:t>https://offer.optus.com.au/epl</w:t>
        </w:r>
      </w:hyperlink>
      <w:r w:rsidRPr="00153626">
        <w:t>&gt;.</w:t>
      </w:r>
    </w:p>
  </w:footnote>
  <w:footnote w:id="69">
    <w:p w14:paraId="3695A768" w14:textId="18A78713" w:rsidR="00746125" w:rsidRDefault="00746125" w:rsidP="002902BA">
      <w:pPr>
        <w:pStyle w:val="FootnoteText"/>
      </w:pPr>
      <w:r w:rsidRPr="002902BA">
        <w:rPr>
          <w:rStyle w:val="FootnoteReference"/>
        </w:rPr>
        <w:footnoteRef/>
      </w:r>
      <w:r w:rsidRPr="00153626">
        <w:t xml:space="preserve"> </w:t>
      </w:r>
      <w:r>
        <w:tab/>
      </w:r>
      <w:r w:rsidRPr="00153626">
        <w:t>FCC, ‘In the matter of Protecting and Promoting the Open Internet’, Report and Order on Remand, Declaratory Ruling, and Order’  adopted 26 February 2015, available at &lt;</w:t>
      </w:r>
      <w:hyperlink r:id="rId39" w:tooltip="[opens in a seperate window]" w:history="1">
        <w:r w:rsidRPr="00153626">
          <w:rPr>
            <w:rStyle w:val="Hyperlink"/>
            <w:szCs w:val="18"/>
          </w:rPr>
          <w:t>https://apps.fcc.gov/edocs_public/attachmatch/FCC-15-24A1_Rcd.pdf</w:t>
        </w:r>
      </w:hyperlink>
      <w:r w:rsidRPr="00153626">
        <w:t xml:space="preserve">&gt; at page 5609 at para [21]; Jon </w:t>
      </w:r>
      <w:proofErr w:type="spellStart"/>
      <w:r w:rsidRPr="00153626">
        <w:t>Brodkin</w:t>
      </w:r>
      <w:proofErr w:type="spellEnd"/>
      <w:r w:rsidRPr="00153626">
        <w:t xml:space="preserve">, ‘FCC votes for net neutrality, a ban on paid fast lanes, and Title II’, </w:t>
      </w:r>
      <w:proofErr w:type="spellStart"/>
      <w:r w:rsidRPr="00153626">
        <w:t>Ars</w:t>
      </w:r>
      <w:proofErr w:type="spellEnd"/>
      <w:r w:rsidRPr="00153626">
        <w:t xml:space="preserve"> </w:t>
      </w:r>
      <w:proofErr w:type="spellStart"/>
      <w:r w:rsidRPr="00153626">
        <w:t>Technica</w:t>
      </w:r>
      <w:proofErr w:type="spellEnd"/>
      <w:r w:rsidRPr="00153626">
        <w:t>, 27 February 2015, available at &lt;</w:t>
      </w:r>
      <w:hyperlink r:id="rId40" w:tooltip="[opens in a seperate window]" w:history="1">
        <w:r w:rsidRPr="00153626">
          <w:rPr>
            <w:rStyle w:val="Hyperlink"/>
            <w:szCs w:val="18"/>
          </w:rPr>
          <w:t>http://arstechnica.com/business/2015/02/fcc-votes-for-net-neutrality-a-ban-on-paid-fast-lanes-and-title-ii/</w:t>
        </w:r>
      </w:hyperlink>
      <w:r w:rsidRPr="00153626">
        <w:t>&gt;.</w:t>
      </w:r>
    </w:p>
  </w:footnote>
  <w:footnote w:id="70">
    <w:p w14:paraId="2644020C" w14:textId="68807652" w:rsidR="00746125" w:rsidRPr="00153626" w:rsidRDefault="00746125" w:rsidP="002902BA">
      <w:pPr>
        <w:pStyle w:val="FootnoteText"/>
      </w:pPr>
      <w:r w:rsidRPr="002902BA">
        <w:rPr>
          <w:rStyle w:val="FootnoteReference"/>
        </w:rPr>
        <w:footnoteRef/>
      </w:r>
      <w:r>
        <w:t xml:space="preserve"> </w:t>
      </w:r>
      <w:r>
        <w:tab/>
      </w:r>
      <w:r w:rsidRPr="00153626">
        <w:t xml:space="preserve">Foxtel, 2014, ‘Get started with Foxtel Go’, 03/06/2014 available at: </w:t>
      </w:r>
      <w:hyperlink r:id="rId41" w:tooltip="[opens in a seperate window]" w:history="1">
        <w:r w:rsidRPr="00153626">
          <w:rPr>
            <w:rStyle w:val="Hyperlink"/>
            <w:szCs w:val="18"/>
          </w:rPr>
          <w:t>http://www.foxtel.com.au/support/ondemand-apps-extras/get-started-with-foxtel-go-216947.htm</w:t>
        </w:r>
      </w:hyperlink>
      <w:r w:rsidRPr="00153626">
        <w:t xml:space="preserve"> </w:t>
      </w:r>
    </w:p>
  </w:footnote>
  <w:footnote w:id="71">
    <w:p w14:paraId="1A0F41DB" w14:textId="5176EB80" w:rsidR="00746125" w:rsidRPr="0085295C" w:rsidRDefault="00746125" w:rsidP="002902BA">
      <w:pPr>
        <w:pStyle w:val="FootnoteText"/>
      </w:pPr>
      <w:r w:rsidRPr="002902BA">
        <w:rPr>
          <w:rStyle w:val="FootnoteReference"/>
        </w:rPr>
        <w:footnoteRef/>
      </w:r>
      <w:r w:rsidRPr="002902BA">
        <w:rPr>
          <w:rStyle w:val="FootnoteReference"/>
        </w:rPr>
        <w:t xml:space="preserve"> </w:t>
      </w:r>
      <w:r>
        <w:tab/>
      </w:r>
      <w:r w:rsidRPr="0085295C">
        <w:t xml:space="preserve">Foxtel, 2014, ‘Support’ available at: </w:t>
      </w:r>
      <w:hyperlink r:id="rId42" w:tooltip="[opens in a seperate window]" w:history="1">
        <w:r w:rsidRPr="0085295C">
          <w:rPr>
            <w:rStyle w:val="Hyperlink"/>
            <w:szCs w:val="18"/>
          </w:rPr>
          <w:t>http://www.foxtel.com.au/foxtelplay/support/default.htm</w:t>
        </w:r>
      </w:hyperlink>
      <w:r w:rsidRPr="0085295C">
        <w:t xml:space="preserve"> </w:t>
      </w:r>
    </w:p>
  </w:footnote>
  <w:footnote w:id="72">
    <w:p w14:paraId="565E2A93" w14:textId="1C987696" w:rsidR="00746125" w:rsidRPr="006D50CA" w:rsidRDefault="00746125" w:rsidP="002902BA">
      <w:pPr>
        <w:pStyle w:val="FootnoteText"/>
        <w:rPr>
          <w:rStyle w:val="FootnoteReference1"/>
          <w:szCs w:val="18"/>
          <w:vertAlign w:val="baseline"/>
        </w:rPr>
      </w:pPr>
      <w:r w:rsidRPr="002902BA">
        <w:rPr>
          <w:rStyle w:val="FootnoteReference"/>
        </w:rPr>
        <w:footnoteRef/>
      </w:r>
      <w:r w:rsidRPr="006D50CA">
        <w:t xml:space="preserve"> </w:t>
      </w:r>
      <w:r>
        <w:tab/>
      </w:r>
      <w:proofErr w:type="gramStart"/>
      <w:r>
        <w:t>ABS, 2015.</w:t>
      </w:r>
      <w:proofErr w:type="gramEnd"/>
      <w:r>
        <w:t xml:space="preserve"> Internet Activity, Australia. 8153</w:t>
      </w:r>
    </w:p>
  </w:footnote>
  <w:footnote w:id="73">
    <w:p w14:paraId="75943632" w14:textId="7BD7ABD6" w:rsidR="00746125" w:rsidRPr="006D50CA" w:rsidRDefault="00746125" w:rsidP="002902BA">
      <w:pPr>
        <w:pStyle w:val="FootnoteText"/>
      </w:pPr>
      <w:r w:rsidRPr="002902BA">
        <w:rPr>
          <w:rStyle w:val="FootnoteReference"/>
        </w:rPr>
        <w:footnoteRef/>
      </w:r>
      <w:r w:rsidRPr="002902BA">
        <w:rPr>
          <w:rStyle w:val="FootnoteReference"/>
        </w:rPr>
        <w:t xml:space="preserve"> </w:t>
      </w:r>
      <w:r>
        <w:tab/>
      </w:r>
      <w:r w:rsidRPr="006D50CA">
        <w:t>Commonwealth Government, ‘Convergence Review: Final Report’, March 2012, available at &lt;</w:t>
      </w:r>
      <w:hyperlink r:id="rId43" w:tooltip="[opens in a seperate window]" w:history="1">
        <w:r w:rsidRPr="006D50CA">
          <w:rPr>
            <w:rStyle w:val="Hyperlink"/>
            <w:szCs w:val="18"/>
          </w:rPr>
          <w:t>http://www.abc.net.au/mediawatch/transcripts/1339_convergence.pdf</w:t>
        </w:r>
      </w:hyperlink>
      <w:r w:rsidRPr="006D50CA">
        <w:t>&gt; at p.30</w:t>
      </w:r>
    </w:p>
  </w:footnote>
  <w:footnote w:id="74">
    <w:p w14:paraId="51F0127A" w14:textId="12092631" w:rsidR="00746125" w:rsidRDefault="00746125" w:rsidP="002902BA">
      <w:pPr>
        <w:pStyle w:val="FootnoteText"/>
      </w:pPr>
      <w:r w:rsidRPr="002902BA">
        <w:rPr>
          <w:rStyle w:val="FootnoteReference"/>
        </w:rPr>
        <w:footnoteRef/>
      </w:r>
      <w:r w:rsidRPr="002902BA">
        <w:rPr>
          <w:rStyle w:val="FootnoteReference"/>
        </w:rPr>
        <w:t xml:space="preserve"> </w:t>
      </w:r>
      <w:r>
        <w:tab/>
      </w:r>
      <w:r w:rsidRPr="006D50CA">
        <w:t xml:space="preserve">Steve Dalby, </w:t>
      </w:r>
      <w:r w:rsidRPr="006D50CA">
        <w:rPr>
          <w:i/>
        </w:rPr>
        <w:t>Whirlpool</w:t>
      </w:r>
      <w:r w:rsidRPr="006D50CA">
        <w:t>, posted 2012-Aug-10, 5:17 pm, available at &lt;</w:t>
      </w:r>
      <w:hyperlink r:id="rId44" w:tooltip="[opens in a seperate window]" w:history="1">
        <w:r w:rsidRPr="006D50CA">
          <w:rPr>
            <w:rStyle w:val="Hyperlink"/>
            <w:szCs w:val="18"/>
          </w:rPr>
          <w:t>http://whrl.pl/RdhioM</w:t>
        </w:r>
      </w:hyperlink>
      <w:r w:rsidRPr="006D50CA">
        <w:t>&gt;</w:t>
      </w:r>
    </w:p>
  </w:footnote>
  <w:footnote w:id="75">
    <w:p w14:paraId="0201A4F8" w14:textId="54532E07" w:rsidR="00746125" w:rsidRPr="006D50CA" w:rsidRDefault="00746125" w:rsidP="002902BA">
      <w:pPr>
        <w:pStyle w:val="FootnoteText"/>
      </w:pPr>
      <w:r w:rsidRPr="002902BA">
        <w:rPr>
          <w:rStyle w:val="FootnoteReference"/>
        </w:rPr>
        <w:footnoteRef/>
      </w:r>
      <w:r w:rsidRPr="002902BA">
        <w:rPr>
          <w:rStyle w:val="FootnoteReference"/>
        </w:rPr>
        <w:t xml:space="preserve"> </w:t>
      </w:r>
      <w:r>
        <w:tab/>
      </w:r>
      <w:r w:rsidRPr="006D50CA">
        <w:rPr>
          <w:u w:val="single"/>
        </w:rPr>
        <w:t>USA</w:t>
      </w:r>
      <w:r w:rsidRPr="006D50CA">
        <w:t>:  FCC, ‘In the matter of Protecting and Promoting the Open Internet’, Report and Order on Remand, Declaratory Ruling, and Order’  adopted 26 February 2015, available at &lt;</w:t>
      </w:r>
      <w:hyperlink r:id="rId45" w:tooltip="[opens in a seperate window]" w:history="1">
        <w:r w:rsidRPr="006D50CA">
          <w:rPr>
            <w:rStyle w:val="Hyperlink"/>
            <w:szCs w:val="18"/>
          </w:rPr>
          <w:t>https://apps.fcc.gov/edocs_public/attachmatch/FCC-15-24A1_Rcd.pdf</w:t>
        </w:r>
      </w:hyperlink>
      <w:r w:rsidRPr="006D50CA">
        <w:t xml:space="preserve">&gt; at page 5609 at para [21] and FCC, ‘FCC adopts strong, sustainable rules to protect the open internet’, February 2015, available at </w:t>
      </w:r>
      <w:hyperlink r:id="rId46" w:tooltip="[opens in a seperate window]" w:history="1">
        <w:r w:rsidRPr="006D50CA">
          <w:rPr>
            <w:rStyle w:val="Hyperlink"/>
            <w:szCs w:val="18"/>
          </w:rPr>
          <w:t>https://apps.fcc.gov/edocs_public/attachmatch/DOC-332260A1.pdf</w:t>
        </w:r>
      </w:hyperlink>
      <w:r w:rsidRPr="006D50CA">
        <w:t>;</w:t>
      </w:r>
      <w:r w:rsidRPr="006D50CA">
        <w:br/>
      </w:r>
      <w:r w:rsidRPr="006D50CA">
        <w:rPr>
          <w:u w:val="single"/>
        </w:rPr>
        <w:t>Europe</w:t>
      </w:r>
      <w:r w:rsidRPr="006D50CA">
        <w:t>: European Parliament, REGULATION (EU) 2015/2120 OF THE EUROPEAN PARLIAMENT AND OF THE COUNCIL of 25 November 2015, available at &lt;</w:t>
      </w:r>
      <w:hyperlink r:id="rId47" w:tooltip="[opens in a seperate window]" w:history="1">
        <w:r w:rsidRPr="006D50CA">
          <w:rPr>
            <w:rStyle w:val="Hyperlink"/>
            <w:szCs w:val="18"/>
          </w:rPr>
          <w:t>http://eur-lex.europa.eu/legal-content/EN/TXT/PDF/?uri=CELEX:32015R2120&amp;from=en</w:t>
        </w:r>
      </w:hyperlink>
      <w:r w:rsidRPr="006D50CA">
        <w:t>&gt; and European Commission, ‘Open Internet’, last updated 20 September 2016, available at &lt;</w:t>
      </w:r>
      <w:hyperlink r:id="rId48" w:tooltip="[opens in a seperate window]" w:history="1">
        <w:r w:rsidRPr="006D50CA">
          <w:rPr>
            <w:rStyle w:val="Hyperlink"/>
            <w:szCs w:val="18"/>
          </w:rPr>
          <w:t>https://ec.europa.eu/digital-single-market/en/open-internet-net-neutrality</w:t>
        </w:r>
      </w:hyperlink>
      <w:r w:rsidRPr="006D50CA">
        <w:t>&gt;.</w:t>
      </w:r>
    </w:p>
  </w:footnote>
  <w:footnote w:id="76">
    <w:p w14:paraId="74E0084D" w14:textId="37CACB87" w:rsidR="00746125" w:rsidRPr="002902BA" w:rsidRDefault="00746125">
      <w:pPr>
        <w:pStyle w:val="FootnoteText"/>
      </w:pPr>
      <w:r>
        <w:rPr>
          <w:rStyle w:val="FootnoteReference"/>
        </w:rPr>
        <w:footnoteRef/>
      </w:r>
      <w:r>
        <w:t xml:space="preserve"> </w:t>
      </w:r>
      <w:r>
        <w:tab/>
      </w:r>
      <w:r w:rsidRPr="00A46F6E">
        <w:t>Communications Consumer Panel, Response to Ofcom Consultation on Net neutrality and traffic Management, available at &lt;</w:t>
      </w:r>
      <w:hyperlink r:id="rId49" w:tooltip="[opens in a seperate window]" w:history="1">
        <w:r w:rsidRPr="002902BA">
          <w:t>http://www.communicationsconsumerpanel.org.uk/Ofcom%20Final%20Panel%20response%20NN.pdf</w:t>
        </w:r>
      </w:hyperlink>
      <w:r w:rsidRPr="002902BA">
        <w:t>&gt; at pp.6-7</w:t>
      </w:r>
    </w:p>
  </w:footnote>
  <w:footnote w:id="77">
    <w:p w14:paraId="0A6E4891" w14:textId="567234EA" w:rsidR="00746125" w:rsidRPr="006D50CA" w:rsidRDefault="00746125" w:rsidP="002902BA">
      <w:pPr>
        <w:pStyle w:val="FootnoteText"/>
        <w:rPr>
          <w:rStyle w:val="FootnoteReference1"/>
          <w:szCs w:val="18"/>
          <w:vertAlign w:val="baseline"/>
        </w:rPr>
      </w:pPr>
      <w:r w:rsidRPr="002902BA">
        <w:rPr>
          <w:rStyle w:val="FootnoteReference"/>
        </w:rPr>
        <w:footnoteRef/>
      </w:r>
      <w:r>
        <w:t xml:space="preserve"> </w:t>
      </w:r>
      <w:r>
        <w:tab/>
      </w:r>
      <w:proofErr w:type="gramStart"/>
      <w:r w:rsidRPr="006D50CA">
        <w:t>Optus, Optus Internet Service – Service Description, 27 July 2016, available at &lt;</w:t>
      </w:r>
      <w:hyperlink r:id="rId50" w:tooltip="[opens in a seperate window]" w:history="1">
        <w:r w:rsidRPr="006D50CA">
          <w:rPr>
            <w:rStyle w:val="Hyperlink"/>
            <w:szCs w:val="18"/>
          </w:rPr>
          <w:t>http://www.optus.com.au/content/dam/optus/documents/about-us/legal/InternetServDesc.doc</w:t>
        </w:r>
      </w:hyperlink>
      <w:r w:rsidRPr="006D50CA">
        <w:t>&gt; at p.4 at para [2.4].</w:t>
      </w:r>
      <w:proofErr w:type="gramEnd"/>
    </w:p>
  </w:footnote>
  <w:footnote w:id="78">
    <w:p w14:paraId="7C6722E7" w14:textId="0C2C1CD8" w:rsidR="00746125" w:rsidRDefault="00746125" w:rsidP="00FE0B29">
      <w:pPr>
        <w:pStyle w:val="FootnoteText"/>
      </w:pPr>
      <w:r w:rsidRPr="002902BA">
        <w:rPr>
          <w:rStyle w:val="FootnoteReference"/>
        </w:rPr>
        <w:footnoteRef/>
      </w:r>
      <w:r w:rsidRPr="006D50CA">
        <w:t xml:space="preserve"> </w:t>
      </w:r>
      <w:r>
        <w:tab/>
      </w:r>
      <w:r w:rsidRPr="006D50CA">
        <w:t>iiNet, ‘Our Customer Relationship Agreement – General Terms’, 5 July 2016, available at &lt;</w:t>
      </w:r>
      <w:hyperlink r:id="rId51" w:tooltip="[opens in a seperate window]" w:history="1">
        <w:r w:rsidRPr="006D50CA">
          <w:rPr>
            <w:rStyle w:val="Hyperlink"/>
            <w:szCs w:val="18"/>
          </w:rPr>
          <w:t>https://www.iinet.net.au/about/legal/cra/pdf/iiNet-Group-General-Terms.pdf</w:t>
        </w:r>
      </w:hyperlink>
      <w:r w:rsidRPr="006D50CA">
        <w:t>&gt; p.6 at para [4.8]</w:t>
      </w:r>
    </w:p>
  </w:footnote>
  <w:footnote w:id="79">
    <w:p w14:paraId="54EBA455" w14:textId="0A6E9651" w:rsidR="00746125" w:rsidRDefault="00746125">
      <w:pPr>
        <w:pStyle w:val="FootnoteText"/>
      </w:pPr>
      <w:r>
        <w:rPr>
          <w:rStyle w:val="FootnoteReference"/>
        </w:rPr>
        <w:footnoteRef/>
      </w:r>
      <w:r>
        <w:t xml:space="preserve"> </w:t>
      </w:r>
      <w:r>
        <w:tab/>
        <w:t>Ry Crozier, ‘Will Australia’s broadband probe expose bottlenecks or just raise prices?’ itnews.com.au, 27 July 2016.</w:t>
      </w:r>
    </w:p>
  </w:footnote>
  <w:footnote w:id="80">
    <w:p w14:paraId="1B67B1E6" w14:textId="4BA06AD8" w:rsidR="00746125" w:rsidRPr="006D50CA" w:rsidRDefault="00746125" w:rsidP="002902BA">
      <w:pPr>
        <w:pStyle w:val="FootnoteText"/>
      </w:pPr>
      <w:r w:rsidRPr="002902BA">
        <w:rPr>
          <w:rStyle w:val="FootnoteReference"/>
        </w:rPr>
        <w:footnoteRef/>
      </w:r>
      <w:r w:rsidRPr="002902BA">
        <w:rPr>
          <w:rStyle w:val="FootnoteReference"/>
        </w:rPr>
        <w:t xml:space="preserve"> </w:t>
      </w:r>
      <w:r>
        <w:tab/>
      </w:r>
      <w:proofErr w:type="gramStart"/>
      <w:r w:rsidRPr="006D50CA">
        <w:t>Ofcom, ‘</w:t>
      </w:r>
      <w:proofErr w:type="spellStart"/>
      <w:r w:rsidRPr="006D50CA">
        <w:t>Ofcom’s</w:t>
      </w:r>
      <w:proofErr w:type="spellEnd"/>
      <w:r w:rsidRPr="006D50CA">
        <w:t xml:space="preserve"> approach to net neutrality’, 24 November 2011, available at &lt;</w:t>
      </w:r>
      <w:hyperlink r:id="rId52" w:tooltip="[opens in a seperate window]" w:history="1">
        <w:r w:rsidRPr="006D50CA">
          <w:rPr>
            <w:rStyle w:val="Hyperlink"/>
            <w:szCs w:val="18"/>
          </w:rPr>
          <w:t>https://www.ofcom.org.uk/__data/assets/pdf_file/0011/50510/statement.pdf</w:t>
        </w:r>
      </w:hyperlink>
      <w:r w:rsidRPr="006D50CA">
        <w:t>&gt;at pages 15-16.</w:t>
      </w:r>
      <w:proofErr w:type="gramEnd"/>
    </w:p>
  </w:footnote>
  <w:footnote w:id="81">
    <w:p w14:paraId="74207E9F" w14:textId="48EFC812" w:rsidR="00746125" w:rsidRPr="006D50CA" w:rsidRDefault="00746125" w:rsidP="002902BA">
      <w:pPr>
        <w:pStyle w:val="FootnoteText"/>
      </w:pPr>
      <w:r w:rsidRPr="002902BA">
        <w:rPr>
          <w:rStyle w:val="FootnoteReference"/>
        </w:rPr>
        <w:footnoteRef/>
      </w:r>
      <w:r w:rsidRPr="006D50CA">
        <w:rPr>
          <w:rStyle w:val="FootnoteReference1"/>
          <w:szCs w:val="18"/>
        </w:rPr>
        <w:t xml:space="preserve"> </w:t>
      </w:r>
      <w:r>
        <w:rPr>
          <w:rStyle w:val="FootnoteReference1"/>
          <w:szCs w:val="18"/>
        </w:rPr>
        <w:tab/>
      </w:r>
      <w:r w:rsidRPr="006D50CA">
        <w:t>We have also addressed issues about network traffic management further in our answer to question 8 and questions 13-17.</w:t>
      </w:r>
    </w:p>
  </w:footnote>
  <w:footnote w:id="82">
    <w:p w14:paraId="1DA69133" w14:textId="40A97029" w:rsidR="00746125" w:rsidRDefault="00746125" w:rsidP="002902BA">
      <w:pPr>
        <w:pStyle w:val="FootnoteText"/>
      </w:pPr>
      <w:r w:rsidRPr="002902BA">
        <w:rPr>
          <w:rStyle w:val="FootnoteReference"/>
        </w:rPr>
        <w:footnoteRef/>
      </w:r>
      <w:r w:rsidRPr="002902BA">
        <w:rPr>
          <w:rStyle w:val="FootnoteReference"/>
        </w:rPr>
        <w:t xml:space="preserve"> </w:t>
      </w:r>
      <w:r>
        <w:tab/>
      </w:r>
      <w:r w:rsidRPr="006D50CA">
        <w:t xml:space="preserve">MANRS and IETF Recommended Internet Service Provider Security Services and Procedures, Section Network Infrastructure, </w:t>
      </w:r>
      <w:hyperlink r:id="rId53" w:tooltip="[opens in a seperate window]" w:history="1">
        <w:r w:rsidRPr="006D50CA">
          <w:rPr>
            <w:rStyle w:val="Hyperlink"/>
            <w:szCs w:val="18"/>
          </w:rPr>
          <w:t>http://www.rfc-editor.org/bcp/bcp46.txt</w:t>
        </w:r>
      </w:hyperlink>
      <w:r>
        <w:t xml:space="preserve"> </w:t>
      </w:r>
    </w:p>
  </w:footnote>
  <w:footnote w:id="83">
    <w:p w14:paraId="696F2557" w14:textId="4903E29A" w:rsidR="00746125" w:rsidRPr="006D50CA" w:rsidRDefault="00746125" w:rsidP="002902BA">
      <w:pPr>
        <w:pStyle w:val="FootnoteText"/>
      </w:pPr>
      <w:r w:rsidRPr="002902BA">
        <w:rPr>
          <w:rStyle w:val="FootnoteReference"/>
        </w:rPr>
        <w:footnoteRef/>
      </w:r>
      <w:r w:rsidRPr="002902BA">
        <w:rPr>
          <w:rStyle w:val="FootnoteReference"/>
        </w:rPr>
        <w:t xml:space="preserve"> </w:t>
      </w:r>
      <w:r>
        <w:rPr>
          <w:rStyle w:val="FootnoteReference"/>
        </w:rPr>
        <w:tab/>
      </w:r>
      <w:r w:rsidRPr="006D50CA">
        <w:t xml:space="preserve">Evidence to Standing Committee on Infrastructure and Communications, Parliament of Australia, Canberra, 5 May 2011, (Mr Buckingham, Chief Financial Officer, iiNet) available at </w:t>
      </w:r>
      <w:r w:rsidRPr="006D50CA">
        <w:br/>
        <w:t>&lt;</w:t>
      </w:r>
      <w:hyperlink r:id="rId54" w:anchor="search=" w:history="1">
        <w:r w:rsidRPr="006D50CA">
          <w:rPr>
            <w:rStyle w:val="Hyperlink"/>
            <w:szCs w:val="18"/>
          </w:rPr>
          <w:t>http://parlinfo.aph.gov.au/parlInfo/download/committees/commrep/2011-05-05/toc_pdf/Standing%20Committee%20on%20Infrastructure%20and%20Communications_2011_05_05_39_Official_DISTRIBUTED.pdf;fileType=application%2Fpdf#search=%22committees/commrep/2011-05-05/0001%22</w:t>
        </w:r>
      </w:hyperlink>
      <w:r w:rsidRPr="006D50CA">
        <w:t xml:space="preserve">&gt; </w:t>
      </w:r>
      <w:proofErr w:type="spellStart"/>
      <w:r w:rsidRPr="006D50CA">
        <w:t>at</w:t>
      </w:r>
      <w:proofErr w:type="spellEnd"/>
      <w:r w:rsidRPr="006D50CA">
        <w:t xml:space="preserve"> p.9.</w:t>
      </w:r>
    </w:p>
  </w:footnote>
  <w:footnote w:id="84">
    <w:p w14:paraId="67F8617B" w14:textId="31B8CA92" w:rsidR="00746125" w:rsidRDefault="00746125" w:rsidP="002902BA">
      <w:pPr>
        <w:pStyle w:val="FootnoteText"/>
      </w:pPr>
      <w:r w:rsidRPr="002902BA">
        <w:rPr>
          <w:rStyle w:val="FootnoteReference"/>
        </w:rPr>
        <w:footnoteRef/>
      </w:r>
      <w:r w:rsidRPr="006D50CA">
        <w:rPr>
          <w:rStyle w:val="FootnoteReference1"/>
          <w:szCs w:val="18"/>
        </w:rPr>
        <w:t xml:space="preserve"> </w:t>
      </w:r>
      <w:r>
        <w:rPr>
          <w:rStyle w:val="FootnoteReference1"/>
          <w:szCs w:val="18"/>
        </w:rPr>
        <w:tab/>
      </w:r>
      <w:r w:rsidRPr="006D50CA">
        <w:t xml:space="preserve">See, for example See for example, Internet Engineering Task Force, Best Current Practice 38,  38 Network Ingress Filtering: Defeating Denial of Service Attacks which employ IP Source Address Spoofing. P. Ferguson, D. </w:t>
      </w:r>
      <w:proofErr w:type="spellStart"/>
      <w:r w:rsidRPr="006D50CA">
        <w:t>Senie</w:t>
      </w:r>
      <w:proofErr w:type="spellEnd"/>
      <w:r w:rsidRPr="006D50CA">
        <w:t>. May 2000 (Updated by RFC3704) (Also RFC2827), available at &lt;</w:t>
      </w:r>
      <w:hyperlink r:id="rId55" w:tooltip="[opens in a seperate window]" w:history="1">
        <w:r w:rsidRPr="006D50CA">
          <w:rPr>
            <w:rStyle w:val="Hyperlink"/>
            <w:szCs w:val="18"/>
          </w:rPr>
          <w:t>https://tools.ietf.org/html/bcp38</w:t>
        </w:r>
      </w:hyperlink>
      <w:r w:rsidRPr="006D50CA">
        <w:t>&gt;</w:t>
      </w:r>
    </w:p>
  </w:footnote>
  <w:footnote w:id="85">
    <w:p w14:paraId="3EC09495" w14:textId="6991666A" w:rsidR="00746125" w:rsidRPr="006D50CA" w:rsidRDefault="00746125" w:rsidP="002902BA">
      <w:pPr>
        <w:pStyle w:val="FootnoteText"/>
      </w:pPr>
      <w:r w:rsidRPr="002902BA">
        <w:rPr>
          <w:rStyle w:val="FootnoteReference"/>
        </w:rPr>
        <w:footnoteRef/>
      </w:r>
      <w:r w:rsidRPr="002902BA">
        <w:rPr>
          <w:rStyle w:val="FootnoteReference"/>
        </w:rPr>
        <w:t xml:space="preserve"> </w:t>
      </w:r>
      <w:r>
        <w:tab/>
      </w:r>
      <w:r w:rsidRPr="006D50CA">
        <w:t>ACCC, ‘</w:t>
      </w:r>
      <w:proofErr w:type="spellStart"/>
      <w:r w:rsidRPr="006D50CA">
        <w:t>Exetel</w:t>
      </w:r>
      <w:proofErr w:type="spellEnd"/>
      <w:r w:rsidRPr="006D50CA">
        <w:t xml:space="preserve"> compensates consumers following ACCC investigation’, 18 January 2016, available at &lt;</w:t>
      </w:r>
      <w:hyperlink r:id="rId56" w:tooltip="[opens in a seperate window]" w:history="1">
        <w:r w:rsidRPr="006D50CA">
          <w:rPr>
            <w:rStyle w:val="Hyperlink"/>
            <w:szCs w:val="18"/>
          </w:rPr>
          <w:t>http://www.accc.gov.au/media-release/exetel-compensates-consumers-following-accc-investigation</w:t>
        </w:r>
      </w:hyperlink>
      <w:r w:rsidRPr="006D50CA">
        <w:t xml:space="preserve">&gt;. </w:t>
      </w:r>
    </w:p>
  </w:footnote>
  <w:footnote w:id="86">
    <w:p w14:paraId="7D10FD5B" w14:textId="282BAA09" w:rsidR="00746125" w:rsidRPr="006D50CA" w:rsidRDefault="00746125" w:rsidP="002902BA">
      <w:pPr>
        <w:pStyle w:val="FootnoteText"/>
      </w:pPr>
      <w:r w:rsidRPr="002902BA">
        <w:rPr>
          <w:rStyle w:val="FootnoteReference"/>
        </w:rPr>
        <w:footnoteRef/>
      </w:r>
      <w:r>
        <w:rPr>
          <w:rStyle w:val="FootnoteReference1"/>
          <w:szCs w:val="18"/>
        </w:rPr>
        <w:t xml:space="preserve"> </w:t>
      </w:r>
      <w:r>
        <w:rPr>
          <w:rStyle w:val="FootnoteReference1"/>
          <w:szCs w:val="18"/>
        </w:rPr>
        <w:tab/>
      </w:r>
      <w:r w:rsidRPr="006D50CA">
        <w:t>Issues Paper, p. 19.</w:t>
      </w:r>
    </w:p>
  </w:footnote>
  <w:footnote w:id="87">
    <w:p w14:paraId="0FD4751D" w14:textId="2978D2A8" w:rsidR="00746125" w:rsidRPr="006D50CA" w:rsidRDefault="00746125" w:rsidP="002902BA">
      <w:pPr>
        <w:pStyle w:val="FootnoteText"/>
      </w:pPr>
      <w:r w:rsidRPr="002902BA">
        <w:rPr>
          <w:rStyle w:val="FootnoteReference"/>
        </w:rPr>
        <w:footnoteRef/>
      </w:r>
      <w:r w:rsidRPr="002902BA">
        <w:rPr>
          <w:rStyle w:val="FootnoteReference"/>
        </w:rPr>
        <w:t xml:space="preserve"> </w:t>
      </w:r>
      <w:r>
        <w:rPr>
          <w:rStyle w:val="FootnoteReference"/>
        </w:rPr>
        <w:tab/>
      </w:r>
      <w:r w:rsidRPr="006D50CA">
        <w:t>Zen Internet Limited, ‘No throttling, no squeezing: The Zen approach to Traffic Management’ available at &lt;</w:t>
      </w:r>
      <w:hyperlink r:id="rId57" w:tooltip="[opens in a seperate window]" w:history="1">
        <w:r w:rsidRPr="006D50CA">
          <w:rPr>
            <w:rStyle w:val="Hyperlink"/>
            <w:szCs w:val="18"/>
          </w:rPr>
          <w:t>https://www.zen.co.uk/newsletters.aspx?page=11415</w:t>
        </w:r>
      </w:hyperlink>
      <w:r w:rsidRPr="006D50CA">
        <w:t>&gt;</w:t>
      </w:r>
    </w:p>
  </w:footnote>
  <w:footnote w:id="88">
    <w:p w14:paraId="649D801F" w14:textId="4A110978" w:rsidR="00746125" w:rsidRPr="006D50CA" w:rsidRDefault="00746125" w:rsidP="002902BA">
      <w:pPr>
        <w:pStyle w:val="FootnoteText"/>
      </w:pPr>
      <w:r w:rsidRPr="002902BA">
        <w:rPr>
          <w:rStyle w:val="FootnoteReference"/>
        </w:rPr>
        <w:footnoteRef/>
      </w:r>
      <w:r w:rsidRPr="002902BA">
        <w:rPr>
          <w:rStyle w:val="FootnoteReference"/>
        </w:rPr>
        <w:t xml:space="preserve"> </w:t>
      </w:r>
      <w:r>
        <w:rPr>
          <w:rStyle w:val="FootnoteReference1"/>
          <w:szCs w:val="18"/>
        </w:rPr>
        <w:tab/>
      </w:r>
      <w:proofErr w:type="spellStart"/>
      <w:r w:rsidRPr="006D50CA">
        <w:t>Vox</w:t>
      </w:r>
      <w:proofErr w:type="spellEnd"/>
      <w:r w:rsidRPr="006D50CA">
        <w:t xml:space="preserve">, 2016, ‘Nest is about to deliberately break one of its own products. That's unfair to customers.’, available at: </w:t>
      </w:r>
      <w:hyperlink r:id="rId58" w:tooltip="[opens in a seperate window]" w:history="1">
        <w:r w:rsidRPr="006D50CA">
          <w:rPr>
            <w:rStyle w:val="Hyperlink"/>
            <w:szCs w:val="18"/>
          </w:rPr>
          <w:t>http://www.vox.com/2016/4/4/11364566/nest-revolv-bricking</w:t>
        </w:r>
      </w:hyperlink>
      <w:r w:rsidRPr="006D50CA">
        <w:t xml:space="preserve"> </w:t>
      </w:r>
    </w:p>
  </w:footnote>
  <w:footnote w:id="89">
    <w:p w14:paraId="09491402" w14:textId="244D1795" w:rsidR="00746125" w:rsidRPr="006D50CA" w:rsidRDefault="00746125" w:rsidP="002902BA">
      <w:pPr>
        <w:pStyle w:val="FootnoteText"/>
      </w:pPr>
      <w:r w:rsidRPr="002902BA">
        <w:rPr>
          <w:rStyle w:val="FootnoteReference"/>
        </w:rPr>
        <w:footnoteRef/>
      </w:r>
      <w:r w:rsidRPr="002902BA">
        <w:rPr>
          <w:rStyle w:val="FootnoteReference"/>
        </w:rPr>
        <w:t xml:space="preserve"> </w:t>
      </w:r>
      <w:r>
        <w:tab/>
      </w:r>
      <w:r w:rsidRPr="006D50CA">
        <w:t>Apple, ‘iOS- Home’, &lt;</w:t>
      </w:r>
      <w:hyperlink r:id="rId59" w:tooltip="[opens in a seperate window]" w:history="1">
        <w:r w:rsidRPr="006D50CA">
          <w:rPr>
            <w:rStyle w:val="Hyperlink"/>
            <w:szCs w:val="18"/>
          </w:rPr>
          <w:t>http://www.apple.com/au/ios/home/</w:t>
        </w:r>
      </w:hyperlink>
      <w:r w:rsidRPr="006D50CA">
        <w:t>&gt;</w:t>
      </w:r>
      <w:proofErr w:type="gramStart"/>
      <w:r w:rsidRPr="006D50CA">
        <w:t>;  Google</w:t>
      </w:r>
      <w:proofErr w:type="gramEnd"/>
      <w:r w:rsidRPr="006D50CA">
        <w:t>, ‘</w:t>
      </w:r>
      <w:proofErr w:type="spellStart"/>
      <w:r w:rsidRPr="006D50CA">
        <w:t>Brillo</w:t>
      </w:r>
      <w:proofErr w:type="spellEnd"/>
      <w:r w:rsidRPr="006D50CA">
        <w:t>’, available at &lt;</w:t>
      </w:r>
      <w:hyperlink r:id="rId60" w:tooltip="[opens in a seperate window]" w:history="1">
        <w:r w:rsidRPr="006D50CA">
          <w:rPr>
            <w:rStyle w:val="Hyperlink"/>
            <w:szCs w:val="18"/>
          </w:rPr>
          <w:t>https://developers.google.com/brillo/</w:t>
        </w:r>
      </w:hyperlink>
      <w:r w:rsidRPr="006D50CA">
        <w:t>&gt;.</w:t>
      </w:r>
    </w:p>
  </w:footnote>
  <w:footnote w:id="90">
    <w:p w14:paraId="53915609" w14:textId="1EA713E7" w:rsidR="00746125" w:rsidRPr="006D50CA" w:rsidRDefault="00746125" w:rsidP="002902BA">
      <w:pPr>
        <w:pStyle w:val="FootnoteText"/>
      </w:pPr>
      <w:r w:rsidRPr="002902BA">
        <w:rPr>
          <w:rStyle w:val="FootnoteReference"/>
        </w:rPr>
        <w:footnoteRef/>
      </w:r>
      <w:r w:rsidRPr="002902BA">
        <w:rPr>
          <w:rStyle w:val="FootnoteReference"/>
        </w:rPr>
        <w:t xml:space="preserve"> </w:t>
      </w:r>
      <w:r>
        <w:rPr>
          <w:rStyle w:val="FootnoteReference1"/>
          <w:szCs w:val="18"/>
        </w:rPr>
        <w:tab/>
      </w:r>
      <w:r w:rsidRPr="006D50CA">
        <w:t>IoT Device Maker Vows Product Recall, Legal Action Against Western Accusers https://krebsonsecurity.com/2016/10/iot-device-maker-vows-product-recall-legal-action-against-western-accusers/</w:t>
      </w:r>
    </w:p>
  </w:footnote>
  <w:footnote w:id="91">
    <w:p w14:paraId="099E71C9" w14:textId="0E84FB3D" w:rsidR="00746125" w:rsidRDefault="00746125" w:rsidP="002902BA">
      <w:pPr>
        <w:pStyle w:val="FootnoteText"/>
      </w:pPr>
      <w:r w:rsidRPr="002902BA">
        <w:rPr>
          <w:rStyle w:val="FootnoteReference"/>
        </w:rPr>
        <w:footnoteRef/>
      </w:r>
      <w:r w:rsidRPr="002902BA">
        <w:rPr>
          <w:rStyle w:val="FootnoteReference"/>
        </w:rPr>
        <w:t xml:space="preserve"> </w:t>
      </w:r>
      <w:r>
        <w:rPr>
          <w:rStyle w:val="FootnoteReference1"/>
          <w:szCs w:val="18"/>
        </w:rPr>
        <w:tab/>
      </w:r>
      <w:r w:rsidRPr="006D50CA">
        <w:t>Internet Census 2012 (</w:t>
      </w:r>
      <w:proofErr w:type="spellStart"/>
      <w:r w:rsidRPr="006D50CA">
        <w:t>Carna</w:t>
      </w:r>
      <w:proofErr w:type="spellEnd"/>
      <w:r w:rsidRPr="006D50CA">
        <w:t xml:space="preserve"> botnet) http://internetcensus2012.bitbucket.org/paper.html</w:t>
      </w:r>
    </w:p>
  </w:footnote>
  <w:footnote w:id="92">
    <w:p w14:paraId="1E7FEFAF" w14:textId="186C51A6" w:rsidR="00746125" w:rsidRPr="006D50CA" w:rsidRDefault="00746125" w:rsidP="002902BA">
      <w:pPr>
        <w:pStyle w:val="FootnoteText"/>
      </w:pPr>
      <w:r w:rsidRPr="002902BA">
        <w:rPr>
          <w:rStyle w:val="FootnoteReference"/>
        </w:rPr>
        <w:footnoteRef/>
      </w:r>
      <w:r w:rsidRPr="006D50CA">
        <w:rPr>
          <w:rStyle w:val="FootnoteReference1"/>
          <w:szCs w:val="18"/>
        </w:rPr>
        <w:t xml:space="preserve"> </w:t>
      </w:r>
      <w:r>
        <w:rPr>
          <w:rStyle w:val="FootnoteReference1"/>
          <w:szCs w:val="18"/>
        </w:rPr>
        <w:tab/>
      </w:r>
      <w:r w:rsidRPr="006D50CA">
        <w:t>US-CERT Alert (TA13-175A) Risks of Default Passwords on the Internet https://www.us-cert.gov/ncas/alerts/TA13-175A</w:t>
      </w:r>
    </w:p>
  </w:footnote>
  <w:footnote w:id="93">
    <w:p w14:paraId="2D1AC0E0" w14:textId="5901F5E4" w:rsidR="00746125" w:rsidRPr="006D50CA" w:rsidRDefault="00746125" w:rsidP="002902BA">
      <w:pPr>
        <w:pStyle w:val="FootnoteText"/>
      </w:pPr>
      <w:r w:rsidRPr="002902BA">
        <w:rPr>
          <w:rStyle w:val="FootnoteReference"/>
        </w:rPr>
        <w:footnoteRef/>
      </w:r>
      <w:r w:rsidRPr="002902BA">
        <w:rPr>
          <w:rStyle w:val="FootnoteReference"/>
        </w:rPr>
        <w:t xml:space="preserve"> </w:t>
      </w:r>
      <w:r>
        <w:rPr>
          <w:rStyle w:val="FootnoteReference1"/>
          <w:szCs w:val="18"/>
        </w:rPr>
        <w:tab/>
      </w:r>
      <w:proofErr w:type="gramStart"/>
      <w:r w:rsidRPr="006D50CA">
        <w:t>Telstra, ‘Telstra to launch smart home platform’, 22 June 2016, &lt;</w:t>
      </w:r>
      <w:hyperlink r:id="rId61" w:tooltip="[opens in a seperate window]" w:history="1">
        <w:r w:rsidRPr="006D50CA">
          <w:rPr>
            <w:rStyle w:val="Hyperlink"/>
            <w:szCs w:val="18"/>
          </w:rPr>
          <w:t>http://www.telstra.com.au/aboutus/media/media-releases/telstra-to-launch-smart-home-platform.xml</w:t>
        </w:r>
      </w:hyperlink>
      <w:r w:rsidRPr="006D50CA">
        <w:t>.&gt;</w:t>
      </w:r>
      <w:proofErr w:type="gramEnd"/>
    </w:p>
  </w:footnote>
  <w:footnote w:id="94">
    <w:p w14:paraId="766622F8" w14:textId="71861E2B" w:rsidR="00746125" w:rsidRPr="006D50CA" w:rsidRDefault="00746125" w:rsidP="002902BA">
      <w:pPr>
        <w:pStyle w:val="FootnoteText"/>
      </w:pPr>
      <w:r w:rsidRPr="002902BA">
        <w:rPr>
          <w:rStyle w:val="FootnoteReference"/>
        </w:rPr>
        <w:footnoteRef/>
      </w:r>
      <w:r w:rsidRPr="006D50CA">
        <w:rPr>
          <w:rStyle w:val="FootnoteReference1"/>
          <w:szCs w:val="18"/>
        </w:rPr>
        <w:tab/>
        <w:t xml:space="preserve"> </w:t>
      </w:r>
      <w:proofErr w:type="spellStart"/>
      <w:r w:rsidRPr="006D50CA">
        <w:t>Telsyte</w:t>
      </w:r>
      <w:proofErr w:type="spellEnd"/>
      <w:r w:rsidRPr="006D50CA">
        <w:t>, Australian IoT @ Home Market to reach $3.2 billion by 2019 embedding smart technology into everyday life, 10 August 2015, available at &lt;</w:t>
      </w:r>
      <w:hyperlink r:id="rId62" w:tooltip="[opens in a seperate window]" w:history="1">
        <w:r w:rsidRPr="006D50CA">
          <w:rPr>
            <w:rStyle w:val="Hyperlink"/>
            <w:szCs w:val="18"/>
          </w:rPr>
          <w:t>http://www.telsyte.com.au/announcements/2015/8/10/australian-iot-home-market-to-reach-32-billion-by-2019-embedding-smart-technology-into-everyday-life-1</w:t>
        </w:r>
      </w:hyperlink>
      <w:r w:rsidRPr="006D50CA">
        <w:t>&gt;</w:t>
      </w:r>
    </w:p>
  </w:footnote>
  <w:footnote w:id="95">
    <w:p w14:paraId="47587CE1" w14:textId="5E3D2FAD" w:rsidR="00746125" w:rsidRDefault="00746125" w:rsidP="002902BA">
      <w:pPr>
        <w:pStyle w:val="FootnoteText"/>
      </w:pPr>
      <w:r w:rsidRPr="002902BA">
        <w:rPr>
          <w:rStyle w:val="FootnoteReference"/>
        </w:rPr>
        <w:footnoteRef/>
      </w:r>
      <w:r w:rsidRPr="006D50CA">
        <w:rPr>
          <w:rStyle w:val="FootnoteReference1"/>
          <w:szCs w:val="18"/>
        </w:rPr>
        <w:t xml:space="preserve"> </w:t>
      </w:r>
      <w:r>
        <w:rPr>
          <w:rStyle w:val="FootnoteReference1"/>
          <w:szCs w:val="18"/>
        </w:rPr>
        <w:tab/>
      </w:r>
      <w:r w:rsidRPr="006D50CA">
        <w:t>Telstra, ‘Telstra to launch smart home platform’, 22 June 2016, &lt;</w:t>
      </w:r>
      <w:hyperlink r:id="rId63" w:tooltip="[opens in a seperate window]" w:history="1">
        <w:r w:rsidRPr="006D50CA">
          <w:rPr>
            <w:rStyle w:val="Hyperlink"/>
            <w:szCs w:val="18"/>
          </w:rPr>
          <w:t>http://www.telstra.com.au/aboutus/media/media-releases/telstra-to-launch-smart-home-platform.xml</w:t>
        </w:r>
      </w:hyperlink>
      <w:r w:rsidRPr="006D50CA">
        <w:t>&gt;</w:t>
      </w:r>
      <w:r>
        <w:t xml:space="preserve"> </w:t>
      </w:r>
    </w:p>
  </w:footnote>
  <w:footnote w:id="96">
    <w:p w14:paraId="28BB9616" w14:textId="4C07DF75" w:rsidR="00746125" w:rsidRPr="006D50CA" w:rsidRDefault="00746125" w:rsidP="002902BA">
      <w:pPr>
        <w:pStyle w:val="FootnoteText"/>
      </w:pPr>
      <w:r w:rsidRPr="002902BA">
        <w:rPr>
          <w:rStyle w:val="FootnoteReference"/>
        </w:rPr>
        <w:footnoteRef/>
      </w:r>
      <w:r>
        <w:t xml:space="preserve"> </w:t>
      </w:r>
      <w:r>
        <w:tab/>
      </w:r>
      <w:r w:rsidRPr="006D50CA">
        <w:t xml:space="preserve">Jamison Methods for increasing competition </w:t>
      </w:r>
      <w:hyperlink r:id="rId64" w:tooltip="[opens in a seperate window]" w:history="1">
        <w:r w:rsidRPr="006D50CA">
          <w:rPr>
            <w:rStyle w:val="Hyperlink"/>
            <w:szCs w:val="18"/>
          </w:rPr>
          <w:t>http://regulationbodyofknowledge.org/wp-content/uploads/2013/03/Jamison_Methods_for_Increasing.pdf</w:t>
        </w:r>
      </w:hyperlink>
    </w:p>
  </w:footnote>
  <w:footnote w:id="97">
    <w:p w14:paraId="3F79955F" w14:textId="05E17E9D" w:rsidR="00746125" w:rsidRPr="006D50CA" w:rsidRDefault="00746125" w:rsidP="002902BA">
      <w:pPr>
        <w:pStyle w:val="FootnoteText"/>
      </w:pPr>
      <w:r w:rsidRPr="002902BA">
        <w:rPr>
          <w:rStyle w:val="FootnoteReference"/>
        </w:rPr>
        <w:footnoteRef/>
      </w:r>
      <w:r>
        <w:t xml:space="preserve"> </w:t>
      </w:r>
      <w:r>
        <w:tab/>
      </w:r>
      <w:r w:rsidRPr="006D50CA">
        <w:t xml:space="preserve">ACCC Communications Report 2014-2015. </w:t>
      </w:r>
      <w:proofErr w:type="spellStart"/>
      <w:r w:rsidRPr="006D50CA">
        <w:t>Pg</w:t>
      </w:r>
      <w:proofErr w:type="spellEnd"/>
      <w:r w:rsidRPr="006D50CA">
        <w:t xml:space="preserve">  23, 24, 29, 30  </w:t>
      </w:r>
      <w:hyperlink r:id="rId65" w:history="1">
        <w:r w:rsidRPr="006D50CA">
          <w:rPr>
            <w:rStyle w:val="Hyperlink"/>
            <w:szCs w:val="18"/>
          </w:rPr>
          <w:t>https://www.accc.gov.au/system/files/ACCC%20Telecommunications%20reports%202014%E2%80%9315_Div%2011%20and%2012_web_FA.pdf</w:t>
        </w:r>
      </w:hyperlink>
    </w:p>
  </w:footnote>
  <w:footnote w:id="98">
    <w:p w14:paraId="36642D03" w14:textId="77777777" w:rsidR="00746125" w:rsidRPr="006D50CA" w:rsidRDefault="00746125" w:rsidP="002902BA">
      <w:pPr>
        <w:pStyle w:val="FootnoteText"/>
      </w:pPr>
      <w:r w:rsidRPr="002902BA">
        <w:rPr>
          <w:rStyle w:val="FootnoteReference"/>
        </w:rPr>
        <w:footnoteRef/>
      </w:r>
      <w:r w:rsidRPr="006D50CA">
        <w:tab/>
        <w:t>ACCC Communications Report 2014-2015</w:t>
      </w:r>
    </w:p>
  </w:footnote>
  <w:footnote w:id="99">
    <w:p w14:paraId="3C1F9B37" w14:textId="127E539F" w:rsidR="00746125" w:rsidRPr="006D50CA" w:rsidRDefault="00746125" w:rsidP="002902BA">
      <w:pPr>
        <w:pStyle w:val="FootnoteText"/>
      </w:pPr>
      <w:r w:rsidRPr="002902BA">
        <w:rPr>
          <w:rStyle w:val="FootnoteReference"/>
        </w:rPr>
        <w:footnoteRef/>
      </w:r>
      <w:r w:rsidRPr="006D50CA">
        <w:tab/>
        <w:t xml:space="preserve"> How much extra </w:t>
      </w:r>
      <w:proofErr w:type="gramStart"/>
      <w:r w:rsidRPr="006D50CA">
        <w:t>does</w:t>
      </w:r>
      <w:proofErr w:type="gramEnd"/>
      <w:r w:rsidRPr="006D50CA">
        <w:t xml:space="preserve"> regional Australians pay for the nbn. </w:t>
      </w:r>
      <w:hyperlink r:id="rId66" w:tooltip="[opens in a seperate window]" w:history="1">
        <w:r w:rsidRPr="006D50CA">
          <w:rPr>
            <w:rStyle w:val="Hyperlink"/>
            <w:szCs w:val="18"/>
          </w:rPr>
          <w:t>http://www.lifehacker.com.au/2016/10/how-much-extra-does-regional-australia-pay-for-the-nbn/</w:t>
        </w:r>
      </w:hyperlink>
    </w:p>
  </w:footnote>
  <w:footnote w:id="100">
    <w:p w14:paraId="23925FA1" w14:textId="269C4CF7" w:rsidR="00746125" w:rsidRPr="006D50CA" w:rsidRDefault="00746125" w:rsidP="002902BA">
      <w:pPr>
        <w:pStyle w:val="FootnoteText"/>
      </w:pPr>
      <w:r w:rsidRPr="002902BA">
        <w:rPr>
          <w:rStyle w:val="FootnoteReference"/>
        </w:rPr>
        <w:footnoteRef/>
      </w:r>
      <w:hyperlink r:id="rId67" w:tooltip="[opens in a seperate window]" w:history="1">
        <w:r w:rsidRPr="006D50CA">
          <w:rPr>
            <w:rStyle w:val="Hyperlink"/>
            <w:szCs w:val="18"/>
          </w:rPr>
          <w:tab/>
          <w:t>http://www.canstarblue.com.au/phone-internet/internet/nbn-providers/amaysim-targets-nbn-ausbbs-takeover/</w:t>
        </w:r>
      </w:hyperlink>
    </w:p>
    <w:p w14:paraId="416B6460" w14:textId="68329CCF" w:rsidR="00746125" w:rsidRDefault="0078655A" w:rsidP="002902BA">
      <w:pPr>
        <w:pStyle w:val="FootnoteText"/>
      </w:pPr>
      <w:hyperlink r:id="rId68" w:tooltip="[opens in a seperate window]" w:history="1">
        <w:r w:rsidR="00746125" w:rsidRPr="006D50CA">
          <w:rPr>
            <w:rStyle w:val="Hyperlink"/>
            <w:szCs w:val="18"/>
          </w:rPr>
          <w:tab/>
          <w:t>http://www.canstarblue.com.au/phone-internet/vodafone-joins-nbn-bandwagon/</w:t>
        </w:r>
      </w:hyperlink>
    </w:p>
  </w:footnote>
  <w:footnote w:id="101">
    <w:p w14:paraId="4FF69C41" w14:textId="217A1A7E" w:rsidR="00746125" w:rsidRPr="00EC7AB8" w:rsidRDefault="00746125" w:rsidP="002902BA">
      <w:pPr>
        <w:pStyle w:val="FootnoteText"/>
      </w:pPr>
      <w:r w:rsidRPr="002902BA">
        <w:rPr>
          <w:rStyle w:val="FootnoteReference"/>
        </w:rPr>
        <w:footnoteRef/>
      </w:r>
      <w:r>
        <w:t xml:space="preserve"> </w:t>
      </w:r>
      <w:r>
        <w:tab/>
      </w:r>
      <w:proofErr w:type="gramStart"/>
      <w:r>
        <w:t xml:space="preserve">Baba Shiv, </w:t>
      </w:r>
      <w:proofErr w:type="spellStart"/>
      <w:r>
        <w:t>Ziv</w:t>
      </w:r>
      <w:proofErr w:type="spellEnd"/>
      <w:r>
        <w:t xml:space="preserve"> Carmon &amp; Dan </w:t>
      </w:r>
      <w:proofErr w:type="spellStart"/>
      <w:r>
        <w:t>Ariely</w:t>
      </w:r>
      <w:proofErr w:type="spellEnd"/>
      <w:r>
        <w:t>.</w:t>
      </w:r>
      <w:proofErr w:type="gramEnd"/>
      <w:r>
        <w:t xml:space="preserve"> 2005. Placebo effects of marketing actions: consumers may get what they pay for.</w:t>
      </w:r>
      <w:r w:rsidRPr="00EC7AB8">
        <w:t xml:space="preserve"> </w:t>
      </w:r>
      <w:hyperlink r:id="rId69" w:tooltip="[opens in a seperate window]" w:history="1">
        <w:r w:rsidRPr="00EC7AB8">
          <w:rPr>
            <w:rStyle w:val="Hyperlink"/>
            <w:rFonts w:asciiTheme="minorHAnsi" w:hAnsiTheme="minorHAnsi"/>
            <w:szCs w:val="18"/>
          </w:rPr>
          <w:t>http://people.duke.edu/~dandan/webfiles/PapersPI/Placebo%20Marketing%20Actions.pdf</w:t>
        </w:r>
      </w:hyperlink>
    </w:p>
  </w:footnote>
  <w:footnote w:id="102">
    <w:p w14:paraId="42D53A3C" w14:textId="14745115" w:rsidR="00746125" w:rsidRPr="001310EF" w:rsidRDefault="00746125" w:rsidP="002902BA">
      <w:pPr>
        <w:pStyle w:val="FootnoteText"/>
      </w:pPr>
      <w:r w:rsidRPr="00EC7AB8">
        <w:rPr>
          <w:rStyle w:val="FootnoteReference"/>
          <w:rFonts w:asciiTheme="minorHAnsi" w:hAnsiTheme="minorHAnsi"/>
        </w:rPr>
        <w:footnoteRef/>
      </w:r>
      <w:r w:rsidRPr="00EC7AB8">
        <w:t xml:space="preserve"> </w:t>
      </w:r>
      <w:r>
        <w:tab/>
      </w:r>
      <w:r w:rsidRPr="00EC7AB8">
        <w:t xml:space="preserve">ACCAN has been contacted by a range of consumers served by SBAS and LBAS networks. </w:t>
      </w:r>
      <w:proofErr w:type="gramStart"/>
      <w:r w:rsidRPr="00EC7AB8">
        <w:t>Some examples previously given in December 2015 submission to SBAS.</w:t>
      </w:r>
      <w:proofErr w:type="gramEnd"/>
      <w:r w:rsidRPr="00EC7AB8">
        <w:t xml:space="preserve"> </w:t>
      </w:r>
      <w:hyperlink r:id="rId70" w:tooltip="[opens in a seperate window]" w:history="1">
        <w:r w:rsidRPr="00EC7AB8">
          <w:rPr>
            <w:rStyle w:val="Hyperlink"/>
            <w:rFonts w:asciiTheme="minorHAnsi" w:hAnsiTheme="minorHAnsi"/>
          </w:rPr>
          <w:t>https://accan.org.au/our-work/submissions/1168-superfast-broadband</w:t>
        </w:r>
      </w:hyperlink>
      <w:r w:rsidRPr="00EC7AB8">
        <w:t xml:space="preserve">. We have also commented in the media in response to end user concerns. </w:t>
      </w:r>
      <w:hyperlink r:id="rId71" w:tooltip="[opens in a seperate window]" w:history="1">
        <w:r w:rsidRPr="00EC7AB8">
          <w:rPr>
            <w:rStyle w:val="Hyperlink"/>
            <w:rFonts w:asciiTheme="minorHAnsi" w:hAnsiTheme="minorHAnsi"/>
          </w:rPr>
          <w:t>http://www.smh.com.au/business/consumer-affairs/poor-internet-service-can-break-a-real-estatel-deal-wentworth-point-agent-says-20161013-gs1b7x.html?utm_source=newsletter_91&amp;utm_medium=email&amp;utm_campaign=webnews355</w:t>
        </w:r>
      </w:hyperlink>
    </w:p>
  </w:footnote>
  <w:footnote w:id="103">
    <w:p w14:paraId="0927FAB9" w14:textId="5A62610A" w:rsidR="00746125" w:rsidRPr="006D50CA" w:rsidRDefault="00746125" w:rsidP="002902BA">
      <w:pPr>
        <w:pStyle w:val="FootnoteText"/>
        <w:rPr>
          <w:szCs w:val="18"/>
        </w:rPr>
      </w:pPr>
      <w:r w:rsidRPr="002902BA">
        <w:rPr>
          <w:rStyle w:val="FootnoteReference"/>
        </w:rPr>
        <w:footnoteRef/>
      </w:r>
      <w:r w:rsidRPr="006D50CA">
        <w:rPr>
          <w:szCs w:val="18"/>
        </w:rPr>
        <w:t xml:space="preserve"> </w:t>
      </w:r>
      <w:r>
        <w:rPr>
          <w:szCs w:val="18"/>
        </w:rPr>
        <w:tab/>
      </w:r>
      <w:proofErr w:type="gramStart"/>
      <w:r w:rsidRPr="006D50CA">
        <w:rPr>
          <w:szCs w:val="18"/>
        </w:rPr>
        <w:t>Table 1.1 of SBAS declaration inquiry</w:t>
      </w:r>
      <w:r>
        <w:rPr>
          <w:szCs w:val="18"/>
        </w:rPr>
        <w:t>.</w:t>
      </w:r>
      <w:proofErr w:type="gramEnd"/>
      <w:r>
        <w:rPr>
          <w:szCs w:val="18"/>
        </w:rPr>
        <w:t xml:space="preserve"> </w:t>
      </w:r>
      <w:r w:rsidRPr="00EF50C4">
        <w:rPr>
          <w:szCs w:val="18"/>
        </w:rPr>
        <w:t>https://www.accc.gov.au/regulated-infrastructure/communications/superfast-broadband-access-service-declaration-inquiry</w:t>
      </w:r>
    </w:p>
    <w:p w14:paraId="5DCA4666" w14:textId="77777777" w:rsidR="00746125" w:rsidRDefault="00746125" w:rsidP="00EF4492">
      <w:pPr>
        <w:pStyle w:val="FootnoteText"/>
        <w:suppressLineNumbers/>
        <w:spacing w:before="28" w:after="28"/>
        <w:ind w:left="283" w:hanging="283"/>
      </w:pPr>
    </w:p>
  </w:footnote>
  <w:footnote w:id="104">
    <w:p w14:paraId="33FBA3ED" w14:textId="7C46DDC8" w:rsidR="00746125" w:rsidRDefault="00746125" w:rsidP="006145B6">
      <w:pPr>
        <w:pStyle w:val="FootnoteText"/>
        <w:spacing w:after="0"/>
      </w:pPr>
      <w:r>
        <w:rPr>
          <w:rStyle w:val="FootnoteReference"/>
        </w:rPr>
        <w:footnoteRef/>
      </w:r>
      <w:r>
        <w:t xml:space="preserve"> </w:t>
      </w:r>
      <w:r>
        <w:tab/>
        <w:t xml:space="preserve">ACMA, 2015, Australians Get Mobile Research Snapshot. </w:t>
      </w:r>
      <w:hyperlink r:id="rId72" w:tooltip="[opens in a seperate window]" w:history="1">
        <w:r>
          <w:rPr>
            <w:rStyle w:val="Hyperlink"/>
          </w:rPr>
          <w:t>http://www.acma.gov.au/theACMA/engage-blogs/engage-blogs/Research-snapshots/Australians-get-mobile</w:t>
        </w:r>
      </w:hyperlink>
    </w:p>
  </w:footnote>
  <w:footnote w:id="105">
    <w:p w14:paraId="57CC9203" w14:textId="464CE7B2" w:rsidR="00746125" w:rsidRDefault="00746125">
      <w:pPr>
        <w:pStyle w:val="FootnoteText"/>
      </w:pPr>
      <w:r>
        <w:rPr>
          <w:rStyle w:val="FootnoteReference"/>
        </w:rPr>
        <w:footnoteRef/>
      </w:r>
      <w:r>
        <w:t xml:space="preserve"> </w:t>
      </w:r>
      <w:r>
        <w:tab/>
      </w:r>
      <w:hyperlink r:id="rId73" w:tooltip="[opens in a seperate window]" w:history="1">
        <w:r w:rsidRPr="00EC5F1B">
          <w:rPr>
            <w:rStyle w:val="Hyperlink"/>
          </w:rPr>
          <w:t>https://www.anao.gov.au/work/performance-audit/award-funding-under-mobile-black-spot-programme</w:t>
        </w:r>
      </w:hyperlink>
    </w:p>
  </w:footnote>
  <w:footnote w:id="106">
    <w:p w14:paraId="5E0A71E7" w14:textId="3C4A073B" w:rsidR="00746125" w:rsidRPr="00A44E78" w:rsidRDefault="00746125" w:rsidP="002902BA">
      <w:pPr>
        <w:pStyle w:val="FootnoteText"/>
        <w:rPr>
          <w:rStyle w:val="FootnoteReference1"/>
          <w:szCs w:val="18"/>
          <w:vertAlign w:val="baseline"/>
        </w:rPr>
      </w:pPr>
      <w:r w:rsidRPr="002902BA">
        <w:rPr>
          <w:rStyle w:val="FootnoteReference"/>
        </w:rPr>
        <w:footnoteRef/>
      </w:r>
      <w:r w:rsidRPr="002902BA">
        <w:rPr>
          <w:rStyle w:val="FootnoteReference"/>
        </w:rPr>
        <w:t xml:space="preserve"> </w:t>
      </w:r>
      <w:r>
        <w:rPr>
          <w:rStyle w:val="FootnoteReference1"/>
          <w:szCs w:val="18"/>
        </w:rPr>
        <w:tab/>
      </w:r>
      <w:proofErr w:type="gramStart"/>
      <w:r w:rsidRPr="00A44E78">
        <w:t>Apple, ‘Apple SIM’, available at &lt;</w:t>
      </w:r>
      <w:hyperlink r:id="rId74" w:tooltip="[opens in a seperate window]" w:history="1">
        <w:r w:rsidRPr="00A44E78">
          <w:rPr>
            <w:rStyle w:val="Hyperlink"/>
            <w:szCs w:val="18"/>
          </w:rPr>
          <w:t>http://www.apple.com/au/ipad/apple-sim/</w:t>
        </w:r>
      </w:hyperlink>
      <w:r w:rsidRPr="00A44E78">
        <w:t>&gt;; Apple, ‘iPad - View countries with supported LTE networks’, available at &lt;</w:t>
      </w:r>
      <w:hyperlink r:id="rId75" w:tooltip="[opens in a seperate window]" w:history="1">
        <w:r w:rsidRPr="00A44E78">
          <w:rPr>
            <w:rStyle w:val="Hyperlink"/>
            <w:szCs w:val="18"/>
          </w:rPr>
          <w:t>http://www.apple.com/ipad/LTE/</w:t>
        </w:r>
      </w:hyperlink>
      <w:r w:rsidRPr="00A44E78">
        <w:t>&gt;.</w:t>
      </w:r>
      <w:proofErr w:type="gramEnd"/>
    </w:p>
  </w:footnote>
  <w:footnote w:id="107">
    <w:p w14:paraId="51C08B93" w14:textId="0A7A5B22" w:rsidR="00746125" w:rsidRDefault="00746125" w:rsidP="00EC7AB8">
      <w:pPr>
        <w:pStyle w:val="FootnoteText"/>
      </w:pPr>
      <w:r>
        <w:rPr>
          <w:rStyle w:val="FootnoteReference"/>
        </w:rPr>
        <w:footnoteRef/>
      </w:r>
      <w:r>
        <w:t xml:space="preserve"> </w:t>
      </w:r>
      <w:r>
        <w:tab/>
      </w:r>
      <w:hyperlink r:id="rId76" w:tooltip="[opens in a seperate window]" w:history="1">
        <w:r w:rsidRPr="00EC5F1B">
          <w:rPr>
            <w:rStyle w:val="Hyperlink"/>
          </w:rPr>
          <w:t>http://www.optus.com.au/shop/broadband/home-wireless-broadband</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A58453" w14:textId="77777777" w:rsidR="00746125" w:rsidRDefault="00746125" w:rsidP="00E45E4C">
    <w:pPr>
      <w:pStyle w:val="Header"/>
      <w:jc w:val="right"/>
    </w:pPr>
    <w:r>
      <w:rPr>
        <w:noProof/>
        <w:lang w:val="en-IE" w:eastAsia="en-IE"/>
      </w:rPr>
      <w:drawing>
        <wp:inline distT="0" distB="0" distL="0" distR="0" wp14:anchorId="7763E2D9" wp14:editId="4E028E53">
          <wp:extent cx="678787" cy="296066"/>
          <wp:effectExtent l="0" t="0" r="7620" b="8890"/>
          <wp:docPr id="1" name="Picture 1" descr="ACCAN_logo_BLACK_viewing_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CAN_logo_BLACK_viewing_onl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7108" cy="295334"/>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D0DFFE" w14:textId="77777777" w:rsidR="00746125" w:rsidRDefault="00746125" w:rsidP="00B14DFB">
    <w:pPr>
      <w:pStyle w:val="Header"/>
      <w:jc w:val="center"/>
    </w:pPr>
    <w:r>
      <w:rPr>
        <w:noProof/>
        <w:lang w:val="en-IE" w:eastAsia="en-IE"/>
      </w:rPr>
      <w:drawing>
        <wp:inline distT="0" distB="0" distL="0" distR="0" wp14:anchorId="531AEAC8" wp14:editId="23BED143">
          <wp:extent cx="3057525" cy="1581150"/>
          <wp:effectExtent l="0" t="0" r="9525" b="0"/>
          <wp:docPr id="6" name="Picture 13" descr="ACCA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CAN_logo_BLUE_viewing_onl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57525" cy="15811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Recommendation %1:"/>
      <w:lvlJc w:val="left"/>
      <w:pPr>
        <w:tabs>
          <w:tab w:val="num" w:pos="0"/>
        </w:tabs>
        <w:ind w:left="1418" w:firstLine="0"/>
      </w:pPr>
    </w:lvl>
    <w:lvl w:ilvl="1">
      <w:start w:val="1"/>
      <w:numFmt w:val="lowerRoman"/>
      <w:lvlText w:val="%1.%2"/>
      <w:lvlJc w:val="left"/>
      <w:pPr>
        <w:tabs>
          <w:tab w:val="num" w:pos="0"/>
        </w:tabs>
        <w:ind w:left="0" w:firstLine="0"/>
      </w:pPr>
    </w:lvl>
    <w:lvl w:ilvl="2">
      <w:start w:val="1"/>
      <w:numFmt w:val="decimal"/>
      <w:lvlText w:val="%1.%2.%3."/>
      <w:lvlJc w:val="left"/>
      <w:pPr>
        <w:tabs>
          <w:tab w:val="num" w:pos="0"/>
        </w:tabs>
        <w:ind w:left="851" w:hanging="851"/>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Num2"/>
    <w:lvl w:ilvl="0">
      <w:start w:val="1"/>
      <w:numFmt w:val="decimal"/>
      <w:lvlText w:val="%1."/>
      <w:lvlJc w:val="left"/>
      <w:pPr>
        <w:tabs>
          <w:tab w:val="num" w:pos="0"/>
        </w:tabs>
        <w:ind w:left="851" w:hanging="851"/>
      </w:pPr>
    </w:lvl>
    <w:lvl w:ilvl="1">
      <w:start w:val="1"/>
      <w:numFmt w:val="decimal"/>
      <w:lvlText w:val="%1.%2."/>
      <w:lvlJc w:val="left"/>
      <w:pPr>
        <w:tabs>
          <w:tab w:val="num" w:pos="0"/>
        </w:tabs>
        <w:ind w:left="851" w:hanging="851"/>
      </w:pPr>
    </w:lvl>
    <w:lvl w:ilvl="2">
      <w:start w:val="1"/>
      <w:numFmt w:val="decimal"/>
      <w:lvlText w:val="%1.%2.%3."/>
      <w:lvlJc w:val="left"/>
      <w:pPr>
        <w:tabs>
          <w:tab w:val="num" w:pos="0"/>
        </w:tabs>
        <w:ind w:left="851" w:hanging="851"/>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851" w:hanging="851"/>
      </w:pPr>
    </w:lvl>
    <w:lvl w:ilvl="5">
      <w:start w:val="1"/>
      <w:numFmt w:val="none"/>
      <w:suff w:val="nothing"/>
      <w:lvlText w:val=""/>
      <w:lvlJc w:val="left"/>
      <w:pPr>
        <w:tabs>
          <w:tab w:val="num" w:pos="0"/>
        </w:tabs>
        <w:ind w:left="851" w:hanging="851"/>
      </w:pPr>
    </w:lvl>
    <w:lvl w:ilvl="6">
      <w:start w:val="1"/>
      <w:numFmt w:val="none"/>
      <w:suff w:val="nothing"/>
      <w:lvlText w:val=""/>
      <w:lvlJc w:val="left"/>
      <w:pPr>
        <w:tabs>
          <w:tab w:val="num" w:pos="0"/>
        </w:tabs>
        <w:ind w:left="851" w:hanging="851"/>
      </w:pPr>
    </w:lvl>
    <w:lvl w:ilvl="7">
      <w:start w:val="1"/>
      <w:numFmt w:val="none"/>
      <w:suff w:val="nothing"/>
      <w:lvlText w:val=""/>
      <w:lvlJc w:val="left"/>
      <w:pPr>
        <w:tabs>
          <w:tab w:val="num" w:pos="0"/>
        </w:tabs>
        <w:ind w:left="851" w:hanging="851"/>
      </w:pPr>
    </w:lvl>
    <w:lvl w:ilvl="8">
      <w:start w:val="1"/>
      <w:numFmt w:val="none"/>
      <w:suff w:val="nothing"/>
      <w:lvlText w:val=""/>
      <w:lvlJc w:val="left"/>
      <w:pPr>
        <w:tabs>
          <w:tab w:val="num" w:pos="0"/>
        </w:tabs>
        <w:ind w:left="851" w:hanging="851"/>
      </w:pPr>
    </w:lvl>
  </w:abstractNum>
  <w:abstractNum w:abstractNumId="2">
    <w:nsid w:val="00000003"/>
    <w:multiLevelType w:val="multilevel"/>
    <w:tmpl w:val="00000003"/>
    <w:name w:val="WWNum2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nsid w:val="00000004"/>
    <w:multiLevelType w:val="multilevel"/>
    <w:tmpl w:val="00000004"/>
    <w:name w:val="WWNum28"/>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nsid w:val="00000005"/>
    <w:multiLevelType w:val="multilevel"/>
    <w:tmpl w:val="00000005"/>
    <w:name w:val="WWNum29"/>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
    <w:nsid w:val="00000006"/>
    <w:multiLevelType w:val="multilevel"/>
    <w:tmpl w:val="00000006"/>
    <w:name w:val="WWNum30"/>
    <w:lvl w:ilvl="0">
      <w:start w:val="1"/>
      <w:numFmt w:val="bullet"/>
      <w:lvlText w:val=""/>
      <w:lvlJc w:val="left"/>
      <w:pPr>
        <w:tabs>
          <w:tab w:val="num" w:pos="0"/>
        </w:tabs>
        <w:ind w:left="765" w:hanging="360"/>
      </w:pPr>
      <w:rPr>
        <w:rFonts w:ascii="Symbol" w:hAnsi="Symbol"/>
      </w:rPr>
    </w:lvl>
    <w:lvl w:ilvl="1">
      <w:start w:val="1"/>
      <w:numFmt w:val="bullet"/>
      <w:lvlText w:val="o"/>
      <w:lvlJc w:val="left"/>
      <w:pPr>
        <w:tabs>
          <w:tab w:val="num" w:pos="0"/>
        </w:tabs>
        <w:ind w:left="1485" w:hanging="360"/>
      </w:pPr>
      <w:rPr>
        <w:rFonts w:ascii="Courier New" w:hAnsi="Courier New" w:cs="Courier New"/>
      </w:rPr>
    </w:lvl>
    <w:lvl w:ilvl="2">
      <w:start w:val="1"/>
      <w:numFmt w:val="bullet"/>
      <w:lvlText w:val=""/>
      <w:lvlJc w:val="left"/>
      <w:pPr>
        <w:tabs>
          <w:tab w:val="num" w:pos="0"/>
        </w:tabs>
        <w:ind w:left="2205" w:hanging="360"/>
      </w:pPr>
      <w:rPr>
        <w:rFonts w:ascii="Wingdings" w:hAnsi="Wingdings"/>
      </w:rPr>
    </w:lvl>
    <w:lvl w:ilvl="3">
      <w:start w:val="1"/>
      <w:numFmt w:val="bullet"/>
      <w:lvlText w:val=""/>
      <w:lvlJc w:val="left"/>
      <w:pPr>
        <w:tabs>
          <w:tab w:val="num" w:pos="0"/>
        </w:tabs>
        <w:ind w:left="2925" w:hanging="360"/>
      </w:pPr>
      <w:rPr>
        <w:rFonts w:ascii="Symbol" w:hAnsi="Symbol"/>
      </w:rPr>
    </w:lvl>
    <w:lvl w:ilvl="4">
      <w:start w:val="1"/>
      <w:numFmt w:val="bullet"/>
      <w:lvlText w:val="o"/>
      <w:lvlJc w:val="left"/>
      <w:pPr>
        <w:tabs>
          <w:tab w:val="num" w:pos="0"/>
        </w:tabs>
        <w:ind w:left="3645" w:hanging="360"/>
      </w:pPr>
      <w:rPr>
        <w:rFonts w:ascii="Courier New" w:hAnsi="Courier New" w:cs="Courier New"/>
      </w:rPr>
    </w:lvl>
    <w:lvl w:ilvl="5">
      <w:start w:val="1"/>
      <w:numFmt w:val="bullet"/>
      <w:lvlText w:val=""/>
      <w:lvlJc w:val="left"/>
      <w:pPr>
        <w:tabs>
          <w:tab w:val="num" w:pos="0"/>
        </w:tabs>
        <w:ind w:left="4365" w:hanging="360"/>
      </w:pPr>
      <w:rPr>
        <w:rFonts w:ascii="Wingdings" w:hAnsi="Wingdings"/>
      </w:rPr>
    </w:lvl>
    <w:lvl w:ilvl="6">
      <w:start w:val="1"/>
      <w:numFmt w:val="bullet"/>
      <w:lvlText w:val=""/>
      <w:lvlJc w:val="left"/>
      <w:pPr>
        <w:tabs>
          <w:tab w:val="num" w:pos="0"/>
        </w:tabs>
        <w:ind w:left="5085" w:hanging="360"/>
      </w:pPr>
      <w:rPr>
        <w:rFonts w:ascii="Symbol" w:hAnsi="Symbol"/>
      </w:rPr>
    </w:lvl>
    <w:lvl w:ilvl="7">
      <w:start w:val="1"/>
      <w:numFmt w:val="bullet"/>
      <w:lvlText w:val="o"/>
      <w:lvlJc w:val="left"/>
      <w:pPr>
        <w:tabs>
          <w:tab w:val="num" w:pos="0"/>
        </w:tabs>
        <w:ind w:left="5805" w:hanging="360"/>
      </w:pPr>
      <w:rPr>
        <w:rFonts w:ascii="Courier New" w:hAnsi="Courier New" w:cs="Courier New"/>
      </w:rPr>
    </w:lvl>
    <w:lvl w:ilvl="8">
      <w:start w:val="1"/>
      <w:numFmt w:val="bullet"/>
      <w:lvlText w:val=""/>
      <w:lvlJc w:val="left"/>
      <w:pPr>
        <w:tabs>
          <w:tab w:val="num" w:pos="0"/>
        </w:tabs>
        <w:ind w:left="6525" w:hanging="360"/>
      </w:pPr>
      <w:rPr>
        <w:rFonts w:ascii="Wingdings" w:hAnsi="Wingdings"/>
      </w:rPr>
    </w:lvl>
  </w:abstractNum>
  <w:abstractNum w:abstractNumId="6">
    <w:nsid w:val="00000007"/>
    <w:multiLevelType w:val="multilevel"/>
    <w:tmpl w:val="00000007"/>
    <w:name w:val="WWNum3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
    <w:nsid w:val="00000008"/>
    <w:multiLevelType w:val="multilevel"/>
    <w:tmpl w:val="00000008"/>
    <w:name w:val="WWNum3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
    <w:nsid w:val="0BF43342"/>
    <w:multiLevelType w:val="hybridMultilevel"/>
    <w:tmpl w:val="6FFC86B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nsid w:val="0F0F61B2"/>
    <w:multiLevelType w:val="hybridMultilevel"/>
    <w:tmpl w:val="4984A1C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18C567A2"/>
    <w:multiLevelType w:val="hybridMultilevel"/>
    <w:tmpl w:val="F59E5D0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nsid w:val="2C4F0862"/>
    <w:multiLevelType w:val="multilevel"/>
    <w:tmpl w:val="6AFEEB4C"/>
    <w:styleLink w:val="Bullets"/>
    <w:lvl w:ilvl="0">
      <w:start w:val="1"/>
      <w:numFmt w:val="bullet"/>
      <w:pStyle w:val="Bulletlist1"/>
      <w:lvlText w:val=""/>
      <w:lvlJc w:val="left"/>
      <w:pPr>
        <w:ind w:left="851" w:hanging="284"/>
      </w:pPr>
      <w:rPr>
        <w:rFonts w:ascii="Symbol" w:hAnsi="Symbol" w:hint="default"/>
      </w:rPr>
    </w:lvl>
    <w:lvl w:ilvl="1">
      <w:start w:val="1"/>
      <w:numFmt w:val="bullet"/>
      <w:pStyle w:val="Bulletlist2"/>
      <w:lvlText w:val=""/>
      <w:lvlJc w:val="left"/>
      <w:pPr>
        <w:ind w:left="1418" w:hanging="284"/>
      </w:pPr>
      <w:rPr>
        <w:rFonts w:ascii="Symbol" w:hAnsi="Symbol" w:hint="default"/>
      </w:rPr>
    </w:lvl>
    <w:lvl w:ilvl="2">
      <w:start w:val="1"/>
      <w:numFmt w:val="bullet"/>
      <w:pStyle w:val="Bulletlist3"/>
      <w:lvlText w:val=""/>
      <w:lvlJc w:val="left"/>
      <w:pPr>
        <w:ind w:left="1985" w:hanging="284"/>
      </w:pPr>
      <w:rPr>
        <w:rFonts w:ascii="Symbol" w:hAnsi="Symbol" w:hint="default"/>
        <w:color w:val="auto"/>
      </w:rPr>
    </w:lvl>
    <w:lvl w:ilvl="3">
      <w:start w:val="1"/>
      <w:numFmt w:val="bullet"/>
      <w:lvlText w:val=""/>
      <w:lvlJc w:val="left"/>
      <w:pPr>
        <w:ind w:left="2552" w:hanging="284"/>
      </w:pPr>
      <w:rPr>
        <w:rFonts w:ascii="Symbol" w:hAnsi="Symbol" w:hint="default"/>
      </w:rPr>
    </w:lvl>
    <w:lvl w:ilvl="4">
      <w:start w:val="1"/>
      <w:numFmt w:val="bullet"/>
      <w:lvlText w:val=""/>
      <w:lvlJc w:val="left"/>
      <w:pPr>
        <w:ind w:left="3119" w:hanging="284"/>
      </w:pPr>
      <w:rPr>
        <w:rFonts w:ascii="Symbol" w:hAnsi="Symbol" w:hint="default"/>
      </w:rPr>
    </w:lvl>
    <w:lvl w:ilvl="5">
      <w:start w:val="1"/>
      <w:numFmt w:val="bullet"/>
      <w:lvlText w:val=""/>
      <w:lvlJc w:val="left"/>
      <w:pPr>
        <w:ind w:left="3686" w:hanging="284"/>
      </w:pPr>
      <w:rPr>
        <w:rFonts w:ascii="Symbol" w:hAnsi="Symbol" w:hint="default"/>
      </w:rPr>
    </w:lvl>
    <w:lvl w:ilvl="6">
      <w:start w:val="1"/>
      <w:numFmt w:val="bullet"/>
      <w:lvlText w:val=""/>
      <w:lvlJc w:val="left"/>
      <w:pPr>
        <w:ind w:left="4253" w:hanging="284"/>
      </w:pPr>
      <w:rPr>
        <w:rFonts w:ascii="Symbol" w:hAnsi="Symbol" w:hint="default"/>
      </w:rPr>
    </w:lvl>
    <w:lvl w:ilvl="7">
      <w:start w:val="1"/>
      <w:numFmt w:val="bullet"/>
      <w:lvlText w:val=""/>
      <w:lvlJc w:val="left"/>
      <w:pPr>
        <w:ind w:left="4820" w:hanging="284"/>
      </w:pPr>
      <w:rPr>
        <w:rFonts w:ascii="Symbol" w:hAnsi="Symbol" w:hint="default"/>
      </w:rPr>
    </w:lvl>
    <w:lvl w:ilvl="8">
      <w:start w:val="1"/>
      <w:numFmt w:val="bullet"/>
      <w:lvlText w:val=""/>
      <w:lvlJc w:val="left"/>
      <w:pPr>
        <w:ind w:left="5387" w:hanging="284"/>
      </w:pPr>
      <w:rPr>
        <w:rFonts w:ascii="Symbol" w:hAnsi="Symbol" w:hint="default"/>
      </w:rPr>
    </w:lvl>
  </w:abstractNum>
  <w:abstractNum w:abstractNumId="12">
    <w:nsid w:val="345F69C4"/>
    <w:multiLevelType w:val="hybridMultilevel"/>
    <w:tmpl w:val="98F438B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35F41370"/>
    <w:multiLevelType w:val="multilevel"/>
    <w:tmpl w:val="F2FC669E"/>
    <w:styleLink w:val="Recommendations"/>
    <w:lvl w:ilvl="0">
      <w:start w:val="1"/>
      <w:numFmt w:val="decimal"/>
      <w:pStyle w:val="Recommendation"/>
      <w:lvlText w:val="Recommendation %1:"/>
      <w:lvlJc w:val="left"/>
      <w:pPr>
        <w:ind w:left="1418" w:firstLine="0"/>
      </w:pPr>
      <w:rPr>
        <w:rFonts w:hint="default"/>
      </w:rPr>
    </w:lvl>
    <w:lvl w:ilvl="1">
      <w:start w:val="1"/>
      <w:numFmt w:val="none"/>
      <w:lvlText w:val=""/>
      <w:lvlJc w:val="left"/>
      <w:pPr>
        <w:ind w:left="1418" w:hanging="851"/>
      </w:pPr>
      <w:rPr>
        <w:rFonts w:hint="default"/>
      </w:rPr>
    </w:lvl>
    <w:lvl w:ilvl="2">
      <w:start w:val="1"/>
      <w:numFmt w:val="none"/>
      <w:lvlText w:val=""/>
      <w:lvlJc w:val="left"/>
      <w:pPr>
        <w:ind w:left="1418" w:hanging="851"/>
      </w:pPr>
      <w:rPr>
        <w:rFonts w:hint="default"/>
      </w:rPr>
    </w:lvl>
    <w:lvl w:ilvl="3">
      <w:start w:val="1"/>
      <w:numFmt w:val="none"/>
      <w:lvlText w:val=""/>
      <w:lvlJc w:val="left"/>
      <w:pPr>
        <w:ind w:left="1418" w:hanging="851"/>
      </w:pPr>
      <w:rPr>
        <w:rFonts w:hint="default"/>
      </w:rPr>
    </w:lvl>
    <w:lvl w:ilvl="4">
      <w:start w:val="1"/>
      <w:numFmt w:val="none"/>
      <w:lvlText w:val=""/>
      <w:lvlJc w:val="left"/>
      <w:pPr>
        <w:ind w:left="1418" w:hanging="851"/>
      </w:pPr>
      <w:rPr>
        <w:rFonts w:hint="default"/>
      </w:rPr>
    </w:lvl>
    <w:lvl w:ilvl="5">
      <w:start w:val="1"/>
      <w:numFmt w:val="none"/>
      <w:lvlText w:val=""/>
      <w:lvlJc w:val="left"/>
      <w:pPr>
        <w:ind w:left="1418" w:hanging="851"/>
      </w:pPr>
      <w:rPr>
        <w:rFonts w:hint="default"/>
      </w:rPr>
    </w:lvl>
    <w:lvl w:ilvl="6">
      <w:start w:val="1"/>
      <w:numFmt w:val="none"/>
      <w:lvlText w:val=""/>
      <w:lvlJc w:val="left"/>
      <w:pPr>
        <w:ind w:left="1418" w:hanging="851"/>
      </w:pPr>
      <w:rPr>
        <w:rFonts w:hint="default"/>
      </w:rPr>
    </w:lvl>
    <w:lvl w:ilvl="7">
      <w:start w:val="1"/>
      <w:numFmt w:val="none"/>
      <w:lvlText w:val=""/>
      <w:lvlJc w:val="left"/>
      <w:pPr>
        <w:ind w:left="1418" w:hanging="851"/>
      </w:pPr>
      <w:rPr>
        <w:rFonts w:hint="default"/>
      </w:rPr>
    </w:lvl>
    <w:lvl w:ilvl="8">
      <w:start w:val="1"/>
      <w:numFmt w:val="none"/>
      <w:lvlText w:val=""/>
      <w:lvlJc w:val="left"/>
      <w:pPr>
        <w:ind w:left="1418" w:hanging="851"/>
      </w:pPr>
      <w:rPr>
        <w:rFonts w:hint="default"/>
      </w:rPr>
    </w:lvl>
  </w:abstractNum>
  <w:abstractNum w:abstractNumId="14">
    <w:nsid w:val="37CA0B10"/>
    <w:multiLevelType w:val="hybridMultilevel"/>
    <w:tmpl w:val="1DFCBBE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4E857923"/>
    <w:multiLevelType w:val="multilevel"/>
    <w:tmpl w:val="989E8E90"/>
    <w:styleLink w:val="Appendices"/>
    <w:lvl w:ilvl="0">
      <w:start w:val="1"/>
      <w:numFmt w:val="upperLetter"/>
      <w:pStyle w:val="Appendixheading1"/>
      <w:lvlText w:val="Appendix %1."/>
      <w:lvlJc w:val="left"/>
      <w:pPr>
        <w:ind w:left="0" w:firstLine="0"/>
      </w:pPr>
      <w:rPr>
        <w:rFonts w:hint="default"/>
      </w:rPr>
    </w:lvl>
    <w:lvl w:ilvl="1">
      <w:start w:val="1"/>
      <w:numFmt w:val="lowerRoman"/>
      <w:pStyle w:val="Appendixheading2"/>
      <w:lvlText w:val="%1.%2"/>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6">
    <w:nsid w:val="5A467144"/>
    <w:multiLevelType w:val="multilevel"/>
    <w:tmpl w:val="989E8E90"/>
    <w:numStyleLink w:val="Appendices"/>
  </w:abstractNum>
  <w:abstractNum w:abstractNumId="17">
    <w:nsid w:val="5F267817"/>
    <w:multiLevelType w:val="hybridMultilevel"/>
    <w:tmpl w:val="99EC7BC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nsid w:val="629B1DC3"/>
    <w:multiLevelType w:val="hybridMultilevel"/>
    <w:tmpl w:val="FACA9E3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nsid w:val="67CD6231"/>
    <w:multiLevelType w:val="multilevel"/>
    <w:tmpl w:val="F2FC669E"/>
    <w:lvl w:ilvl="0">
      <w:start w:val="1"/>
      <w:numFmt w:val="decimal"/>
      <w:lvlText w:val="Recommendation %1:"/>
      <w:lvlJc w:val="left"/>
      <w:pPr>
        <w:ind w:left="851" w:firstLine="0"/>
      </w:pPr>
      <w:rPr>
        <w:rFonts w:hint="default"/>
      </w:rPr>
    </w:lvl>
    <w:lvl w:ilvl="1">
      <w:start w:val="1"/>
      <w:numFmt w:val="none"/>
      <w:lvlText w:val=""/>
      <w:lvlJc w:val="left"/>
      <w:pPr>
        <w:ind w:left="851" w:hanging="851"/>
      </w:pPr>
      <w:rPr>
        <w:rFonts w:hint="default"/>
      </w:rPr>
    </w:lvl>
    <w:lvl w:ilvl="2">
      <w:start w:val="1"/>
      <w:numFmt w:val="none"/>
      <w:lvlText w:val=""/>
      <w:lvlJc w:val="left"/>
      <w:pPr>
        <w:ind w:left="851" w:hanging="851"/>
      </w:pPr>
      <w:rPr>
        <w:rFonts w:hint="default"/>
      </w:rPr>
    </w:lvl>
    <w:lvl w:ilvl="3">
      <w:start w:val="1"/>
      <w:numFmt w:val="none"/>
      <w:lvlText w:val=""/>
      <w:lvlJc w:val="left"/>
      <w:pPr>
        <w:ind w:left="851" w:hanging="851"/>
      </w:pPr>
      <w:rPr>
        <w:rFonts w:hint="default"/>
      </w:rPr>
    </w:lvl>
    <w:lvl w:ilvl="4">
      <w:start w:val="1"/>
      <w:numFmt w:val="none"/>
      <w:lvlText w:val=""/>
      <w:lvlJc w:val="left"/>
      <w:pPr>
        <w:ind w:left="851" w:hanging="851"/>
      </w:pPr>
      <w:rPr>
        <w:rFonts w:hint="default"/>
      </w:rPr>
    </w:lvl>
    <w:lvl w:ilvl="5">
      <w:start w:val="1"/>
      <w:numFmt w:val="none"/>
      <w:lvlText w:val=""/>
      <w:lvlJc w:val="left"/>
      <w:pPr>
        <w:ind w:left="851" w:hanging="851"/>
      </w:pPr>
      <w:rPr>
        <w:rFonts w:hint="default"/>
      </w:rPr>
    </w:lvl>
    <w:lvl w:ilvl="6">
      <w:start w:val="1"/>
      <w:numFmt w:val="none"/>
      <w:lvlText w:val=""/>
      <w:lvlJc w:val="left"/>
      <w:pPr>
        <w:ind w:left="851" w:hanging="851"/>
      </w:pPr>
      <w:rPr>
        <w:rFonts w:hint="default"/>
      </w:rPr>
    </w:lvl>
    <w:lvl w:ilvl="7">
      <w:start w:val="1"/>
      <w:numFmt w:val="none"/>
      <w:lvlText w:val=""/>
      <w:lvlJc w:val="left"/>
      <w:pPr>
        <w:ind w:left="851" w:hanging="851"/>
      </w:pPr>
      <w:rPr>
        <w:rFonts w:hint="default"/>
      </w:rPr>
    </w:lvl>
    <w:lvl w:ilvl="8">
      <w:start w:val="1"/>
      <w:numFmt w:val="none"/>
      <w:lvlText w:val=""/>
      <w:lvlJc w:val="left"/>
      <w:pPr>
        <w:ind w:left="851" w:hanging="851"/>
      </w:pPr>
      <w:rPr>
        <w:rFonts w:hint="default"/>
      </w:rPr>
    </w:lvl>
  </w:abstractNum>
  <w:abstractNum w:abstractNumId="20">
    <w:nsid w:val="6CAA0FE4"/>
    <w:multiLevelType w:val="multilevel"/>
    <w:tmpl w:val="E2F45A98"/>
    <w:styleLink w:val="Blockquotebullets"/>
    <w:lvl w:ilvl="0">
      <w:start w:val="1"/>
      <w:numFmt w:val="bullet"/>
      <w:pStyle w:val="Blockquotebulletlist1"/>
      <w:lvlText w:val=""/>
      <w:lvlJc w:val="left"/>
      <w:pPr>
        <w:ind w:left="1701" w:hanging="283"/>
      </w:pPr>
      <w:rPr>
        <w:rFonts w:ascii="Symbol" w:hAnsi="Symbol" w:hint="default"/>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1">
    <w:nsid w:val="6EC13AAE"/>
    <w:multiLevelType w:val="hybridMultilevel"/>
    <w:tmpl w:val="CF1A9AF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nsid w:val="73915538"/>
    <w:multiLevelType w:val="hybridMultilevel"/>
    <w:tmpl w:val="273805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nsid w:val="77FF45ED"/>
    <w:multiLevelType w:val="multilevel"/>
    <w:tmpl w:val="A7920A6E"/>
    <w:styleLink w:val="Headings"/>
    <w:lvl w:ilvl="0">
      <w:start w:val="1"/>
      <w:numFmt w:val="decimal"/>
      <w:pStyle w:val="Heading1"/>
      <w:lvlText w:val="%1."/>
      <w:lvlJc w:val="left"/>
      <w:pPr>
        <w:ind w:left="851" w:hanging="851"/>
      </w:pPr>
      <w:rPr>
        <w:rFonts w:hint="default"/>
      </w:rPr>
    </w:lvl>
    <w:lvl w:ilvl="1">
      <w:start w:val="1"/>
      <w:numFmt w:val="decimal"/>
      <w:pStyle w:val="Heading2"/>
      <w:lvlText w:val="%1.%2."/>
      <w:lvlJc w:val="left"/>
      <w:pPr>
        <w:ind w:left="851" w:hanging="851"/>
      </w:pPr>
      <w:rPr>
        <w:rFonts w:hint="default"/>
      </w:rPr>
    </w:lvl>
    <w:lvl w:ilvl="2">
      <w:start w:val="1"/>
      <w:numFmt w:val="decimal"/>
      <w:pStyle w:val="Heading3"/>
      <w:lvlText w:val="%1.%2.%3."/>
      <w:lvlJc w:val="left"/>
      <w:pPr>
        <w:ind w:left="851" w:hanging="851"/>
      </w:pPr>
      <w:rPr>
        <w:rFonts w:hint="default"/>
      </w:rPr>
    </w:lvl>
    <w:lvl w:ilvl="3">
      <w:start w:val="1"/>
      <w:numFmt w:val="none"/>
      <w:suff w:val="nothing"/>
      <w:lvlText w:val=""/>
      <w:lvlJc w:val="left"/>
      <w:pPr>
        <w:ind w:left="0" w:firstLine="0"/>
      </w:pPr>
      <w:rPr>
        <w:rFonts w:hint="default"/>
      </w:rPr>
    </w:lvl>
    <w:lvl w:ilvl="4">
      <w:start w:val="1"/>
      <w:numFmt w:val="none"/>
      <w:lvlText w:val=""/>
      <w:lvlJc w:val="left"/>
      <w:pPr>
        <w:ind w:left="851" w:hanging="851"/>
      </w:pPr>
      <w:rPr>
        <w:rFonts w:hint="default"/>
      </w:rPr>
    </w:lvl>
    <w:lvl w:ilvl="5">
      <w:start w:val="1"/>
      <w:numFmt w:val="none"/>
      <w:lvlText w:val=""/>
      <w:lvlJc w:val="left"/>
      <w:pPr>
        <w:ind w:left="851" w:hanging="851"/>
      </w:pPr>
      <w:rPr>
        <w:rFonts w:hint="default"/>
      </w:rPr>
    </w:lvl>
    <w:lvl w:ilvl="6">
      <w:start w:val="1"/>
      <w:numFmt w:val="none"/>
      <w:lvlText w:val=""/>
      <w:lvlJc w:val="left"/>
      <w:pPr>
        <w:ind w:left="851" w:hanging="851"/>
      </w:pPr>
      <w:rPr>
        <w:rFonts w:hint="default"/>
      </w:rPr>
    </w:lvl>
    <w:lvl w:ilvl="7">
      <w:start w:val="1"/>
      <w:numFmt w:val="none"/>
      <w:lvlText w:val=""/>
      <w:lvlJc w:val="left"/>
      <w:pPr>
        <w:ind w:left="851" w:hanging="851"/>
      </w:pPr>
      <w:rPr>
        <w:rFonts w:hint="default"/>
      </w:rPr>
    </w:lvl>
    <w:lvl w:ilvl="8">
      <w:start w:val="1"/>
      <w:numFmt w:val="none"/>
      <w:lvlText w:val=""/>
      <w:lvlJc w:val="left"/>
      <w:pPr>
        <w:ind w:left="851" w:hanging="851"/>
      </w:pPr>
      <w:rPr>
        <w:rFonts w:hint="default"/>
      </w:rPr>
    </w:lvl>
  </w:abstractNum>
  <w:abstractNum w:abstractNumId="24">
    <w:nsid w:val="7B1233C8"/>
    <w:multiLevelType w:val="hybridMultilevel"/>
    <w:tmpl w:val="5BE2729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3"/>
  </w:num>
  <w:num w:numId="2">
    <w:abstractNumId w:val="11"/>
  </w:num>
  <w:num w:numId="3">
    <w:abstractNumId w:val="11"/>
  </w:num>
  <w:num w:numId="4">
    <w:abstractNumId w:val="23"/>
  </w:num>
  <w:num w:numId="5">
    <w:abstractNumId w:val="15"/>
  </w:num>
  <w:num w:numId="6">
    <w:abstractNumId w:val="16"/>
  </w:num>
  <w:num w:numId="7">
    <w:abstractNumId w:val="20"/>
  </w:num>
  <w:num w:numId="8">
    <w:abstractNumId w:val="20"/>
  </w:num>
  <w:num w:numId="9">
    <w:abstractNumId w:val="13"/>
  </w:num>
  <w:num w:numId="10">
    <w:abstractNumId w:val="0"/>
  </w:num>
  <w:num w:numId="11">
    <w:abstractNumId w:val="1"/>
  </w:num>
  <w:num w:numId="12">
    <w:abstractNumId w:val="7"/>
  </w:num>
  <w:num w:numId="13">
    <w:abstractNumId w:val="24"/>
  </w:num>
  <w:num w:numId="14">
    <w:abstractNumId w:val="14"/>
  </w:num>
  <w:num w:numId="15">
    <w:abstractNumId w:val="9"/>
  </w:num>
  <w:num w:numId="16">
    <w:abstractNumId w:val="12"/>
  </w:num>
  <w:num w:numId="17">
    <w:abstractNumId w:val="18"/>
  </w:num>
  <w:num w:numId="18">
    <w:abstractNumId w:val="22"/>
  </w:num>
  <w:num w:numId="19">
    <w:abstractNumId w:val="10"/>
  </w:num>
  <w:num w:numId="20">
    <w:abstractNumId w:val="17"/>
  </w:num>
  <w:num w:numId="21">
    <w:abstractNumId w:val="8"/>
  </w:num>
  <w:num w:numId="22">
    <w:abstractNumId w:val="21"/>
  </w:num>
  <w:num w:numId="23">
    <w:abstractNumId w:val="1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3A1"/>
    <w:rsid w:val="00007521"/>
    <w:rsid w:val="00022F89"/>
    <w:rsid w:val="00027253"/>
    <w:rsid w:val="00034D3B"/>
    <w:rsid w:val="0004264A"/>
    <w:rsid w:val="00047257"/>
    <w:rsid w:val="000721FB"/>
    <w:rsid w:val="000A6CCA"/>
    <w:rsid w:val="000D51F4"/>
    <w:rsid w:val="000D5C05"/>
    <w:rsid w:val="000D6D17"/>
    <w:rsid w:val="000F207C"/>
    <w:rsid w:val="000F245D"/>
    <w:rsid w:val="000F344F"/>
    <w:rsid w:val="000F58CC"/>
    <w:rsid w:val="00147A7F"/>
    <w:rsid w:val="00153626"/>
    <w:rsid w:val="00156A83"/>
    <w:rsid w:val="0016373E"/>
    <w:rsid w:val="001C28E7"/>
    <w:rsid w:val="001C6657"/>
    <w:rsid w:val="002127F0"/>
    <w:rsid w:val="002151B6"/>
    <w:rsid w:val="00217E01"/>
    <w:rsid w:val="00222095"/>
    <w:rsid w:val="00226F21"/>
    <w:rsid w:val="00234042"/>
    <w:rsid w:val="00255FE2"/>
    <w:rsid w:val="002636EE"/>
    <w:rsid w:val="00274BCA"/>
    <w:rsid w:val="00283065"/>
    <w:rsid w:val="002831A2"/>
    <w:rsid w:val="002902BA"/>
    <w:rsid w:val="0029346A"/>
    <w:rsid w:val="002A0230"/>
    <w:rsid w:val="002A3F14"/>
    <w:rsid w:val="002A629E"/>
    <w:rsid w:val="002C1763"/>
    <w:rsid w:val="002C3A23"/>
    <w:rsid w:val="002C4AE8"/>
    <w:rsid w:val="002E4872"/>
    <w:rsid w:val="002F0853"/>
    <w:rsid w:val="002F652F"/>
    <w:rsid w:val="003336FC"/>
    <w:rsid w:val="003441E5"/>
    <w:rsid w:val="003538B5"/>
    <w:rsid w:val="00356C2F"/>
    <w:rsid w:val="0036351B"/>
    <w:rsid w:val="00386127"/>
    <w:rsid w:val="003B1499"/>
    <w:rsid w:val="003C7586"/>
    <w:rsid w:val="003D5EB3"/>
    <w:rsid w:val="003E2468"/>
    <w:rsid w:val="003E3F19"/>
    <w:rsid w:val="003E6503"/>
    <w:rsid w:val="003E76C5"/>
    <w:rsid w:val="003F23DB"/>
    <w:rsid w:val="003F3B84"/>
    <w:rsid w:val="003F6199"/>
    <w:rsid w:val="00401429"/>
    <w:rsid w:val="00417F62"/>
    <w:rsid w:val="00422946"/>
    <w:rsid w:val="004254A8"/>
    <w:rsid w:val="00426728"/>
    <w:rsid w:val="00433F49"/>
    <w:rsid w:val="00444A07"/>
    <w:rsid w:val="00447E1F"/>
    <w:rsid w:val="004552EA"/>
    <w:rsid w:val="00472C7E"/>
    <w:rsid w:val="00472CA7"/>
    <w:rsid w:val="0047584C"/>
    <w:rsid w:val="00477BDB"/>
    <w:rsid w:val="00497276"/>
    <w:rsid w:val="004A01EB"/>
    <w:rsid w:val="004A55CC"/>
    <w:rsid w:val="004A791B"/>
    <w:rsid w:val="004B7462"/>
    <w:rsid w:val="004C055B"/>
    <w:rsid w:val="004C0AE3"/>
    <w:rsid w:val="004C3886"/>
    <w:rsid w:val="004C65AA"/>
    <w:rsid w:val="004E709A"/>
    <w:rsid w:val="004F2201"/>
    <w:rsid w:val="00511400"/>
    <w:rsid w:val="005152A9"/>
    <w:rsid w:val="00525DC9"/>
    <w:rsid w:val="00527660"/>
    <w:rsid w:val="00542267"/>
    <w:rsid w:val="00551DB0"/>
    <w:rsid w:val="00553427"/>
    <w:rsid w:val="00570E31"/>
    <w:rsid w:val="005820C9"/>
    <w:rsid w:val="00586188"/>
    <w:rsid w:val="00592615"/>
    <w:rsid w:val="00593975"/>
    <w:rsid w:val="005A63A1"/>
    <w:rsid w:val="005A673E"/>
    <w:rsid w:val="005A74F6"/>
    <w:rsid w:val="005C2EBF"/>
    <w:rsid w:val="005D32A9"/>
    <w:rsid w:val="005E401E"/>
    <w:rsid w:val="005F2C1B"/>
    <w:rsid w:val="006075BC"/>
    <w:rsid w:val="00613698"/>
    <w:rsid w:val="006145B6"/>
    <w:rsid w:val="006167E5"/>
    <w:rsid w:val="00617692"/>
    <w:rsid w:val="00627E6F"/>
    <w:rsid w:val="006310EF"/>
    <w:rsid w:val="0064121A"/>
    <w:rsid w:val="00642CC2"/>
    <w:rsid w:val="00654E49"/>
    <w:rsid w:val="006578D7"/>
    <w:rsid w:val="00661166"/>
    <w:rsid w:val="006A1BEC"/>
    <w:rsid w:val="006A304F"/>
    <w:rsid w:val="006A3147"/>
    <w:rsid w:val="006B1BA3"/>
    <w:rsid w:val="006B4859"/>
    <w:rsid w:val="006C116C"/>
    <w:rsid w:val="006C38C0"/>
    <w:rsid w:val="006C4536"/>
    <w:rsid w:val="006C7C58"/>
    <w:rsid w:val="006D153D"/>
    <w:rsid w:val="006D4B09"/>
    <w:rsid w:val="006D50CA"/>
    <w:rsid w:val="006D614F"/>
    <w:rsid w:val="006E00C2"/>
    <w:rsid w:val="006E1C20"/>
    <w:rsid w:val="00730DAD"/>
    <w:rsid w:val="00736217"/>
    <w:rsid w:val="00745E40"/>
    <w:rsid w:val="00746125"/>
    <w:rsid w:val="007506AE"/>
    <w:rsid w:val="00751BA2"/>
    <w:rsid w:val="007571FD"/>
    <w:rsid w:val="0076013E"/>
    <w:rsid w:val="00770786"/>
    <w:rsid w:val="0078655A"/>
    <w:rsid w:val="007A0C03"/>
    <w:rsid w:val="007A3E1A"/>
    <w:rsid w:val="007B22ED"/>
    <w:rsid w:val="007B68D8"/>
    <w:rsid w:val="007C5CE6"/>
    <w:rsid w:val="007D3F16"/>
    <w:rsid w:val="007E1FF4"/>
    <w:rsid w:val="007F0737"/>
    <w:rsid w:val="00810BCF"/>
    <w:rsid w:val="00817F23"/>
    <w:rsid w:val="00820717"/>
    <w:rsid w:val="0082774A"/>
    <w:rsid w:val="00831052"/>
    <w:rsid w:val="00833558"/>
    <w:rsid w:val="008338A0"/>
    <w:rsid w:val="008509FB"/>
    <w:rsid w:val="0085295C"/>
    <w:rsid w:val="00856AEA"/>
    <w:rsid w:val="00867233"/>
    <w:rsid w:val="00874386"/>
    <w:rsid w:val="0088571C"/>
    <w:rsid w:val="00886444"/>
    <w:rsid w:val="008864B4"/>
    <w:rsid w:val="008A19E7"/>
    <w:rsid w:val="008A3108"/>
    <w:rsid w:val="008A561F"/>
    <w:rsid w:val="008C2A5D"/>
    <w:rsid w:val="008C46D8"/>
    <w:rsid w:val="008D0356"/>
    <w:rsid w:val="008D7013"/>
    <w:rsid w:val="008E1CC4"/>
    <w:rsid w:val="008E6808"/>
    <w:rsid w:val="008E6F84"/>
    <w:rsid w:val="008F7E90"/>
    <w:rsid w:val="0090514C"/>
    <w:rsid w:val="00906A09"/>
    <w:rsid w:val="00927102"/>
    <w:rsid w:val="00955045"/>
    <w:rsid w:val="009610B9"/>
    <w:rsid w:val="009679DD"/>
    <w:rsid w:val="009943A3"/>
    <w:rsid w:val="009A227B"/>
    <w:rsid w:val="009B5A92"/>
    <w:rsid w:val="009C4272"/>
    <w:rsid w:val="009C61C5"/>
    <w:rsid w:val="009D07DB"/>
    <w:rsid w:val="009E0AE1"/>
    <w:rsid w:val="009F4B9D"/>
    <w:rsid w:val="00A022BC"/>
    <w:rsid w:val="00A03E74"/>
    <w:rsid w:val="00A04206"/>
    <w:rsid w:val="00A05757"/>
    <w:rsid w:val="00A13B92"/>
    <w:rsid w:val="00A15D60"/>
    <w:rsid w:val="00A24F89"/>
    <w:rsid w:val="00A4447D"/>
    <w:rsid w:val="00A44E78"/>
    <w:rsid w:val="00A4666D"/>
    <w:rsid w:val="00A46F6E"/>
    <w:rsid w:val="00A615CC"/>
    <w:rsid w:val="00A63345"/>
    <w:rsid w:val="00A63BCF"/>
    <w:rsid w:val="00A7572F"/>
    <w:rsid w:val="00A839C2"/>
    <w:rsid w:val="00A94C18"/>
    <w:rsid w:val="00A96349"/>
    <w:rsid w:val="00A9730F"/>
    <w:rsid w:val="00AA686C"/>
    <w:rsid w:val="00AB2331"/>
    <w:rsid w:val="00AC5E48"/>
    <w:rsid w:val="00AD032B"/>
    <w:rsid w:val="00AD3A73"/>
    <w:rsid w:val="00AE0FDC"/>
    <w:rsid w:val="00AE2840"/>
    <w:rsid w:val="00AF24FC"/>
    <w:rsid w:val="00AF6270"/>
    <w:rsid w:val="00B001A0"/>
    <w:rsid w:val="00B02AEB"/>
    <w:rsid w:val="00B06235"/>
    <w:rsid w:val="00B14DFB"/>
    <w:rsid w:val="00B267A4"/>
    <w:rsid w:val="00B4140A"/>
    <w:rsid w:val="00B418A0"/>
    <w:rsid w:val="00B5303D"/>
    <w:rsid w:val="00B533C5"/>
    <w:rsid w:val="00B84FFF"/>
    <w:rsid w:val="00B87233"/>
    <w:rsid w:val="00BA0253"/>
    <w:rsid w:val="00BA5C36"/>
    <w:rsid w:val="00BB151A"/>
    <w:rsid w:val="00BB496C"/>
    <w:rsid w:val="00BC3D7E"/>
    <w:rsid w:val="00BD6026"/>
    <w:rsid w:val="00BF1A75"/>
    <w:rsid w:val="00BF4CB5"/>
    <w:rsid w:val="00BF754D"/>
    <w:rsid w:val="00C02722"/>
    <w:rsid w:val="00C056B1"/>
    <w:rsid w:val="00C06226"/>
    <w:rsid w:val="00C12182"/>
    <w:rsid w:val="00C3425C"/>
    <w:rsid w:val="00C54484"/>
    <w:rsid w:val="00C57CCB"/>
    <w:rsid w:val="00C613FC"/>
    <w:rsid w:val="00C860BB"/>
    <w:rsid w:val="00C87B1F"/>
    <w:rsid w:val="00C90C42"/>
    <w:rsid w:val="00C94B39"/>
    <w:rsid w:val="00CA4AC3"/>
    <w:rsid w:val="00CB109A"/>
    <w:rsid w:val="00CB446B"/>
    <w:rsid w:val="00CB6619"/>
    <w:rsid w:val="00CE089B"/>
    <w:rsid w:val="00CE7D92"/>
    <w:rsid w:val="00CF5B31"/>
    <w:rsid w:val="00D0486E"/>
    <w:rsid w:val="00D17C22"/>
    <w:rsid w:val="00D22A9D"/>
    <w:rsid w:val="00D34878"/>
    <w:rsid w:val="00D3636E"/>
    <w:rsid w:val="00D5240F"/>
    <w:rsid w:val="00D62BCE"/>
    <w:rsid w:val="00D62ECE"/>
    <w:rsid w:val="00D656FF"/>
    <w:rsid w:val="00D73EA9"/>
    <w:rsid w:val="00D75FEE"/>
    <w:rsid w:val="00D76C0E"/>
    <w:rsid w:val="00D8017C"/>
    <w:rsid w:val="00D81451"/>
    <w:rsid w:val="00D81D88"/>
    <w:rsid w:val="00DA3440"/>
    <w:rsid w:val="00DA6650"/>
    <w:rsid w:val="00DC02A2"/>
    <w:rsid w:val="00DC1223"/>
    <w:rsid w:val="00DD7C1C"/>
    <w:rsid w:val="00DF2349"/>
    <w:rsid w:val="00DF287A"/>
    <w:rsid w:val="00E05115"/>
    <w:rsid w:val="00E2274A"/>
    <w:rsid w:val="00E303C6"/>
    <w:rsid w:val="00E30643"/>
    <w:rsid w:val="00E33881"/>
    <w:rsid w:val="00E45E4C"/>
    <w:rsid w:val="00E54047"/>
    <w:rsid w:val="00E61E82"/>
    <w:rsid w:val="00E663E8"/>
    <w:rsid w:val="00E66612"/>
    <w:rsid w:val="00E735FE"/>
    <w:rsid w:val="00E81ECD"/>
    <w:rsid w:val="00E8505A"/>
    <w:rsid w:val="00E879CE"/>
    <w:rsid w:val="00EB3C67"/>
    <w:rsid w:val="00EC1696"/>
    <w:rsid w:val="00EC45CE"/>
    <w:rsid w:val="00EC7AB8"/>
    <w:rsid w:val="00ED3D6A"/>
    <w:rsid w:val="00ED63CB"/>
    <w:rsid w:val="00EE1CFF"/>
    <w:rsid w:val="00EF16AB"/>
    <w:rsid w:val="00EF2A3D"/>
    <w:rsid w:val="00EF4492"/>
    <w:rsid w:val="00EF50C4"/>
    <w:rsid w:val="00F12A72"/>
    <w:rsid w:val="00F23845"/>
    <w:rsid w:val="00F43B24"/>
    <w:rsid w:val="00F51C37"/>
    <w:rsid w:val="00F61950"/>
    <w:rsid w:val="00F627A6"/>
    <w:rsid w:val="00F70A3E"/>
    <w:rsid w:val="00F70AAE"/>
    <w:rsid w:val="00F77AEE"/>
    <w:rsid w:val="00F860D4"/>
    <w:rsid w:val="00F91DBB"/>
    <w:rsid w:val="00FA2618"/>
    <w:rsid w:val="00FC008F"/>
    <w:rsid w:val="00FD05F6"/>
    <w:rsid w:val="00FD534F"/>
    <w:rsid w:val="00FD7845"/>
    <w:rsid w:val="00FE0B29"/>
    <w:rsid w:val="00FF39C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998E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0" w:unhideWhenUsed="0" w:qFormat="1"/>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Body text"/>
    <w:qFormat/>
    <w:rsid w:val="00C3425C"/>
    <w:pPr>
      <w:spacing w:before="100" w:beforeAutospacing="1" w:after="100" w:afterAutospacing="1"/>
      <w:jc w:val="both"/>
    </w:pPr>
    <w:rPr>
      <w:rFonts w:ascii="Calibri" w:eastAsiaTheme="minorEastAsia" w:hAnsi="Calibri"/>
      <w:sz w:val="24"/>
      <w:lang w:eastAsia="en-AU"/>
    </w:rPr>
  </w:style>
  <w:style w:type="paragraph" w:styleId="Heading1">
    <w:name w:val="heading 1"/>
    <w:next w:val="Normal"/>
    <w:link w:val="Heading1Char"/>
    <w:qFormat/>
    <w:rsid w:val="003E76C5"/>
    <w:pPr>
      <w:keepNext/>
      <w:keepLines/>
      <w:pageBreakBefore/>
      <w:numPr>
        <w:numId w:val="4"/>
      </w:numPr>
      <w:spacing w:before="100" w:beforeAutospacing="1" w:after="240"/>
      <w:outlineLvl w:val="0"/>
    </w:pPr>
    <w:rPr>
      <w:rFonts w:ascii="Calibri" w:eastAsiaTheme="majorEastAsia" w:hAnsi="Calibri" w:cstheme="majorBidi"/>
      <w:bCs/>
      <w:sz w:val="48"/>
      <w:szCs w:val="28"/>
    </w:rPr>
  </w:style>
  <w:style w:type="paragraph" w:styleId="Heading2">
    <w:name w:val="heading 2"/>
    <w:next w:val="Normal"/>
    <w:link w:val="Heading2Char"/>
    <w:qFormat/>
    <w:rsid w:val="00CB446B"/>
    <w:pPr>
      <w:keepNext/>
      <w:numPr>
        <w:ilvl w:val="1"/>
        <w:numId w:val="4"/>
      </w:numPr>
      <w:spacing w:before="100" w:beforeAutospacing="1" w:after="240"/>
      <w:outlineLvl w:val="1"/>
    </w:pPr>
    <w:rPr>
      <w:rFonts w:ascii="Calibri" w:eastAsia="Times New Roman" w:hAnsi="Calibri" w:cs="Times New Roman"/>
      <w:bCs/>
      <w:iCs/>
      <w:sz w:val="28"/>
      <w:szCs w:val="24"/>
    </w:rPr>
  </w:style>
  <w:style w:type="paragraph" w:styleId="Heading3">
    <w:name w:val="heading 3"/>
    <w:next w:val="Normal"/>
    <w:link w:val="Heading3Char"/>
    <w:qFormat/>
    <w:rsid w:val="003E76C5"/>
    <w:pPr>
      <w:keepNext/>
      <w:numPr>
        <w:ilvl w:val="2"/>
        <w:numId w:val="4"/>
      </w:numPr>
      <w:spacing w:before="100" w:beforeAutospacing="1" w:after="240"/>
      <w:outlineLvl w:val="2"/>
    </w:pPr>
    <w:rPr>
      <w:rFonts w:ascii="Calibri" w:eastAsia="Times New Roman" w:hAnsi="Calibri" w:cs="Times New Roman"/>
      <w:bCs/>
      <w:iCs/>
      <w:sz w:val="28"/>
      <w:szCs w:val="24"/>
    </w:rPr>
  </w:style>
  <w:style w:type="paragraph" w:styleId="Heading4">
    <w:name w:val="heading 4"/>
    <w:next w:val="Normal"/>
    <w:link w:val="Heading4Char"/>
    <w:unhideWhenUsed/>
    <w:qFormat/>
    <w:rsid w:val="00C3425C"/>
    <w:pPr>
      <w:keepNext/>
      <w:keepLines/>
      <w:spacing w:before="100" w:beforeAutospacing="1" w:after="240"/>
      <w:outlineLvl w:val="3"/>
    </w:pPr>
    <w:rPr>
      <w:rFonts w:ascii="Calibri" w:eastAsiaTheme="majorEastAsia" w:hAnsi="Calibri" w:cstheme="majorBidi"/>
      <w:bCs/>
      <w:i/>
      <w:iCs/>
      <w:sz w:val="24"/>
      <w:u w:val="single"/>
    </w:rPr>
  </w:style>
  <w:style w:type="paragraph" w:styleId="Heading5">
    <w:name w:val="heading 5"/>
    <w:next w:val="Normal"/>
    <w:link w:val="Heading5Char"/>
    <w:unhideWhenUsed/>
    <w:qFormat/>
    <w:rsid w:val="003E76C5"/>
    <w:pPr>
      <w:keepNext/>
      <w:keepLines/>
      <w:outlineLvl w:val="4"/>
    </w:pPr>
    <w:rPr>
      <w:rFonts w:ascii="Calibri" w:eastAsiaTheme="majorEastAsia" w:hAnsi="Calibri" w:cstheme="majorBidi"/>
      <w:sz w:val="23"/>
      <w:u w:val="single"/>
    </w:rPr>
  </w:style>
  <w:style w:type="paragraph" w:styleId="Heading6">
    <w:name w:val="heading 6"/>
    <w:next w:val="Normal"/>
    <w:link w:val="Heading6Char"/>
    <w:unhideWhenUsed/>
    <w:qFormat/>
    <w:rsid w:val="003E76C5"/>
    <w:pPr>
      <w:keepNext/>
      <w:keepLines/>
      <w:spacing w:before="200"/>
      <w:outlineLvl w:val="5"/>
    </w:pPr>
    <w:rPr>
      <w:rFonts w:ascii="Calibri" w:eastAsiaTheme="majorEastAsia" w:hAnsi="Calibri" w:cstheme="majorBidi"/>
      <w:i/>
      <w:iCs/>
      <w:sz w:val="23"/>
    </w:rPr>
  </w:style>
  <w:style w:type="paragraph" w:styleId="Heading7">
    <w:name w:val="heading 7"/>
    <w:next w:val="Normal"/>
    <w:link w:val="Heading7Char"/>
    <w:unhideWhenUsed/>
    <w:qFormat/>
    <w:rsid w:val="00EC1696"/>
    <w:pPr>
      <w:keepNext/>
      <w:keepLines/>
      <w:spacing w:before="200"/>
      <w:outlineLvl w:val="6"/>
    </w:pPr>
    <w:rPr>
      <w:rFonts w:asciiTheme="majorHAnsi" w:eastAsiaTheme="majorEastAsia" w:hAnsiTheme="majorHAnsi" w:cstheme="majorBidi"/>
      <w:i/>
      <w:iCs/>
      <w:color w:val="404040" w:themeColor="text1" w:themeTint="BF"/>
      <w:sz w:val="23"/>
      <w:lang w:eastAsia="en-AU"/>
    </w:rPr>
  </w:style>
  <w:style w:type="paragraph" w:styleId="Heading8">
    <w:name w:val="heading 8"/>
    <w:basedOn w:val="Normal"/>
    <w:next w:val="Normal"/>
    <w:link w:val="Heading8Char"/>
    <w:unhideWhenUsed/>
    <w:qFormat/>
    <w:rsid w:val="00EC169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nhideWhenUsed/>
    <w:qFormat/>
    <w:rsid w:val="00EC169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E76C5"/>
    <w:rPr>
      <w:rFonts w:ascii="Calibri" w:eastAsiaTheme="majorEastAsia" w:hAnsi="Calibri" w:cstheme="majorBidi"/>
      <w:bCs/>
      <w:sz w:val="48"/>
      <w:szCs w:val="28"/>
    </w:rPr>
  </w:style>
  <w:style w:type="character" w:customStyle="1" w:styleId="Heading2Char">
    <w:name w:val="Heading 2 Char"/>
    <w:basedOn w:val="DefaultParagraphFont"/>
    <w:link w:val="Heading2"/>
    <w:rsid w:val="00CB446B"/>
    <w:rPr>
      <w:rFonts w:ascii="Calibri" w:eastAsia="Times New Roman" w:hAnsi="Calibri" w:cs="Times New Roman"/>
      <w:bCs/>
      <w:iCs/>
      <w:sz w:val="28"/>
      <w:szCs w:val="24"/>
    </w:rPr>
  </w:style>
  <w:style w:type="character" w:customStyle="1" w:styleId="Heading3Char">
    <w:name w:val="Heading 3 Char"/>
    <w:basedOn w:val="DefaultParagraphFont"/>
    <w:link w:val="Heading3"/>
    <w:rsid w:val="003E76C5"/>
    <w:rPr>
      <w:rFonts w:ascii="Calibri" w:eastAsia="Times New Roman" w:hAnsi="Calibri" w:cs="Times New Roman"/>
      <w:bCs/>
      <w:iCs/>
      <w:sz w:val="28"/>
      <w:szCs w:val="24"/>
    </w:rPr>
  </w:style>
  <w:style w:type="character" w:customStyle="1" w:styleId="Heading4Char">
    <w:name w:val="Heading 4 Char"/>
    <w:basedOn w:val="DefaultParagraphFont"/>
    <w:link w:val="Heading4"/>
    <w:uiPriority w:val="9"/>
    <w:rsid w:val="00C3425C"/>
    <w:rPr>
      <w:rFonts w:ascii="Calibri" w:eastAsiaTheme="majorEastAsia" w:hAnsi="Calibri" w:cstheme="majorBidi"/>
      <w:bCs/>
      <w:i/>
      <w:iCs/>
      <w:sz w:val="24"/>
      <w:u w:val="single"/>
    </w:rPr>
  </w:style>
  <w:style w:type="character" w:customStyle="1" w:styleId="Heading5Char">
    <w:name w:val="Heading 5 Char"/>
    <w:basedOn w:val="DefaultParagraphFont"/>
    <w:link w:val="Heading5"/>
    <w:uiPriority w:val="9"/>
    <w:rsid w:val="003E76C5"/>
    <w:rPr>
      <w:rFonts w:ascii="Calibri" w:eastAsiaTheme="majorEastAsia" w:hAnsi="Calibri" w:cstheme="majorBidi"/>
      <w:sz w:val="23"/>
      <w:u w:val="single"/>
    </w:rPr>
  </w:style>
  <w:style w:type="character" w:customStyle="1" w:styleId="Heading6Char">
    <w:name w:val="Heading 6 Char"/>
    <w:basedOn w:val="DefaultParagraphFont"/>
    <w:link w:val="Heading6"/>
    <w:uiPriority w:val="9"/>
    <w:rsid w:val="003E76C5"/>
    <w:rPr>
      <w:rFonts w:ascii="Calibri" w:eastAsiaTheme="majorEastAsia" w:hAnsi="Calibri" w:cstheme="majorBidi"/>
      <w:i/>
      <w:iCs/>
      <w:sz w:val="23"/>
    </w:rPr>
  </w:style>
  <w:style w:type="paragraph" w:customStyle="1" w:styleId="Normal0">
    <w:name w:val="[Normal]"/>
    <w:uiPriority w:val="99"/>
    <w:rsid w:val="008F7E90"/>
    <w:pPr>
      <w:widowControl w:val="0"/>
      <w:autoSpaceDE w:val="0"/>
      <w:autoSpaceDN w:val="0"/>
      <w:adjustRightInd w:val="0"/>
    </w:pPr>
    <w:rPr>
      <w:rFonts w:ascii="Arial" w:hAnsi="Arial" w:cs="Arial"/>
      <w:sz w:val="24"/>
      <w:szCs w:val="24"/>
    </w:rPr>
  </w:style>
  <w:style w:type="character" w:customStyle="1" w:styleId="DHSText10ptChar">
    <w:name w:val="DHS Text 10pt Char"/>
    <w:uiPriority w:val="99"/>
    <w:rsid w:val="008F7E90"/>
    <w:rPr>
      <w:rFonts w:ascii="Verdana" w:hAnsi="Verdana"/>
      <w:lang w:val="en-AU" w:eastAsia="en-US"/>
    </w:rPr>
  </w:style>
  <w:style w:type="character" w:customStyle="1" w:styleId="notranslate">
    <w:name w:val="notranslate"/>
    <w:basedOn w:val="DefaultParagraphFont"/>
    <w:rsid w:val="008F7E90"/>
  </w:style>
  <w:style w:type="paragraph" w:customStyle="1" w:styleId="LineLast">
    <w:name w:val="Line Last"/>
    <w:basedOn w:val="Normal"/>
    <w:rsid w:val="003E76C5"/>
    <w:pPr>
      <w:tabs>
        <w:tab w:val="left" w:leader="underscore" w:pos="8640"/>
      </w:tabs>
      <w:spacing w:before="60" w:after="360"/>
    </w:pPr>
    <w:rPr>
      <w:rFonts w:ascii="Tahoma" w:eastAsia="Times New Roman" w:hAnsi="Tahoma" w:cs="Times New Roman"/>
      <w:sz w:val="20"/>
      <w:szCs w:val="24"/>
      <w:lang w:eastAsia="en-US"/>
    </w:rPr>
  </w:style>
  <w:style w:type="paragraph" w:customStyle="1" w:styleId="Line">
    <w:name w:val="Line"/>
    <w:basedOn w:val="Normal"/>
    <w:rsid w:val="003E76C5"/>
    <w:pPr>
      <w:tabs>
        <w:tab w:val="left" w:leader="underscore" w:pos="8640"/>
      </w:tabs>
      <w:spacing w:before="60"/>
    </w:pPr>
    <w:rPr>
      <w:rFonts w:ascii="Tahoma" w:eastAsia="Times New Roman" w:hAnsi="Tahoma" w:cs="Times New Roman"/>
      <w:sz w:val="20"/>
      <w:szCs w:val="24"/>
      <w:lang w:eastAsia="en-US"/>
    </w:rPr>
  </w:style>
  <w:style w:type="paragraph" w:customStyle="1" w:styleId="Thankyou">
    <w:name w:val="Thankyou"/>
    <w:basedOn w:val="Normal"/>
    <w:rsid w:val="003E76C5"/>
    <w:pPr>
      <w:keepNext/>
      <w:jc w:val="center"/>
    </w:pPr>
    <w:rPr>
      <w:rFonts w:ascii="Tahoma" w:eastAsia="Times New Roman" w:hAnsi="Tahoma" w:cs="Times New Roman"/>
      <w:sz w:val="20"/>
      <w:szCs w:val="24"/>
      <w:lang w:eastAsia="en-US"/>
    </w:rPr>
  </w:style>
  <w:style w:type="character" w:customStyle="1" w:styleId="maintitle">
    <w:name w:val="maintitle"/>
    <w:basedOn w:val="DefaultParagraphFont"/>
    <w:rsid w:val="008F7E90"/>
  </w:style>
  <w:style w:type="paragraph" w:customStyle="1" w:styleId="Tablecell">
    <w:name w:val="Table cell"/>
    <w:rsid w:val="003E76C5"/>
    <w:pPr>
      <w:keepLines/>
      <w:suppressAutoHyphens/>
      <w:spacing w:before="40" w:after="40"/>
    </w:pPr>
    <w:rPr>
      <w:rFonts w:ascii="Arial" w:eastAsia="Times New Roman" w:hAnsi="Arial" w:cs="Arial"/>
      <w:sz w:val="16"/>
      <w:szCs w:val="20"/>
    </w:rPr>
  </w:style>
  <w:style w:type="paragraph" w:styleId="Header">
    <w:name w:val="header"/>
    <w:link w:val="HeaderChar"/>
    <w:uiPriority w:val="99"/>
    <w:unhideWhenUsed/>
    <w:rsid w:val="003E76C5"/>
    <w:pPr>
      <w:tabs>
        <w:tab w:val="center" w:pos="4513"/>
        <w:tab w:val="right" w:pos="9026"/>
      </w:tabs>
      <w:spacing w:after="240"/>
    </w:pPr>
    <w:rPr>
      <w:rFonts w:ascii="Calibri" w:hAnsi="Calibri"/>
      <w:sz w:val="23"/>
    </w:rPr>
  </w:style>
  <w:style w:type="character" w:customStyle="1" w:styleId="HeaderChar">
    <w:name w:val="Header Char"/>
    <w:basedOn w:val="DefaultParagraphFont"/>
    <w:link w:val="Header"/>
    <w:uiPriority w:val="99"/>
    <w:rsid w:val="003E76C5"/>
    <w:rPr>
      <w:rFonts w:ascii="Calibri" w:hAnsi="Calibri"/>
      <w:sz w:val="23"/>
    </w:rPr>
  </w:style>
  <w:style w:type="paragraph" w:styleId="TOC1">
    <w:name w:val="toc 1"/>
    <w:basedOn w:val="Normal"/>
    <w:next w:val="Normal"/>
    <w:autoRedefine/>
    <w:uiPriority w:val="39"/>
    <w:unhideWhenUsed/>
    <w:qFormat/>
    <w:rsid w:val="004F2201"/>
    <w:pPr>
      <w:tabs>
        <w:tab w:val="left" w:pos="440"/>
        <w:tab w:val="right" w:leader="dot" w:pos="9016"/>
      </w:tabs>
      <w:spacing w:before="120" w:beforeAutospacing="0" w:after="120" w:afterAutospacing="0"/>
    </w:pPr>
  </w:style>
  <w:style w:type="paragraph" w:styleId="TOC2">
    <w:name w:val="toc 2"/>
    <w:basedOn w:val="Normal"/>
    <w:next w:val="Normal"/>
    <w:autoRedefine/>
    <w:uiPriority w:val="39"/>
    <w:unhideWhenUsed/>
    <w:qFormat/>
    <w:rsid w:val="004F2201"/>
    <w:pPr>
      <w:tabs>
        <w:tab w:val="left" w:pos="880"/>
        <w:tab w:val="right" w:leader="dot" w:pos="9016"/>
      </w:tabs>
      <w:spacing w:before="120" w:beforeAutospacing="0" w:after="120" w:afterAutospacing="0"/>
      <w:ind w:left="232"/>
    </w:pPr>
    <w:rPr>
      <w:noProof/>
    </w:rPr>
  </w:style>
  <w:style w:type="paragraph" w:styleId="TOC3">
    <w:name w:val="toc 3"/>
    <w:basedOn w:val="Normal"/>
    <w:next w:val="Normal"/>
    <w:autoRedefine/>
    <w:uiPriority w:val="39"/>
    <w:unhideWhenUsed/>
    <w:qFormat/>
    <w:rsid w:val="004F2201"/>
    <w:pPr>
      <w:tabs>
        <w:tab w:val="left" w:pos="1320"/>
        <w:tab w:val="right" w:leader="dot" w:pos="9016"/>
      </w:tabs>
      <w:spacing w:before="120" w:beforeAutospacing="0" w:after="120" w:afterAutospacing="0"/>
      <w:ind w:left="459"/>
    </w:pPr>
    <w:rPr>
      <w:noProof/>
    </w:rPr>
  </w:style>
  <w:style w:type="numbering" w:customStyle="1" w:styleId="Appendices">
    <w:name w:val="Appendices"/>
    <w:uiPriority w:val="99"/>
    <w:rsid w:val="00047257"/>
    <w:pPr>
      <w:numPr>
        <w:numId w:val="5"/>
      </w:numPr>
    </w:pPr>
  </w:style>
  <w:style w:type="paragraph" w:styleId="FootnoteText">
    <w:name w:val="footnote text"/>
    <w:link w:val="FootnoteTextChar"/>
    <w:uiPriority w:val="99"/>
    <w:unhideWhenUsed/>
    <w:rsid w:val="003E76C5"/>
    <w:pPr>
      <w:spacing w:after="120"/>
    </w:pPr>
    <w:rPr>
      <w:rFonts w:ascii="Calibri" w:hAnsi="Calibri"/>
      <w:sz w:val="18"/>
      <w:szCs w:val="20"/>
    </w:rPr>
  </w:style>
  <w:style w:type="character" w:customStyle="1" w:styleId="FootnoteTextChar">
    <w:name w:val="Footnote Text Char"/>
    <w:basedOn w:val="DefaultParagraphFont"/>
    <w:link w:val="FootnoteText"/>
    <w:uiPriority w:val="99"/>
    <w:rsid w:val="003E76C5"/>
    <w:rPr>
      <w:rFonts w:ascii="Calibri" w:hAnsi="Calibri"/>
      <w:sz w:val="18"/>
      <w:szCs w:val="20"/>
    </w:rPr>
  </w:style>
  <w:style w:type="paragraph" w:styleId="CommentText">
    <w:name w:val="annotation text"/>
    <w:basedOn w:val="Normal"/>
    <w:link w:val="CommentTextChar"/>
    <w:uiPriority w:val="99"/>
    <w:unhideWhenUsed/>
    <w:rsid w:val="003E76C5"/>
    <w:rPr>
      <w:rFonts w:eastAsiaTheme="minorHAnsi"/>
      <w:sz w:val="20"/>
      <w:szCs w:val="20"/>
      <w:lang w:eastAsia="en-US"/>
    </w:rPr>
  </w:style>
  <w:style w:type="character" w:customStyle="1" w:styleId="CommentTextChar">
    <w:name w:val="Comment Text Char"/>
    <w:basedOn w:val="DefaultParagraphFont"/>
    <w:link w:val="CommentText"/>
    <w:uiPriority w:val="99"/>
    <w:rsid w:val="003E76C5"/>
    <w:rPr>
      <w:rFonts w:ascii="Calibri" w:hAnsi="Calibri"/>
      <w:sz w:val="20"/>
      <w:szCs w:val="20"/>
    </w:rPr>
  </w:style>
  <w:style w:type="paragraph" w:styleId="Footer">
    <w:name w:val="footer"/>
    <w:basedOn w:val="Normal"/>
    <w:link w:val="FooterChar"/>
    <w:uiPriority w:val="99"/>
    <w:unhideWhenUsed/>
    <w:rsid w:val="003E76C5"/>
    <w:pPr>
      <w:tabs>
        <w:tab w:val="center" w:pos="4513"/>
        <w:tab w:val="right" w:pos="9026"/>
      </w:tabs>
      <w:ind w:left="8505"/>
    </w:pPr>
    <w:rPr>
      <w:rFonts w:eastAsiaTheme="minorHAnsi"/>
      <w:lang w:eastAsia="en-US"/>
    </w:rPr>
  </w:style>
  <w:style w:type="character" w:customStyle="1" w:styleId="FooterChar">
    <w:name w:val="Footer Char"/>
    <w:basedOn w:val="DefaultParagraphFont"/>
    <w:link w:val="Footer"/>
    <w:uiPriority w:val="99"/>
    <w:rsid w:val="003E76C5"/>
    <w:rPr>
      <w:rFonts w:ascii="Calibri" w:hAnsi="Calibri"/>
    </w:rPr>
  </w:style>
  <w:style w:type="paragraph" w:styleId="Caption">
    <w:name w:val="caption"/>
    <w:basedOn w:val="Normal"/>
    <w:next w:val="Normal"/>
    <w:uiPriority w:val="35"/>
    <w:unhideWhenUsed/>
    <w:rsid w:val="003E76C5"/>
    <w:rPr>
      <w:rFonts w:eastAsiaTheme="minorHAnsi"/>
      <w:b/>
      <w:bCs/>
      <w:color w:val="4F81BD" w:themeColor="accent1"/>
      <w:sz w:val="18"/>
      <w:szCs w:val="18"/>
      <w:lang w:eastAsia="en-US"/>
    </w:rPr>
  </w:style>
  <w:style w:type="character" w:styleId="FootnoteReference">
    <w:name w:val="footnote reference"/>
    <w:basedOn w:val="DefaultParagraphFont"/>
    <w:uiPriority w:val="99"/>
    <w:unhideWhenUsed/>
    <w:rsid w:val="008F7E90"/>
    <w:rPr>
      <w:vertAlign w:val="superscript"/>
    </w:rPr>
  </w:style>
  <w:style w:type="character" w:styleId="CommentReference">
    <w:name w:val="annotation reference"/>
    <w:basedOn w:val="DefaultParagraphFont"/>
    <w:uiPriority w:val="99"/>
    <w:semiHidden/>
    <w:unhideWhenUsed/>
    <w:rsid w:val="008F7E90"/>
    <w:rPr>
      <w:sz w:val="16"/>
      <w:szCs w:val="16"/>
    </w:rPr>
  </w:style>
  <w:style w:type="character" w:styleId="EndnoteReference">
    <w:name w:val="endnote reference"/>
    <w:basedOn w:val="DefaultParagraphFont"/>
    <w:uiPriority w:val="99"/>
    <w:semiHidden/>
    <w:unhideWhenUsed/>
    <w:rsid w:val="008F7E90"/>
    <w:rPr>
      <w:vertAlign w:val="superscript"/>
    </w:rPr>
  </w:style>
  <w:style w:type="paragraph" w:styleId="EndnoteText">
    <w:name w:val="endnote text"/>
    <w:basedOn w:val="Normal"/>
    <w:link w:val="EndnoteTextChar"/>
    <w:uiPriority w:val="99"/>
    <w:semiHidden/>
    <w:unhideWhenUsed/>
    <w:rsid w:val="008F7E90"/>
    <w:rPr>
      <w:rFonts w:eastAsiaTheme="minorHAnsi"/>
      <w:sz w:val="20"/>
      <w:szCs w:val="20"/>
      <w:lang w:val="en-GB" w:eastAsia="en-US"/>
    </w:rPr>
  </w:style>
  <w:style w:type="character" w:customStyle="1" w:styleId="EndnoteTextChar">
    <w:name w:val="Endnote Text Char"/>
    <w:basedOn w:val="DefaultParagraphFont"/>
    <w:link w:val="EndnoteText"/>
    <w:uiPriority w:val="99"/>
    <w:semiHidden/>
    <w:rsid w:val="008F7E90"/>
    <w:rPr>
      <w:sz w:val="20"/>
      <w:szCs w:val="20"/>
      <w:lang w:val="en-GB"/>
    </w:rPr>
  </w:style>
  <w:style w:type="paragraph" w:styleId="Title">
    <w:name w:val="Title"/>
    <w:aliases w:val="Submission"/>
    <w:next w:val="Normal"/>
    <w:link w:val="TitleChar"/>
    <w:qFormat/>
    <w:rsid w:val="003E76C5"/>
    <w:pPr>
      <w:spacing w:before="2040" w:after="120"/>
      <w:contextualSpacing/>
      <w:jc w:val="center"/>
    </w:pPr>
    <w:rPr>
      <w:rFonts w:ascii="Calibri" w:eastAsiaTheme="majorEastAsia" w:hAnsi="Calibri" w:cstheme="majorBidi"/>
      <w:b/>
      <w:spacing w:val="5"/>
      <w:kern w:val="28"/>
      <w:sz w:val="52"/>
      <w:szCs w:val="52"/>
    </w:rPr>
  </w:style>
  <w:style w:type="character" w:customStyle="1" w:styleId="TitleChar">
    <w:name w:val="Title Char"/>
    <w:aliases w:val="Submission Char"/>
    <w:basedOn w:val="DefaultParagraphFont"/>
    <w:link w:val="Title"/>
    <w:rsid w:val="003E76C5"/>
    <w:rPr>
      <w:rFonts w:ascii="Calibri" w:eastAsiaTheme="majorEastAsia" w:hAnsi="Calibri" w:cstheme="majorBidi"/>
      <w:b/>
      <w:spacing w:val="5"/>
      <w:kern w:val="28"/>
      <w:sz w:val="52"/>
      <w:szCs w:val="52"/>
    </w:rPr>
  </w:style>
  <w:style w:type="paragraph" w:styleId="BodyText">
    <w:name w:val="Body Text"/>
    <w:basedOn w:val="Normal"/>
    <w:link w:val="BodyTextChar"/>
    <w:rsid w:val="003E76C5"/>
    <w:rPr>
      <w:rFonts w:ascii="Times New Roman" w:eastAsia="Times New Roman" w:hAnsi="Times New Roman" w:cs="Times New Roman"/>
      <w:szCs w:val="24"/>
      <w:lang w:eastAsia="en-US"/>
    </w:rPr>
  </w:style>
  <w:style w:type="character" w:customStyle="1" w:styleId="BodyTextChar">
    <w:name w:val="Body Text Char"/>
    <w:basedOn w:val="DefaultParagraphFont"/>
    <w:link w:val="BodyText"/>
    <w:rsid w:val="003E76C5"/>
    <w:rPr>
      <w:rFonts w:ascii="Times New Roman" w:eastAsia="Times New Roman" w:hAnsi="Times New Roman" w:cs="Times New Roman"/>
      <w:szCs w:val="24"/>
    </w:rPr>
  </w:style>
  <w:style w:type="character" w:styleId="Hyperlink">
    <w:name w:val="Hyperlink"/>
    <w:basedOn w:val="DefaultParagraphFont"/>
    <w:uiPriority w:val="99"/>
    <w:unhideWhenUsed/>
    <w:rsid w:val="008F7E90"/>
    <w:rPr>
      <w:color w:val="0000FF" w:themeColor="hyperlink"/>
      <w:u w:val="single"/>
    </w:rPr>
  </w:style>
  <w:style w:type="character" w:styleId="Strong">
    <w:name w:val="Strong"/>
    <w:basedOn w:val="DefaultParagraphFont"/>
    <w:uiPriority w:val="22"/>
    <w:rsid w:val="008F7E90"/>
    <w:rPr>
      <w:b/>
      <w:bCs/>
    </w:rPr>
  </w:style>
  <w:style w:type="paragraph" w:styleId="NormalWeb">
    <w:name w:val="Normal (Web)"/>
    <w:basedOn w:val="Normal"/>
    <w:uiPriority w:val="99"/>
    <w:semiHidden/>
    <w:unhideWhenUsed/>
    <w:rsid w:val="008F7E90"/>
    <w:pPr>
      <w:spacing w:before="140" w:after="140"/>
    </w:pPr>
    <w:rPr>
      <w:rFonts w:ascii="Trebuchet MS" w:eastAsia="Times New Roman" w:hAnsi="Trebuchet MS" w:cs="Times New Roman"/>
      <w:szCs w:val="24"/>
    </w:rPr>
  </w:style>
  <w:style w:type="paragraph" w:styleId="CommentSubject">
    <w:name w:val="annotation subject"/>
    <w:basedOn w:val="CommentText"/>
    <w:next w:val="CommentText"/>
    <w:link w:val="CommentSubjectChar"/>
    <w:uiPriority w:val="99"/>
    <w:semiHidden/>
    <w:unhideWhenUsed/>
    <w:rsid w:val="008F7E90"/>
    <w:rPr>
      <w:b/>
      <w:bCs/>
    </w:rPr>
  </w:style>
  <w:style w:type="character" w:customStyle="1" w:styleId="CommentSubjectChar">
    <w:name w:val="Comment Subject Char"/>
    <w:basedOn w:val="CommentTextChar"/>
    <w:link w:val="CommentSubject"/>
    <w:uiPriority w:val="99"/>
    <w:semiHidden/>
    <w:rsid w:val="008F7E90"/>
    <w:rPr>
      <w:rFonts w:ascii="Calibri" w:hAnsi="Calibri"/>
      <w:b/>
      <w:bCs/>
      <w:sz w:val="20"/>
      <w:szCs w:val="20"/>
      <w:lang w:val="en-GB"/>
    </w:rPr>
  </w:style>
  <w:style w:type="paragraph" w:styleId="BalloonText">
    <w:name w:val="Balloon Text"/>
    <w:basedOn w:val="Normal"/>
    <w:link w:val="BalloonTextChar"/>
    <w:uiPriority w:val="99"/>
    <w:semiHidden/>
    <w:unhideWhenUsed/>
    <w:rsid w:val="008F7E90"/>
    <w:rPr>
      <w:rFonts w:ascii="Tahoma" w:eastAsiaTheme="minorHAnsi" w:hAnsi="Tahoma" w:cs="Tahoma"/>
      <w:sz w:val="16"/>
      <w:szCs w:val="16"/>
      <w:lang w:val="en-GB" w:eastAsia="en-US"/>
    </w:rPr>
  </w:style>
  <w:style w:type="character" w:customStyle="1" w:styleId="BalloonTextChar">
    <w:name w:val="Balloon Text Char"/>
    <w:basedOn w:val="DefaultParagraphFont"/>
    <w:link w:val="BalloonText"/>
    <w:uiPriority w:val="99"/>
    <w:semiHidden/>
    <w:rsid w:val="008F7E90"/>
    <w:rPr>
      <w:rFonts w:ascii="Tahoma" w:hAnsi="Tahoma" w:cs="Tahoma"/>
      <w:sz w:val="16"/>
      <w:szCs w:val="16"/>
      <w:lang w:val="en-GB"/>
    </w:rPr>
  </w:style>
  <w:style w:type="table" w:styleId="TableGrid">
    <w:name w:val="Table Grid"/>
    <w:basedOn w:val="TableNormal"/>
    <w:uiPriority w:val="59"/>
    <w:rsid w:val="008F7E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rsid w:val="003E76C5"/>
    <w:pPr>
      <w:ind w:left="720"/>
      <w:contextualSpacing/>
    </w:pPr>
    <w:rPr>
      <w:rFonts w:eastAsiaTheme="minorHAnsi"/>
      <w:lang w:eastAsia="en-US"/>
    </w:rPr>
  </w:style>
  <w:style w:type="paragraph" w:styleId="TOCHeading">
    <w:name w:val="TOC Heading"/>
    <w:basedOn w:val="Heading1"/>
    <w:next w:val="Normal"/>
    <w:uiPriority w:val="39"/>
    <w:unhideWhenUsed/>
    <w:qFormat/>
    <w:rsid w:val="003E76C5"/>
    <w:pPr>
      <w:numPr>
        <w:numId w:val="0"/>
      </w:numPr>
      <w:spacing w:line="276" w:lineRule="auto"/>
      <w:outlineLvl w:val="9"/>
    </w:pPr>
  </w:style>
  <w:style w:type="character" w:styleId="FollowedHyperlink">
    <w:name w:val="FollowedHyperlink"/>
    <w:basedOn w:val="DefaultParagraphFont"/>
    <w:uiPriority w:val="99"/>
    <w:semiHidden/>
    <w:unhideWhenUsed/>
    <w:rsid w:val="00E54047"/>
    <w:rPr>
      <w:color w:val="800080" w:themeColor="followedHyperlink"/>
      <w:u w:val="single"/>
    </w:rPr>
  </w:style>
  <w:style w:type="paragraph" w:styleId="NoSpacing">
    <w:name w:val="No Spacing"/>
    <w:uiPriority w:val="1"/>
    <w:rsid w:val="000D51F4"/>
    <w:rPr>
      <w:rFonts w:ascii="Calibri" w:eastAsiaTheme="minorEastAsia" w:hAnsi="Calibri"/>
      <w:sz w:val="23"/>
      <w:lang w:eastAsia="en-AU"/>
    </w:rPr>
  </w:style>
  <w:style w:type="paragraph" w:customStyle="1" w:styleId="About">
    <w:name w:val="About"/>
    <w:basedOn w:val="Normal"/>
    <w:link w:val="AboutChar"/>
    <w:qFormat/>
    <w:rsid w:val="00C12182"/>
    <w:rPr>
      <w:b/>
    </w:rPr>
  </w:style>
  <w:style w:type="table" w:customStyle="1" w:styleId="ACCANtable">
    <w:name w:val="ACCAN table"/>
    <w:basedOn w:val="TableNormal"/>
    <w:uiPriority w:val="99"/>
    <w:rsid w:val="0036351B"/>
    <w:tblPr>
      <w:jc w:val="center"/>
      <w:tblBorders>
        <w:top w:val="single" w:sz="4" w:space="0" w:color="44C8F5"/>
        <w:bottom w:val="single" w:sz="4" w:space="0" w:color="44C8F5"/>
        <w:insideH w:val="single" w:sz="4" w:space="0" w:color="44C8F5"/>
      </w:tblBorders>
      <w:tblCellMar>
        <w:top w:w="108" w:type="dxa"/>
        <w:bottom w:w="108" w:type="dxa"/>
      </w:tblCellMar>
    </w:tblPr>
    <w:trPr>
      <w:jc w:val="center"/>
    </w:trPr>
    <w:tblStylePr w:type="firstRow">
      <w:pPr>
        <w:jc w:val="left"/>
      </w:pPr>
      <w:rPr>
        <w:rFonts w:asciiTheme="minorHAnsi" w:hAnsiTheme="minorHAnsi"/>
        <w:b/>
        <w:color w:val="auto"/>
        <w:sz w:val="22"/>
      </w:rPr>
      <w:tblPr/>
      <w:tcPr>
        <w:shd w:val="clear" w:color="auto" w:fill="44C8F5"/>
      </w:tcPr>
    </w:tblStylePr>
    <w:tblStylePr w:type="lastRow">
      <w:pPr>
        <w:jc w:val="left"/>
      </w:pPr>
    </w:tblStylePr>
  </w:style>
  <w:style w:type="character" w:customStyle="1" w:styleId="AboutChar">
    <w:name w:val="About Char"/>
    <w:basedOn w:val="DefaultParagraphFont"/>
    <w:link w:val="About"/>
    <w:rsid w:val="00C12182"/>
    <w:rPr>
      <w:rFonts w:ascii="Calibri" w:eastAsiaTheme="minorEastAsia" w:hAnsi="Calibri"/>
      <w:b/>
      <w:sz w:val="23"/>
      <w:lang w:eastAsia="en-AU"/>
    </w:rPr>
  </w:style>
  <w:style w:type="paragraph" w:styleId="Subtitle">
    <w:name w:val="Subtitle"/>
    <w:next w:val="Normal"/>
    <w:link w:val="SubtitleChar"/>
    <w:uiPriority w:val="11"/>
    <w:rsid w:val="003E76C5"/>
    <w:pPr>
      <w:spacing w:before="360" w:after="360"/>
      <w:jc w:val="center"/>
    </w:pPr>
    <w:rPr>
      <w:rFonts w:ascii="Calibri" w:eastAsiaTheme="minorEastAsia" w:hAnsi="Calibri"/>
      <w:sz w:val="32"/>
      <w:szCs w:val="32"/>
    </w:rPr>
  </w:style>
  <w:style w:type="character" w:customStyle="1" w:styleId="SubtitleChar">
    <w:name w:val="Subtitle Char"/>
    <w:basedOn w:val="DefaultParagraphFont"/>
    <w:link w:val="Subtitle"/>
    <w:uiPriority w:val="11"/>
    <w:rsid w:val="003E76C5"/>
    <w:rPr>
      <w:rFonts w:ascii="Calibri" w:eastAsiaTheme="minorEastAsia" w:hAnsi="Calibri"/>
      <w:sz w:val="32"/>
      <w:szCs w:val="32"/>
    </w:rPr>
  </w:style>
  <w:style w:type="character" w:customStyle="1" w:styleId="Heading7Char">
    <w:name w:val="Heading 7 Char"/>
    <w:basedOn w:val="DefaultParagraphFont"/>
    <w:link w:val="Heading7"/>
    <w:uiPriority w:val="9"/>
    <w:semiHidden/>
    <w:rsid w:val="00EC1696"/>
    <w:rPr>
      <w:rFonts w:asciiTheme="majorHAnsi" w:eastAsiaTheme="majorEastAsia" w:hAnsiTheme="majorHAnsi" w:cstheme="majorBidi"/>
      <w:i/>
      <w:iCs/>
      <w:color w:val="404040" w:themeColor="text1" w:themeTint="BF"/>
      <w:sz w:val="23"/>
      <w:lang w:eastAsia="en-AU"/>
    </w:rPr>
  </w:style>
  <w:style w:type="paragraph" w:customStyle="1" w:styleId="Recommendation">
    <w:name w:val="Recommendation"/>
    <w:basedOn w:val="Normal"/>
    <w:link w:val="RecommendationChar"/>
    <w:qFormat/>
    <w:rsid w:val="00593975"/>
    <w:pPr>
      <w:numPr>
        <w:numId w:val="9"/>
      </w:numPr>
      <w:pBdr>
        <w:top w:val="single" w:sz="8" w:space="6" w:color="44C8F5"/>
        <w:left w:val="single" w:sz="8" w:space="5" w:color="44C8F5"/>
        <w:bottom w:val="single" w:sz="8" w:space="6" w:color="44C8F5"/>
        <w:right w:val="single" w:sz="8" w:space="5" w:color="44C8F5"/>
      </w:pBdr>
      <w:ind w:right="851"/>
    </w:pPr>
    <w:rPr>
      <w:lang w:eastAsia="en-US"/>
    </w:rPr>
  </w:style>
  <w:style w:type="table" w:styleId="LightShading-Accent1">
    <w:name w:val="Light Shading Accent 1"/>
    <w:basedOn w:val="TableNormal"/>
    <w:uiPriority w:val="60"/>
    <w:rsid w:val="005C2EBF"/>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RecommendationChar">
    <w:name w:val="Recommendation Char"/>
    <w:basedOn w:val="DefaultParagraphFont"/>
    <w:link w:val="Recommendation"/>
    <w:rsid w:val="00593975"/>
    <w:rPr>
      <w:rFonts w:ascii="Calibri" w:eastAsiaTheme="minorEastAsia" w:hAnsi="Calibri"/>
      <w:sz w:val="24"/>
    </w:rPr>
  </w:style>
  <w:style w:type="paragraph" w:customStyle="1" w:styleId="Blockquote">
    <w:name w:val="Blockquote"/>
    <w:basedOn w:val="Normal"/>
    <w:link w:val="BlockquoteChar"/>
    <w:qFormat/>
    <w:rsid w:val="003E76C5"/>
    <w:pPr>
      <w:ind w:left="851" w:right="851"/>
    </w:pPr>
    <w:rPr>
      <w:lang w:eastAsia="en-US"/>
    </w:rPr>
  </w:style>
  <w:style w:type="character" w:customStyle="1" w:styleId="BlockquoteChar">
    <w:name w:val="Blockquote Char"/>
    <w:basedOn w:val="DefaultParagraphFont"/>
    <w:link w:val="Blockquote"/>
    <w:rsid w:val="003E76C5"/>
    <w:rPr>
      <w:rFonts w:ascii="Calibri" w:eastAsiaTheme="minorEastAsia" w:hAnsi="Calibri"/>
    </w:rPr>
  </w:style>
  <w:style w:type="numbering" w:customStyle="1" w:styleId="Headings">
    <w:name w:val="Headings"/>
    <w:uiPriority w:val="99"/>
    <w:rsid w:val="00EC1696"/>
    <w:pPr>
      <w:numPr>
        <w:numId w:val="1"/>
      </w:numPr>
    </w:pPr>
  </w:style>
  <w:style w:type="numbering" w:customStyle="1" w:styleId="Bullets">
    <w:name w:val="Bullets"/>
    <w:uiPriority w:val="99"/>
    <w:rsid w:val="00EC1696"/>
    <w:pPr>
      <w:numPr>
        <w:numId w:val="2"/>
      </w:numPr>
    </w:pPr>
  </w:style>
  <w:style w:type="character" w:customStyle="1" w:styleId="Heading8Char">
    <w:name w:val="Heading 8 Char"/>
    <w:basedOn w:val="DefaultParagraphFont"/>
    <w:link w:val="Heading8"/>
    <w:uiPriority w:val="9"/>
    <w:semiHidden/>
    <w:rsid w:val="00EC1696"/>
    <w:rPr>
      <w:rFonts w:asciiTheme="majorHAnsi" w:eastAsiaTheme="majorEastAsia" w:hAnsiTheme="majorHAnsi" w:cstheme="majorBidi"/>
      <w:color w:val="404040" w:themeColor="text1" w:themeTint="BF"/>
      <w:sz w:val="20"/>
      <w:szCs w:val="20"/>
      <w:lang w:eastAsia="en-AU"/>
    </w:rPr>
  </w:style>
  <w:style w:type="character" w:customStyle="1" w:styleId="Heading9Char">
    <w:name w:val="Heading 9 Char"/>
    <w:basedOn w:val="DefaultParagraphFont"/>
    <w:link w:val="Heading9"/>
    <w:uiPriority w:val="9"/>
    <w:semiHidden/>
    <w:rsid w:val="00EC1696"/>
    <w:rPr>
      <w:rFonts w:asciiTheme="majorHAnsi" w:eastAsiaTheme="majorEastAsia" w:hAnsiTheme="majorHAnsi" w:cstheme="majorBidi"/>
      <w:i/>
      <w:iCs/>
      <w:color w:val="404040" w:themeColor="text1" w:themeTint="BF"/>
      <w:sz w:val="20"/>
      <w:szCs w:val="20"/>
      <w:lang w:eastAsia="en-AU"/>
    </w:rPr>
  </w:style>
  <w:style w:type="paragraph" w:customStyle="1" w:styleId="Bulletlist1">
    <w:name w:val="Bullet list 1"/>
    <w:basedOn w:val="Normal"/>
    <w:link w:val="Bulletlist1Char"/>
    <w:qFormat/>
    <w:rsid w:val="00EC1696"/>
    <w:pPr>
      <w:numPr>
        <w:numId w:val="3"/>
      </w:numPr>
    </w:pPr>
  </w:style>
  <w:style w:type="paragraph" w:customStyle="1" w:styleId="Bulletlist2">
    <w:name w:val="Bullet list 2"/>
    <w:basedOn w:val="Bulletlist1"/>
    <w:link w:val="Bulletlist2Char"/>
    <w:qFormat/>
    <w:rsid w:val="00EC1696"/>
    <w:pPr>
      <w:numPr>
        <w:ilvl w:val="1"/>
      </w:numPr>
    </w:pPr>
  </w:style>
  <w:style w:type="character" w:customStyle="1" w:styleId="Bulletlist1Char">
    <w:name w:val="Bullet list 1 Char"/>
    <w:basedOn w:val="DefaultParagraphFont"/>
    <w:link w:val="Bulletlist1"/>
    <w:rsid w:val="00EC1696"/>
    <w:rPr>
      <w:rFonts w:ascii="Calibri" w:eastAsiaTheme="minorEastAsia" w:hAnsi="Calibri"/>
      <w:sz w:val="24"/>
      <w:lang w:eastAsia="en-AU"/>
    </w:rPr>
  </w:style>
  <w:style w:type="paragraph" w:customStyle="1" w:styleId="Bulletlist3">
    <w:name w:val="Bullet list 3"/>
    <w:basedOn w:val="Bulletlist2"/>
    <w:link w:val="Bulletlist3Char"/>
    <w:qFormat/>
    <w:rsid w:val="00EC1696"/>
    <w:pPr>
      <w:numPr>
        <w:ilvl w:val="2"/>
      </w:numPr>
    </w:pPr>
  </w:style>
  <w:style w:type="character" w:customStyle="1" w:styleId="Bulletlist2Char">
    <w:name w:val="Bullet list 2 Char"/>
    <w:basedOn w:val="Bulletlist1Char"/>
    <w:link w:val="Bulletlist2"/>
    <w:rsid w:val="00EC1696"/>
    <w:rPr>
      <w:rFonts w:ascii="Calibri" w:eastAsiaTheme="minorEastAsia" w:hAnsi="Calibri"/>
      <w:sz w:val="24"/>
      <w:lang w:eastAsia="en-AU"/>
    </w:rPr>
  </w:style>
  <w:style w:type="character" w:customStyle="1" w:styleId="Bulletlist3Char">
    <w:name w:val="Bullet list 3 Char"/>
    <w:basedOn w:val="Bulletlist2Char"/>
    <w:link w:val="Bulletlist3"/>
    <w:rsid w:val="00EC1696"/>
    <w:rPr>
      <w:rFonts w:ascii="Calibri" w:eastAsiaTheme="minorEastAsia" w:hAnsi="Calibri"/>
      <w:sz w:val="24"/>
      <w:lang w:eastAsia="en-AU"/>
    </w:rPr>
  </w:style>
  <w:style w:type="paragraph" w:customStyle="1" w:styleId="Footerpage1">
    <w:name w:val="Footer page 1"/>
    <w:rsid w:val="00A13B92"/>
    <w:pPr>
      <w:spacing w:after="200"/>
      <w:ind w:left="-754"/>
      <w:contextualSpacing/>
    </w:pPr>
    <w:rPr>
      <w:sz w:val="20"/>
      <w:szCs w:val="20"/>
    </w:rPr>
  </w:style>
  <w:style w:type="paragraph" w:customStyle="1" w:styleId="Celltext">
    <w:name w:val="Cell text"/>
    <w:basedOn w:val="Normal"/>
    <w:qFormat/>
    <w:rsid w:val="00EC1696"/>
    <w:pPr>
      <w:contextualSpacing/>
    </w:pPr>
    <w:rPr>
      <w:sz w:val="20"/>
    </w:rPr>
  </w:style>
  <w:style w:type="paragraph" w:customStyle="1" w:styleId="Appendixheading1">
    <w:name w:val="Appendix heading 1"/>
    <w:basedOn w:val="Heading1"/>
    <w:next w:val="Normal"/>
    <w:link w:val="Appendixheading1Char"/>
    <w:qFormat/>
    <w:rsid w:val="00047257"/>
    <w:pPr>
      <w:numPr>
        <w:numId w:val="6"/>
      </w:numPr>
    </w:pPr>
  </w:style>
  <w:style w:type="character" w:customStyle="1" w:styleId="Appendixheading1Char">
    <w:name w:val="Appendix heading 1 Char"/>
    <w:basedOn w:val="Heading1Char"/>
    <w:link w:val="Appendixheading1"/>
    <w:rsid w:val="00047257"/>
    <w:rPr>
      <w:rFonts w:ascii="Calibri" w:eastAsiaTheme="majorEastAsia" w:hAnsi="Calibri" w:cstheme="majorBidi"/>
      <w:bCs/>
      <w:sz w:val="48"/>
      <w:szCs w:val="28"/>
    </w:rPr>
  </w:style>
  <w:style w:type="paragraph" w:customStyle="1" w:styleId="Appendixheading2">
    <w:name w:val="Appendix heading 2"/>
    <w:basedOn w:val="Heading2"/>
    <w:next w:val="Normal"/>
    <w:link w:val="Appendixheading2Char"/>
    <w:qFormat/>
    <w:rsid w:val="00047257"/>
    <w:pPr>
      <w:numPr>
        <w:numId w:val="6"/>
      </w:numPr>
    </w:pPr>
    <w:rPr>
      <w:b/>
    </w:rPr>
  </w:style>
  <w:style w:type="character" w:customStyle="1" w:styleId="Appendixheading2Char">
    <w:name w:val="Appendix heading 2 Char"/>
    <w:basedOn w:val="Heading2Char"/>
    <w:link w:val="Appendixheading2"/>
    <w:rsid w:val="00047257"/>
    <w:rPr>
      <w:rFonts w:ascii="Calibri" w:eastAsia="Times New Roman" w:hAnsi="Calibri" w:cs="Times New Roman"/>
      <w:b/>
      <w:bCs/>
      <w:iCs/>
      <w:sz w:val="28"/>
      <w:szCs w:val="24"/>
    </w:rPr>
  </w:style>
  <w:style w:type="paragraph" w:customStyle="1" w:styleId="Appendixheading3">
    <w:name w:val="Appendix heading 3"/>
    <w:basedOn w:val="Heading3"/>
    <w:next w:val="Normal"/>
    <w:link w:val="Appendixheading3Char"/>
    <w:qFormat/>
    <w:rsid w:val="00047257"/>
    <w:pPr>
      <w:numPr>
        <w:ilvl w:val="0"/>
        <w:numId w:val="0"/>
      </w:numPr>
    </w:pPr>
    <w:rPr>
      <w:b/>
      <w:sz w:val="24"/>
    </w:rPr>
  </w:style>
  <w:style w:type="character" w:customStyle="1" w:styleId="Appendixheading3Char">
    <w:name w:val="Appendix heading 3 Char"/>
    <w:basedOn w:val="Heading3Char"/>
    <w:link w:val="Appendixheading3"/>
    <w:rsid w:val="00047257"/>
    <w:rPr>
      <w:rFonts w:ascii="Calibri" w:eastAsia="Times New Roman" w:hAnsi="Calibri" w:cs="Times New Roman"/>
      <w:b/>
      <w:bCs/>
      <w:iCs/>
      <w:sz w:val="24"/>
      <w:szCs w:val="24"/>
      <w:lang w:val="en-US"/>
    </w:rPr>
  </w:style>
  <w:style w:type="paragraph" w:customStyle="1" w:styleId="Blockquote2">
    <w:name w:val="Blockquote 2"/>
    <w:basedOn w:val="Blockquote"/>
    <w:link w:val="Blockquote2Char"/>
    <w:qFormat/>
    <w:rsid w:val="00047257"/>
    <w:pPr>
      <w:ind w:left="1418"/>
      <w:contextualSpacing/>
    </w:pPr>
  </w:style>
  <w:style w:type="character" w:customStyle="1" w:styleId="Blockquote2Char">
    <w:name w:val="Blockquote 2 Char"/>
    <w:basedOn w:val="BlockquoteChar"/>
    <w:link w:val="Blockquote2"/>
    <w:rsid w:val="00047257"/>
    <w:rPr>
      <w:rFonts w:ascii="Calibri" w:eastAsiaTheme="minorEastAsia" w:hAnsi="Calibri"/>
      <w:sz w:val="23"/>
      <w:lang w:val="en-US"/>
    </w:rPr>
  </w:style>
  <w:style w:type="paragraph" w:customStyle="1" w:styleId="Blockquote3">
    <w:name w:val="Blockquote 3"/>
    <w:basedOn w:val="Blockquote"/>
    <w:link w:val="Blockquote3Char"/>
    <w:qFormat/>
    <w:rsid w:val="00047257"/>
    <w:pPr>
      <w:ind w:left="1985"/>
      <w:contextualSpacing/>
    </w:pPr>
  </w:style>
  <w:style w:type="character" w:customStyle="1" w:styleId="Blockquote3Char">
    <w:name w:val="Blockquote 3 Char"/>
    <w:basedOn w:val="BlockquoteChar"/>
    <w:link w:val="Blockquote3"/>
    <w:rsid w:val="00047257"/>
    <w:rPr>
      <w:rFonts w:ascii="Calibri" w:eastAsiaTheme="minorEastAsia" w:hAnsi="Calibri"/>
      <w:sz w:val="23"/>
      <w:lang w:val="en-US"/>
    </w:rPr>
  </w:style>
  <w:style w:type="paragraph" w:customStyle="1" w:styleId="Blockquotebulletlist1">
    <w:name w:val="Blockquote bullet list 1"/>
    <w:basedOn w:val="Blockquote"/>
    <w:link w:val="Blockquotebulletlist1Char"/>
    <w:qFormat/>
    <w:rsid w:val="00047257"/>
    <w:pPr>
      <w:numPr>
        <w:numId w:val="8"/>
      </w:numPr>
    </w:pPr>
  </w:style>
  <w:style w:type="character" w:customStyle="1" w:styleId="Blockquotebulletlist1Char">
    <w:name w:val="Blockquote bullet list 1 Char"/>
    <w:basedOn w:val="BlockquoteChar"/>
    <w:link w:val="Blockquotebulletlist1"/>
    <w:rsid w:val="00047257"/>
    <w:rPr>
      <w:rFonts w:ascii="Calibri" w:eastAsiaTheme="minorEastAsia" w:hAnsi="Calibri"/>
      <w:sz w:val="24"/>
    </w:rPr>
  </w:style>
  <w:style w:type="numbering" w:customStyle="1" w:styleId="Blockquotebullets">
    <w:name w:val="Blockquote bullets"/>
    <w:uiPriority w:val="99"/>
    <w:rsid w:val="00047257"/>
    <w:pPr>
      <w:numPr>
        <w:numId w:val="7"/>
      </w:numPr>
    </w:pPr>
  </w:style>
  <w:style w:type="paragraph" w:customStyle="1" w:styleId="Casestudyheading">
    <w:name w:val="Case study heading"/>
    <w:basedOn w:val="Normal"/>
    <w:next w:val="Normal"/>
    <w:link w:val="CasestudyheadingChar"/>
    <w:qFormat/>
    <w:rsid w:val="003E76C5"/>
    <w:pPr>
      <w:keepNext/>
      <w:ind w:left="851" w:right="851"/>
    </w:pPr>
    <w:rPr>
      <w:b/>
      <w:lang w:eastAsia="en-US"/>
    </w:rPr>
  </w:style>
  <w:style w:type="character" w:customStyle="1" w:styleId="CasestudyheadingChar">
    <w:name w:val="Case study heading Char"/>
    <w:basedOn w:val="DefaultParagraphFont"/>
    <w:link w:val="Casestudyheading"/>
    <w:rsid w:val="003E76C5"/>
    <w:rPr>
      <w:rFonts w:ascii="Calibri" w:eastAsiaTheme="minorEastAsia" w:hAnsi="Calibri"/>
      <w:b/>
    </w:rPr>
  </w:style>
  <w:style w:type="paragraph" w:customStyle="1" w:styleId="Casestudy">
    <w:name w:val="Case study"/>
    <w:basedOn w:val="Casestudyheading"/>
    <w:link w:val="CasestudyChar"/>
    <w:qFormat/>
    <w:rsid w:val="00047257"/>
    <w:pPr>
      <w:keepNext w:val="0"/>
    </w:pPr>
    <w:rPr>
      <w:b w:val="0"/>
    </w:rPr>
  </w:style>
  <w:style w:type="character" w:customStyle="1" w:styleId="CasestudyChar">
    <w:name w:val="Case study Char"/>
    <w:basedOn w:val="CasestudyheadingChar"/>
    <w:link w:val="Casestudy"/>
    <w:rsid w:val="00047257"/>
    <w:rPr>
      <w:rFonts w:ascii="Calibri" w:eastAsiaTheme="minorEastAsia" w:hAnsi="Calibri"/>
      <w:b w:val="0"/>
      <w:sz w:val="23"/>
      <w:lang w:val="en-US"/>
    </w:rPr>
  </w:style>
  <w:style w:type="paragraph" w:customStyle="1" w:styleId="Casestudyquote">
    <w:name w:val="Case study quote"/>
    <w:basedOn w:val="Casestudy"/>
    <w:link w:val="CasestudyquoteChar"/>
    <w:qFormat/>
    <w:rsid w:val="00047257"/>
    <w:pPr>
      <w:ind w:left="1418" w:right="1418"/>
    </w:pPr>
  </w:style>
  <w:style w:type="character" w:customStyle="1" w:styleId="CasestudyquoteChar">
    <w:name w:val="Case study quote Char"/>
    <w:basedOn w:val="CasestudyChar"/>
    <w:link w:val="Casestudyquote"/>
    <w:rsid w:val="00047257"/>
    <w:rPr>
      <w:rFonts w:ascii="Calibri" w:eastAsiaTheme="minorEastAsia" w:hAnsi="Calibri"/>
      <w:b w:val="0"/>
      <w:sz w:val="23"/>
      <w:lang w:val="en-US"/>
    </w:rPr>
  </w:style>
  <w:style w:type="numbering" w:customStyle="1" w:styleId="Recommendations">
    <w:name w:val="Recommendations"/>
    <w:uiPriority w:val="99"/>
    <w:rsid w:val="00593975"/>
    <w:pPr>
      <w:numPr>
        <w:numId w:val="9"/>
      </w:numPr>
    </w:pPr>
  </w:style>
  <w:style w:type="character" w:customStyle="1" w:styleId="FootnoteReference1">
    <w:name w:val="Footnote Reference1"/>
    <w:basedOn w:val="DefaultParagraphFont"/>
    <w:rsid w:val="00EF4492"/>
    <w:rPr>
      <w:vertAlign w:val="superscript"/>
    </w:rPr>
  </w:style>
  <w:style w:type="character" w:customStyle="1" w:styleId="FootnoteCharacters">
    <w:name w:val="Footnote Characters"/>
    <w:rsid w:val="00EF4492"/>
  </w:style>
  <w:style w:type="paragraph" w:customStyle="1" w:styleId="FootnoteText1">
    <w:name w:val="Footnote Text1"/>
    <w:rsid w:val="00EF4492"/>
    <w:pPr>
      <w:suppressAutoHyphens/>
      <w:spacing w:after="120"/>
    </w:pPr>
    <w:rPr>
      <w:rFonts w:ascii="Calibri" w:eastAsia="Arial Unicode MS" w:hAnsi="Calibri" w:cs="Arial Unicode MS"/>
      <w:kern w:val="1"/>
      <w:sz w:val="18"/>
      <w:szCs w:val="20"/>
      <w:lang w:val="en-IE"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0" w:unhideWhenUsed="0" w:qFormat="1"/>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Body text"/>
    <w:qFormat/>
    <w:rsid w:val="00C3425C"/>
    <w:pPr>
      <w:spacing w:before="100" w:beforeAutospacing="1" w:after="100" w:afterAutospacing="1"/>
      <w:jc w:val="both"/>
    </w:pPr>
    <w:rPr>
      <w:rFonts w:ascii="Calibri" w:eastAsiaTheme="minorEastAsia" w:hAnsi="Calibri"/>
      <w:sz w:val="24"/>
      <w:lang w:eastAsia="en-AU"/>
    </w:rPr>
  </w:style>
  <w:style w:type="paragraph" w:styleId="Heading1">
    <w:name w:val="heading 1"/>
    <w:next w:val="Normal"/>
    <w:link w:val="Heading1Char"/>
    <w:qFormat/>
    <w:rsid w:val="003E76C5"/>
    <w:pPr>
      <w:keepNext/>
      <w:keepLines/>
      <w:pageBreakBefore/>
      <w:numPr>
        <w:numId w:val="4"/>
      </w:numPr>
      <w:spacing w:before="100" w:beforeAutospacing="1" w:after="240"/>
      <w:outlineLvl w:val="0"/>
    </w:pPr>
    <w:rPr>
      <w:rFonts w:ascii="Calibri" w:eastAsiaTheme="majorEastAsia" w:hAnsi="Calibri" w:cstheme="majorBidi"/>
      <w:bCs/>
      <w:sz w:val="48"/>
      <w:szCs w:val="28"/>
    </w:rPr>
  </w:style>
  <w:style w:type="paragraph" w:styleId="Heading2">
    <w:name w:val="heading 2"/>
    <w:next w:val="Normal"/>
    <w:link w:val="Heading2Char"/>
    <w:qFormat/>
    <w:rsid w:val="00CB446B"/>
    <w:pPr>
      <w:keepNext/>
      <w:numPr>
        <w:ilvl w:val="1"/>
        <w:numId w:val="4"/>
      </w:numPr>
      <w:spacing w:before="100" w:beforeAutospacing="1" w:after="240"/>
      <w:outlineLvl w:val="1"/>
    </w:pPr>
    <w:rPr>
      <w:rFonts w:ascii="Calibri" w:eastAsia="Times New Roman" w:hAnsi="Calibri" w:cs="Times New Roman"/>
      <w:bCs/>
      <w:iCs/>
      <w:sz w:val="28"/>
      <w:szCs w:val="24"/>
    </w:rPr>
  </w:style>
  <w:style w:type="paragraph" w:styleId="Heading3">
    <w:name w:val="heading 3"/>
    <w:next w:val="Normal"/>
    <w:link w:val="Heading3Char"/>
    <w:qFormat/>
    <w:rsid w:val="003E76C5"/>
    <w:pPr>
      <w:keepNext/>
      <w:numPr>
        <w:ilvl w:val="2"/>
        <w:numId w:val="4"/>
      </w:numPr>
      <w:spacing w:before="100" w:beforeAutospacing="1" w:after="240"/>
      <w:outlineLvl w:val="2"/>
    </w:pPr>
    <w:rPr>
      <w:rFonts w:ascii="Calibri" w:eastAsia="Times New Roman" w:hAnsi="Calibri" w:cs="Times New Roman"/>
      <w:bCs/>
      <w:iCs/>
      <w:sz w:val="28"/>
      <w:szCs w:val="24"/>
    </w:rPr>
  </w:style>
  <w:style w:type="paragraph" w:styleId="Heading4">
    <w:name w:val="heading 4"/>
    <w:next w:val="Normal"/>
    <w:link w:val="Heading4Char"/>
    <w:unhideWhenUsed/>
    <w:qFormat/>
    <w:rsid w:val="00C3425C"/>
    <w:pPr>
      <w:keepNext/>
      <w:keepLines/>
      <w:spacing w:before="100" w:beforeAutospacing="1" w:after="240"/>
      <w:outlineLvl w:val="3"/>
    </w:pPr>
    <w:rPr>
      <w:rFonts w:ascii="Calibri" w:eastAsiaTheme="majorEastAsia" w:hAnsi="Calibri" w:cstheme="majorBidi"/>
      <w:bCs/>
      <w:i/>
      <w:iCs/>
      <w:sz w:val="24"/>
      <w:u w:val="single"/>
    </w:rPr>
  </w:style>
  <w:style w:type="paragraph" w:styleId="Heading5">
    <w:name w:val="heading 5"/>
    <w:next w:val="Normal"/>
    <w:link w:val="Heading5Char"/>
    <w:unhideWhenUsed/>
    <w:qFormat/>
    <w:rsid w:val="003E76C5"/>
    <w:pPr>
      <w:keepNext/>
      <w:keepLines/>
      <w:outlineLvl w:val="4"/>
    </w:pPr>
    <w:rPr>
      <w:rFonts w:ascii="Calibri" w:eastAsiaTheme="majorEastAsia" w:hAnsi="Calibri" w:cstheme="majorBidi"/>
      <w:sz w:val="23"/>
      <w:u w:val="single"/>
    </w:rPr>
  </w:style>
  <w:style w:type="paragraph" w:styleId="Heading6">
    <w:name w:val="heading 6"/>
    <w:next w:val="Normal"/>
    <w:link w:val="Heading6Char"/>
    <w:unhideWhenUsed/>
    <w:qFormat/>
    <w:rsid w:val="003E76C5"/>
    <w:pPr>
      <w:keepNext/>
      <w:keepLines/>
      <w:spacing w:before="200"/>
      <w:outlineLvl w:val="5"/>
    </w:pPr>
    <w:rPr>
      <w:rFonts w:ascii="Calibri" w:eastAsiaTheme="majorEastAsia" w:hAnsi="Calibri" w:cstheme="majorBidi"/>
      <w:i/>
      <w:iCs/>
      <w:sz w:val="23"/>
    </w:rPr>
  </w:style>
  <w:style w:type="paragraph" w:styleId="Heading7">
    <w:name w:val="heading 7"/>
    <w:next w:val="Normal"/>
    <w:link w:val="Heading7Char"/>
    <w:unhideWhenUsed/>
    <w:qFormat/>
    <w:rsid w:val="00EC1696"/>
    <w:pPr>
      <w:keepNext/>
      <w:keepLines/>
      <w:spacing w:before="200"/>
      <w:outlineLvl w:val="6"/>
    </w:pPr>
    <w:rPr>
      <w:rFonts w:asciiTheme="majorHAnsi" w:eastAsiaTheme="majorEastAsia" w:hAnsiTheme="majorHAnsi" w:cstheme="majorBidi"/>
      <w:i/>
      <w:iCs/>
      <w:color w:val="404040" w:themeColor="text1" w:themeTint="BF"/>
      <w:sz w:val="23"/>
      <w:lang w:eastAsia="en-AU"/>
    </w:rPr>
  </w:style>
  <w:style w:type="paragraph" w:styleId="Heading8">
    <w:name w:val="heading 8"/>
    <w:basedOn w:val="Normal"/>
    <w:next w:val="Normal"/>
    <w:link w:val="Heading8Char"/>
    <w:unhideWhenUsed/>
    <w:qFormat/>
    <w:rsid w:val="00EC169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nhideWhenUsed/>
    <w:qFormat/>
    <w:rsid w:val="00EC169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E76C5"/>
    <w:rPr>
      <w:rFonts w:ascii="Calibri" w:eastAsiaTheme="majorEastAsia" w:hAnsi="Calibri" w:cstheme="majorBidi"/>
      <w:bCs/>
      <w:sz w:val="48"/>
      <w:szCs w:val="28"/>
    </w:rPr>
  </w:style>
  <w:style w:type="character" w:customStyle="1" w:styleId="Heading2Char">
    <w:name w:val="Heading 2 Char"/>
    <w:basedOn w:val="DefaultParagraphFont"/>
    <w:link w:val="Heading2"/>
    <w:rsid w:val="00CB446B"/>
    <w:rPr>
      <w:rFonts w:ascii="Calibri" w:eastAsia="Times New Roman" w:hAnsi="Calibri" w:cs="Times New Roman"/>
      <w:bCs/>
      <w:iCs/>
      <w:sz w:val="28"/>
      <w:szCs w:val="24"/>
    </w:rPr>
  </w:style>
  <w:style w:type="character" w:customStyle="1" w:styleId="Heading3Char">
    <w:name w:val="Heading 3 Char"/>
    <w:basedOn w:val="DefaultParagraphFont"/>
    <w:link w:val="Heading3"/>
    <w:rsid w:val="003E76C5"/>
    <w:rPr>
      <w:rFonts w:ascii="Calibri" w:eastAsia="Times New Roman" w:hAnsi="Calibri" w:cs="Times New Roman"/>
      <w:bCs/>
      <w:iCs/>
      <w:sz w:val="28"/>
      <w:szCs w:val="24"/>
    </w:rPr>
  </w:style>
  <w:style w:type="character" w:customStyle="1" w:styleId="Heading4Char">
    <w:name w:val="Heading 4 Char"/>
    <w:basedOn w:val="DefaultParagraphFont"/>
    <w:link w:val="Heading4"/>
    <w:uiPriority w:val="9"/>
    <w:rsid w:val="00C3425C"/>
    <w:rPr>
      <w:rFonts w:ascii="Calibri" w:eastAsiaTheme="majorEastAsia" w:hAnsi="Calibri" w:cstheme="majorBidi"/>
      <w:bCs/>
      <w:i/>
      <w:iCs/>
      <w:sz w:val="24"/>
      <w:u w:val="single"/>
    </w:rPr>
  </w:style>
  <w:style w:type="character" w:customStyle="1" w:styleId="Heading5Char">
    <w:name w:val="Heading 5 Char"/>
    <w:basedOn w:val="DefaultParagraphFont"/>
    <w:link w:val="Heading5"/>
    <w:uiPriority w:val="9"/>
    <w:rsid w:val="003E76C5"/>
    <w:rPr>
      <w:rFonts w:ascii="Calibri" w:eastAsiaTheme="majorEastAsia" w:hAnsi="Calibri" w:cstheme="majorBidi"/>
      <w:sz w:val="23"/>
      <w:u w:val="single"/>
    </w:rPr>
  </w:style>
  <w:style w:type="character" w:customStyle="1" w:styleId="Heading6Char">
    <w:name w:val="Heading 6 Char"/>
    <w:basedOn w:val="DefaultParagraphFont"/>
    <w:link w:val="Heading6"/>
    <w:uiPriority w:val="9"/>
    <w:rsid w:val="003E76C5"/>
    <w:rPr>
      <w:rFonts w:ascii="Calibri" w:eastAsiaTheme="majorEastAsia" w:hAnsi="Calibri" w:cstheme="majorBidi"/>
      <w:i/>
      <w:iCs/>
      <w:sz w:val="23"/>
    </w:rPr>
  </w:style>
  <w:style w:type="paragraph" w:customStyle="1" w:styleId="Normal0">
    <w:name w:val="[Normal]"/>
    <w:uiPriority w:val="99"/>
    <w:rsid w:val="008F7E90"/>
    <w:pPr>
      <w:widowControl w:val="0"/>
      <w:autoSpaceDE w:val="0"/>
      <w:autoSpaceDN w:val="0"/>
      <w:adjustRightInd w:val="0"/>
    </w:pPr>
    <w:rPr>
      <w:rFonts w:ascii="Arial" w:hAnsi="Arial" w:cs="Arial"/>
      <w:sz w:val="24"/>
      <w:szCs w:val="24"/>
    </w:rPr>
  </w:style>
  <w:style w:type="character" w:customStyle="1" w:styleId="DHSText10ptChar">
    <w:name w:val="DHS Text 10pt Char"/>
    <w:uiPriority w:val="99"/>
    <w:rsid w:val="008F7E90"/>
    <w:rPr>
      <w:rFonts w:ascii="Verdana" w:hAnsi="Verdana"/>
      <w:lang w:val="en-AU" w:eastAsia="en-US"/>
    </w:rPr>
  </w:style>
  <w:style w:type="character" w:customStyle="1" w:styleId="notranslate">
    <w:name w:val="notranslate"/>
    <w:basedOn w:val="DefaultParagraphFont"/>
    <w:rsid w:val="008F7E90"/>
  </w:style>
  <w:style w:type="paragraph" w:customStyle="1" w:styleId="LineLast">
    <w:name w:val="Line Last"/>
    <w:basedOn w:val="Normal"/>
    <w:rsid w:val="003E76C5"/>
    <w:pPr>
      <w:tabs>
        <w:tab w:val="left" w:leader="underscore" w:pos="8640"/>
      </w:tabs>
      <w:spacing w:before="60" w:after="360"/>
    </w:pPr>
    <w:rPr>
      <w:rFonts w:ascii="Tahoma" w:eastAsia="Times New Roman" w:hAnsi="Tahoma" w:cs="Times New Roman"/>
      <w:sz w:val="20"/>
      <w:szCs w:val="24"/>
      <w:lang w:eastAsia="en-US"/>
    </w:rPr>
  </w:style>
  <w:style w:type="paragraph" w:customStyle="1" w:styleId="Line">
    <w:name w:val="Line"/>
    <w:basedOn w:val="Normal"/>
    <w:rsid w:val="003E76C5"/>
    <w:pPr>
      <w:tabs>
        <w:tab w:val="left" w:leader="underscore" w:pos="8640"/>
      </w:tabs>
      <w:spacing w:before="60"/>
    </w:pPr>
    <w:rPr>
      <w:rFonts w:ascii="Tahoma" w:eastAsia="Times New Roman" w:hAnsi="Tahoma" w:cs="Times New Roman"/>
      <w:sz w:val="20"/>
      <w:szCs w:val="24"/>
      <w:lang w:eastAsia="en-US"/>
    </w:rPr>
  </w:style>
  <w:style w:type="paragraph" w:customStyle="1" w:styleId="Thankyou">
    <w:name w:val="Thankyou"/>
    <w:basedOn w:val="Normal"/>
    <w:rsid w:val="003E76C5"/>
    <w:pPr>
      <w:keepNext/>
      <w:jc w:val="center"/>
    </w:pPr>
    <w:rPr>
      <w:rFonts w:ascii="Tahoma" w:eastAsia="Times New Roman" w:hAnsi="Tahoma" w:cs="Times New Roman"/>
      <w:sz w:val="20"/>
      <w:szCs w:val="24"/>
      <w:lang w:eastAsia="en-US"/>
    </w:rPr>
  </w:style>
  <w:style w:type="character" w:customStyle="1" w:styleId="maintitle">
    <w:name w:val="maintitle"/>
    <w:basedOn w:val="DefaultParagraphFont"/>
    <w:rsid w:val="008F7E90"/>
  </w:style>
  <w:style w:type="paragraph" w:customStyle="1" w:styleId="Tablecell">
    <w:name w:val="Table cell"/>
    <w:rsid w:val="003E76C5"/>
    <w:pPr>
      <w:keepLines/>
      <w:suppressAutoHyphens/>
      <w:spacing w:before="40" w:after="40"/>
    </w:pPr>
    <w:rPr>
      <w:rFonts w:ascii="Arial" w:eastAsia="Times New Roman" w:hAnsi="Arial" w:cs="Arial"/>
      <w:sz w:val="16"/>
      <w:szCs w:val="20"/>
    </w:rPr>
  </w:style>
  <w:style w:type="paragraph" w:styleId="Header">
    <w:name w:val="header"/>
    <w:link w:val="HeaderChar"/>
    <w:uiPriority w:val="99"/>
    <w:unhideWhenUsed/>
    <w:rsid w:val="003E76C5"/>
    <w:pPr>
      <w:tabs>
        <w:tab w:val="center" w:pos="4513"/>
        <w:tab w:val="right" w:pos="9026"/>
      </w:tabs>
      <w:spacing w:after="240"/>
    </w:pPr>
    <w:rPr>
      <w:rFonts w:ascii="Calibri" w:hAnsi="Calibri"/>
      <w:sz w:val="23"/>
    </w:rPr>
  </w:style>
  <w:style w:type="character" w:customStyle="1" w:styleId="HeaderChar">
    <w:name w:val="Header Char"/>
    <w:basedOn w:val="DefaultParagraphFont"/>
    <w:link w:val="Header"/>
    <w:uiPriority w:val="99"/>
    <w:rsid w:val="003E76C5"/>
    <w:rPr>
      <w:rFonts w:ascii="Calibri" w:hAnsi="Calibri"/>
      <w:sz w:val="23"/>
    </w:rPr>
  </w:style>
  <w:style w:type="paragraph" w:styleId="TOC1">
    <w:name w:val="toc 1"/>
    <w:basedOn w:val="Normal"/>
    <w:next w:val="Normal"/>
    <w:autoRedefine/>
    <w:uiPriority w:val="39"/>
    <w:unhideWhenUsed/>
    <w:qFormat/>
    <w:rsid w:val="004F2201"/>
    <w:pPr>
      <w:tabs>
        <w:tab w:val="left" w:pos="440"/>
        <w:tab w:val="right" w:leader="dot" w:pos="9016"/>
      </w:tabs>
      <w:spacing w:before="120" w:beforeAutospacing="0" w:after="120" w:afterAutospacing="0"/>
    </w:pPr>
  </w:style>
  <w:style w:type="paragraph" w:styleId="TOC2">
    <w:name w:val="toc 2"/>
    <w:basedOn w:val="Normal"/>
    <w:next w:val="Normal"/>
    <w:autoRedefine/>
    <w:uiPriority w:val="39"/>
    <w:unhideWhenUsed/>
    <w:qFormat/>
    <w:rsid w:val="004F2201"/>
    <w:pPr>
      <w:tabs>
        <w:tab w:val="left" w:pos="880"/>
        <w:tab w:val="right" w:leader="dot" w:pos="9016"/>
      </w:tabs>
      <w:spacing w:before="120" w:beforeAutospacing="0" w:after="120" w:afterAutospacing="0"/>
      <w:ind w:left="232"/>
    </w:pPr>
    <w:rPr>
      <w:noProof/>
    </w:rPr>
  </w:style>
  <w:style w:type="paragraph" w:styleId="TOC3">
    <w:name w:val="toc 3"/>
    <w:basedOn w:val="Normal"/>
    <w:next w:val="Normal"/>
    <w:autoRedefine/>
    <w:uiPriority w:val="39"/>
    <w:unhideWhenUsed/>
    <w:qFormat/>
    <w:rsid w:val="004F2201"/>
    <w:pPr>
      <w:tabs>
        <w:tab w:val="left" w:pos="1320"/>
        <w:tab w:val="right" w:leader="dot" w:pos="9016"/>
      </w:tabs>
      <w:spacing w:before="120" w:beforeAutospacing="0" w:after="120" w:afterAutospacing="0"/>
      <w:ind w:left="459"/>
    </w:pPr>
    <w:rPr>
      <w:noProof/>
    </w:rPr>
  </w:style>
  <w:style w:type="numbering" w:customStyle="1" w:styleId="Appendices">
    <w:name w:val="Appendices"/>
    <w:uiPriority w:val="99"/>
    <w:rsid w:val="00047257"/>
    <w:pPr>
      <w:numPr>
        <w:numId w:val="5"/>
      </w:numPr>
    </w:pPr>
  </w:style>
  <w:style w:type="paragraph" w:styleId="FootnoteText">
    <w:name w:val="footnote text"/>
    <w:link w:val="FootnoteTextChar"/>
    <w:uiPriority w:val="99"/>
    <w:unhideWhenUsed/>
    <w:rsid w:val="003E76C5"/>
    <w:pPr>
      <w:spacing w:after="120"/>
    </w:pPr>
    <w:rPr>
      <w:rFonts w:ascii="Calibri" w:hAnsi="Calibri"/>
      <w:sz w:val="18"/>
      <w:szCs w:val="20"/>
    </w:rPr>
  </w:style>
  <w:style w:type="character" w:customStyle="1" w:styleId="FootnoteTextChar">
    <w:name w:val="Footnote Text Char"/>
    <w:basedOn w:val="DefaultParagraphFont"/>
    <w:link w:val="FootnoteText"/>
    <w:uiPriority w:val="99"/>
    <w:rsid w:val="003E76C5"/>
    <w:rPr>
      <w:rFonts w:ascii="Calibri" w:hAnsi="Calibri"/>
      <w:sz w:val="18"/>
      <w:szCs w:val="20"/>
    </w:rPr>
  </w:style>
  <w:style w:type="paragraph" w:styleId="CommentText">
    <w:name w:val="annotation text"/>
    <w:basedOn w:val="Normal"/>
    <w:link w:val="CommentTextChar"/>
    <w:uiPriority w:val="99"/>
    <w:unhideWhenUsed/>
    <w:rsid w:val="003E76C5"/>
    <w:rPr>
      <w:rFonts w:eastAsiaTheme="minorHAnsi"/>
      <w:sz w:val="20"/>
      <w:szCs w:val="20"/>
      <w:lang w:eastAsia="en-US"/>
    </w:rPr>
  </w:style>
  <w:style w:type="character" w:customStyle="1" w:styleId="CommentTextChar">
    <w:name w:val="Comment Text Char"/>
    <w:basedOn w:val="DefaultParagraphFont"/>
    <w:link w:val="CommentText"/>
    <w:uiPriority w:val="99"/>
    <w:rsid w:val="003E76C5"/>
    <w:rPr>
      <w:rFonts w:ascii="Calibri" w:hAnsi="Calibri"/>
      <w:sz w:val="20"/>
      <w:szCs w:val="20"/>
    </w:rPr>
  </w:style>
  <w:style w:type="paragraph" w:styleId="Footer">
    <w:name w:val="footer"/>
    <w:basedOn w:val="Normal"/>
    <w:link w:val="FooterChar"/>
    <w:uiPriority w:val="99"/>
    <w:unhideWhenUsed/>
    <w:rsid w:val="003E76C5"/>
    <w:pPr>
      <w:tabs>
        <w:tab w:val="center" w:pos="4513"/>
        <w:tab w:val="right" w:pos="9026"/>
      </w:tabs>
      <w:ind w:left="8505"/>
    </w:pPr>
    <w:rPr>
      <w:rFonts w:eastAsiaTheme="minorHAnsi"/>
      <w:lang w:eastAsia="en-US"/>
    </w:rPr>
  </w:style>
  <w:style w:type="character" w:customStyle="1" w:styleId="FooterChar">
    <w:name w:val="Footer Char"/>
    <w:basedOn w:val="DefaultParagraphFont"/>
    <w:link w:val="Footer"/>
    <w:uiPriority w:val="99"/>
    <w:rsid w:val="003E76C5"/>
    <w:rPr>
      <w:rFonts w:ascii="Calibri" w:hAnsi="Calibri"/>
    </w:rPr>
  </w:style>
  <w:style w:type="paragraph" w:styleId="Caption">
    <w:name w:val="caption"/>
    <w:basedOn w:val="Normal"/>
    <w:next w:val="Normal"/>
    <w:uiPriority w:val="35"/>
    <w:unhideWhenUsed/>
    <w:rsid w:val="003E76C5"/>
    <w:rPr>
      <w:rFonts w:eastAsiaTheme="minorHAnsi"/>
      <w:b/>
      <w:bCs/>
      <w:color w:val="4F81BD" w:themeColor="accent1"/>
      <w:sz w:val="18"/>
      <w:szCs w:val="18"/>
      <w:lang w:eastAsia="en-US"/>
    </w:rPr>
  </w:style>
  <w:style w:type="character" w:styleId="FootnoteReference">
    <w:name w:val="footnote reference"/>
    <w:basedOn w:val="DefaultParagraphFont"/>
    <w:uiPriority w:val="99"/>
    <w:unhideWhenUsed/>
    <w:rsid w:val="008F7E90"/>
    <w:rPr>
      <w:vertAlign w:val="superscript"/>
    </w:rPr>
  </w:style>
  <w:style w:type="character" w:styleId="CommentReference">
    <w:name w:val="annotation reference"/>
    <w:basedOn w:val="DefaultParagraphFont"/>
    <w:uiPriority w:val="99"/>
    <w:semiHidden/>
    <w:unhideWhenUsed/>
    <w:rsid w:val="008F7E90"/>
    <w:rPr>
      <w:sz w:val="16"/>
      <w:szCs w:val="16"/>
    </w:rPr>
  </w:style>
  <w:style w:type="character" w:styleId="EndnoteReference">
    <w:name w:val="endnote reference"/>
    <w:basedOn w:val="DefaultParagraphFont"/>
    <w:uiPriority w:val="99"/>
    <w:semiHidden/>
    <w:unhideWhenUsed/>
    <w:rsid w:val="008F7E90"/>
    <w:rPr>
      <w:vertAlign w:val="superscript"/>
    </w:rPr>
  </w:style>
  <w:style w:type="paragraph" w:styleId="EndnoteText">
    <w:name w:val="endnote text"/>
    <w:basedOn w:val="Normal"/>
    <w:link w:val="EndnoteTextChar"/>
    <w:uiPriority w:val="99"/>
    <w:semiHidden/>
    <w:unhideWhenUsed/>
    <w:rsid w:val="008F7E90"/>
    <w:rPr>
      <w:rFonts w:eastAsiaTheme="minorHAnsi"/>
      <w:sz w:val="20"/>
      <w:szCs w:val="20"/>
      <w:lang w:val="en-GB" w:eastAsia="en-US"/>
    </w:rPr>
  </w:style>
  <w:style w:type="character" w:customStyle="1" w:styleId="EndnoteTextChar">
    <w:name w:val="Endnote Text Char"/>
    <w:basedOn w:val="DefaultParagraphFont"/>
    <w:link w:val="EndnoteText"/>
    <w:uiPriority w:val="99"/>
    <w:semiHidden/>
    <w:rsid w:val="008F7E90"/>
    <w:rPr>
      <w:sz w:val="20"/>
      <w:szCs w:val="20"/>
      <w:lang w:val="en-GB"/>
    </w:rPr>
  </w:style>
  <w:style w:type="paragraph" w:styleId="Title">
    <w:name w:val="Title"/>
    <w:aliases w:val="Submission"/>
    <w:next w:val="Normal"/>
    <w:link w:val="TitleChar"/>
    <w:qFormat/>
    <w:rsid w:val="003E76C5"/>
    <w:pPr>
      <w:spacing w:before="2040" w:after="120"/>
      <w:contextualSpacing/>
      <w:jc w:val="center"/>
    </w:pPr>
    <w:rPr>
      <w:rFonts w:ascii="Calibri" w:eastAsiaTheme="majorEastAsia" w:hAnsi="Calibri" w:cstheme="majorBidi"/>
      <w:b/>
      <w:spacing w:val="5"/>
      <w:kern w:val="28"/>
      <w:sz w:val="52"/>
      <w:szCs w:val="52"/>
    </w:rPr>
  </w:style>
  <w:style w:type="character" w:customStyle="1" w:styleId="TitleChar">
    <w:name w:val="Title Char"/>
    <w:aliases w:val="Submission Char"/>
    <w:basedOn w:val="DefaultParagraphFont"/>
    <w:link w:val="Title"/>
    <w:rsid w:val="003E76C5"/>
    <w:rPr>
      <w:rFonts w:ascii="Calibri" w:eastAsiaTheme="majorEastAsia" w:hAnsi="Calibri" w:cstheme="majorBidi"/>
      <w:b/>
      <w:spacing w:val="5"/>
      <w:kern w:val="28"/>
      <w:sz w:val="52"/>
      <w:szCs w:val="52"/>
    </w:rPr>
  </w:style>
  <w:style w:type="paragraph" w:styleId="BodyText">
    <w:name w:val="Body Text"/>
    <w:basedOn w:val="Normal"/>
    <w:link w:val="BodyTextChar"/>
    <w:rsid w:val="003E76C5"/>
    <w:rPr>
      <w:rFonts w:ascii="Times New Roman" w:eastAsia="Times New Roman" w:hAnsi="Times New Roman" w:cs="Times New Roman"/>
      <w:szCs w:val="24"/>
      <w:lang w:eastAsia="en-US"/>
    </w:rPr>
  </w:style>
  <w:style w:type="character" w:customStyle="1" w:styleId="BodyTextChar">
    <w:name w:val="Body Text Char"/>
    <w:basedOn w:val="DefaultParagraphFont"/>
    <w:link w:val="BodyText"/>
    <w:rsid w:val="003E76C5"/>
    <w:rPr>
      <w:rFonts w:ascii="Times New Roman" w:eastAsia="Times New Roman" w:hAnsi="Times New Roman" w:cs="Times New Roman"/>
      <w:szCs w:val="24"/>
    </w:rPr>
  </w:style>
  <w:style w:type="character" w:styleId="Hyperlink">
    <w:name w:val="Hyperlink"/>
    <w:basedOn w:val="DefaultParagraphFont"/>
    <w:uiPriority w:val="99"/>
    <w:unhideWhenUsed/>
    <w:rsid w:val="008F7E90"/>
    <w:rPr>
      <w:color w:val="0000FF" w:themeColor="hyperlink"/>
      <w:u w:val="single"/>
    </w:rPr>
  </w:style>
  <w:style w:type="character" w:styleId="Strong">
    <w:name w:val="Strong"/>
    <w:basedOn w:val="DefaultParagraphFont"/>
    <w:uiPriority w:val="22"/>
    <w:rsid w:val="008F7E90"/>
    <w:rPr>
      <w:b/>
      <w:bCs/>
    </w:rPr>
  </w:style>
  <w:style w:type="paragraph" w:styleId="NormalWeb">
    <w:name w:val="Normal (Web)"/>
    <w:basedOn w:val="Normal"/>
    <w:uiPriority w:val="99"/>
    <w:semiHidden/>
    <w:unhideWhenUsed/>
    <w:rsid w:val="008F7E90"/>
    <w:pPr>
      <w:spacing w:before="140" w:after="140"/>
    </w:pPr>
    <w:rPr>
      <w:rFonts w:ascii="Trebuchet MS" w:eastAsia="Times New Roman" w:hAnsi="Trebuchet MS" w:cs="Times New Roman"/>
      <w:szCs w:val="24"/>
    </w:rPr>
  </w:style>
  <w:style w:type="paragraph" w:styleId="CommentSubject">
    <w:name w:val="annotation subject"/>
    <w:basedOn w:val="CommentText"/>
    <w:next w:val="CommentText"/>
    <w:link w:val="CommentSubjectChar"/>
    <w:uiPriority w:val="99"/>
    <w:semiHidden/>
    <w:unhideWhenUsed/>
    <w:rsid w:val="008F7E90"/>
    <w:rPr>
      <w:b/>
      <w:bCs/>
    </w:rPr>
  </w:style>
  <w:style w:type="character" w:customStyle="1" w:styleId="CommentSubjectChar">
    <w:name w:val="Comment Subject Char"/>
    <w:basedOn w:val="CommentTextChar"/>
    <w:link w:val="CommentSubject"/>
    <w:uiPriority w:val="99"/>
    <w:semiHidden/>
    <w:rsid w:val="008F7E90"/>
    <w:rPr>
      <w:rFonts w:ascii="Calibri" w:hAnsi="Calibri"/>
      <w:b/>
      <w:bCs/>
      <w:sz w:val="20"/>
      <w:szCs w:val="20"/>
      <w:lang w:val="en-GB"/>
    </w:rPr>
  </w:style>
  <w:style w:type="paragraph" w:styleId="BalloonText">
    <w:name w:val="Balloon Text"/>
    <w:basedOn w:val="Normal"/>
    <w:link w:val="BalloonTextChar"/>
    <w:uiPriority w:val="99"/>
    <w:semiHidden/>
    <w:unhideWhenUsed/>
    <w:rsid w:val="008F7E90"/>
    <w:rPr>
      <w:rFonts w:ascii="Tahoma" w:eastAsiaTheme="minorHAnsi" w:hAnsi="Tahoma" w:cs="Tahoma"/>
      <w:sz w:val="16"/>
      <w:szCs w:val="16"/>
      <w:lang w:val="en-GB" w:eastAsia="en-US"/>
    </w:rPr>
  </w:style>
  <w:style w:type="character" w:customStyle="1" w:styleId="BalloonTextChar">
    <w:name w:val="Balloon Text Char"/>
    <w:basedOn w:val="DefaultParagraphFont"/>
    <w:link w:val="BalloonText"/>
    <w:uiPriority w:val="99"/>
    <w:semiHidden/>
    <w:rsid w:val="008F7E90"/>
    <w:rPr>
      <w:rFonts w:ascii="Tahoma" w:hAnsi="Tahoma" w:cs="Tahoma"/>
      <w:sz w:val="16"/>
      <w:szCs w:val="16"/>
      <w:lang w:val="en-GB"/>
    </w:rPr>
  </w:style>
  <w:style w:type="table" w:styleId="TableGrid">
    <w:name w:val="Table Grid"/>
    <w:basedOn w:val="TableNormal"/>
    <w:uiPriority w:val="59"/>
    <w:rsid w:val="008F7E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rsid w:val="003E76C5"/>
    <w:pPr>
      <w:ind w:left="720"/>
      <w:contextualSpacing/>
    </w:pPr>
    <w:rPr>
      <w:rFonts w:eastAsiaTheme="minorHAnsi"/>
      <w:lang w:eastAsia="en-US"/>
    </w:rPr>
  </w:style>
  <w:style w:type="paragraph" w:styleId="TOCHeading">
    <w:name w:val="TOC Heading"/>
    <w:basedOn w:val="Heading1"/>
    <w:next w:val="Normal"/>
    <w:uiPriority w:val="39"/>
    <w:unhideWhenUsed/>
    <w:qFormat/>
    <w:rsid w:val="003E76C5"/>
    <w:pPr>
      <w:numPr>
        <w:numId w:val="0"/>
      </w:numPr>
      <w:spacing w:line="276" w:lineRule="auto"/>
      <w:outlineLvl w:val="9"/>
    </w:pPr>
  </w:style>
  <w:style w:type="character" w:styleId="FollowedHyperlink">
    <w:name w:val="FollowedHyperlink"/>
    <w:basedOn w:val="DefaultParagraphFont"/>
    <w:uiPriority w:val="99"/>
    <w:semiHidden/>
    <w:unhideWhenUsed/>
    <w:rsid w:val="00E54047"/>
    <w:rPr>
      <w:color w:val="800080" w:themeColor="followedHyperlink"/>
      <w:u w:val="single"/>
    </w:rPr>
  </w:style>
  <w:style w:type="paragraph" w:styleId="NoSpacing">
    <w:name w:val="No Spacing"/>
    <w:uiPriority w:val="1"/>
    <w:rsid w:val="000D51F4"/>
    <w:rPr>
      <w:rFonts w:ascii="Calibri" w:eastAsiaTheme="minorEastAsia" w:hAnsi="Calibri"/>
      <w:sz w:val="23"/>
      <w:lang w:eastAsia="en-AU"/>
    </w:rPr>
  </w:style>
  <w:style w:type="paragraph" w:customStyle="1" w:styleId="About">
    <w:name w:val="About"/>
    <w:basedOn w:val="Normal"/>
    <w:link w:val="AboutChar"/>
    <w:qFormat/>
    <w:rsid w:val="00C12182"/>
    <w:rPr>
      <w:b/>
    </w:rPr>
  </w:style>
  <w:style w:type="table" w:customStyle="1" w:styleId="ACCANtable">
    <w:name w:val="ACCAN table"/>
    <w:basedOn w:val="TableNormal"/>
    <w:uiPriority w:val="99"/>
    <w:rsid w:val="0036351B"/>
    <w:tblPr>
      <w:jc w:val="center"/>
      <w:tblBorders>
        <w:top w:val="single" w:sz="4" w:space="0" w:color="44C8F5"/>
        <w:bottom w:val="single" w:sz="4" w:space="0" w:color="44C8F5"/>
        <w:insideH w:val="single" w:sz="4" w:space="0" w:color="44C8F5"/>
      </w:tblBorders>
      <w:tblCellMar>
        <w:top w:w="108" w:type="dxa"/>
        <w:bottom w:w="108" w:type="dxa"/>
      </w:tblCellMar>
    </w:tblPr>
    <w:trPr>
      <w:jc w:val="center"/>
    </w:trPr>
    <w:tblStylePr w:type="firstRow">
      <w:pPr>
        <w:jc w:val="left"/>
      </w:pPr>
      <w:rPr>
        <w:rFonts w:asciiTheme="minorHAnsi" w:hAnsiTheme="minorHAnsi"/>
        <w:b/>
        <w:color w:val="auto"/>
        <w:sz w:val="22"/>
      </w:rPr>
      <w:tblPr/>
      <w:tcPr>
        <w:shd w:val="clear" w:color="auto" w:fill="44C8F5"/>
      </w:tcPr>
    </w:tblStylePr>
    <w:tblStylePr w:type="lastRow">
      <w:pPr>
        <w:jc w:val="left"/>
      </w:pPr>
    </w:tblStylePr>
  </w:style>
  <w:style w:type="character" w:customStyle="1" w:styleId="AboutChar">
    <w:name w:val="About Char"/>
    <w:basedOn w:val="DefaultParagraphFont"/>
    <w:link w:val="About"/>
    <w:rsid w:val="00C12182"/>
    <w:rPr>
      <w:rFonts w:ascii="Calibri" w:eastAsiaTheme="minorEastAsia" w:hAnsi="Calibri"/>
      <w:b/>
      <w:sz w:val="23"/>
      <w:lang w:eastAsia="en-AU"/>
    </w:rPr>
  </w:style>
  <w:style w:type="paragraph" w:styleId="Subtitle">
    <w:name w:val="Subtitle"/>
    <w:next w:val="Normal"/>
    <w:link w:val="SubtitleChar"/>
    <w:uiPriority w:val="11"/>
    <w:rsid w:val="003E76C5"/>
    <w:pPr>
      <w:spacing w:before="360" w:after="360"/>
      <w:jc w:val="center"/>
    </w:pPr>
    <w:rPr>
      <w:rFonts w:ascii="Calibri" w:eastAsiaTheme="minorEastAsia" w:hAnsi="Calibri"/>
      <w:sz w:val="32"/>
      <w:szCs w:val="32"/>
    </w:rPr>
  </w:style>
  <w:style w:type="character" w:customStyle="1" w:styleId="SubtitleChar">
    <w:name w:val="Subtitle Char"/>
    <w:basedOn w:val="DefaultParagraphFont"/>
    <w:link w:val="Subtitle"/>
    <w:uiPriority w:val="11"/>
    <w:rsid w:val="003E76C5"/>
    <w:rPr>
      <w:rFonts w:ascii="Calibri" w:eastAsiaTheme="minorEastAsia" w:hAnsi="Calibri"/>
      <w:sz w:val="32"/>
      <w:szCs w:val="32"/>
    </w:rPr>
  </w:style>
  <w:style w:type="character" w:customStyle="1" w:styleId="Heading7Char">
    <w:name w:val="Heading 7 Char"/>
    <w:basedOn w:val="DefaultParagraphFont"/>
    <w:link w:val="Heading7"/>
    <w:uiPriority w:val="9"/>
    <w:semiHidden/>
    <w:rsid w:val="00EC1696"/>
    <w:rPr>
      <w:rFonts w:asciiTheme="majorHAnsi" w:eastAsiaTheme="majorEastAsia" w:hAnsiTheme="majorHAnsi" w:cstheme="majorBidi"/>
      <w:i/>
      <w:iCs/>
      <w:color w:val="404040" w:themeColor="text1" w:themeTint="BF"/>
      <w:sz w:val="23"/>
      <w:lang w:eastAsia="en-AU"/>
    </w:rPr>
  </w:style>
  <w:style w:type="paragraph" w:customStyle="1" w:styleId="Recommendation">
    <w:name w:val="Recommendation"/>
    <w:basedOn w:val="Normal"/>
    <w:link w:val="RecommendationChar"/>
    <w:qFormat/>
    <w:rsid w:val="00593975"/>
    <w:pPr>
      <w:numPr>
        <w:numId w:val="9"/>
      </w:numPr>
      <w:pBdr>
        <w:top w:val="single" w:sz="8" w:space="6" w:color="44C8F5"/>
        <w:left w:val="single" w:sz="8" w:space="5" w:color="44C8F5"/>
        <w:bottom w:val="single" w:sz="8" w:space="6" w:color="44C8F5"/>
        <w:right w:val="single" w:sz="8" w:space="5" w:color="44C8F5"/>
      </w:pBdr>
      <w:ind w:right="851"/>
    </w:pPr>
    <w:rPr>
      <w:lang w:eastAsia="en-US"/>
    </w:rPr>
  </w:style>
  <w:style w:type="table" w:styleId="LightShading-Accent1">
    <w:name w:val="Light Shading Accent 1"/>
    <w:basedOn w:val="TableNormal"/>
    <w:uiPriority w:val="60"/>
    <w:rsid w:val="005C2EBF"/>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RecommendationChar">
    <w:name w:val="Recommendation Char"/>
    <w:basedOn w:val="DefaultParagraphFont"/>
    <w:link w:val="Recommendation"/>
    <w:rsid w:val="00593975"/>
    <w:rPr>
      <w:rFonts w:ascii="Calibri" w:eastAsiaTheme="minorEastAsia" w:hAnsi="Calibri"/>
      <w:sz w:val="24"/>
    </w:rPr>
  </w:style>
  <w:style w:type="paragraph" w:customStyle="1" w:styleId="Blockquote">
    <w:name w:val="Blockquote"/>
    <w:basedOn w:val="Normal"/>
    <w:link w:val="BlockquoteChar"/>
    <w:qFormat/>
    <w:rsid w:val="003E76C5"/>
    <w:pPr>
      <w:ind w:left="851" w:right="851"/>
    </w:pPr>
    <w:rPr>
      <w:lang w:eastAsia="en-US"/>
    </w:rPr>
  </w:style>
  <w:style w:type="character" w:customStyle="1" w:styleId="BlockquoteChar">
    <w:name w:val="Blockquote Char"/>
    <w:basedOn w:val="DefaultParagraphFont"/>
    <w:link w:val="Blockquote"/>
    <w:rsid w:val="003E76C5"/>
    <w:rPr>
      <w:rFonts w:ascii="Calibri" w:eastAsiaTheme="minorEastAsia" w:hAnsi="Calibri"/>
    </w:rPr>
  </w:style>
  <w:style w:type="numbering" w:customStyle="1" w:styleId="Headings">
    <w:name w:val="Headings"/>
    <w:uiPriority w:val="99"/>
    <w:rsid w:val="00EC1696"/>
    <w:pPr>
      <w:numPr>
        <w:numId w:val="1"/>
      </w:numPr>
    </w:pPr>
  </w:style>
  <w:style w:type="numbering" w:customStyle="1" w:styleId="Bullets">
    <w:name w:val="Bullets"/>
    <w:uiPriority w:val="99"/>
    <w:rsid w:val="00EC1696"/>
    <w:pPr>
      <w:numPr>
        <w:numId w:val="2"/>
      </w:numPr>
    </w:pPr>
  </w:style>
  <w:style w:type="character" w:customStyle="1" w:styleId="Heading8Char">
    <w:name w:val="Heading 8 Char"/>
    <w:basedOn w:val="DefaultParagraphFont"/>
    <w:link w:val="Heading8"/>
    <w:uiPriority w:val="9"/>
    <w:semiHidden/>
    <w:rsid w:val="00EC1696"/>
    <w:rPr>
      <w:rFonts w:asciiTheme="majorHAnsi" w:eastAsiaTheme="majorEastAsia" w:hAnsiTheme="majorHAnsi" w:cstheme="majorBidi"/>
      <w:color w:val="404040" w:themeColor="text1" w:themeTint="BF"/>
      <w:sz w:val="20"/>
      <w:szCs w:val="20"/>
      <w:lang w:eastAsia="en-AU"/>
    </w:rPr>
  </w:style>
  <w:style w:type="character" w:customStyle="1" w:styleId="Heading9Char">
    <w:name w:val="Heading 9 Char"/>
    <w:basedOn w:val="DefaultParagraphFont"/>
    <w:link w:val="Heading9"/>
    <w:uiPriority w:val="9"/>
    <w:semiHidden/>
    <w:rsid w:val="00EC1696"/>
    <w:rPr>
      <w:rFonts w:asciiTheme="majorHAnsi" w:eastAsiaTheme="majorEastAsia" w:hAnsiTheme="majorHAnsi" w:cstheme="majorBidi"/>
      <w:i/>
      <w:iCs/>
      <w:color w:val="404040" w:themeColor="text1" w:themeTint="BF"/>
      <w:sz w:val="20"/>
      <w:szCs w:val="20"/>
      <w:lang w:eastAsia="en-AU"/>
    </w:rPr>
  </w:style>
  <w:style w:type="paragraph" w:customStyle="1" w:styleId="Bulletlist1">
    <w:name w:val="Bullet list 1"/>
    <w:basedOn w:val="Normal"/>
    <w:link w:val="Bulletlist1Char"/>
    <w:qFormat/>
    <w:rsid w:val="00EC1696"/>
    <w:pPr>
      <w:numPr>
        <w:numId w:val="3"/>
      </w:numPr>
    </w:pPr>
  </w:style>
  <w:style w:type="paragraph" w:customStyle="1" w:styleId="Bulletlist2">
    <w:name w:val="Bullet list 2"/>
    <w:basedOn w:val="Bulletlist1"/>
    <w:link w:val="Bulletlist2Char"/>
    <w:qFormat/>
    <w:rsid w:val="00EC1696"/>
    <w:pPr>
      <w:numPr>
        <w:ilvl w:val="1"/>
      </w:numPr>
    </w:pPr>
  </w:style>
  <w:style w:type="character" w:customStyle="1" w:styleId="Bulletlist1Char">
    <w:name w:val="Bullet list 1 Char"/>
    <w:basedOn w:val="DefaultParagraphFont"/>
    <w:link w:val="Bulletlist1"/>
    <w:rsid w:val="00EC1696"/>
    <w:rPr>
      <w:rFonts w:ascii="Calibri" w:eastAsiaTheme="minorEastAsia" w:hAnsi="Calibri"/>
      <w:sz w:val="24"/>
      <w:lang w:eastAsia="en-AU"/>
    </w:rPr>
  </w:style>
  <w:style w:type="paragraph" w:customStyle="1" w:styleId="Bulletlist3">
    <w:name w:val="Bullet list 3"/>
    <w:basedOn w:val="Bulletlist2"/>
    <w:link w:val="Bulletlist3Char"/>
    <w:qFormat/>
    <w:rsid w:val="00EC1696"/>
    <w:pPr>
      <w:numPr>
        <w:ilvl w:val="2"/>
      </w:numPr>
    </w:pPr>
  </w:style>
  <w:style w:type="character" w:customStyle="1" w:styleId="Bulletlist2Char">
    <w:name w:val="Bullet list 2 Char"/>
    <w:basedOn w:val="Bulletlist1Char"/>
    <w:link w:val="Bulletlist2"/>
    <w:rsid w:val="00EC1696"/>
    <w:rPr>
      <w:rFonts w:ascii="Calibri" w:eastAsiaTheme="minorEastAsia" w:hAnsi="Calibri"/>
      <w:sz w:val="24"/>
      <w:lang w:eastAsia="en-AU"/>
    </w:rPr>
  </w:style>
  <w:style w:type="character" w:customStyle="1" w:styleId="Bulletlist3Char">
    <w:name w:val="Bullet list 3 Char"/>
    <w:basedOn w:val="Bulletlist2Char"/>
    <w:link w:val="Bulletlist3"/>
    <w:rsid w:val="00EC1696"/>
    <w:rPr>
      <w:rFonts w:ascii="Calibri" w:eastAsiaTheme="minorEastAsia" w:hAnsi="Calibri"/>
      <w:sz w:val="24"/>
      <w:lang w:eastAsia="en-AU"/>
    </w:rPr>
  </w:style>
  <w:style w:type="paragraph" w:customStyle="1" w:styleId="Footerpage1">
    <w:name w:val="Footer page 1"/>
    <w:rsid w:val="00A13B92"/>
    <w:pPr>
      <w:spacing w:after="200"/>
      <w:ind w:left="-754"/>
      <w:contextualSpacing/>
    </w:pPr>
    <w:rPr>
      <w:sz w:val="20"/>
      <w:szCs w:val="20"/>
    </w:rPr>
  </w:style>
  <w:style w:type="paragraph" w:customStyle="1" w:styleId="Celltext">
    <w:name w:val="Cell text"/>
    <w:basedOn w:val="Normal"/>
    <w:qFormat/>
    <w:rsid w:val="00EC1696"/>
    <w:pPr>
      <w:contextualSpacing/>
    </w:pPr>
    <w:rPr>
      <w:sz w:val="20"/>
    </w:rPr>
  </w:style>
  <w:style w:type="paragraph" w:customStyle="1" w:styleId="Appendixheading1">
    <w:name w:val="Appendix heading 1"/>
    <w:basedOn w:val="Heading1"/>
    <w:next w:val="Normal"/>
    <w:link w:val="Appendixheading1Char"/>
    <w:qFormat/>
    <w:rsid w:val="00047257"/>
    <w:pPr>
      <w:numPr>
        <w:numId w:val="6"/>
      </w:numPr>
    </w:pPr>
  </w:style>
  <w:style w:type="character" w:customStyle="1" w:styleId="Appendixheading1Char">
    <w:name w:val="Appendix heading 1 Char"/>
    <w:basedOn w:val="Heading1Char"/>
    <w:link w:val="Appendixheading1"/>
    <w:rsid w:val="00047257"/>
    <w:rPr>
      <w:rFonts w:ascii="Calibri" w:eastAsiaTheme="majorEastAsia" w:hAnsi="Calibri" w:cstheme="majorBidi"/>
      <w:bCs/>
      <w:sz w:val="48"/>
      <w:szCs w:val="28"/>
    </w:rPr>
  </w:style>
  <w:style w:type="paragraph" w:customStyle="1" w:styleId="Appendixheading2">
    <w:name w:val="Appendix heading 2"/>
    <w:basedOn w:val="Heading2"/>
    <w:next w:val="Normal"/>
    <w:link w:val="Appendixheading2Char"/>
    <w:qFormat/>
    <w:rsid w:val="00047257"/>
    <w:pPr>
      <w:numPr>
        <w:numId w:val="6"/>
      </w:numPr>
    </w:pPr>
    <w:rPr>
      <w:b/>
    </w:rPr>
  </w:style>
  <w:style w:type="character" w:customStyle="1" w:styleId="Appendixheading2Char">
    <w:name w:val="Appendix heading 2 Char"/>
    <w:basedOn w:val="Heading2Char"/>
    <w:link w:val="Appendixheading2"/>
    <w:rsid w:val="00047257"/>
    <w:rPr>
      <w:rFonts w:ascii="Calibri" w:eastAsia="Times New Roman" w:hAnsi="Calibri" w:cs="Times New Roman"/>
      <w:b/>
      <w:bCs/>
      <w:iCs/>
      <w:sz w:val="28"/>
      <w:szCs w:val="24"/>
    </w:rPr>
  </w:style>
  <w:style w:type="paragraph" w:customStyle="1" w:styleId="Appendixheading3">
    <w:name w:val="Appendix heading 3"/>
    <w:basedOn w:val="Heading3"/>
    <w:next w:val="Normal"/>
    <w:link w:val="Appendixheading3Char"/>
    <w:qFormat/>
    <w:rsid w:val="00047257"/>
    <w:pPr>
      <w:numPr>
        <w:ilvl w:val="0"/>
        <w:numId w:val="0"/>
      </w:numPr>
    </w:pPr>
    <w:rPr>
      <w:b/>
      <w:sz w:val="24"/>
    </w:rPr>
  </w:style>
  <w:style w:type="character" w:customStyle="1" w:styleId="Appendixheading3Char">
    <w:name w:val="Appendix heading 3 Char"/>
    <w:basedOn w:val="Heading3Char"/>
    <w:link w:val="Appendixheading3"/>
    <w:rsid w:val="00047257"/>
    <w:rPr>
      <w:rFonts w:ascii="Calibri" w:eastAsia="Times New Roman" w:hAnsi="Calibri" w:cs="Times New Roman"/>
      <w:b/>
      <w:bCs/>
      <w:iCs/>
      <w:sz w:val="24"/>
      <w:szCs w:val="24"/>
      <w:lang w:val="en-US"/>
    </w:rPr>
  </w:style>
  <w:style w:type="paragraph" w:customStyle="1" w:styleId="Blockquote2">
    <w:name w:val="Blockquote 2"/>
    <w:basedOn w:val="Blockquote"/>
    <w:link w:val="Blockquote2Char"/>
    <w:qFormat/>
    <w:rsid w:val="00047257"/>
    <w:pPr>
      <w:ind w:left="1418"/>
      <w:contextualSpacing/>
    </w:pPr>
  </w:style>
  <w:style w:type="character" w:customStyle="1" w:styleId="Blockquote2Char">
    <w:name w:val="Blockquote 2 Char"/>
    <w:basedOn w:val="BlockquoteChar"/>
    <w:link w:val="Blockquote2"/>
    <w:rsid w:val="00047257"/>
    <w:rPr>
      <w:rFonts w:ascii="Calibri" w:eastAsiaTheme="minorEastAsia" w:hAnsi="Calibri"/>
      <w:sz w:val="23"/>
      <w:lang w:val="en-US"/>
    </w:rPr>
  </w:style>
  <w:style w:type="paragraph" w:customStyle="1" w:styleId="Blockquote3">
    <w:name w:val="Blockquote 3"/>
    <w:basedOn w:val="Blockquote"/>
    <w:link w:val="Blockquote3Char"/>
    <w:qFormat/>
    <w:rsid w:val="00047257"/>
    <w:pPr>
      <w:ind w:left="1985"/>
      <w:contextualSpacing/>
    </w:pPr>
  </w:style>
  <w:style w:type="character" w:customStyle="1" w:styleId="Blockquote3Char">
    <w:name w:val="Blockquote 3 Char"/>
    <w:basedOn w:val="BlockquoteChar"/>
    <w:link w:val="Blockquote3"/>
    <w:rsid w:val="00047257"/>
    <w:rPr>
      <w:rFonts w:ascii="Calibri" w:eastAsiaTheme="minorEastAsia" w:hAnsi="Calibri"/>
      <w:sz w:val="23"/>
      <w:lang w:val="en-US"/>
    </w:rPr>
  </w:style>
  <w:style w:type="paragraph" w:customStyle="1" w:styleId="Blockquotebulletlist1">
    <w:name w:val="Blockquote bullet list 1"/>
    <w:basedOn w:val="Blockquote"/>
    <w:link w:val="Blockquotebulletlist1Char"/>
    <w:qFormat/>
    <w:rsid w:val="00047257"/>
    <w:pPr>
      <w:numPr>
        <w:numId w:val="8"/>
      </w:numPr>
    </w:pPr>
  </w:style>
  <w:style w:type="character" w:customStyle="1" w:styleId="Blockquotebulletlist1Char">
    <w:name w:val="Blockquote bullet list 1 Char"/>
    <w:basedOn w:val="BlockquoteChar"/>
    <w:link w:val="Blockquotebulletlist1"/>
    <w:rsid w:val="00047257"/>
    <w:rPr>
      <w:rFonts w:ascii="Calibri" w:eastAsiaTheme="minorEastAsia" w:hAnsi="Calibri"/>
      <w:sz w:val="24"/>
    </w:rPr>
  </w:style>
  <w:style w:type="numbering" w:customStyle="1" w:styleId="Blockquotebullets">
    <w:name w:val="Blockquote bullets"/>
    <w:uiPriority w:val="99"/>
    <w:rsid w:val="00047257"/>
    <w:pPr>
      <w:numPr>
        <w:numId w:val="7"/>
      </w:numPr>
    </w:pPr>
  </w:style>
  <w:style w:type="paragraph" w:customStyle="1" w:styleId="Casestudyheading">
    <w:name w:val="Case study heading"/>
    <w:basedOn w:val="Normal"/>
    <w:next w:val="Normal"/>
    <w:link w:val="CasestudyheadingChar"/>
    <w:qFormat/>
    <w:rsid w:val="003E76C5"/>
    <w:pPr>
      <w:keepNext/>
      <w:ind w:left="851" w:right="851"/>
    </w:pPr>
    <w:rPr>
      <w:b/>
      <w:lang w:eastAsia="en-US"/>
    </w:rPr>
  </w:style>
  <w:style w:type="character" w:customStyle="1" w:styleId="CasestudyheadingChar">
    <w:name w:val="Case study heading Char"/>
    <w:basedOn w:val="DefaultParagraphFont"/>
    <w:link w:val="Casestudyheading"/>
    <w:rsid w:val="003E76C5"/>
    <w:rPr>
      <w:rFonts w:ascii="Calibri" w:eastAsiaTheme="minorEastAsia" w:hAnsi="Calibri"/>
      <w:b/>
    </w:rPr>
  </w:style>
  <w:style w:type="paragraph" w:customStyle="1" w:styleId="Casestudy">
    <w:name w:val="Case study"/>
    <w:basedOn w:val="Casestudyheading"/>
    <w:link w:val="CasestudyChar"/>
    <w:qFormat/>
    <w:rsid w:val="00047257"/>
    <w:pPr>
      <w:keepNext w:val="0"/>
    </w:pPr>
    <w:rPr>
      <w:b w:val="0"/>
    </w:rPr>
  </w:style>
  <w:style w:type="character" w:customStyle="1" w:styleId="CasestudyChar">
    <w:name w:val="Case study Char"/>
    <w:basedOn w:val="CasestudyheadingChar"/>
    <w:link w:val="Casestudy"/>
    <w:rsid w:val="00047257"/>
    <w:rPr>
      <w:rFonts w:ascii="Calibri" w:eastAsiaTheme="minorEastAsia" w:hAnsi="Calibri"/>
      <w:b w:val="0"/>
      <w:sz w:val="23"/>
      <w:lang w:val="en-US"/>
    </w:rPr>
  </w:style>
  <w:style w:type="paragraph" w:customStyle="1" w:styleId="Casestudyquote">
    <w:name w:val="Case study quote"/>
    <w:basedOn w:val="Casestudy"/>
    <w:link w:val="CasestudyquoteChar"/>
    <w:qFormat/>
    <w:rsid w:val="00047257"/>
    <w:pPr>
      <w:ind w:left="1418" w:right="1418"/>
    </w:pPr>
  </w:style>
  <w:style w:type="character" w:customStyle="1" w:styleId="CasestudyquoteChar">
    <w:name w:val="Case study quote Char"/>
    <w:basedOn w:val="CasestudyChar"/>
    <w:link w:val="Casestudyquote"/>
    <w:rsid w:val="00047257"/>
    <w:rPr>
      <w:rFonts w:ascii="Calibri" w:eastAsiaTheme="minorEastAsia" w:hAnsi="Calibri"/>
      <w:b w:val="0"/>
      <w:sz w:val="23"/>
      <w:lang w:val="en-US"/>
    </w:rPr>
  </w:style>
  <w:style w:type="numbering" w:customStyle="1" w:styleId="Recommendations">
    <w:name w:val="Recommendations"/>
    <w:uiPriority w:val="99"/>
    <w:rsid w:val="00593975"/>
    <w:pPr>
      <w:numPr>
        <w:numId w:val="9"/>
      </w:numPr>
    </w:pPr>
  </w:style>
  <w:style w:type="character" w:customStyle="1" w:styleId="FootnoteReference1">
    <w:name w:val="Footnote Reference1"/>
    <w:basedOn w:val="DefaultParagraphFont"/>
    <w:rsid w:val="00EF4492"/>
    <w:rPr>
      <w:vertAlign w:val="superscript"/>
    </w:rPr>
  </w:style>
  <w:style w:type="character" w:customStyle="1" w:styleId="FootnoteCharacters">
    <w:name w:val="Footnote Characters"/>
    <w:rsid w:val="00EF4492"/>
  </w:style>
  <w:style w:type="paragraph" w:customStyle="1" w:styleId="FootnoteText1">
    <w:name w:val="Footnote Text1"/>
    <w:rsid w:val="00EF4492"/>
    <w:pPr>
      <w:suppressAutoHyphens/>
      <w:spacing w:after="120"/>
    </w:pPr>
    <w:rPr>
      <w:rFonts w:ascii="Calibri" w:eastAsia="Arial Unicode MS" w:hAnsi="Calibri" w:cs="Arial Unicode MS"/>
      <w:kern w:val="1"/>
      <w:sz w:val="18"/>
      <w:szCs w:val="20"/>
      <w:lang w:val="en-IE"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56805">
      <w:bodyDiv w:val="1"/>
      <w:marLeft w:val="0"/>
      <w:marRight w:val="0"/>
      <w:marTop w:val="0"/>
      <w:marBottom w:val="0"/>
      <w:divBdr>
        <w:top w:val="none" w:sz="0" w:space="0" w:color="auto"/>
        <w:left w:val="none" w:sz="0" w:space="0" w:color="auto"/>
        <w:bottom w:val="none" w:sz="0" w:space="0" w:color="auto"/>
        <w:right w:val="none" w:sz="0" w:space="0" w:color="auto"/>
      </w:divBdr>
      <w:divsChild>
        <w:div w:id="1749956028">
          <w:marLeft w:val="0"/>
          <w:marRight w:val="0"/>
          <w:marTop w:val="0"/>
          <w:marBottom w:val="0"/>
          <w:divBdr>
            <w:top w:val="none" w:sz="0" w:space="0" w:color="auto"/>
            <w:left w:val="none" w:sz="0" w:space="0" w:color="auto"/>
            <w:bottom w:val="none" w:sz="0" w:space="0" w:color="auto"/>
            <w:right w:val="none" w:sz="0" w:space="0" w:color="auto"/>
          </w:divBdr>
          <w:divsChild>
            <w:div w:id="700515596">
              <w:marLeft w:val="0"/>
              <w:marRight w:val="0"/>
              <w:marTop w:val="0"/>
              <w:marBottom w:val="0"/>
              <w:divBdr>
                <w:top w:val="none" w:sz="0" w:space="0" w:color="auto"/>
                <w:left w:val="none" w:sz="0" w:space="0" w:color="auto"/>
                <w:bottom w:val="none" w:sz="0" w:space="0" w:color="auto"/>
                <w:right w:val="none" w:sz="0" w:space="0" w:color="auto"/>
              </w:divBdr>
            </w:div>
            <w:div w:id="63113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15146">
      <w:bodyDiv w:val="1"/>
      <w:marLeft w:val="0"/>
      <w:marRight w:val="0"/>
      <w:marTop w:val="0"/>
      <w:marBottom w:val="0"/>
      <w:divBdr>
        <w:top w:val="none" w:sz="0" w:space="0" w:color="auto"/>
        <w:left w:val="none" w:sz="0" w:space="0" w:color="auto"/>
        <w:bottom w:val="none" w:sz="0" w:space="0" w:color="auto"/>
        <w:right w:val="none" w:sz="0" w:space="0" w:color="auto"/>
      </w:divBdr>
    </w:div>
    <w:div w:id="141193996">
      <w:bodyDiv w:val="1"/>
      <w:marLeft w:val="0"/>
      <w:marRight w:val="0"/>
      <w:marTop w:val="0"/>
      <w:marBottom w:val="0"/>
      <w:divBdr>
        <w:top w:val="none" w:sz="0" w:space="0" w:color="auto"/>
        <w:left w:val="none" w:sz="0" w:space="0" w:color="auto"/>
        <w:bottom w:val="none" w:sz="0" w:space="0" w:color="auto"/>
        <w:right w:val="none" w:sz="0" w:space="0" w:color="auto"/>
      </w:divBdr>
      <w:divsChild>
        <w:div w:id="1882286488">
          <w:marLeft w:val="0"/>
          <w:marRight w:val="0"/>
          <w:marTop w:val="0"/>
          <w:marBottom w:val="0"/>
          <w:divBdr>
            <w:top w:val="none" w:sz="0" w:space="0" w:color="auto"/>
            <w:left w:val="none" w:sz="0" w:space="0" w:color="auto"/>
            <w:bottom w:val="none" w:sz="0" w:space="0" w:color="auto"/>
            <w:right w:val="none" w:sz="0" w:space="0" w:color="auto"/>
          </w:divBdr>
        </w:div>
        <w:div w:id="649096306">
          <w:marLeft w:val="0"/>
          <w:marRight w:val="0"/>
          <w:marTop w:val="0"/>
          <w:marBottom w:val="0"/>
          <w:divBdr>
            <w:top w:val="none" w:sz="0" w:space="0" w:color="auto"/>
            <w:left w:val="none" w:sz="0" w:space="0" w:color="auto"/>
            <w:bottom w:val="none" w:sz="0" w:space="0" w:color="auto"/>
            <w:right w:val="none" w:sz="0" w:space="0" w:color="auto"/>
          </w:divBdr>
        </w:div>
        <w:div w:id="211044512">
          <w:marLeft w:val="0"/>
          <w:marRight w:val="0"/>
          <w:marTop w:val="0"/>
          <w:marBottom w:val="0"/>
          <w:divBdr>
            <w:top w:val="none" w:sz="0" w:space="0" w:color="auto"/>
            <w:left w:val="none" w:sz="0" w:space="0" w:color="auto"/>
            <w:bottom w:val="none" w:sz="0" w:space="0" w:color="auto"/>
            <w:right w:val="none" w:sz="0" w:space="0" w:color="auto"/>
          </w:divBdr>
        </w:div>
        <w:div w:id="1248076389">
          <w:marLeft w:val="0"/>
          <w:marRight w:val="0"/>
          <w:marTop w:val="0"/>
          <w:marBottom w:val="0"/>
          <w:divBdr>
            <w:top w:val="none" w:sz="0" w:space="0" w:color="auto"/>
            <w:left w:val="none" w:sz="0" w:space="0" w:color="auto"/>
            <w:bottom w:val="none" w:sz="0" w:space="0" w:color="auto"/>
            <w:right w:val="none" w:sz="0" w:space="0" w:color="auto"/>
          </w:divBdr>
        </w:div>
      </w:divsChild>
    </w:div>
    <w:div w:id="200827990">
      <w:bodyDiv w:val="1"/>
      <w:marLeft w:val="0"/>
      <w:marRight w:val="0"/>
      <w:marTop w:val="0"/>
      <w:marBottom w:val="0"/>
      <w:divBdr>
        <w:top w:val="none" w:sz="0" w:space="0" w:color="auto"/>
        <w:left w:val="none" w:sz="0" w:space="0" w:color="auto"/>
        <w:bottom w:val="none" w:sz="0" w:space="0" w:color="auto"/>
        <w:right w:val="none" w:sz="0" w:space="0" w:color="auto"/>
      </w:divBdr>
      <w:divsChild>
        <w:div w:id="913050463">
          <w:marLeft w:val="0"/>
          <w:marRight w:val="0"/>
          <w:marTop w:val="0"/>
          <w:marBottom w:val="0"/>
          <w:divBdr>
            <w:top w:val="none" w:sz="0" w:space="0" w:color="auto"/>
            <w:left w:val="none" w:sz="0" w:space="0" w:color="auto"/>
            <w:bottom w:val="none" w:sz="0" w:space="0" w:color="auto"/>
            <w:right w:val="none" w:sz="0" w:space="0" w:color="auto"/>
          </w:divBdr>
        </w:div>
        <w:div w:id="956133937">
          <w:marLeft w:val="0"/>
          <w:marRight w:val="0"/>
          <w:marTop w:val="0"/>
          <w:marBottom w:val="0"/>
          <w:divBdr>
            <w:top w:val="none" w:sz="0" w:space="0" w:color="auto"/>
            <w:left w:val="none" w:sz="0" w:space="0" w:color="auto"/>
            <w:bottom w:val="none" w:sz="0" w:space="0" w:color="auto"/>
            <w:right w:val="none" w:sz="0" w:space="0" w:color="auto"/>
          </w:divBdr>
        </w:div>
        <w:div w:id="1746417686">
          <w:marLeft w:val="0"/>
          <w:marRight w:val="0"/>
          <w:marTop w:val="0"/>
          <w:marBottom w:val="0"/>
          <w:divBdr>
            <w:top w:val="none" w:sz="0" w:space="0" w:color="auto"/>
            <w:left w:val="none" w:sz="0" w:space="0" w:color="auto"/>
            <w:bottom w:val="none" w:sz="0" w:space="0" w:color="auto"/>
            <w:right w:val="none" w:sz="0" w:space="0" w:color="auto"/>
          </w:divBdr>
        </w:div>
        <w:div w:id="1289120579">
          <w:marLeft w:val="0"/>
          <w:marRight w:val="0"/>
          <w:marTop w:val="0"/>
          <w:marBottom w:val="0"/>
          <w:divBdr>
            <w:top w:val="none" w:sz="0" w:space="0" w:color="auto"/>
            <w:left w:val="none" w:sz="0" w:space="0" w:color="auto"/>
            <w:bottom w:val="none" w:sz="0" w:space="0" w:color="auto"/>
            <w:right w:val="none" w:sz="0" w:space="0" w:color="auto"/>
          </w:divBdr>
        </w:div>
      </w:divsChild>
    </w:div>
    <w:div w:id="341933097">
      <w:bodyDiv w:val="1"/>
      <w:marLeft w:val="0"/>
      <w:marRight w:val="0"/>
      <w:marTop w:val="0"/>
      <w:marBottom w:val="0"/>
      <w:divBdr>
        <w:top w:val="none" w:sz="0" w:space="0" w:color="auto"/>
        <w:left w:val="none" w:sz="0" w:space="0" w:color="auto"/>
        <w:bottom w:val="none" w:sz="0" w:space="0" w:color="auto"/>
        <w:right w:val="none" w:sz="0" w:space="0" w:color="auto"/>
      </w:divBdr>
    </w:div>
    <w:div w:id="472481714">
      <w:bodyDiv w:val="1"/>
      <w:marLeft w:val="0"/>
      <w:marRight w:val="0"/>
      <w:marTop w:val="0"/>
      <w:marBottom w:val="0"/>
      <w:divBdr>
        <w:top w:val="none" w:sz="0" w:space="0" w:color="auto"/>
        <w:left w:val="none" w:sz="0" w:space="0" w:color="auto"/>
        <w:bottom w:val="none" w:sz="0" w:space="0" w:color="auto"/>
        <w:right w:val="none" w:sz="0" w:space="0" w:color="auto"/>
      </w:divBdr>
    </w:div>
    <w:div w:id="534656870">
      <w:bodyDiv w:val="1"/>
      <w:marLeft w:val="0"/>
      <w:marRight w:val="0"/>
      <w:marTop w:val="0"/>
      <w:marBottom w:val="0"/>
      <w:divBdr>
        <w:top w:val="none" w:sz="0" w:space="0" w:color="auto"/>
        <w:left w:val="none" w:sz="0" w:space="0" w:color="auto"/>
        <w:bottom w:val="none" w:sz="0" w:space="0" w:color="auto"/>
        <w:right w:val="none" w:sz="0" w:space="0" w:color="auto"/>
      </w:divBdr>
    </w:div>
    <w:div w:id="549347077">
      <w:bodyDiv w:val="1"/>
      <w:marLeft w:val="0"/>
      <w:marRight w:val="0"/>
      <w:marTop w:val="0"/>
      <w:marBottom w:val="0"/>
      <w:divBdr>
        <w:top w:val="none" w:sz="0" w:space="0" w:color="auto"/>
        <w:left w:val="none" w:sz="0" w:space="0" w:color="auto"/>
        <w:bottom w:val="none" w:sz="0" w:space="0" w:color="auto"/>
        <w:right w:val="none" w:sz="0" w:space="0" w:color="auto"/>
      </w:divBdr>
      <w:divsChild>
        <w:div w:id="1021738351">
          <w:marLeft w:val="0"/>
          <w:marRight w:val="0"/>
          <w:marTop w:val="0"/>
          <w:marBottom w:val="0"/>
          <w:divBdr>
            <w:top w:val="none" w:sz="0" w:space="0" w:color="auto"/>
            <w:left w:val="none" w:sz="0" w:space="0" w:color="auto"/>
            <w:bottom w:val="none" w:sz="0" w:space="0" w:color="auto"/>
            <w:right w:val="none" w:sz="0" w:space="0" w:color="auto"/>
          </w:divBdr>
        </w:div>
        <w:div w:id="1135760134">
          <w:marLeft w:val="0"/>
          <w:marRight w:val="0"/>
          <w:marTop w:val="0"/>
          <w:marBottom w:val="0"/>
          <w:divBdr>
            <w:top w:val="none" w:sz="0" w:space="0" w:color="auto"/>
            <w:left w:val="none" w:sz="0" w:space="0" w:color="auto"/>
            <w:bottom w:val="none" w:sz="0" w:space="0" w:color="auto"/>
            <w:right w:val="none" w:sz="0" w:space="0" w:color="auto"/>
          </w:divBdr>
        </w:div>
        <w:div w:id="474759562">
          <w:marLeft w:val="0"/>
          <w:marRight w:val="0"/>
          <w:marTop w:val="0"/>
          <w:marBottom w:val="0"/>
          <w:divBdr>
            <w:top w:val="none" w:sz="0" w:space="0" w:color="auto"/>
            <w:left w:val="none" w:sz="0" w:space="0" w:color="auto"/>
            <w:bottom w:val="none" w:sz="0" w:space="0" w:color="auto"/>
            <w:right w:val="none" w:sz="0" w:space="0" w:color="auto"/>
          </w:divBdr>
        </w:div>
        <w:div w:id="1955096061">
          <w:marLeft w:val="0"/>
          <w:marRight w:val="0"/>
          <w:marTop w:val="0"/>
          <w:marBottom w:val="0"/>
          <w:divBdr>
            <w:top w:val="none" w:sz="0" w:space="0" w:color="auto"/>
            <w:left w:val="none" w:sz="0" w:space="0" w:color="auto"/>
            <w:bottom w:val="none" w:sz="0" w:space="0" w:color="auto"/>
            <w:right w:val="none" w:sz="0" w:space="0" w:color="auto"/>
          </w:divBdr>
        </w:div>
        <w:div w:id="1245602747">
          <w:marLeft w:val="0"/>
          <w:marRight w:val="0"/>
          <w:marTop w:val="0"/>
          <w:marBottom w:val="0"/>
          <w:divBdr>
            <w:top w:val="none" w:sz="0" w:space="0" w:color="auto"/>
            <w:left w:val="none" w:sz="0" w:space="0" w:color="auto"/>
            <w:bottom w:val="none" w:sz="0" w:space="0" w:color="auto"/>
            <w:right w:val="none" w:sz="0" w:space="0" w:color="auto"/>
          </w:divBdr>
        </w:div>
      </w:divsChild>
    </w:div>
    <w:div w:id="808398297">
      <w:bodyDiv w:val="1"/>
      <w:marLeft w:val="0"/>
      <w:marRight w:val="0"/>
      <w:marTop w:val="0"/>
      <w:marBottom w:val="0"/>
      <w:divBdr>
        <w:top w:val="none" w:sz="0" w:space="0" w:color="auto"/>
        <w:left w:val="none" w:sz="0" w:space="0" w:color="auto"/>
        <w:bottom w:val="none" w:sz="0" w:space="0" w:color="auto"/>
        <w:right w:val="none" w:sz="0" w:space="0" w:color="auto"/>
      </w:divBdr>
    </w:div>
    <w:div w:id="830635698">
      <w:bodyDiv w:val="1"/>
      <w:marLeft w:val="0"/>
      <w:marRight w:val="0"/>
      <w:marTop w:val="0"/>
      <w:marBottom w:val="0"/>
      <w:divBdr>
        <w:top w:val="none" w:sz="0" w:space="0" w:color="auto"/>
        <w:left w:val="none" w:sz="0" w:space="0" w:color="auto"/>
        <w:bottom w:val="none" w:sz="0" w:space="0" w:color="auto"/>
        <w:right w:val="none" w:sz="0" w:space="0" w:color="auto"/>
      </w:divBdr>
    </w:div>
    <w:div w:id="2062245697">
      <w:bodyDiv w:val="1"/>
      <w:marLeft w:val="0"/>
      <w:marRight w:val="0"/>
      <w:marTop w:val="0"/>
      <w:marBottom w:val="0"/>
      <w:divBdr>
        <w:top w:val="none" w:sz="0" w:space="0" w:color="auto"/>
        <w:left w:val="none" w:sz="0" w:space="0" w:color="auto"/>
        <w:bottom w:val="none" w:sz="0" w:space="0" w:color="auto"/>
        <w:right w:val="none" w:sz="0" w:space="0" w:color="auto"/>
      </w:divBdr>
      <w:divsChild>
        <w:div w:id="1224633194">
          <w:marLeft w:val="0"/>
          <w:marRight w:val="0"/>
          <w:marTop w:val="0"/>
          <w:marBottom w:val="0"/>
          <w:divBdr>
            <w:top w:val="none" w:sz="0" w:space="0" w:color="auto"/>
            <w:left w:val="none" w:sz="0" w:space="0" w:color="auto"/>
            <w:bottom w:val="none" w:sz="0" w:space="0" w:color="auto"/>
            <w:right w:val="none" w:sz="0" w:space="0" w:color="auto"/>
          </w:divBdr>
          <w:divsChild>
            <w:div w:id="2065591992">
              <w:marLeft w:val="0"/>
              <w:marRight w:val="0"/>
              <w:marTop w:val="0"/>
              <w:marBottom w:val="0"/>
              <w:divBdr>
                <w:top w:val="none" w:sz="0" w:space="0" w:color="auto"/>
                <w:left w:val="none" w:sz="0" w:space="0" w:color="auto"/>
                <w:bottom w:val="none" w:sz="0" w:space="0" w:color="auto"/>
                <w:right w:val="none" w:sz="0" w:space="0" w:color="auto"/>
              </w:divBdr>
            </w:div>
            <w:div w:id="724988832">
              <w:marLeft w:val="0"/>
              <w:marRight w:val="0"/>
              <w:marTop w:val="0"/>
              <w:marBottom w:val="0"/>
              <w:divBdr>
                <w:top w:val="none" w:sz="0" w:space="0" w:color="auto"/>
                <w:left w:val="none" w:sz="0" w:space="0" w:color="auto"/>
                <w:bottom w:val="none" w:sz="0" w:space="0" w:color="auto"/>
                <w:right w:val="none" w:sz="0" w:space="0" w:color="auto"/>
              </w:divBdr>
            </w:div>
            <w:div w:id="1576092427">
              <w:marLeft w:val="0"/>
              <w:marRight w:val="0"/>
              <w:marTop w:val="0"/>
              <w:marBottom w:val="0"/>
              <w:divBdr>
                <w:top w:val="none" w:sz="0" w:space="0" w:color="auto"/>
                <w:left w:val="none" w:sz="0" w:space="0" w:color="auto"/>
                <w:bottom w:val="none" w:sz="0" w:space="0" w:color="auto"/>
                <w:right w:val="none" w:sz="0" w:space="0" w:color="auto"/>
              </w:divBdr>
            </w:div>
            <w:div w:id="656802986">
              <w:marLeft w:val="0"/>
              <w:marRight w:val="0"/>
              <w:marTop w:val="0"/>
              <w:marBottom w:val="0"/>
              <w:divBdr>
                <w:top w:val="none" w:sz="0" w:space="0" w:color="auto"/>
                <w:left w:val="none" w:sz="0" w:space="0" w:color="auto"/>
                <w:bottom w:val="none" w:sz="0" w:space="0" w:color="auto"/>
                <w:right w:val="none" w:sz="0" w:space="0" w:color="auto"/>
              </w:divBdr>
            </w:div>
            <w:div w:id="124398229">
              <w:marLeft w:val="0"/>
              <w:marRight w:val="0"/>
              <w:marTop w:val="0"/>
              <w:marBottom w:val="0"/>
              <w:divBdr>
                <w:top w:val="none" w:sz="0" w:space="0" w:color="auto"/>
                <w:left w:val="none" w:sz="0" w:space="0" w:color="auto"/>
                <w:bottom w:val="none" w:sz="0" w:space="0" w:color="auto"/>
                <w:right w:val="none" w:sz="0" w:space="0" w:color="auto"/>
              </w:divBdr>
            </w:div>
            <w:div w:id="591813563">
              <w:marLeft w:val="0"/>
              <w:marRight w:val="0"/>
              <w:marTop w:val="0"/>
              <w:marBottom w:val="0"/>
              <w:divBdr>
                <w:top w:val="none" w:sz="0" w:space="0" w:color="auto"/>
                <w:left w:val="none" w:sz="0" w:space="0" w:color="auto"/>
                <w:bottom w:val="none" w:sz="0" w:space="0" w:color="auto"/>
                <w:right w:val="none" w:sz="0" w:space="0" w:color="auto"/>
              </w:divBdr>
            </w:div>
            <w:div w:id="631325655">
              <w:marLeft w:val="0"/>
              <w:marRight w:val="0"/>
              <w:marTop w:val="0"/>
              <w:marBottom w:val="0"/>
              <w:divBdr>
                <w:top w:val="none" w:sz="0" w:space="0" w:color="auto"/>
                <w:left w:val="none" w:sz="0" w:space="0" w:color="auto"/>
                <w:bottom w:val="none" w:sz="0" w:space="0" w:color="auto"/>
                <w:right w:val="none" w:sz="0" w:space="0" w:color="auto"/>
              </w:divBdr>
            </w:div>
            <w:div w:id="74141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QuickStyle" Target="diagrams/quickStyle1.xm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diagramLayout" Target="diagrams/layout1.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Data" Target="diagrams/data1.xml"/><Relationship Id="rId5" Type="http://schemas.openxmlformats.org/officeDocument/2006/relationships/settings" Target="settings.xml"/><Relationship Id="rId15" Type="http://schemas.microsoft.com/office/2007/relationships/diagramDrawing" Target="diagrams/drawing1.xml"/><Relationship Id="rId10" Type="http://schemas.openxmlformats.org/officeDocument/2006/relationships/hyperlink" Target="http://relayservice.gov.au/"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mailto:info@accan.org.au" TargetMode="External"/><Relationship Id="rId14" Type="http://schemas.openxmlformats.org/officeDocument/2006/relationships/diagramColors" Target="diagrams/colors1.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3" Type="http://schemas.openxmlformats.org/officeDocument/2006/relationships/hyperlink" Target="https://accan.org.au/our-work/submissions/953-accan-s-disability-mystery-shopping-report" TargetMode="External"/><Relationship Id="rId18" Type="http://schemas.openxmlformats.org/officeDocument/2006/relationships/hyperlink" Target="http://people.duke.edu/~dandan/webfiles/PapersOther/A%20continuum%20of%20decision%20making.pdf" TargetMode="External"/><Relationship Id="rId26" Type="http://schemas.openxmlformats.org/officeDocument/2006/relationships/hyperlink" Target="http://accan.org.au/our-work/submissions/1291-broadband-speed-claims" TargetMode="External"/><Relationship Id="rId39" Type="http://schemas.openxmlformats.org/officeDocument/2006/relationships/hyperlink" Target="https://apps.fcc.gov/edocs_public/attachmatch/FCC-15-24A1_Rcd.pdf" TargetMode="External"/><Relationship Id="rId21" Type="http://schemas.openxmlformats.org/officeDocument/2006/relationships/hyperlink" Target="http://www.which.co.uk/money/bank-accounts/guides/switching-your-bank-account/what-is-midata" TargetMode="External"/><Relationship Id="rId34" Type="http://schemas.openxmlformats.org/officeDocument/2006/relationships/hyperlink" Target="https://www.accc.gov.au/media-release/accc-continues-its-review-of-banks&#8217;-application-for-authorisation-to-collectively-bargain-with-apple" TargetMode="External"/><Relationship Id="rId42" Type="http://schemas.openxmlformats.org/officeDocument/2006/relationships/hyperlink" Target="http://www.foxtel.com.au/foxtelplay/support/default.htm" TargetMode="External"/><Relationship Id="rId47" Type="http://schemas.openxmlformats.org/officeDocument/2006/relationships/hyperlink" Target="http://eur-lex.europa.eu/legal-content/EN/TXT/PDF/?uri=CELEX:32015R2120&amp;from=en" TargetMode="External"/><Relationship Id="rId50" Type="http://schemas.openxmlformats.org/officeDocument/2006/relationships/hyperlink" Target="http://www.optus.com.au/content/dam/optus/documents/about-us/legal/InternetServDesc.doc" TargetMode="External"/><Relationship Id="rId55" Type="http://schemas.openxmlformats.org/officeDocument/2006/relationships/hyperlink" Target="https://tools.ietf.org/html/bcp38" TargetMode="External"/><Relationship Id="rId63" Type="http://schemas.openxmlformats.org/officeDocument/2006/relationships/hyperlink" Target="http://www.telstra.com.au/aboutus/media/media-releases/telstra-to-launch-smart-home-platform.xml" TargetMode="External"/><Relationship Id="rId68" Type="http://schemas.openxmlformats.org/officeDocument/2006/relationships/hyperlink" Target="http://www.canstarblue.com.au/phone-internet/vodafone-joins-nbn-bandwagon/" TargetMode="External"/><Relationship Id="rId76" Type="http://schemas.openxmlformats.org/officeDocument/2006/relationships/hyperlink" Target="http://www.optus.com.au/shop/broadband/home-wireless-broadband" TargetMode="External"/><Relationship Id="rId7" Type="http://schemas.openxmlformats.org/officeDocument/2006/relationships/hyperlink" Target="https://www.maddocks.com.au/blog/nbn-pricing-model-puts-hand-break-speed/" TargetMode="External"/><Relationship Id="rId71" Type="http://schemas.openxmlformats.org/officeDocument/2006/relationships/hyperlink" Target="http://www.smh.com.au/business/consumer-affairs/poor-internet-service-can-break-a-real-estatel-deal-wentworth-point-agent-says-20161013-gs1b7x.html?utm_source=newsletter_91&amp;utm_medium=email&amp;utm_campaign=webnews355" TargetMode="External"/><Relationship Id="rId2" Type="http://schemas.openxmlformats.org/officeDocument/2006/relationships/hyperlink" Target="https://www.communications.gov.au/publications/broadband-availability-and-quality-report" TargetMode="External"/><Relationship Id="rId16" Type="http://schemas.openxmlformats.org/officeDocument/2006/relationships/hyperlink" Target="http://www.news.com.au/technology/gadgets/mobile-phones/telstra-customers-want-early-termination-not-free-data-for-recent-network-errors/news-story/cc6b2656c0bb266e2faf06e8ff4286d6" TargetMode="External"/><Relationship Id="rId29" Type="http://schemas.openxmlformats.org/officeDocument/2006/relationships/hyperlink" Target="http://people.duke.edu/~dandan/webfiles/PapersPI/Zero%20as%20a%20Special%20Price.pdf" TargetMode="External"/><Relationship Id="rId11" Type="http://schemas.openxmlformats.org/officeDocument/2006/relationships/hyperlink" Target="https://media.optus.com.au/media-releases/2016/optus-says-yes-to-a-new-phone-early/" TargetMode="External"/><Relationship Id="rId24" Type="http://schemas.openxmlformats.org/officeDocument/2006/relationships/hyperlink" Target="https://www.accc.gov.au/system/files/CSBS%20-%20Comparator%20web%20sites%20project%20-%20Industry%20Guidance%20-%20final.pdf" TargetMode="External"/><Relationship Id="rId32" Type="http://schemas.openxmlformats.org/officeDocument/2006/relationships/hyperlink" Target="http://ec.europa.eu/competition/elojade/isef/case_details.cfm?proc_code=1_40099" TargetMode="External"/><Relationship Id="rId37" Type="http://schemas.openxmlformats.org/officeDocument/2006/relationships/hyperlink" Target="http://web.archive.org/web/20161018223534/https:/groupcareers.singtel.com/job/Sydney-Digital-Strategy-Analyst-Sydn/369648000/" TargetMode="External"/><Relationship Id="rId40" Type="http://schemas.openxmlformats.org/officeDocument/2006/relationships/hyperlink" Target="http://arstechnica.com/business/2015/02/fcc-votes-for-net-neutrality-a-ban-on-paid-fast-lanes-and-title-ii/" TargetMode="External"/><Relationship Id="rId45" Type="http://schemas.openxmlformats.org/officeDocument/2006/relationships/hyperlink" Target="https://apps.fcc.gov/edocs_public/attachmatch/FCC-15-24A1_Rcd.pdf" TargetMode="External"/><Relationship Id="rId53" Type="http://schemas.openxmlformats.org/officeDocument/2006/relationships/hyperlink" Target="http://www.rfc-editor.org/bcp/bcp46.txt" TargetMode="External"/><Relationship Id="rId58" Type="http://schemas.openxmlformats.org/officeDocument/2006/relationships/hyperlink" Target="http://www.vox.com/2016/4/4/11364566/nest-revolv-bricking" TargetMode="External"/><Relationship Id="rId66" Type="http://schemas.openxmlformats.org/officeDocument/2006/relationships/hyperlink" Target="http://www.lifehacker.com.au/2016/10/how-much-extra-does-regional-australia-pay-for-the-nbn/" TargetMode="External"/><Relationship Id="rId74" Type="http://schemas.openxmlformats.org/officeDocument/2006/relationships/hyperlink" Target="http://www.apple.com/au/ipad/apple-sim/" TargetMode="External"/><Relationship Id="rId5" Type="http://schemas.openxmlformats.org/officeDocument/2006/relationships/hyperlink" Target="https://accan.org.au/broadband/get-connected" TargetMode="External"/><Relationship Id="rId15" Type="http://schemas.openxmlformats.org/officeDocument/2006/relationships/hyperlink" Target="http://exchange.telstra.com.au/2016/03/18/update-on-our-mobile-network-disruption-and-free-data-day/" TargetMode="External"/><Relationship Id="rId23" Type="http://schemas.openxmlformats.org/officeDocument/2006/relationships/hyperlink" Target="http://www.finder.com.au/" TargetMode="External"/><Relationship Id="rId28" Type="http://schemas.openxmlformats.org/officeDocument/2006/relationships/hyperlink" Target="http://accan.org.au/files/Reports/Seeking%20Straight%20Answers%20Report.pdf" TargetMode="External"/><Relationship Id="rId36" Type="http://schemas.openxmlformats.org/officeDocument/2006/relationships/hyperlink" Target="https://www.android.com/intl/en_au/pay/" TargetMode="External"/><Relationship Id="rId49" Type="http://schemas.openxmlformats.org/officeDocument/2006/relationships/hyperlink" Target="http://www.communicationsconsumerpanel.org.uk/Ofcom%20Final%20Panel%20response%20NN.pdf" TargetMode="External"/><Relationship Id="rId57" Type="http://schemas.openxmlformats.org/officeDocument/2006/relationships/hyperlink" Target="https://www.zen.co.uk/newsletters.aspx?page=11415" TargetMode="External"/><Relationship Id="rId61" Type="http://schemas.openxmlformats.org/officeDocument/2006/relationships/hyperlink" Target="http://www.telstra.com.au/aboutus/media/media-releases/telstra-to-launch-smart-home-platform.xml" TargetMode="External"/><Relationship Id="rId10" Type="http://schemas.openxmlformats.org/officeDocument/2006/relationships/hyperlink" Target="http://www.pcworld.idg.com.au/article/554441/optus-goes-after-telstra-vodafone-customers-by-crediting-cancellation-fees/" TargetMode="External"/><Relationship Id="rId19" Type="http://schemas.openxmlformats.org/officeDocument/2006/relationships/hyperlink" Target="http://people.duke.edu/~dandan/webfiles/PapersIY/HowActionsCreate%20Preferences.pdf" TargetMode="External"/><Relationship Id="rId31" Type="http://schemas.openxmlformats.org/officeDocument/2006/relationships/hyperlink" Target="http://europa.eu/rapid/press-release_IP-16-1492_en.htm" TargetMode="External"/><Relationship Id="rId44" Type="http://schemas.openxmlformats.org/officeDocument/2006/relationships/hyperlink" Target="http://whrl.pl/RdhioM" TargetMode="External"/><Relationship Id="rId52" Type="http://schemas.openxmlformats.org/officeDocument/2006/relationships/hyperlink" Target="https://www.ofcom.org.uk/__data/assets/pdf_file/0011/50510/statement.pdf" TargetMode="External"/><Relationship Id="rId60" Type="http://schemas.openxmlformats.org/officeDocument/2006/relationships/hyperlink" Target="https://developers.google.com/brillo/" TargetMode="External"/><Relationship Id="rId65" Type="http://schemas.openxmlformats.org/officeDocument/2006/relationships/hyperlink" Target="https://www.accc.gov.au/system/files/ACCC%20Telecommunications%20reports%202014&#8211;15_Div%2011%20and%2012_web_FA.pdf" TargetMode="External"/><Relationship Id="rId73" Type="http://schemas.openxmlformats.org/officeDocument/2006/relationships/hyperlink" Target="https://www.anao.gov.au/work/performance-audit/award-funding-under-mobile-black-spot-programme" TargetMode="External"/><Relationship Id="rId4" Type="http://schemas.openxmlformats.org/officeDocument/2006/relationships/hyperlink" Target="http://www.businessinsider.com.au/netflix-just-cracked-10-of-the-australian-market-2015-10" TargetMode="External"/><Relationship Id="rId9" Type="http://schemas.openxmlformats.org/officeDocument/2006/relationships/hyperlink" Target="http://consumerlaw-staging.tspace.gov.au/files/2016/05/0553FT_ACL-guides_ContractTerms_web.pdf" TargetMode="External"/><Relationship Id="rId14" Type="http://schemas.openxmlformats.org/officeDocument/2006/relationships/hyperlink" Target="https://accan.org.au/files/Position_Statements/ACCAN%20policy%20position%20on%20a%20customer%20service%20and%20reliability%20standard.pdf" TargetMode="External"/><Relationship Id="rId22" Type="http://schemas.openxmlformats.org/officeDocument/2006/relationships/hyperlink" Target="https://www.whistleout.com.au/" TargetMode="External"/><Relationship Id="rId27" Type="http://schemas.openxmlformats.org/officeDocument/2006/relationships/hyperlink" Target="http://www.zdnet.com/article/macquarie-telecom-to-publish-real-time-nps/" TargetMode="External"/><Relationship Id="rId30" Type="http://schemas.openxmlformats.org/officeDocument/2006/relationships/hyperlink" Target="https://www.communications.gov.au/sites/g/files/net301/f/bcr_environmental_scan_report_05.pdf" TargetMode="External"/><Relationship Id="rId35" Type="http://schemas.openxmlformats.org/officeDocument/2006/relationships/hyperlink" Target="https://developer.android.com/about/versions/kitkat.html" TargetMode="External"/><Relationship Id="rId43" Type="http://schemas.openxmlformats.org/officeDocument/2006/relationships/hyperlink" Target="http://www.abc.net.au/mediawatch/transcripts/1339_convergence.pdf" TargetMode="External"/><Relationship Id="rId48" Type="http://schemas.openxmlformats.org/officeDocument/2006/relationships/hyperlink" Target="https://ec.europa.eu/digital-single-market/en/open-internet-net-neutrality" TargetMode="External"/><Relationship Id="rId56" Type="http://schemas.openxmlformats.org/officeDocument/2006/relationships/hyperlink" Target="http://www.accc.gov.au/media-release/exetel-compensates-consumers-following-accc-investigation" TargetMode="External"/><Relationship Id="rId64" Type="http://schemas.openxmlformats.org/officeDocument/2006/relationships/hyperlink" Target="http://regulationbodyofknowledge.org/wp-content/uploads/2013/03/Jamison_Methods_for_Increasing.pdf" TargetMode="External"/><Relationship Id="rId69" Type="http://schemas.openxmlformats.org/officeDocument/2006/relationships/hyperlink" Target="http://people.duke.edu/~dandan/webfiles/PapersPI/Placebo%20Marketing%20Actions.pdf" TargetMode="External"/><Relationship Id="rId8" Type="http://schemas.openxmlformats.org/officeDocument/2006/relationships/hyperlink" Target="http://deridder.com.au/site/wp-content/uploads/2016/04/COMMUNICATIONS-DAY-7-4-2016.pdf" TargetMode="External"/><Relationship Id="rId51" Type="http://schemas.openxmlformats.org/officeDocument/2006/relationships/hyperlink" Target="https://www.iinet.net.au/about/legal/cra/pdf/iiNet-Group-General-Terms.pdf" TargetMode="External"/><Relationship Id="rId72" Type="http://schemas.openxmlformats.org/officeDocument/2006/relationships/hyperlink" Target="http://www.acma.gov.au/theACMA/engage-blogs/engage-blogs/Research-snapshots/Australians-get-mobile" TargetMode="External"/><Relationship Id="rId3" Type="http://schemas.openxmlformats.org/officeDocument/2006/relationships/hyperlink" Target="http://www.pc.gov.au/__data/assets/pdf_file/0020/205490/sub052-telecommunications.pdf" TargetMode="External"/><Relationship Id="rId12" Type="http://schemas.openxmlformats.org/officeDocument/2006/relationships/hyperlink" Target="http://deridder.com.au/site/wp-content/uploads/2016/09/iPhone-7-study.pdf" TargetMode="External"/><Relationship Id="rId17" Type="http://schemas.openxmlformats.org/officeDocument/2006/relationships/hyperlink" Target="https://exchange.telstra.com.au/2016/02/09/an-update-on-todays-mobile-outage/" TargetMode="External"/><Relationship Id="rId25" Type="http://schemas.openxmlformats.org/officeDocument/2006/relationships/hyperlink" Target="https://www.energymadeeasy.gov.au/" TargetMode="External"/><Relationship Id="rId33" Type="http://schemas.openxmlformats.org/officeDocument/2006/relationships/hyperlink" Target="http://www.pcworld.com/article/170661/apple_att_fight_voip_on_iphone.html" TargetMode="External"/><Relationship Id="rId38" Type="http://schemas.openxmlformats.org/officeDocument/2006/relationships/hyperlink" Target="https://offer.optus.com.au/epl" TargetMode="External"/><Relationship Id="rId46" Type="http://schemas.openxmlformats.org/officeDocument/2006/relationships/hyperlink" Target="https://apps.fcc.gov/edocs_public/attachmatch/DOC-332260A1.pdf" TargetMode="External"/><Relationship Id="rId59" Type="http://schemas.openxmlformats.org/officeDocument/2006/relationships/hyperlink" Target="http://www.apple.com/au/ios/home/" TargetMode="External"/><Relationship Id="rId67" Type="http://schemas.openxmlformats.org/officeDocument/2006/relationships/hyperlink" Target="http://www.canstarblue.com.au/phone-internet/internet/nbn-providers/amaysim-targets-nbn-ausbbs-takeover/" TargetMode="External"/><Relationship Id="rId20" Type="http://schemas.openxmlformats.org/officeDocument/2006/relationships/hyperlink" Target="http://accan.org.au/PC%20Data%20Availability%20and%20Use%20submission%202016.pdf" TargetMode="External"/><Relationship Id="rId41" Type="http://schemas.openxmlformats.org/officeDocument/2006/relationships/hyperlink" Target="http://www.foxtel.com.au/support/ondemand-apps-extras/get-started-with-foxtel-go-216947.htm" TargetMode="External"/><Relationship Id="rId54" Type="http://schemas.openxmlformats.org/officeDocument/2006/relationships/hyperlink" Target="file:///C:\Users\una.lawrence\AppData\Local\Microsoft\Windows\INetCache\Content.Outlook\RIE02EIU\committees\commrep\2011-05-05\0001" TargetMode="External"/><Relationship Id="rId62" Type="http://schemas.openxmlformats.org/officeDocument/2006/relationships/hyperlink" Target="http://www.telsyte.com.au/announcements/2015/8/10/australian-iot-home-market-to-reach-32-billion-by-2019-embedding-smart-technology-into-everyday-life-1" TargetMode="External"/><Relationship Id="rId70" Type="http://schemas.openxmlformats.org/officeDocument/2006/relationships/hyperlink" Target="https://accan.org.au/our-work/submissions/1168-superfast-broadband" TargetMode="External"/><Relationship Id="rId75" Type="http://schemas.openxmlformats.org/officeDocument/2006/relationships/hyperlink" Target="http://www.apple.com/ipad/LTE/" TargetMode="External"/><Relationship Id="rId1" Type="http://schemas.openxmlformats.org/officeDocument/2006/relationships/hyperlink" Target="https://accan.org.au/our-work/policy/1245-the-future-of-consumer-focused-communication-services" TargetMode="External"/><Relationship Id="rId6" Type="http://schemas.openxmlformats.org/officeDocument/2006/relationships/hyperlink" Target="https://accan.org.au/our-work/submissions/1295-special-access-undertak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S:\Templates%20&amp;%20Originals\Templates%202016%20as%20at%20August%202016\Submission%20Template.dotx"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C001480-CD90-4845-B75A-663CD66FFBD6}" type="doc">
      <dgm:prSet loTypeId="urn:microsoft.com/office/officeart/2005/8/layout/default" loCatId="list" qsTypeId="urn:microsoft.com/office/officeart/2005/8/quickstyle/simple2" qsCatId="simple" csTypeId="urn:microsoft.com/office/officeart/2005/8/colors/accent1_2" csCatId="accent1" phldr="1"/>
      <dgm:spPr/>
      <dgm:t>
        <a:bodyPr/>
        <a:lstStyle/>
        <a:p>
          <a:endParaRPr lang="en-US"/>
        </a:p>
      </dgm:t>
    </dgm:pt>
    <dgm:pt modelId="{1AA1F8C0-1E4C-49E8-96F8-FC3EE74799CC}">
      <dgm:prSet phldrT="[Text]"/>
      <dgm:spPr>
        <a:xfrm>
          <a:off x="1296" y="301915"/>
          <a:ext cx="1028548" cy="617129"/>
        </a:xfrm>
        <a:solidFill>
          <a:srgbClr val="4F81BD">
            <a:hueOff val="0"/>
            <a:satOff val="0"/>
            <a:lumOff val="0"/>
            <a:alphaOff val="0"/>
          </a:srgbClr>
        </a:solidFill>
        <a:ln w="38100" cap="flat" cmpd="sng" algn="ctr">
          <a:solidFill>
            <a:sysClr val="window" lastClr="FFFFFF">
              <a:hueOff val="0"/>
              <a:satOff val="0"/>
              <a:lumOff val="0"/>
              <a:alphaOff val="0"/>
            </a:sysClr>
          </a:solidFill>
          <a:prstDash val="solid"/>
        </a:ln>
        <a:effectLst>
          <a:outerShdw blurRad="40000" dist="20000" dir="5400000" rotWithShape="0">
            <a:srgbClr val="000000">
              <a:alpha val="38000"/>
            </a:srgbClr>
          </a:outerShdw>
        </a:effectLst>
      </dgm:spPr>
      <dgm:t>
        <a:bodyPr/>
        <a:lstStyle/>
        <a:p>
          <a:pPr algn="ctr"/>
          <a:r>
            <a:rPr lang="en-US">
              <a:solidFill>
                <a:sysClr val="window" lastClr="FFFFFF"/>
              </a:solidFill>
              <a:latin typeface="Calibri"/>
              <a:ea typeface="+mn-ea"/>
              <a:cs typeface="+mn-cs"/>
            </a:rPr>
            <a:t>Third party supplier </a:t>
          </a:r>
          <a:br>
            <a:rPr lang="en-US">
              <a:solidFill>
                <a:sysClr val="window" lastClr="FFFFFF"/>
              </a:solidFill>
              <a:latin typeface="Calibri"/>
              <a:ea typeface="+mn-ea"/>
              <a:cs typeface="+mn-cs"/>
            </a:rPr>
          </a:br>
          <a:r>
            <a:rPr lang="en-US">
              <a:solidFill>
                <a:sysClr val="window" lastClr="FFFFFF"/>
              </a:solidFill>
              <a:latin typeface="Calibri"/>
              <a:ea typeface="+mn-ea"/>
              <a:cs typeface="+mn-cs"/>
            </a:rPr>
            <a:t>(e.g. Kogan, JB HiFi)</a:t>
          </a:r>
        </a:p>
      </dgm:t>
    </dgm:pt>
    <dgm:pt modelId="{84C96210-1E89-4F59-9E13-CE57D0E9488A}" type="parTrans" cxnId="{2945E16D-EB5C-497B-AF59-A3A4362FC307}">
      <dgm:prSet/>
      <dgm:spPr/>
      <dgm:t>
        <a:bodyPr/>
        <a:lstStyle/>
        <a:p>
          <a:endParaRPr lang="en-US"/>
        </a:p>
      </dgm:t>
    </dgm:pt>
    <dgm:pt modelId="{886A230A-3401-41CE-851D-D6C0B3E61B88}" type="sibTrans" cxnId="{2945E16D-EB5C-497B-AF59-A3A4362FC307}">
      <dgm:prSet/>
      <dgm:spPr/>
      <dgm:t>
        <a:bodyPr/>
        <a:lstStyle/>
        <a:p>
          <a:endParaRPr lang="en-US"/>
        </a:p>
      </dgm:t>
    </dgm:pt>
    <dgm:pt modelId="{545B60A3-80A6-4E2A-83DE-9B896C3DC1A0}">
      <dgm:prSet phldrT="[Text]"/>
      <dgm:spPr>
        <a:xfrm>
          <a:off x="1132699" y="301915"/>
          <a:ext cx="1028548" cy="617129"/>
        </a:xfrm>
        <a:solidFill>
          <a:srgbClr val="4F81BD">
            <a:hueOff val="0"/>
            <a:satOff val="0"/>
            <a:lumOff val="0"/>
            <a:alphaOff val="0"/>
          </a:srgbClr>
        </a:solidFill>
        <a:ln w="38100" cap="flat" cmpd="sng" algn="ctr">
          <a:solidFill>
            <a:sysClr val="window" lastClr="FFFFFF">
              <a:hueOff val="0"/>
              <a:satOff val="0"/>
              <a:lumOff val="0"/>
              <a:alphaOff val="0"/>
            </a:sysClr>
          </a:solidFill>
          <a:prstDash val="solid"/>
        </a:ln>
        <a:effectLst>
          <a:outerShdw blurRad="40000" dist="20000" dir="5400000" rotWithShape="0">
            <a:srgbClr val="000000">
              <a:alpha val="38000"/>
            </a:srgbClr>
          </a:outerShdw>
        </a:effectLst>
      </dgm:spPr>
      <dgm:t>
        <a:bodyPr/>
        <a:lstStyle/>
        <a:p>
          <a:r>
            <a:rPr lang="en-US">
              <a:solidFill>
                <a:sysClr val="window" lastClr="FFFFFF"/>
              </a:solidFill>
              <a:latin typeface="Calibri"/>
              <a:ea typeface="+mn-ea"/>
              <a:cs typeface="+mn-cs"/>
            </a:rPr>
            <a:t>Carrier/ISP </a:t>
          </a:r>
          <a:br>
            <a:rPr lang="en-US">
              <a:solidFill>
                <a:sysClr val="window" lastClr="FFFFFF"/>
              </a:solidFill>
              <a:latin typeface="Calibri"/>
              <a:ea typeface="+mn-ea"/>
              <a:cs typeface="+mn-cs"/>
            </a:rPr>
          </a:br>
          <a:r>
            <a:rPr lang="en-US">
              <a:solidFill>
                <a:sysClr val="window" lastClr="FFFFFF"/>
              </a:solidFill>
              <a:latin typeface="Calibri"/>
              <a:ea typeface="+mn-ea"/>
              <a:cs typeface="+mn-cs"/>
            </a:rPr>
            <a:t>(e.g. Telstra, iiNet)</a:t>
          </a:r>
        </a:p>
      </dgm:t>
    </dgm:pt>
    <dgm:pt modelId="{F34209F1-7314-496E-A051-FBD10166F882}" type="parTrans" cxnId="{6188F3B8-C052-401E-BAB0-2D9B2F23B2CE}">
      <dgm:prSet/>
      <dgm:spPr/>
      <dgm:t>
        <a:bodyPr/>
        <a:lstStyle/>
        <a:p>
          <a:endParaRPr lang="en-US"/>
        </a:p>
      </dgm:t>
    </dgm:pt>
    <dgm:pt modelId="{C6AF58D6-A50E-4DE9-A423-F9A6348971D5}" type="sibTrans" cxnId="{6188F3B8-C052-401E-BAB0-2D9B2F23B2CE}">
      <dgm:prSet/>
      <dgm:spPr/>
      <dgm:t>
        <a:bodyPr/>
        <a:lstStyle/>
        <a:p>
          <a:endParaRPr lang="en-US"/>
        </a:p>
      </dgm:t>
    </dgm:pt>
    <dgm:pt modelId="{E0C35673-A22E-45DD-AB3F-3710226EFDFA}">
      <dgm:prSet phldrT="[Text]"/>
      <dgm:spPr>
        <a:xfrm>
          <a:off x="2264102" y="301915"/>
          <a:ext cx="1028548" cy="617129"/>
        </a:xfrm>
        <a:solidFill>
          <a:srgbClr val="4F81BD">
            <a:hueOff val="0"/>
            <a:satOff val="0"/>
            <a:lumOff val="0"/>
            <a:alphaOff val="0"/>
          </a:srgbClr>
        </a:solidFill>
        <a:ln w="38100" cap="flat" cmpd="sng" algn="ctr">
          <a:solidFill>
            <a:sysClr val="window" lastClr="FFFFFF">
              <a:hueOff val="0"/>
              <a:satOff val="0"/>
              <a:lumOff val="0"/>
              <a:alphaOff val="0"/>
            </a:sysClr>
          </a:solidFill>
          <a:prstDash val="solid"/>
        </a:ln>
        <a:effectLst>
          <a:outerShdw blurRad="40000" dist="20000" dir="5400000" rotWithShape="0">
            <a:srgbClr val="000000">
              <a:alpha val="38000"/>
            </a:srgbClr>
          </a:outerShdw>
        </a:effectLst>
      </dgm:spPr>
      <dgm:t>
        <a:bodyPr/>
        <a:lstStyle/>
        <a:p>
          <a:r>
            <a:rPr lang="en-US">
              <a:solidFill>
                <a:sysClr val="window" lastClr="FFFFFF"/>
              </a:solidFill>
              <a:latin typeface="Calibri"/>
              <a:ea typeface="+mn-ea"/>
              <a:cs typeface="+mn-cs"/>
            </a:rPr>
            <a:t>OTT service provider (e.g. Netflix, Stan)</a:t>
          </a:r>
        </a:p>
      </dgm:t>
    </dgm:pt>
    <dgm:pt modelId="{760C04BB-EBD0-46CC-B7FB-308E5879272B}" type="parTrans" cxnId="{2F41F067-2293-4240-95EA-6868F0833C6D}">
      <dgm:prSet/>
      <dgm:spPr/>
      <dgm:t>
        <a:bodyPr/>
        <a:lstStyle/>
        <a:p>
          <a:endParaRPr lang="en-US"/>
        </a:p>
      </dgm:t>
    </dgm:pt>
    <dgm:pt modelId="{54235EA1-68DF-4020-A7E8-E52D322686FE}" type="sibTrans" cxnId="{2F41F067-2293-4240-95EA-6868F0833C6D}">
      <dgm:prSet/>
      <dgm:spPr/>
      <dgm:t>
        <a:bodyPr/>
        <a:lstStyle/>
        <a:p>
          <a:endParaRPr lang="en-US"/>
        </a:p>
      </dgm:t>
    </dgm:pt>
    <dgm:pt modelId="{C02C7BDA-2672-49D4-A735-7A4F7EAECFAE}">
      <dgm:prSet phldrT="[Text]"/>
      <dgm:spPr>
        <a:xfrm>
          <a:off x="3395506" y="301915"/>
          <a:ext cx="1028548" cy="617129"/>
        </a:xfrm>
        <a:solidFill>
          <a:srgbClr val="4F81BD">
            <a:hueOff val="0"/>
            <a:satOff val="0"/>
            <a:lumOff val="0"/>
            <a:alphaOff val="0"/>
          </a:srgbClr>
        </a:solidFill>
        <a:ln w="38100" cap="flat" cmpd="sng" algn="ctr">
          <a:solidFill>
            <a:sysClr val="window" lastClr="FFFFFF">
              <a:hueOff val="0"/>
              <a:satOff val="0"/>
              <a:lumOff val="0"/>
              <a:alphaOff val="0"/>
            </a:sysClr>
          </a:solidFill>
          <a:prstDash val="solid"/>
        </a:ln>
        <a:effectLst>
          <a:outerShdw blurRad="40000" dist="20000" dir="5400000" rotWithShape="0">
            <a:srgbClr val="000000">
              <a:alpha val="38000"/>
            </a:srgbClr>
          </a:outerShdw>
        </a:effectLst>
      </dgm:spPr>
      <dgm:t>
        <a:bodyPr/>
        <a:lstStyle/>
        <a:p>
          <a:r>
            <a:rPr lang="en-US">
              <a:solidFill>
                <a:sysClr val="window" lastClr="FFFFFF"/>
              </a:solidFill>
              <a:latin typeface="Calibri"/>
              <a:ea typeface="+mn-ea"/>
              <a:cs typeface="+mn-cs"/>
            </a:rPr>
            <a:t>Device manufacturer (e.g. Apple, Samsung, Google)</a:t>
          </a:r>
        </a:p>
      </dgm:t>
    </dgm:pt>
    <dgm:pt modelId="{D81491EE-1548-4981-82BB-F6990F401888}" type="parTrans" cxnId="{83817465-F243-47B9-9716-82D72572BF65}">
      <dgm:prSet/>
      <dgm:spPr/>
      <dgm:t>
        <a:bodyPr/>
        <a:lstStyle/>
        <a:p>
          <a:endParaRPr lang="en-US"/>
        </a:p>
      </dgm:t>
    </dgm:pt>
    <dgm:pt modelId="{811EF931-21EF-4C92-BDE0-0B98B1CC8EB3}" type="sibTrans" cxnId="{83817465-F243-47B9-9716-82D72572BF65}">
      <dgm:prSet/>
      <dgm:spPr/>
      <dgm:t>
        <a:bodyPr/>
        <a:lstStyle/>
        <a:p>
          <a:endParaRPr lang="en-US"/>
        </a:p>
      </dgm:t>
    </dgm:pt>
    <dgm:pt modelId="{EAA7465D-F7CA-48C7-B74D-F45675554E99}">
      <dgm:prSet phldrT="[Text]"/>
      <dgm:spPr>
        <a:xfrm>
          <a:off x="1296" y="1021898"/>
          <a:ext cx="1028548" cy="617129"/>
        </a:xfrm>
        <a:solidFill>
          <a:srgbClr val="4F81BD">
            <a:hueOff val="0"/>
            <a:satOff val="0"/>
            <a:lumOff val="0"/>
            <a:alphaOff val="0"/>
          </a:srgbClr>
        </a:solidFill>
        <a:ln w="38100" cap="flat" cmpd="sng" algn="ctr">
          <a:solidFill>
            <a:sysClr val="window" lastClr="FFFFFF">
              <a:hueOff val="0"/>
              <a:satOff val="0"/>
              <a:lumOff val="0"/>
              <a:alphaOff val="0"/>
            </a:sysClr>
          </a:solidFill>
          <a:prstDash val="solid"/>
        </a:ln>
        <a:effectLst>
          <a:outerShdw blurRad="40000" dist="20000" dir="5400000" rotWithShape="0">
            <a:srgbClr val="000000">
              <a:alpha val="38000"/>
            </a:srgbClr>
          </a:outerShdw>
        </a:effectLst>
      </dgm:spPr>
      <dgm:t>
        <a:bodyPr/>
        <a:lstStyle/>
        <a:p>
          <a:r>
            <a:rPr lang="en-US">
              <a:solidFill>
                <a:sysClr val="window" lastClr="FFFFFF"/>
              </a:solidFill>
              <a:latin typeface="Calibri"/>
              <a:ea typeface="+mn-ea"/>
              <a:cs typeface="+mn-cs"/>
            </a:rPr>
            <a:t>App/software developer </a:t>
          </a:r>
        </a:p>
      </dgm:t>
    </dgm:pt>
    <dgm:pt modelId="{38ECE92C-0D15-4239-8730-5CB5E32444C7}" type="parTrans" cxnId="{3D62BE64-C8E2-43AF-A1E5-47D36C87F560}">
      <dgm:prSet/>
      <dgm:spPr/>
      <dgm:t>
        <a:bodyPr/>
        <a:lstStyle/>
        <a:p>
          <a:endParaRPr lang="en-US"/>
        </a:p>
      </dgm:t>
    </dgm:pt>
    <dgm:pt modelId="{54F73564-C9F1-4EEA-B504-F49CA1FB3039}" type="sibTrans" cxnId="{3D62BE64-C8E2-43AF-A1E5-47D36C87F560}">
      <dgm:prSet/>
      <dgm:spPr/>
      <dgm:t>
        <a:bodyPr/>
        <a:lstStyle/>
        <a:p>
          <a:endParaRPr lang="en-US"/>
        </a:p>
      </dgm:t>
    </dgm:pt>
    <dgm:pt modelId="{4C67B8C8-69E3-4E60-A318-2ABD5918C0C6}">
      <dgm:prSet phldrT="[Text]"/>
      <dgm:spPr>
        <a:xfrm>
          <a:off x="1132699" y="1021898"/>
          <a:ext cx="1028548" cy="617129"/>
        </a:xfrm>
        <a:solidFill>
          <a:srgbClr val="4F81BD">
            <a:hueOff val="0"/>
            <a:satOff val="0"/>
            <a:lumOff val="0"/>
            <a:alphaOff val="0"/>
          </a:srgbClr>
        </a:solidFill>
        <a:ln w="38100" cap="flat" cmpd="sng" algn="ctr">
          <a:solidFill>
            <a:sysClr val="window" lastClr="FFFFFF">
              <a:hueOff val="0"/>
              <a:satOff val="0"/>
              <a:lumOff val="0"/>
              <a:alphaOff val="0"/>
            </a:sysClr>
          </a:solidFill>
          <a:prstDash val="solid"/>
        </a:ln>
        <a:effectLst>
          <a:outerShdw blurRad="40000" dist="20000" dir="5400000" rotWithShape="0">
            <a:srgbClr val="000000">
              <a:alpha val="38000"/>
            </a:srgbClr>
          </a:outerShdw>
        </a:effectLst>
      </dgm:spPr>
      <dgm:t>
        <a:bodyPr/>
        <a:lstStyle/>
        <a:p>
          <a:r>
            <a:rPr lang="en-US">
              <a:solidFill>
                <a:sysClr val="window" lastClr="FFFFFF"/>
              </a:solidFill>
              <a:latin typeface="Calibri"/>
              <a:ea typeface="+mn-ea"/>
              <a:cs typeface="+mn-cs"/>
            </a:rPr>
            <a:t>Content Aggregator (e.g. App Store, MPS and DCB aggregators)</a:t>
          </a:r>
        </a:p>
      </dgm:t>
    </dgm:pt>
    <dgm:pt modelId="{9CADE8C7-68E7-474F-9861-EE8C47B56B47}" type="parTrans" cxnId="{98BA919F-FFDE-487B-957A-F974024862C5}">
      <dgm:prSet/>
      <dgm:spPr/>
      <dgm:t>
        <a:bodyPr/>
        <a:lstStyle/>
        <a:p>
          <a:endParaRPr lang="en-US"/>
        </a:p>
      </dgm:t>
    </dgm:pt>
    <dgm:pt modelId="{F9A5064D-FC8B-41E5-8165-91E746BEE01F}" type="sibTrans" cxnId="{98BA919F-FFDE-487B-957A-F974024862C5}">
      <dgm:prSet/>
      <dgm:spPr/>
      <dgm:t>
        <a:bodyPr/>
        <a:lstStyle/>
        <a:p>
          <a:endParaRPr lang="en-US"/>
        </a:p>
      </dgm:t>
    </dgm:pt>
    <dgm:pt modelId="{BA597269-2375-45CF-8CEB-225F1627F8E7}">
      <dgm:prSet phldrT="[Text]"/>
      <dgm:spPr>
        <a:xfrm>
          <a:off x="2264102" y="1021898"/>
          <a:ext cx="1028548" cy="617129"/>
        </a:xfrm>
        <a:solidFill>
          <a:srgbClr val="4F81BD">
            <a:hueOff val="0"/>
            <a:satOff val="0"/>
            <a:lumOff val="0"/>
            <a:alphaOff val="0"/>
          </a:srgbClr>
        </a:solidFill>
        <a:ln w="38100" cap="flat" cmpd="sng" algn="ctr">
          <a:solidFill>
            <a:sysClr val="window" lastClr="FFFFFF">
              <a:hueOff val="0"/>
              <a:satOff val="0"/>
              <a:lumOff val="0"/>
              <a:alphaOff val="0"/>
            </a:sysClr>
          </a:solidFill>
          <a:prstDash val="solid"/>
        </a:ln>
        <a:effectLst>
          <a:outerShdw blurRad="40000" dist="20000" dir="5400000" rotWithShape="0">
            <a:srgbClr val="000000">
              <a:alpha val="38000"/>
            </a:srgbClr>
          </a:outerShdw>
        </a:effectLst>
      </dgm:spPr>
      <dgm:t>
        <a:bodyPr/>
        <a:lstStyle/>
        <a:p>
          <a:r>
            <a:rPr lang="en-US">
              <a:solidFill>
                <a:sysClr val="window" lastClr="FFFFFF"/>
              </a:solidFill>
              <a:latin typeface="Calibri"/>
              <a:ea typeface="+mn-ea"/>
              <a:cs typeface="+mn-cs"/>
            </a:rPr>
            <a:t>Ombudsmen (e.g. TIO, Small Business Ombudsmen etc)</a:t>
          </a:r>
        </a:p>
      </dgm:t>
    </dgm:pt>
    <dgm:pt modelId="{BEDF6A13-29C4-4FD8-8213-EBCEE5EEE5E4}" type="parTrans" cxnId="{2922DF72-5069-4D4B-B75D-EE0EE29B8D2E}">
      <dgm:prSet/>
      <dgm:spPr/>
      <dgm:t>
        <a:bodyPr/>
        <a:lstStyle/>
        <a:p>
          <a:endParaRPr lang="en-US"/>
        </a:p>
      </dgm:t>
    </dgm:pt>
    <dgm:pt modelId="{A5BDB50E-D5BB-424E-B38A-56906A5DCCF0}" type="sibTrans" cxnId="{2922DF72-5069-4D4B-B75D-EE0EE29B8D2E}">
      <dgm:prSet/>
      <dgm:spPr/>
      <dgm:t>
        <a:bodyPr/>
        <a:lstStyle/>
        <a:p>
          <a:endParaRPr lang="en-US"/>
        </a:p>
      </dgm:t>
    </dgm:pt>
    <dgm:pt modelId="{8780B07C-476B-48C2-9517-E883234DBC9A}">
      <dgm:prSet phldrT="[Text]"/>
      <dgm:spPr>
        <a:xfrm>
          <a:off x="3395506" y="1021898"/>
          <a:ext cx="1028548" cy="617129"/>
        </a:xfrm>
        <a:solidFill>
          <a:srgbClr val="4F81BD">
            <a:hueOff val="0"/>
            <a:satOff val="0"/>
            <a:lumOff val="0"/>
            <a:alphaOff val="0"/>
          </a:srgbClr>
        </a:solidFill>
        <a:ln w="38100" cap="flat" cmpd="sng" algn="ctr">
          <a:solidFill>
            <a:sysClr val="window" lastClr="FFFFFF">
              <a:hueOff val="0"/>
              <a:satOff val="0"/>
              <a:lumOff val="0"/>
              <a:alphaOff val="0"/>
            </a:sysClr>
          </a:solidFill>
          <a:prstDash val="solid"/>
        </a:ln>
        <a:effectLst>
          <a:outerShdw blurRad="40000" dist="20000" dir="5400000" rotWithShape="0">
            <a:srgbClr val="000000">
              <a:alpha val="38000"/>
            </a:srgbClr>
          </a:outerShdw>
        </a:effectLst>
      </dgm:spPr>
      <dgm:t>
        <a:bodyPr/>
        <a:lstStyle/>
        <a:p>
          <a:r>
            <a:rPr lang="en-US">
              <a:solidFill>
                <a:sysClr val="window" lastClr="FFFFFF"/>
              </a:solidFill>
              <a:latin typeface="Calibri"/>
              <a:ea typeface="+mn-ea"/>
              <a:cs typeface="+mn-cs"/>
            </a:rPr>
            <a:t>Consumer protection bodies (e.g. ACCC, Fair Trading etc)</a:t>
          </a:r>
        </a:p>
      </dgm:t>
    </dgm:pt>
    <dgm:pt modelId="{E7129E76-368A-4CF2-8D49-A8B9F5408280}" type="parTrans" cxnId="{824D2120-B296-4023-BEAB-EE953C9E5241}">
      <dgm:prSet/>
      <dgm:spPr/>
      <dgm:t>
        <a:bodyPr/>
        <a:lstStyle/>
        <a:p>
          <a:endParaRPr lang="en-US"/>
        </a:p>
      </dgm:t>
    </dgm:pt>
    <dgm:pt modelId="{FBE6E987-7AB7-4020-BF07-714986A49E7D}" type="sibTrans" cxnId="{824D2120-B296-4023-BEAB-EE953C9E5241}">
      <dgm:prSet/>
      <dgm:spPr/>
      <dgm:t>
        <a:bodyPr/>
        <a:lstStyle/>
        <a:p>
          <a:endParaRPr lang="en-US"/>
        </a:p>
      </dgm:t>
    </dgm:pt>
    <dgm:pt modelId="{CB433C4B-A62C-47F6-A9CC-F94082F8DEE6}" type="pres">
      <dgm:prSet presAssocID="{6C001480-CD90-4845-B75A-663CD66FFBD6}" presName="diagram" presStyleCnt="0">
        <dgm:presLayoutVars>
          <dgm:dir/>
          <dgm:resizeHandles val="exact"/>
        </dgm:presLayoutVars>
      </dgm:prSet>
      <dgm:spPr/>
      <dgm:t>
        <a:bodyPr/>
        <a:lstStyle/>
        <a:p>
          <a:endParaRPr lang="en-US"/>
        </a:p>
      </dgm:t>
    </dgm:pt>
    <dgm:pt modelId="{823284B6-8C25-4CE8-AA57-B0547BDED065}" type="pres">
      <dgm:prSet presAssocID="{1AA1F8C0-1E4C-49E8-96F8-FC3EE74799CC}" presName="node" presStyleLbl="node1" presStyleIdx="0" presStyleCnt="8">
        <dgm:presLayoutVars>
          <dgm:bulletEnabled val="1"/>
        </dgm:presLayoutVars>
      </dgm:prSet>
      <dgm:spPr>
        <a:prstGeom prst="rect">
          <a:avLst/>
        </a:prstGeom>
      </dgm:spPr>
      <dgm:t>
        <a:bodyPr/>
        <a:lstStyle/>
        <a:p>
          <a:endParaRPr lang="en-US"/>
        </a:p>
      </dgm:t>
    </dgm:pt>
    <dgm:pt modelId="{BD11AAA3-718A-443E-90DE-A8ABE7D51CCA}" type="pres">
      <dgm:prSet presAssocID="{886A230A-3401-41CE-851D-D6C0B3E61B88}" presName="sibTrans" presStyleCnt="0"/>
      <dgm:spPr/>
    </dgm:pt>
    <dgm:pt modelId="{EFF60295-097F-4BBB-9847-745C2337BD90}" type="pres">
      <dgm:prSet presAssocID="{545B60A3-80A6-4E2A-83DE-9B896C3DC1A0}" presName="node" presStyleLbl="node1" presStyleIdx="1" presStyleCnt="8">
        <dgm:presLayoutVars>
          <dgm:bulletEnabled val="1"/>
        </dgm:presLayoutVars>
      </dgm:prSet>
      <dgm:spPr>
        <a:prstGeom prst="rect">
          <a:avLst/>
        </a:prstGeom>
      </dgm:spPr>
      <dgm:t>
        <a:bodyPr/>
        <a:lstStyle/>
        <a:p>
          <a:endParaRPr lang="en-US"/>
        </a:p>
      </dgm:t>
    </dgm:pt>
    <dgm:pt modelId="{856D82D9-CAD4-4731-8A11-90A94D50AD40}" type="pres">
      <dgm:prSet presAssocID="{C6AF58D6-A50E-4DE9-A423-F9A6348971D5}" presName="sibTrans" presStyleCnt="0"/>
      <dgm:spPr/>
    </dgm:pt>
    <dgm:pt modelId="{CAAB6594-0130-46E5-99AE-F65DD995BE74}" type="pres">
      <dgm:prSet presAssocID="{E0C35673-A22E-45DD-AB3F-3710226EFDFA}" presName="node" presStyleLbl="node1" presStyleIdx="2" presStyleCnt="8">
        <dgm:presLayoutVars>
          <dgm:bulletEnabled val="1"/>
        </dgm:presLayoutVars>
      </dgm:prSet>
      <dgm:spPr>
        <a:prstGeom prst="rect">
          <a:avLst/>
        </a:prstGeom>
      </dgm:spPr>
      <dgm:t>
        <a:bodyPr/>
        <a:lstStyle/>
        <a:p>
          <a:endParaRPr lang="en-US"/>
        </a:p>
      </dgm:t>
    </dgm:pt>
    <dgm:pt modelId="{A57FD9FB-E078-46CD-B34E-ECED121515C1}" type="pres">
      <dgm:prSet presAssocID="{54235EA1-68DF-4020-A7E8-E52D322686FE}" presName="sibTrans" presStyleCnt="0"/>
      <dgm:spPr/>
    </dgm:pt>
    <dgm:pt modelId="{996FCE0B-A284-4177-9622-6BE40EE985A5}" type="pres">
      <dgm:prSet presAssocID="{C02C7BDA-2672-49D4-A735-7A4F7EAECFAE}" presName="node" presStyleLbl="node1" presStyleIdx="3" presStyleCnt="8">
        <dgm:presLayoutVars>
          <dgm:bulletEnabled val="1"/>
        </dgm:presLayoutVars>
      </dgm:prSet>
      <dgm:spPr>
        <a:prstGeom prst="rect">
          <a:avLst/>
        </a:prstGeom>
      </dgm:spPr>
      <dgm:t>
        <a:bodyPr/>
        <a:lstStyle/>
        <a:p>
          <a:endParaRPr lang="en-US"/>
        </a:p>
      </dgm:t>
    </dgm:pt>
    <dgm:pt modelId="{55212C9C-D47B-4D18-BB1D-DBA42476E5D4}" type="pres">
      <dgm:prSet presAssocID="{811EF931-21EF-4C92-BDE0-0B98B1CC8EB3}" presName="sibTrans" presStyleCnt="0"/>
      <dgm:spPr/>
    </dgm:pt>
    <dgm:pt modelId="{27BFDE32-ABFE-4E96-A945-2F96D3BCED00}" type="pres">
      <dgm:prSet presAssocID="{EAA7465D-F7CA-48C7-B74D-F45675554E99}" presName="node" presStyleLbl="node1" presStyleIdx="4" presStyleCnt="8">
        <dgm:presLayoutVars>
          <dgm:bulletEnabled val="1"/>
        </dgm:presLayoutVars>
      </dgm:prSet>
      <dgm:spPr>
        <a:prstGeom prst="rect">
          <a:avLst/>
        </a:prstGeom>
      </dgm:spPr>
      <dgm:t>
        <a:bodyPr/>
        <a:lstStyle/>
        <a:p>
          <a:endParaRPr lang="en-US"/>
        </a:p>
      </dgm:t>
    </dgm:pt>
    <dgm:pt modelId="{B584FFC7-33C6-49CD-A451-4F0B66DDF235}" type="pres">
      <dgm:prSet presAssocID="{54F73564-C9F1-4EEA-B504-F49CA1FB3039}" presName="sibTrans" presStyleCnt="0"/>
      <dgm:spPr/>
    </dgm:pt>
    <dgm:pt modelId="{43B021D6-E764-4456-B059-C83E1CEA6B49}" type="pres">
      <dgm:prSet presAssocID="{4C67B8C8-69E3-4E60-A318-2ABD5918C0C6}" presName="node" presStyleLbl="node1" presStyleIdx="5" presStyleCnt="8">
        <dgm:presLayoutVars>
          <dgm:bulletEnabled val="1"/>
        </dgm:presLayoutVars>
      </dgm:prSet>
      <dgm:spPr>
        <a:prstGeom prst="rect">
          <a:avLst/>
        </a:prstGeom>
      </dgm:spPr>
      <dgm:t>
        <a:bodyPr/>
        <a:lstStyle/>
        <a:p>
          <a:endParaRPr lang="en-US"/>
        </a:p>
      </dgm:t>
    </dgm:pt>
    <dgm:pt modelId="{EE5F0203-B8CA-49C3-84A8-7EC43BCC833D}" type="pres">
      <dgm:prSet presAssocID="{F9A5064D-FC8B-41E5-8165-91E746BEE01F}" presName="sibTrans" presStyleCnt="0"/>
      <dgm:spPr/>
    </dgm:pt>
    <dgm:pt modelId="{886BE836-99C7-45A6-9926-A3E9705A7C60}" type="pres">
      <dgm:prSet presAssocID="{BA597269-2375-45CF-8CEB-225F1627F8E7}" presName="node" presStyleLbl="node1" presStyleIdx="6" presStyleCnt="8">
        <dgm:presLayoutVars>
          <dgm:bulletEnabled val="1"/>
        </dgm:presLayoutVars>
      </dgm:prSet>
      <dgm:spPr>
        <a:prstGeom prst="rect">
          <a:avLst/>
        </a:prstGeom>
      </dgm:spPr>
      <dgm:t>
        <a:bodyPr/>
        <a:lstStyle/>
        <a:p>
          <a:endParaRPr lang="en-US"/>
        </a:p>
      </dgm:t>
    </dgm:pt>
    <dgm:pt modelId="{D2AF6A27-ED7A-43BF-8966-9C15EB5427DF}" type="pres">
      <dgm:prSet presAssocID="{A5BDB50E-D5BB-424E-B38A-56906A5DCCF0}" presName="sibTrans" presStyleCnt="0"/>
      <dgm:spPr/>
    </dgm:pt>
    <dgm:pt modelId="{AF1D7B20-E75C-4895-B4FD-3AAC4071350E}" type="pres">
      <dgm:prSet presAssocID="{8780B07C-476B-48C2-9517-E883234DBC9A}" presName="node" presStyleLbl="node1" presStyleIdx="7" presStyleCnt="8">
        <dgm:presLayoutVars>
          <dgm:bulletEnabled val="1"/>
        </dgm:presLayoutVars>
      </dgm:prSet>
      <dgm:spPr>
        <a:prstGeom prst="rect">
          <a:avLst/>
        </a:prstGeom>
      </dgm:spPr>
      <dgm:t>
        <a:bodyPr/>
        <a:lstStyle/>
        <a:p>
          <a:endParaRPr lang="en-US"/>
        </a:p>
      </dgm:t>
    </dgm:pt>
  </dgm:ptLst>
  <dgm:cxnLst>
    <dgm:cxn modelId="{95EBE242-115E-4495-A5E9-7EE982EBA678}" type="presOf" srcId="{C02C7BDA-2672-49D4-A735-7A4F7EAECFAE}" destId="{996FCE0B-A284-4177-9622-6BE40EE985A5}" srcOrd="0" destOrd="0" presId="urn:microsoft.com/office/officeart/2005/8/layout/default"/>
    <dgm:cxn modelId="{7F35E598-0D1C-4B88-9F04-9C9154D48DE1}" type="presOf" srcId="{8780B07C-476B-48C2-9517-E883234DBC9A}" destId="{AF1D7B20-E75C-4895-B4FD-3AAC4071350E}" srcOrd="0" destOrd="0" presId="urn:microsoft.com/office/officeart/2005/8/layout/default"/>
    <dgm:cxn modelId="{824D2120-B296-4023-BEAB-EE953C9E5241}" srcId="{6C001480-CD90-4845-B75A-663CD66FFBD6}" destId="{8780B07C-476B-48C2-9517-E883234DBC9A}" srcOrd="7" destOrd="0" parTransId="{E7129E76-368A-4CF2-8D49-A8B9F5408280}" sibTransId="{FBE6E987-7AB7-4020-BF07-714986A49E7D}"/>
    <dgm:cxn modelId="{3D62BE64-C8E2-43AF-A1E5-47D36C87F560}" srcId="{6C001480-CD90-4845-B75A-663CD66FFBD6}" destId="{EAA7465D-F7CA-48C7-B74D-F45675554E99}" srcOrd="4" destOrd="0" parTransId="{38ECE92C-0D15-4239-8730-5CB5E32444C7}" sibTransId="{54F73564-C9F1-4EEA-B504-F49CA1FB3039}"/>
    <dgm:cxn modelId="{DC92E7BC-AF49-4968-A705-6F14CADA610B}" type="presOf" srcId="{1AA1F8C0-1E4C-49E8-96F8-FC3EE74799CC}" destId="{823284B6-8C25-4CE8-AA57-B0547BDED065}" srcOrd="0" destOrd="0" presId="urn:microsoft.com/office/officeart/2005/8/layout/default"/>
    <dgm:cxn modelId="{894D17CB-9A7F-436B-BAD8-5B857EAD0E08}" type="presOf" srcId="{4C67B8C8-69E3-4E60-A318-2ABD5918C0C6}" destId="{43B021D6-E764-4456-B059-C83E1CEA6B49}" srcOrd="0" destOrd="0" presId="urn:microsoft.com/office/officeart/2005/8/layout/default"/>
    <dgm:cxn modelId="{918D7F5B-EF19-45E2-92C6-EC85EA0786AF}" type="presOf" srcId="{BA597269-2375-45CF-8CEB-225F1627F8E7}" destId="{886BE836-99C7-45A6-9926-A3E9705A7C60}" srcOrd="0" destOrd="0" presId="urn:microsoft.com/office/officeart/2005/8/layout/default"/>
    <dgm:cxn modelId="{92ED2BC6-55BC-4515-BF22-34062808DD07}" type="presOf" srcId="{6C001480-CD90-4845-B75A-663CD66FFBD6}" destId="{CB433C4B-A62C-47F6-A9CC-F94082F8DEE6}" srcOrd="0" destOrd="0" presId="urn:microsoft.com/office/officeart/2005/8/layout/default"/>
    <dgm:cxn modelId="{2F41F067-2293-4240-95EA-6868F0833C6D}" srcId="{6C001480-CD90-4845-B75A-663CD66FFBD6}" destId="{E0C35673-A22E-45DD-AB3F-3710226EFDFA}" srcOrd="2" destOrd="0" parTransId="{760C04BB-EBD0-46CC-B7FB-308E5879272B}" sibTransId="{54235EA1-68DF-4020-A7E8-E52D322686FE}"/>
    <dgm:cxn modelId="{83817465-F243-47B9-9716-82D72572BF65}" srcId="{6C001480-CD90-4845-B75A-663CD66FFBD6}" destId="{C02C7BDA-2672-49D4-A735-7A4F7EAECFAE}" srcOrd="3" destOrd="0" parTransId="{D81491EE-1548-4981-82BB-F6990F401888}" sibTransId="{811EF931-21EF-4C92-BDE0-0B98B1CC8EB3}"/>
    <dgm:cxn modelId="{6188F3B8-C052-401E-BAB0-2D9B2F23B2CE}" srcId="{6C001480-CD90-4845-B75A-663CD66FFBD6}" destId="{545B60A3-80A6-4E2A-83DE-9B896C3DC1A0}" srcOrd="1" destOrd="0" parTransId="{F34209F1-7314-496E-A051-FBD10166F882}" sibTransId="{C6AF58D6-A50E-4DE9-A423-F9A6348971D5}"/>
    <dgm:cxn modelId="{342569F6-8C4D-4310-94CA-A97CCAE9337D}" type="presOf" srcId="{E0C35673-A22E-45DD-AB3F-3710226EFDFA}" destId="{CAAB6594-0130-46E5-99AE-F65DD995BE74}" srcOrd="0" destOrd="0" presId="urn:microsoft.com/office/officeart/2005/8/layout/default"/>
    <dgm:cxn modelId="{BB3E0931-C956-4101-BECC-C77B72F92D0B}" type="presOf" srcId="{545B60A3-80A6-4E2A-83DE-9B896C3DC1A0}" destId="{EFF60295-097F-4BBB-9847-745C2337BD90}" srcOrd="0" destOrd="0" presId="urn:microsoft.com/office/officeart/2005/8/layout/default"/>
    <dgm:cxn modelId="{21B41689-DC65-4D06-9EBD-D414FCC5F9B5}" type="presOf" srcId="{EAA7465D-F7CA-48C7-B74D-F45675554E99}" destId="{27BFDE32-ABFE-4E96-A945-2F96D3BCED00}" srcOrd="0" destOrd="0" presId="urn:microsoft.com/office/officeart/2005/8/layout/default"/>
    <dgm:cxn modelId="{2922DF72-5069-4D4B-B75D-EE0EE29B8D2E}" srcId="{6C001480-CD90-4845-B75A-663CD66FFBD6}" destId="{BA597269-2375-45CF-8CEB-225F1627F8E7}" srcOrd="6" destOrd="0" parTransId="{BEDF6A13-29C4-4FD8-8213-EBCEE5EEE5E4}" sibTransId="{A5BDB50E-D5BB-424E-B38A-56906A5DCCF0}"/>
    <dgm:cxn modelId="{2945E16D-EB5C-497B-AF59-A3A4362FC307}" srcId="{6C001480-CD90-4845-B75A-663CD66FFBD6}" destId="{1AA1F8C0-1E4C-49E8-96F8-FC3EE74799CC}" srcOrd="0" destOrd="0" parTransId="{84C96210-1E89-4F59-9E13-CE57D0E9488A}" sibTransId="{886A230A-3401-41CE-851D-D6C0B3E61B88}"/>
    <dgm:cxn modelId="{98BA919F-FFDE-487B-957A-F974024862C5}" srcId="{6C001480-CD90-4845-B75A-663CD66FFBD6}" destId="{4C67B8C8-69E3-4E60-A318-2ABD5918C0C6}" srcOrd="5" destOrd="0" parTransId="{9CADE8C7-68E7-474F-9861-EE8C47B56B47}" sibTransId="{F9A5064D-FC8B-41E5-8165-91E746BEE01F}"/>
    <dgm:cxn modelId="{9A48B097-DD78-4FD1-9879-0E8C3EDCEF9D}" type="presParOf" srcId="{CB433C4B-A62C-47F6-A9CC-F94082F8DEE6}" destId="{823284B6-8C25-4CE8-AA57-B0547BDED065}" srcOrd="0" destOrd="0" presId="urn:microsoft.com/office/officeart/2005/8/layout/default"/>
    <dgm:cxn modelId="{AEA99C08-AEA2-4FDE-8C38-BA0E5F167CD6}" type="presParOf" srcId="{CB433C4B-A62C-47F6-A9CC-F94082F8DEE6}" destId="{BD11AAA3-718A-443E-90DE-A8ABE7D51CCA}" srcOrd="1" destOrd="0" presId="urn:microsoft.com/office/officeart/2005/8/layout/default"/>
    <dgm:cxn modelId="{726C1FAB-EAB0-4192-9964-A1CD00A51797}" type="presParOf" srcId="{CB433C4B-A62C-47F6-A9CC-F94082F8DEE6}" destId="{EFF60295-097F-4BBB-9847-745C2337BD90}" srcOrd="2" destOrd="0" presId="urn:microsoft.com/office/officeart/2005/8/layout/default"/>
    <dgm:cxn modelId="{42DCAF69-F2D6-4044-A33B-44716546B0E3}" type="presParOf" srcId="{CB433C4B-A62C-47F6-A9CC-F94082F8DEE6}" destId="{856D82D9-CAD4-4731-8A11-90A94D50AD40}" srcOrd="3" destOrd="0" presId="urn:microsoft.com/office/officeart/2005/8/layout/default"/>
    <dgm:cxn modelId="{3315A567-840D-4D0F-BB55-FB2B161328C3}" type="presParOf" srcId="{CB433C4B-A62C-47F6-A9CC-F94082F8DEE6}" destId="{CAAB6594-0130-46E5-99AE-F65DD995BE74}" srcOrd="4" destOrd="0" presId="urn:microsoft.com/office/officeart/2005/8/layout/default"/>
    <dgm:cxn modelId="{CFBE8967-9912-44A1-9E99-383E75330F4D}" type="presParOf" srcId="{CB433C4B-A62C-47F6-A9CC-F94082F8DEE6}" destId="{A57FD9FB-E078-46CD-B34E-ECED121515C1}" srcOrd="5" destOrd="0" presId="urn:microsoft.com/office/officeart/2005/8/layout/default"/>
    <dgm:cxn modelId="{475CF7BA-B43E-45BF-A9AB-5C17C3C624FF}" type="presParOf" srcId="{CB433C4B-A62C-47F6-A9CC-F94082F8DEE6}" destId="{996FCE0B-A284-4177-9622-6BE40EE985A5}" srcOrd="6" destOrd="0" presId="urn:microsoft.com/office/officeart/2005/8/layout/default"/>
    <dgm:cxn modelId="{3B72E9E5-4C7D-4363-A75C-2528BA6CDACD}" type="presParOf" srcId="{CB433C4B-A62C-47F6-A9CC-F94082F8DEE6}" destId="{55212C9C-D47B-4D18-BB1D-DBA42476E5D4}" srcOrd="7" destOrd="0" presId="urn:microsoft.com/office/officeart/2005/8/layout/default"/>
    <dgm:cxn modelId="{AFC755DF-1AE2-4A0B-BB44-79E9BCB542AD}" type="presParOf" srcId="{CB433C4B-A62C-47F6-A9CC-F94082F8DEE6}" destId="{27BFDE32-ABFE-4E96-A945-2F96D3BCED00}" srcOrd="8" destOrd="0" presId="urn:microsoft.com/office/officeart/2005/8/layout/default"/>
    <dgm:cxn modelId="{0D880F65-EAAF-4888-9661-DA2D2A72C987}" type="presParOf" srcId="{CB433C4B-A62C-47F6-A9CC-F94082F8DEE6}" destId="{B584FFC7-33C6-49CD-A451-4F0B66DDF235}" srcOrd="9" destOrd="0" presId="urn:microsoft.com/office/officeart/2005/8/layout/default"/>
    <dgm:cxn modelId="{8D3F6C3F-6F52-4B74-82B6-88A53A8639EC}" type="presParOf" srcId="{CB433C4B-A62C-47F6-A9CC-F94082F8DEE6}" destId="{43B021D6-E764-4456-B059-C83E1CEA6B49}" srcOrd="10" destOrd="0" presId="urn:microsoft.com/office/officeart/2005/8/layout/default"/>
    <dgm:cxn modelId="{4477D19B-6503-4B7E-ACF4-43FDC18022AA}" type="presParOf" srcId="{CB433C4B-A62C-47F6-A9CC-F94082F8DEE6}" destId="{EE5F0203-B8CA-49C3-84A8-7EC43BCC833D}" srcOrd="11" destOrd="0" presId="urn:microsoft.com/office/officeart/2005/8/layout/default"/>
    <dgm:cxn modelId="{ED423835-601A-48DB-A36F-5957B03A3321}" type="presParOf" srcId="{CB433C4B-A62C-47F6-A9CC-F94082F8DEE6}" destId="{886BE836-99C7-45A6-9926-A3E9705A7C60}" srcOrd="12" destOrd="0" presId="urn:microsoft.com/office/officeart/2005/8/layout/default"/>
    <dgm:cxn modelId="{8D5E7E65-AC8A-4FDA-A5FD-3A8D882A530B}" type="presParOf" srcId="{CB433C4B-A62C-47F6-A9CC-F94082F8DEE6}" destId="{D2AF6A27-ED7A-43BF-8966-9C15EB5427DF}" srcOrd="13" destOrd="0" presId="urn:microsoft.com/office/officeart/2005/8/layout/default"/>
    <dgm:cxn modelId="{6DA123C6-2213-450F-A8DD-09D64C4E009B}" type="presParOf" srcId="{CB433C4B-A62C-47F6-A9CC-F94082F8DEE6}" destId="{AF1D7B20-E75C-4895-B4FD-3AAC4071350E}" srcOrd="14" destOrd="0" presId="urn:microsoft.com/office/officeart/2005/8/layout/default"/>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23284B6-8C25-4CE8-AA57-B0547BDED065}">
      <dsp:nvSpPr>
        <dsp:cNvPr id="0" name=""/>
        <dsp:cNvSpPr/>
      </dsp:nvSpPr>
      <dsp:spPr>
        <a:xfrm>
          <a:off x="1656" y="161370"/>
          <a:ext cx="1313800" cy="788280"/>
        </a:xfrm>
        <a:prstGeom prst="rect">
          <a:avLst/>
        </a:prstGeom>
        <a:solidFill>
          <a:srgbClr val="4F81BD">
            <a:hueOff val="0"/>
            <a:satOff val="0"/>
            <a:lumOff val="0"/>
            <a:alphaOff val="0"/>
          </a:srgbClr>
        </a:solidFill>
        <a:ln w="38100" cap="flat" cmpd="sng" algn="ctr">
          <a:solidFill>
            <a:sysClr val="window" lastClr="FFFFFF">
              <a:hueOff val="0"/>
              <a:satOff val="0"/>
              <a:lumOff val="0"/>
              <a:alphaOff val="0"/>
            </a:sys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solidFill>
                <a:sysClr val="window" lastClr="FFFFFF"/>
              </a:solidFill>
              <a:latin typeface="Calibri"/>
              <a:ea typeface="+mn-ea"/>
              <a:cs typeface="+mn-cs"/>
            </a:rPr>
            <a:t>Third party supplier </a:t>
          </a:r>
          <a:br>
            <a:rPr lang="en-US" sz="1200" kern="1200">
              <a:solidFill>
                <a:sysClr val="window" lastClr="FFFFFF"/>
              </a:solidFill>
              <a:latin typeface="Calibri"/>
              <a:ea typeface="+mn-ea"/>
              <a:cs typeface="+mn-cs"/>
            </a:rPr>
          </a:br>
          <a:r>
            <a:rPr lang="en-US" sz="1200" kern="1200">
              <a:solidFill>
                <a:sysClr val="window" lastClr="FFFFFF"/>
              </a:solidFill>
              <a:latin typeface="Calibri"/>
              <a:ea typeface="+mn-ea"/>
              <a:cs typeface="+mn-cs"/>
            </a:rPr>
            <a:t>(e.g. Kogan, JB HiFi)</a:t>
          </a:r>
        </a:p>
      </dsp:txBody>
      <dsp:txXfrm>
        <a:off x="1656" y="161370"/>
        <a:ext cx="1313800" cy="788280"/>
      </dsp:txXfrm>
    </dsp:sp>
    <dsp:sp modelId="{EFF60295-097F-4BBB-9847-745C2337BD90}">
      <dsp:nvSpPr>
        <dsp:cNvPr id="0" name=""/>
        <dsp:cNvSpPr/>
      </dsp:nvSpPr>
      <dsp:spPr>
        <a:xfrm>
          <a:off x="1446836" y="161370"/>
          <a:ext cx="1313800" cy="788280"/>
        </a:xfrm>
        <a:prstGeom prst="rect">
          <a:avLst/>
        </a:prstGeom>
        <a:solidFill>
          <a:srgbClr val="4F81BD">
            <a:hueOff val="0"/>
            <a:satOff val="0"/>
            <a:lumOff val="0"/>
            <a:alphaOff val="0"/>
          </a:srgbClr>
        </a:solidFill>
        <a:ln w="38100" cap="flat" cmpd="sng" algn="ctr">
          <a:solidFill>
            <a:sysClr val="window" lastClr="FFFFFF">
              <a:hueOff val="0"/>
              <a:satOff val="0"/>
              <a:lumOff val="0"/>
              <a:alphaOff val="0"/>
            </a:sys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solidFill>
                <a:sysClr val="window" lastClr="FFFFFF"/>
              </a:solidFill>
              <a:latin typeface="Calibri"/>
              <a:ea typeface="+mn-ea"/>
              <a:cs typeface="+mn-cs"/>
            </a:rPr>
            <a:t>Carrier/ISP </a:t>
          </a:r>
          <a:br>
            <a:rPr lang="en-US" sz="1200" kern="1200">
              <a:solidFill>
                <a:sysClr val="window" lastClr="FFFFFF"/>
              </a:solidFill>
              <a:latin typeface="Calibri"/>
              <a:ea typeface="+mn-ea"/>
              <a:cs typeface="+mn-cs"/>
            </a:rPr>
          </a:br>
          <a:r>
            <a:rPr lang="en-US" sz="1200" kern="1200">
              <a:solidFill>
                <a:sysClr val="window" lastClr="FFFFFF"/>
              </a:solidFill>
              <a:latin typeface="Calibri"/>
              <a:ea typeface="+mn-ea"/>
              <a:cs typeface="+mn-cs"/>
            </a:rPr>
            <a:t>(e.g. Telstra, iiNet)</a:t>
          </a:r>
        </a:p>
      </dsp:txBody>
      <dsp:txXfrm>
        <a:off x="1446836" y="161370"/>
        <a:ext cx="1313800" cy="788280"/>
      </dsp:txXfrm>
    </dsp:sp>
    <dsp:sp modelId="{CAAB6594-0130-46E5-99AE-F65DD995BE74}">
      <dsp:nvSpPr>
        <dsp:cNvPr id="0" name=""/>
        <dsp:cNvSpPr/>
      </dsp:nvSpPr>
      <dsp:spPr>
        <a:xfrm>
          <a:off x="2892017" y="161370"/>
          <a:ext cx="1313800" cy="788280"/>
        </a:xfrm>
        <a:prstGeom prst="rect">
          <a:avLst/>
        </a:prstGeom>
        <a:solidFill>
          <a:srgbClr val="4F81BD">
            <a:hueOff val="0"/>
            <a:satOff val="0"/>
            <a:lumOff val="0"/>
            <a:alphaOff val="0"/>
          </a:srgbClr>
        </a:solidFill>
        <a:ln w="38100" cap="flat" cmpd="sng" algn="ctr">
          <a:solidFill>
            <a:sysClr val="window" lastClr="FFFFFF">
              <a:hueOff val="0"/>
              <a:satOff val="0"/>
              <a:lumOff val="0"/>
              <a:alphaOff val="0"/>
            </a:sys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solidFill>
                <a:sysClr val="window" lastClr="FFFFFF"/>
              </a:solidFill>
              <a:latin typeface="Calibri"/>
              <a:ea typeface="+mn-ea"/>
              <a:cs typeface="+mn-cs"/>
            </a:rPr>
            <a:t>OTT service provider (e.g. Netflix, Stan)</a:t>
          </a:r>
        </a:p>
      </dsp:txBody>
      <dsp:txXfrm>
        <a:off x="2892017" y="161370"/>
        <a:ext cx="1313800" cy="788280"/>
      </dsp:txXfrm>
    </dsp:sp>
    <dsp:sp modelId="{996FCE0B-A284-4177-9622-6BE40EE985A5}">
      <dsp:nvSpPr>
        <dsp:cNvPr id="0" name=""/>
        <dsp:cNvSpPr/>
      </dsp:nvSpPr>
      <dsp:spPr>
        <a:xfrm>
          <a:off x="4337197" y="161370"/>
          <a:ext cx="1313800" cy="788280"/>
        </a:xfrm>
        <a:prstGeom prst="rect">
          <a:avLst/>
        </a:prstGeom>
        <a:solidFill>
          <a:srgbClr val="4F81BD">
            <a:hueOff val="0"/>
            <a:satOff val="0"/>
            <a:lumOff val="0"/>
            <a:alphaOff val="0"/>
          </a:srgbClr>
        </a:solidFill>
        <a:ln w="38100" cap="flat" cmpd="sng" algn="ctr">
          <a:solidFill>
            <a:sysClr val="window" lastClr="FFFFFF">
              <a:hueOff val="0"/>
              <a:satOff val="0"/>
              <a:lumOff val="0"/>
              <a:alphaOff val="0"/>
            </a:sys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solidFill>
                <a:sysClr val="window" lastClr="FFFFFF"/>
              </a:solidFill>
              <a:latin typeface="Calibri"/>
              <a:ea typeface="+mn-ea"/>
              <a:cs typeface="+mn-cs"/>
            </a:rPr>
            <a:t>Device manufacturer (e.g. Apple, Samsung, Google)</a:t>
          </a:r>
        </a:p>
      </dsp:txBody>
      <dsp:txXfrm>
        <a:off x="4337197" y="161370"/>
        <a:ext cx="1313800" cy="788280"/>
      </dsp:txXfrm>
    </dsp:sp>
    <dsp:sp modelId="{27BFDE32-ABFE-4E96-A945-2F96D3BCED00}">
      <dsp:nvSpPr>
        <dsp:cNvPr id="0" name=""/>
        <dsp:cNvSpPr/>
      </dsp:nvSpPr>
      <dsp:spPr>
        <a:xfrm>
          <a:off x="1656" y="1081030"/>
          <a:ext cx="1313800" cy="788280"/>
        </a:xfrm>
        <a:prstGeom prst="rect">
          <a:avLst/>
        </a:prstGeom>
        <a:solidFill>
          <a:srgbClr val="4F81BD">
            <a:hueOff val="0"/>
            <a:satOff val="0"/>
            <a:lumOff val="0"/>
            <a:alphaOff val="0"/>
          </a:srgbClr>
        </a:solidFill>
        <a:ln w="38100" cap="flat" cmpd="sng" algn="ctr">
          <a:solidFill>
            <a:sysClr val="window" lastClr="FFFFFF">
              <a:hueOff val="0"/>
              <a:satOff val="0"/>
              <a:lumOff val="0"/>
              <a:alphaOff val="0"/>
            </a:sys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solidFill>
                <a:sysClr val="window" lastClr="FFFFFF"/>
              </a:solidFill>
              <a:latin typeface="Calibri"/>
              <a:ea typeface="+mn-ea"/>
              <a:cs typeface="+mn-cs"/>
            </a:rPr>
            <a:t>App/software developer </a:t>
          </a:r>
        </a:p>
      </dsp:txBody>
      <dsp:txXfrm>
        <a:off x="1656" y="1081030"/>
        <a:ext cx="1313800" cy="788280"/>
      </dsp:txXfrm>
    </dsp:sp>
    <dsp:sp modelId="{43B021D6-E764-4456-B059-C83E1CEA6B49}">
      <dsp:nvSpPr>
        <dsp:cNvPr id="0" name=""/>
        <dsp:cNvSpPr/>
      </dsp:nvSpPr>
      <dsp:spPr>
        <a:xfrm>
          <a:off x="1446836" y="1081030"/>
          <a:ext cx="1313800" cy="788280"/>
        </a:xfrm>
        <a:prstGeom prst="rect">
          <a:avLst/>
        </a:prstGeom>
        <a:solidFill>
          <a:srgbClr val="4F81BD">
            <a:hueOff val="0"/>
            <a:satOff val="0"/>
            <a:lumOff val="0"/>
            <a:alphaOff val="0"/>
          </a:srgbClr>
        </a:solidFill>
        <a:ln w="38100" cap="flat" cmpd="sng" algn="ctr">
          <a:solidFill>
            <a:sysClr val="window" lastClr="FFFFFF">
              <a:hueOff val="0"/>
              <a:satOff val="0"/>
              <a:lumOff val="0"/>
              <a:alphaOff val="0"/>
            </a:sys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solidFill>
                <a:sysClr val="window" lastClr="FFFFFF"/>
              </a:solidFill>
              <a:latin typeface="Calibri"/>
              <a:ea typeface="+mn-ea"/>
              <a:cs typeface="+mn-cs"/>
            </a:rPr>
            <a:t>Content Aggregator (e.g. App Store, MPS and DCB aggregators)</a:t>
          </a:r>
        </a:p>
      </dsp:txBody>
      <dsp:txXfrm>
        <a:off x="1446836" y="1081030"/>
        <a:ext cx="1313800" cy="788280"/>
      </dsp:txXfrm>
    </dsp:sp>
    <dsp:sp modelId="{886BE836-99C7-45A6-9926-A3E9705A7C60}">
      <dsp:nvSpPr>
        <dsp:cNvPr id="0" name=""/>
        <dsp:cNvSpPr/>
      </dsp:nvSpPr>
      <dsp:spPr>
        <a:xfrm>
          <a:off x="2892017" y="1081030"/>
          <a:ext cx="1313800" cy="788280"/>
        </a:xfrm>
        <a:prstGeom prst="rect">
          <a:avLst/>
        </a:prstGeom>
        <a:solidFill>
          <a:srgbClr val="4F81BD">
            <a:hueOff val="0"/>
            <a:satOff val="0"/>
            <a:lumOff val="0"/>
            <a:alphaOff val="0"/>
          </a:srgbClr>
        </a:solidFill>
        <a:ln w="38100" cap="flat" cmpd="sng" algn="ctr">
          <a:solidFill>
            <a:sysClr val="window" lastClr="FFFFFF">
              <a:hueOff val="0"/>
              <a:satOff val="0"/>
              <a:lumOff val="0"/>
              <a:alphaOff val="0"/>
            </a:sys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solidFill>
                <a:sysClr val="window" lastClr="FFFFFF"/>
              </a:solidFill>
              <a:latin typeface="Calibri"/>
              <a:ea typeface="+mn-ea"/>
              <a:cs typeface="+mn-cs"/>
            </a:rPr>
            <a:t>Ombudsmen (e.g. TIO, Small Business Ombudsmen etc)</a:t>
          </a:r>
        </a:p>
      </dsp:txBody>
      <dsp:txXfrm>
        <a:off x="2892017" y="1081030"/>
        <a:ext cx="1313800" cy="788280"/>
      </dsp:txXfrm>
    </dsp:sp>
    <dsp:sp modelId="{AF1D7B20-E75C-4895-B4FD-3AAC4071350E}">
      <dsp:nvSpPr>
        <dsp:cNvPr id="0" name=""/>
        <dsp:cNvSpPr/>
      </dsp:nvSpPr>
      <dsp:spPr>
        <a:xfrm>
          <a:off x="4337197" y="1081030"/>
          <a:ext cx="1313800" cy="788280"/>
        </a:xfrm>
        <a:prstGeom prst="rect">
          <a:avLst/>
        </a:prstGeom>
        <a:solidFill>
          <a:srgbClr val="4F81BD">
            <a:hueOff val="0"/>
            <a:satOff val="0"/>
            <a:lumOff val="0"/>
            <a:alphaOff val="0"/>
          </a:srgbClr>
        </a:solidFill>
        <a:ln w="38100" cap="flat" cmpd="sng" algn="ctr">
          <a:solidFill>
            <a:sysClr val="window" lastClr="FFFFFF">
              <a:hueOff val="0"/>
              <a:satOff val="0"/>
              <a:lumOff val="0"/>
              <a:alphaOff val="0"/>
            </a:sys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solidFill>
                <a:sysClr val="window" lastClr="FFFFFF"/>
              </a:solidFill>
              <a:latin typeface="Calibri"/>
              <a:ea typeface="+mn-ea"/>
              <a:cs typeface="+mn-cs"/>
            </a:rPr>
            <a:t>Consumer protection bodies (e.g. ACCC, Fair Trading etc)</a:t>
          </a:r>
        </a:p>
      </dsp:txBody>
      <dsp:txXfrm>
        <a:off x="4337197" y="1081030"/>
        <a:ext cx="1313800" cy="788280"/>
      </dsp:txXfrm>
    </dsp:sp>
  </dsp:spTree>
</dsp:drawing>
</file>

<file path=word/diagrams/layout1.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4F441C-DB15-405E-8BA9-683921D96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Submission Template</Template>
  <TotalTime>3</TotalTime>
  <Pages>43</Pages>
  <Words>13435</Words>
  <Characters>76580</Characters>
  <Application>Microsoft Office Word</Application>
  <DocSecurity>0</DocSecurity>
  <Lines>638</Lines>
  <Paragraphs>179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89836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Thomas</dc:creator>
  <cp:lastModifiedBy>Rachel Thomas</cp:lastModifiedBy>
  <cp:revision>5</cp:revision>
  <cp:lastPrinted>2016-11-11T04:44:00Z</cp:lastPrinted>
  <dcterms:created xsi:type="dcterms:W3CDTF">2016-10-30T21:56:00Z</dcterms:created>
  <dcterms:modified xsi:type="dcterms:W3CDTF">2016-11-11T04:44:00Z</dcterms:modified>
</cp:coreProperties>
</file>