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C9" w:rsidRDefault="00071394" w:rsidP="00B14DFB">
      <w:pPr>
        <w:pStyle w:val="Title"/>
      </w:pPr>
      <w:bookmarkStart w:id="0" w:name="_GoBack"/>
      <w:bookmarkEnd w:id="0"/>
      <w:r>
        <w:t xml:space="preserve"> </w:t>
      </w:r>
      <w:r w:rsidR="00984112">
        <w:t xml:space="preserve"> </w:t>
      </w:r>
      <w:r w:rsidR="00135AD8">
        <w:t xml:space="preserve">Copyright and the Digital Economy </w:t>
      </w:r>
      <w:r w:rsidR="001026F8">
        <w:t>Discussion</w:t>
      </w:r>
      <w:r w:rsidR="00135AD8">
        <w:t xml:space="preserve"> Paper</w:t>
      </w:r>
    </w:p>
    <w:p w:rsidR="00135AD8" w:rsidRPr="00135AD8" w:rsidRDefault="00135AD8" w:rsidP="00135AD8">
      <w:pPr>
        <w:rPr>
          <w:lang w:eastAsia="en-US"/>
        </w:rPr>
      </w:pPr>
    </w:p>
    <w:p w:rsidR="009F4B9D" w:rsidRPr="003441E5" w:rsidRDefault="009F4B9D" w:rsidP="00B14DFB">
      <w:pPr>
        <w:pStyle w:val="Subtitle"/>
      </w:pPr>
      <w:r w:rsidRPr="003441E5">
        <w:t xml:space="preserve">Submission to the </w:t>
      </w:r>
      <w:r w:rsidR="00135AD8">
        <w:t>Australian Law Reform Commission (ALRC)</w:t>
      </w:r>
    </w:p>
    <w:p w:rsidR="009F4B9D" w:rsidRPr="003441E5" w:rsidRDefault="00AF01FC" w:rsidP="00B14DFB">
      <w:pPr>
        <w:pStyle w:val="Subtitle"/>
      </w:pPr>
      <w:r>
        <w:t>Ju</w:t>
      </w:r>
      <w:r w:rsidR="00135AD8">
        <w:t>ly</w:t>
      </w:r>
      <w:r>
        <w:t xml:space="preserve"> 2013</w:t>
      </w:r>
    </w:p>
    <w:p w:rsidR="009F4B9D" w:rsidRPr="003441E5" w:rsidRDefault="009F4B9D" w:rsidP="00A13B92">
      <w:pPr>
        <w:rPr>
          <w:lang w:eastAsia="en-US"/>
        </w:rPr>
      </w:pPr>
      <w:r w:rsidRPr="003441E5">
        <w:rPr>
          <w:lang w:eastAsia="en-US"/>
        </w:rPr>
        <w:br w:type="page"/>
      </w:r>
    </w:p>
    <w:p w:rsidR="009F4B9D" w:rsidRPr="003441E5" w:rsidRDefault="009F4B9D" w:rsidP="00B14DFB">
      <w:pPr>
        <w:pStyle w:val="About"/>
      </w:pPr>
      <w:r w:rsidRPr="003441E5">
        <w:lastRenderedPageBreak/>
        <w:t xml:space="preserve">About ACCAN </w:t>
      </w:r>
    </w:p>
    <w:p w:rsidR="009F4B9D" w:rsidRPr="003441E5" w:rsidRDefault="009F4B9D" w:rsidP="00B14DFB">
      <w:r w:rsidRPr="003441E5">
        <w:t>The Australian Communications Consumer Action Network (ACCAN) is the peak body that represents all consumers on communications issues including telecommunications, broadband and emerging new services. ACCAN provides a strong unified voice to industry and government.</w:t>
      </w:r>
    </w:p>
    <w:p w:rsidR="009F4B9D" w:rsidRPr="003441E5" w:rsidRDefault="009F4B9D" w:rsidP="00B14DFB">
      <w:r w:rsidRPr="003441E5">
        <w:t>Consumers need ACCAN to promote better consumer protection outcomes ensuring speedy responses to complaints and issues. ACCAN aims to empower consumers so that they are well informed and can make good choices about products and services. As a peak body, ACCAN will activate its broad and diverse membership base to campaign to get a better deal for all communications consumers. </w:t>
      </w:r>
    </w:p>
    <w:p w:rsidR="009F4B9D" w:rsidRPr="003441E5" w:rsidRDefault="009F4B9D" w:rsidP="00B14DFB">
      <w:pPr>
        <w:pStyle w:val="About"/>
      </w:pPr>
      <w:r w:rsidRPr="003441E5">
        <w:t>Contact</w:t>
      </w:r>
    </w:p>
    <w:p w:rsidR="009F4B9D" w:rsidRPr="003441E5" w:rsidRDefault="00135AD8" w:rsidP="00B14DFB">
      <w:r>
        <w:t>Jonathan Gadir</w:t>
      </w:r>
      <w:r w:rsidR="00AF01FC">
        <w:br/>
      </w:r>
      <w:r>
        <w:t xml:space="preserve">Senior Adviser – </w:t>
      </w:r>
      <w:r w:rsidR="00AF01FC">
        <w:t>Policy</w:t>
      </w:r>
      <w:r>
        <w:t xml:space="preserve"> and Research</w:t>
      </w:r>
    </w:p>
    <w:p w:rsidR="009F4B9D" w:rsidRPr="003441E5" w:rsidRDefault="009F4B9D" w:rsidP="00B14DFB">
      <w:r w:rsidRPr="003441E5">
        <w:t>Suite 402, Level 4</w:t>
      </w:r>
      <w:r w:rsidRPr="003441E5">
        <w:br/>
        <w:t>55 Mountain Street</w:t>
      </w:r>
      <w:r w:rsidRPr="003441E5">
        <w:br/>
        <w:t>Ultimo NSW, 2007</w:t>
      </w:r>
      <w:r w:rsidRPr="003441E5">
        <w:br/>
        <w:t xml:space="preserve">Email: </w:t>
      </w:r>
      <w:hyperlink r:id="rId9" w:history="1">
        <w:r w:rsidR="00135AD8" w:rsidRPr="005A241D">
          <w:rPr>
            <w:rStyle w:val="Hyperlink"/>
          </w:rPr>
          <w:t>jonathan.gadir@accan.org.au</w:t>
        </w:r>
      </w:hyperlink>
      <w:r w:rsidRPr="003441E5">
        <w:rPr>
          <w:rStyle w:val="Hyperlink"/>
        </w:rPr>
        <w:br/>
      </w:r>
      <w:r w:rsidRPr="003441E5">
        <w:t>Phone: (02) 9288 4000</w:t>
      </w:r>
      <w:r w:rsidRPr="003441E5">
        <w:br/>
        <w:t>Fax: (02) 9288 4019</w:t>
      </w:r>
      <w:r w:rsidRPr="003441E5">
        <w:br/>
        <w:t>TTY: 9281 5322</w:t>
      </w:r>
    </w:p>
    <w:p w:rsidR="00AD032B" w:rsidRPr="003441E5" w:rsidRDefault="00AD032B" w:rsidP="00EC1696"/>
    <w:p w:rsidR="009F4B9D" w:rsidRPr="003441E5" w:rsidRDefault="009F4B9D" w:rsidP="00B14DFB">
      <w:pPr>
        <w:rPr>
          <w:lang w:eastAsia="en-US"/>
        </w:rPr>
      </w:pPr>
    </w:p>
    <w:p w:rsidR="00C85F6A" w:rsidRDefault="00C85F6A" w:rsidP="00C85F6A"/>
    <w:p w:rsidR="00135AD8" w:rsidRDefault="00135AD8" w:rsidP="00C85F6A"/>
    <w:p w:rsidR="00135AD8" w:rsidRDefault="00135AD8" w:rsidP="00C85F6A"/>
    <w:p w:rsidR="00135AD8" w:rsidRDefault="00135AD8" w:rsidP="00C85F6A"/>
    <w:p w:rsidR="00135AD8" w:rsidRDefault="00135AD8" w:rsidP="00C85F6A"/>
    <w:p w:rsidR="00135AD8" w:rsidRDefault="00135AD8" w:rsidP="00C85F6A"/>
    <w:p w:rsidR="00135AD8" w:rsidRDefault="00135AD8" w:rsidP="00C85F6A"/>
    <w:p w:rsidR="00135AD8" w:rsidRDefault="00135AD8" w:rsidP="00C85F6A"/>
    <w:p w:rsidR="00135AD8" w:rsidRDefault="00135AD8" w:rsidP="00C85F6A"/>
    <w:p w:rsidR="00135AD8" w:rsidRDefault="00135AD8" w:rsidP="00C85F6A"/>
    <w:p w:rsidR="00135AD8" w:rsidRDefault="00135AD8" w:rsidP="00C85F6A"/>
    <w:p w:rsidR="00135AD8" w:rsidRDefault="00135AD8" w:rsidP="00C85F6A"/>
    <w:p w:rsidR="0027792F" w:rsidRDefault="00135AD8" w:rsidP="00135AD8">
      <w:pPr>
        <w:rPr>
          <w:b/>
        </w:rPr>
      </w:pPr>
      <w:r>
        <w:t xml:space="preserve">ACCAN welcomes the opportunity to respond to the Australian Law Reform Commission </w:t>
      </w:r>
      <w:r w:rsidRPr="00327317">
        <w:rPr>
          <w:i/>
        </w:rPr>
        <w:t>Copyright and the Digital Economy</w:t>
      </w:r>
      <w:r>
        <w:t xml:space="preserve"> Discussion Paper.</w:t>
      </w:r>
    </w:p>
    <w:p w:rsidR="0027792F" w:rsidRDefault="0027792F" w:rsidP="0027792F">
      <w:pPr>
        <w:pBdr>
          <w:top w:val="single" w:sz="4" w:space="1" w:color="auto"/>
          <w:left w:val="single" w:sz="4" w:space="4" w:color="auto"/>
          <w:bottom w:val="single" w:sz="4" w:space="1" w:color="auto"/>
          <w:right w:val="single" w:sz="4" w:space="4" w:color="auto"/>
        </w:pBdr>
        <w:autoSpaceDE w:val="0"/>
        <w:autoSpaceDN w:val="0"/>
        <w:adjustRightInd w:val="0"/>
        <w:spacing w:beforeAutospacing="0" w:afterAutospacing="0"/>
        <w:rPr>
          <w:rFonts w:ascii="Times New Roman" w:eastAsiaTheme="minorHAnsi" w:hAnsi="Times New Roman" w:cs="Times New Roman"/>
          <w:sz w:val="21"/>
          <w:szCs w:val="21"/>
          <w:lang w:eastAsia="en-US"/>
        </w:rPr>
      </w:pPr>
      <w:r>
        <w:rPr>
          <w:rFonts w:ascii="Times New Roman" w:eastAsiaTheme="minorHAnsi" w:hAnsi="Times New Roman" w:cs="Times New Roman"/>
          <w:b/>
          <w:bCs/>
          <w:sz w:val="21"/>
          <w:szCs w:val="21"/>
          <w:lang w:eastAsia="en-US"/>
        </w:rPr>
        <w:t xml:space="preserve">Proposal 4–1 </w:t>
      </w:r>
      <w:r>
        <w:rPr>
          <w:rFonts w:ascii="Times New Roman" w:eastAsiaTheme="minorHAnsi" w:hAnsi="Times New Roman" w:cs="Times New Roman"/>
          <w:sz w:val="21"/>
          <w:szCs w:val="21"/>
          <w:lang w:eastAsia="en-US"/>
        </w:rPr>
        <w:t xml:space="preserve">The </w:t>
      </w:r>
      <w:r>
        <w:rPr>
          <w:rFonts w:ascii="Times New Roman" w:eastAsiaTheme="minorHAnsi" w:hAnsi="Times New Roman" w:cs="Times New Roman"/>
          <w:i/>
          <w:iCs/>
          <w:sz w:val="21"/>
          <w:szCs w:val="21"/>
          <w:lang w:eastAsia="en-US"/>
        </w:rPr>
        <w:t xml:space="preserve">Copyright Act 1968 </w:t>
      </w:r>
      <w:r>
        <w:rPr>
          <w:rFonts w:ascii="Times New Roman" w:eastAsiaTheme="minorHAnsi" w:hAnsi="Times New Roman" w:cs="Times New Roman"/>
          <w:sz w:val="21"/>
          <w:szCs w:val="21"/>
          <w:lang w:eastAsia="en-US"/>
        </w:rPr>
        <w:t>(</w:t>
      </w:r>
      <w:proofErr w:type="spellStart"/>
      <w:r>
        <w:rPr>
          <w:rFonts w:ascii="Times New Roman" w:eastAsiaTheme="minorHAnsi" w:hAnsi="Times New Roman" w:cs="Times New Roman"/>
          <w:sz w:val="21"/>
          <w:szCs w:val="21"/>
          <w:lang w:eastAsia="en-US"/>
        </w:rPr>
        <w:t>Cth</w:t>
      </w:r>
      <w:proofErr w:type="spellEnd"/>
      <w:r>
        <w:rPr>
          <w:rFonts w:ascii="Times New Roman" w:eastAsiaTheme="minorHAnsi" w:hAnsi="Times New Roman" w:cs="Times New Roman"/>
          <w:sz w:val="21"/>
          <w:szCs w:val="21"/>
          <w:lang w:eastAsia="en-US"/>
        </w:rPr>
        <w:t>) should provide a broad, flexible exception for fair use.</w:t>
      </w:r>
    </w:p>
    <w:p w:rsidR="00135AD8" w:rsidRPr="00282874" w:rsidRDefault="00135AD8" w:rsidP="00135AD8">
      <w:pPr>
        <w:rPr>
          <w:b/>
        </w:rPr>
      </w:pPr>
      <w:r w:rsidRPr="00282874">
        <w:rPr>
          <w:b/>
        </w:rPr>
        <w:t>Fair Use</w:t>
      </w:r>
      <w:r>
        <w:rPr>
          <w:b/>
        </w:rPr>
        <w:t xml:space="preserve"> welcome</w:t>
      </w:r>
    </w:p>
    <w:p w:rsidR="00135AD8" w:rsidRDefault="00135AD8" w:rsidP="00135AD8">
      <w:r>
        <w:t xml:space="preserve">ACCAN welcomes the ALRC’s proposal for a broad </w:t>
      </w:r>
      <w:r w:rsidR="009A1232">
        <w:t>f</w:t>
      </w:r>
      <w:r>
        <w:t xml:space="preserve">air </w:t>
      </w:r>
      <w:r w:rsidR="009A1232">
        <w:t>u</w:t>
      </w:r>
      <w:r>
        <w:t>se exception that will be flexible enough to accommodate the increasingly diverse ways in which consumers are using content.</w:t>
      </w:r>
    </w:p>
    <w:p w:rsidR="00135AD8" w:rsidRDefault="00135AD8" w:rsidP="00135AD8">
      <w:r>
        <w:t xml:space="preserve">The </w:t>
      </w:r>
      <w:r w:rsidR="009A1232">
        <w:t>f</w:t>
      </w:r>
      <w:r>
        <w:t xml:space="preserve">air </w:t>
      </w:r>
      <w:r w:rsidR="009A1232">
        <w:t>u</w:t>
      </w:r>
      <w:r>
        <w:t xml:space="preserve">se proposal </w:t>
      </w:r>
      <w:r w:rsidR="001026F8">
        <w:t xml:space="preserve">from the ALRC </w:t>
      </w:r>
      <w:r>
        <w:t xml:space="preserve">has the virtue of simplicity and </w:t>
      </w:r>
      <w:r w:rsidR="0097022C">
        <w:t xml:space="preserve">the </w:t>
      </w:r>
      <w:r>
        <w:t xml:space="preserve">capacity to accommodate </w:t>
      </w:r>
      <w:r w:rsidR="0098797B">
        <w:t>social and technological developments</w:t>
      </w:r>
      <w:r>
        <w:t>. The non-exhaustive list</w:t>
      </w:r>
      <w:r w:rsidR="005C1AEB">
        <w:t>s</w:t>
      </w:r>
      <w:r>
        <w:t xml:space="preserve"> of fairness factors and illustrative purposes </w:t>
      </w:r>
      <w:r w:rsidR="005C1AEB">
        <w:t>are</w:t>
      </w:r>
      <w:r>
        <w:t xml:space="preserve"> easy to understand and would assist non-experts in making a rule of thumb evaluation of particular uses </w:t>
      </w:r>
      <w:r w:rsidR="009A1232">
        <w:t>in the context of particular</w:t>
      </w:r>
      <w:r>
        <w:t xml:space="preserve"> circumstances.</w:t>
      </w:r>
    </w:p>
    <w:p w:rsidR="004136A1" w:rsidRDefault="00135AD8" w:rsidP="004136A1">
      <w:r>
        <w:t xml:space="preserve">We welcome the technology-neutral approach and an end to </w:t>
      </w:r>
      <w:r w:rsidR="009A1232">
        <w:t xml:space="preserve">the </w:t>
      </w:r>
      <w:r>
        <w:t>complexity around exceptions confined to particular devices.</w:t>
      </w:r>
      <w:r w:rsidR="004136A1">
        <w:t xml:space="preserve"> Th</w:t>
      </w:r>
      <w:r w:rsidR="009A1232">
        <w:t>e Fair Use proposal</w:t>
      </w:r>
      <w:r w:rsidR="004136A1">
        <w:t xml:space="preserve"> would </w:t>
      </w:r>
      <w:r w:rsidR="009A1232">
        <w:t>re</w:t>
      </w:r>
      <w:r w:rsidR="004136A1">
        <w:t>solve existing incongruities such as consumers being able to format shift a CD onto a tablet but not a DVD onto a tablet.</w:t>
      </w:r>
    </w:p>
    <w:p w:rsidR="0097022C" w:rsidRDefault="0097022C" w:rsidP="004136A1">
      <w:r>
        <w:t>Importantly the introduction of</w:t>
      </w:r>
      <w:r w:rsidR="009A1232">
        <w:t xml:space="preserve"> f</w:t>
      </w:r>
      <w:r>
        <w:t xml:space="preserve">air </w:t>
      </w:r>
      <w:r w:rsidR="009A1232">
        <w:t>u</w:t>
      </w:r>
      <w:r>
        <w:t xml:space="preserve">se will address the ‘real world’ range of consumer and user behaviour in the digital environment and reduce the gap between the law and norms </w:t>
      </w:r>
      <w:r w:rsidR="009A1232">
        <w:t>of community behaviour. This will have the flow-on benefit of creating more respect for the law and increasing its legitimacy in the eyes of the public.</w:t>
      </w:r>
    </w:p>
    <w:p w:rsidR="00905F38" w:rsidRDefault="00905F38" w:rsidP="00905F38">
      <w:pPr>
        <w:pBdr>
          <w:top w:val="single" w:sz="4" w:space="1" w:color="auto"/>
          <w:left w:val="single" w:sz="4" w:space="4" w:color="auto"/>
          <w:bottom w:val="single" w:sz="4" w:space="1" w:color="auto"/>
          <w:right w:val="single" w:sz="4" w:space="4" w:color="auto"/>
        </w:pBdr>
        <w:autoSpaceDE w:val="0"/>
        <w:autoSpaceDN w:val="0"/>
        <w:adjustRightInd w:val="0"/>
        <w:spacing w:beforeAutospacing="0" w:afterAutospacing="0"/>
        <w:rPr>
          <w:rFonts w:ascii="Times New Roman" w:eastAsiaTheme="minorHAnsi" w:hAnsi="Times New Roman" w:cs="Times New Roman"/>
          <w:sz w:val="21"/>
          <w:szCs w:val="21"/>
          <w:lang w:eastAsia="en-US"/>
        </w:rPr>
      </w:pPr>
      <w:r>
        <w:rPr>
          <w:rFonts w:ascii="Times New Roman" w:eastAsiaTheme="minorHAnsi" w:hAnsi="Times New Roman" w:cs="Times New Roman"/>
          <w:b/>
          <w:bCs/>
          <w:sz w:val="21"/>
          <w:szCs w:val="21"/>
          <w:lang w:eastAsia="en-US"/>
        </w:rPr>
        <w:t xml:space="preserve">Proposal 4–3 </w:t>
      </w:r>
      <w:proofErr w:type="gramStart"/>
      <w:r>
        <w:rPr>
          <w:rFonts w:ascii="Times New Roman" w:eastAsiaTheme="minorHAnsi" w:hAnsi="Times New Roman" w:cs="Times New Roman"/>
          <w:sz w:val="21"/>
          <w:szCs w:val="21"/>
          <w:lang w:eastAsia="en-US"/>
        </w:rPr>
        <w:t>The</w:t>
      </w:r>
      <w:proofErr w:type="gramEnd"/>
      <w:r>
        <w:rPr>
          <w:rFonts w:ascii="Times New Roman" w:eastAsiaTheme="minorHAnsi" w:hAnsi="Times New Roman" w:cs="Times New Roman"/>
          <w:sz w:val="21"/>
          <w:szCs w:val="21"/>
          <w:lang w:eastAsia="en-US"/>
        </w:rPr>
        <w:t xml:space="preserve"> non-exhaustive list of fairness factors should be:</w:t>
      </w:r>
    </w:p>
    <w:p w:rsidR="00905F38" w:rsidRDefault="00905F38" w:rsidP="00905F38">
      <w:pPr>
        <w:pBdr>
          <w:top w:val="single" w:sz="4" w:space="1" w:color="auto"/>
          <w:left w:val="single" w:sz="4" w:space="4" w:color="auto"/>
          <w:bottom w:val="single" w:sz="4" w:space="1" w:color="auto"/>
          <w:right w:val="single" w:sz="4" w:space="4" w:color="auto"/>
        </w:pBdr>
        <w:autoSpaceDE w:val="0"/>
        <w:autoSpaceDN w:val="0"/>
        <w:adjustRightInd w:val="0"/>
        <w:spacing w:beforeAutospacing="0" w:afterAutospacing="0"/>
        <w:rPr>
          <w:rFonts w:ascii="Times New Roman" w:eastAsiaTheme="minorHAnsi" w:hAnsi="Times New Roman" w:cs="Times New Roman"/>
          <w:sz w:val="21"/>
          <w:szCs w:val="21"/>
          <w:lang w:eastAsia="en-US"/>
        </w:rPr>
      </w:pPr>
      <w:r>
        <w:rPr>
          <w:rFonts w:ascii="Times New Roman" w:eastAsiaTheme="minorHAnsi" w:hAnsi="Times New Roman" w:cs="Times New Roman"/>
          <w:sz w:val="21"/>
          <w:szCs w:val="21"/>
          <w:lang w:eastAsia="en-US"/>
        </w:rPr>
        <w:t xml:space="preserve">(a) </w:t>
      </w:r>
      <w:proofErr w:type="gramStart"/>
      <w:r>
        <w:rPr>
          <w:rFonts w:ascii="Times New Roman" w:eastAsiaTheme="minorHAnsi" w:hAnsi="Times New Roman" w:cs="Times New Roman"/>
          <w:sz w:val="21"/>
          <w:szCs w:val="21"/>
          <w:lang w:eastAsia="en-US"/>
        </w:rPr>
        <w:t>the</w:t>
      </w:r>
      <w:proofErr w:type="gramEnd"/>
      <w:r>
        <w:rPr>
          <w:rFonts w:ascii="Times New Roman" w:eastAsiaTheme="minorHAnsi" w:hAnsi="Times New Roman" w:cs="Times New Roman"/>
          <w:sz w:val="21"/>
          <w:szCs w:val="21"/>
          <w:lang w:eastAsia="en-US"/>
        </w:rPr>
        <w:t xml:space="preserve"> purpose and character of the use;</w:t>
      </w:r>
    </w:p>
    <w:p w:rsidR="00905F38" w:rsidRDefault="00905F38" w:rsidP="00905F38">
      <w:pPr>
        <w:pBdr>
          <w:top w:val="single" w:sz="4" w:space="1" w:color="auto"/>
          <w:left w:val="single" w:sz="4" w:space="4" w:color="auto"/>
          <w:bottom w:val="single" w:sz="4" w:space="1" w:color="auto"/>
          <w:right w:val="single" w:sz="4" w:space="4" w:color="auto"/>
        </w:pBdr>
        <w:autoSpaceDE w:val="0"/>
        <w:autoSpaceDN w:val="0"/>
        <w:adjustRightInd w:val="0"/>
        <w:spacing w:beforeAutospacing="0" w:afterAutospacing="0"/>
        <w:rPr>
          <w:rFonts w:ascii="Times New Roman" w:eastAsiaTheme="minorHAnsi" w:hAnsi="Times New Roman" w:cs="Times New Roman"/>
          <w:sz w:val="21"/>
          <w:szCs w:val="21"/>
          <w:lang w:eastAsia="en-US"/>
        </w:rPr>
      </w:pPr>
      <w:r>
        <w:rPr>
          <w:rFonts w:ascii="Times New Roman" w:eastAsiaTheme="minorHAnsi" w:hAnsi="Times New Roman" w:cs="Times New Roman"/>
          <w:sz w:val="21"/>
          <w:szCs w:val="21"/>
          <w:lang w:eastAsia="en-US"/>
        </w:rPr>
        <w:t xml:space="preserve">(b) </w:t>
      </w:r>
      <w:proofErr w:type="gramStart"/>
      <w:r>
        <w:rPr>
          <w:rFonts w:ascii="Times New Roman" w:eastAsiaTheme="minorHAnsi" w:hAnsi="Times New Roman" w:cs="Times New Roman"/>
          <w:sz w:val="21"/>
          <w:szCs w:val="21"/>
          <w:lang w:eastAsia="en-US"/>
        </w:rPr>
        <w:t>the</w:t>
      </w:r>
      <w:proofErr w:type="gramEnd"/>
      <w:r>
        <w:rPr>
          <w:rFonts w:ascii="Times New Roman" w:eastAsiaTheme="minorHAnsi" w:hAnsi="Times New Roman" w:cs="Times New Roman"/>
          <w:sz w:val="21"/>
          <w:szCs w:val="21"/>
          <w:lang w:eastAsia="en-US"/>
        </w:rPr>
        <w:t xml:space="preserve"> nature of the copyright material used;</w:t>
      </w:r>
    </w:p>
    <w:p w:rsidR="00905F38" w:rsidRDefault="00905F38" w:rsidP="00905F38">
      <w:pPr>
        <w:pBdr>
          <w:top w:val="single" w:sz="4" w:space="1" w:color="auto"/>
          <w:left w:val="single" w:sz="4" w:space="4" w:color="auto"/>
          <w:bottom w:val="single" w:sz="4" w:space="1" w:color="auto"/>
          <w:right w:val="single" w:sz="4" w:space="4" w:color="auto"/>
        </w:pBdr>
        <w:autoSpaceDE w:val="0"/>
        <w:autoSpaceDN w:val="0"/>
        <w:adjustRightInd w:val="0"/>
        <w:spacing w:beforeAutospacing="0" w:afterAutospacing="0"/>
        <w:rPr>
          <w:rFonts w:ascii="Times New Roman" w:eastAsiaTheme="minorHAnsi" w:hAnsi="Times New Roman" w:cs="Times New Roman"/>
          <w:sz w:val="21"/>
          <w:szCs w:val="21"/>
          <w:lang w:eastAsia="en-US"/>
        </w:rPr>
      </w:pPr>
      <w:r>
        <w:rPr>
          <w:rFonts w:ascii="Times New Roman" w:eastAsiaTheme="minorHAnsi" w:hAnsi="Times New Roman" w:cs="Times New Roman"/>
          <w:sz w:val="21"/>
          <w:szCs w:val="21"/>
          <w:lang w:eastAsia="en-US"/>
        </w:rPr>
        <w:t xml:space="preserve">(c) </w:t>
      </w:r>
      <w:proofErr w:type="gramStart"/>
      <w:r>
        <w:rPr>
          <w:rFonts w:ascii="Times New Roman" w:eastAsiaTheme="minorHAnsi" w:hAnsi="Times New Roman" w:cs="Times New Roman"/>
          <w:sz w:val="21"/>
          <w:szCs w:val="21"/>
          <w:lang w:eastAsia="en-US"/>
        </w:rPr>
        <w:t>in</w:t>
      </w:r>
      <w:proofErr w:type="gramEnd"/>
      <w:r>
        <w:rPr>
          <w:rFonts w:ascii="Times New Roman" w:eastAsiaTheme="minorHAnsi" w:hAnsi="Times New Roman" w:cs="Times New Roman"/>
          <w:sz w:val="21"/>
          <w:szCs w:val="21"/>
          <w:lang w:eastAsia="en-US"/>
        </w:rPr>
        <w:t xml:space="preserve"> a case where part only of the copyright material is used—the amount and substantiality of the part used, considered in relation to the whole of the copyright material; and</w:t>
      </w:r>
    </w:p>
    <w:p w:rsidR="00905F38" w:rsidRDefault="00905F38" w:rsidP="00905F38">
      <w:pPr>
        <w:pBdr>
          <w:top w:val="single" w:sz="4" w:space="1" w:color="auto"/>
          <w:left w:val="single" w:sz="4" w:space="4" w:color="auto"/>
          <w:bottom w:val="single" w:sz="4" w:space="1" w:color="auto"/>
          <w:right w:val="single" w:sz="4" w:space="4" w:color="auto"/>
        </w:pBdr>
        <w:autoSpaceDE w:val="0"/>
        <w:autoSpaceDN w:val="0"/>
        <w:adjustRightInd w:val="0"/>
        <w:spacing w:beforeAutospacing="0" w:afterAutospacing="0"/>
        <w:rPr>
          <w:rFonts w:ascii="Times New Roman" w:eastAsiaTheme="minorHAnsi" w:hAnsi="Times New Roman" w:cs="Times New Roman"/>
          <w:sz w:val="21"/>
          <w:szCs w:val="21"/>
          <w:lang w:eastAsia="en-US"/>
        </w:rPr>
      </w:pPr>
      <w:r>
        <w:rPr>
          <w:rFonts w:ascii="Times New Roman" w:eastAsiaTheme="minorHAnsi" w:hAnsi="Times New Roman" w:cs="Times New Roman"/>
          <w:sz w:val="21"/>
          <w:szCs w:val="21"/>
          <w:lang w:eastAsia="en-US"/>
        </w:rPr>
        <w:t xml:space="preserve">(d) </w:t>
      </w:r>
      <w:proofErr w:type="gramStart"/>
      <w:r w:rsidRPr="00905F38">
        <w:rPr>
          <w:rFonts w:ascii="Times New Roman" w:eastAsiaTheme="minorHAnsi" w:hAnsi="Times New Roman" w:cs="Times New Roman"/>
          <w:b/>
          <w:sz w:val="21"/>
          <w:szCs w:val="21"/>
          <w:lang w:eastAsia="en-US"/>
        </w:rPr>
        <w:t>the</w:t>
      </w:r>
      <w:proofErr w:type="gramEnd"/>
      <w:r w:rsidRPr="00905F38">
        <w:rPr>
          <w:rFonts w:ascii="Times New Roman" w:eastAsiaTheme="minorHAnsi" w:hAnsi="Times New Roman" w:cs="Times New Roman"/>
          <w:b/>
          <w:sz w:val="21"/>
          <w:szCs w:val="21"/>
          <w:lang w:eastAsia="en-US"/>
        </w:rPr>
        <w:t xml:space="preserve"> effect of the use upon the potential market for, or value of, the copyright material.</w:t>
      </w:r>
    </w:p>
    <w:p w:rsidR="00905F38" w:rsidRDefault="00905F38" w:rsidP="00905F38">
      <w:pPr>
        <w:pBdr>
          <w:top w:val="single" w:sz="4" w:space="1" w:color="auto"/>
          <w:left w:val="single" w:sz="4" w:space="4" w:color="auto"/>
          <w:bottom w:val="single" w:sz="4" w:space="1" w:color="auto"/>
          <w:right w:val="single" w:sz="4" w:space="4" w:color="auto"/>
        </w:pBdr>
        <w:autoSpaceDE w:val="0"/>
        <w:autoSpaceDN w:val="0"/>
        <w:adjustRightInd w:val="0"/>
        <w:spacing w:beforeAutospacing="0" w:afterAutospacing="0"/>
        <w:rPr>
          <w:rFonts w:ascii="Times New Roman" w:eastAsiaTheme="minorHAnsi" w:hAnsi="Times New Roman" w:cs="Times New Roman"/>
          <w:sz w:val="21"/>
          <w:szCs w:val="21"/>
          <w:lang w:eastAsia="en-US"/>
        </w:rPr>
      </w:pPr>
    </w:p>
    <w:p w:rsidR="00905F38" w:rsidRDefault="00905F38" w:rsidP="00905F38">
      <w:pPr>
        <w:pBdr>
          <w:top w:val="single" w:sz="4" w:space="1" w:color="auto"/>
          <w:left w:val="single" w:sz="4" w:space="4" w:color="auto"/>
          <w:bottom w:val="single" w:sz="4" w:space="1" w:color="auto"/>
          <w:right w:val="single" w:sz="4" w:space="4" w:color="auto"/>
        </w:pBdr>
        <w:autoSpaceDE w:val="0"/>
        <w:autoSpaceDN w:val="0"/>
        <w:adjustRightInd w:val="0"/>
        <w:spacing w:beforeAutospacing="0" w:afterAutospacing="0"/>
        <w:rPr>
          <w:rFonts w:ascii="Times New Roman" w:eastAsiaTheme="minorHAnsi" w:hAnsi="Times New Roman" w:cs="Times New Roman"/>
          <w:sz w:val="21"/>
          <w:szCs w:val="21"/>
          <w:lang w:eastAsia="en-US"/>
        </w:rPr>
      </w:pPr>
      <w:r>
        <w:rPr>
          <w:rFonts w:ascii="Times New Roman" w:eastAsiaTheme="minorHAnsi" w:hAnsi="Times New Roman" w:cs="Times New Roman"/>
          <w:b/>
          <w:bCs/>
          <w:sz w:val="21"/>
          <w:szCs w:val="21"/>
          <w:lang w:eastAsia="en-US"/>
        </w:rPr>
        <w:t xml:space="preserve">Proposal 4–4 </w:t>
      </w:r>
      <w:proofErr w:type="gramStart"/>
      <w:r>
        <w:rPr>
          <w:rFonts w:ascii="Times New Roman" w:eastAsiaTheme="minorHAnsi" w:hAnsi="Times New Roman" w:cs="Times New Roman"/>
          <w:sz w:val="21"/>
          <w:szCs w:val="21"/>
          <w:lang w:eastAsia="en-US"/>
        </w:rPr>
        <w:t>The</w:t>
      </w:r>
      <w:proofErr w:type="gramEnd"/>
      <w:r>
        <w:rPr>
          <w:rFonts w:ascii="Times New Roman" w:eastAsiaTheme="minorHAnsi" w:hAnsi="Times New Roman" w:cs="Times New Roman"/>
          <w:sz w:val="21"/>
          <w:szCs w:val="21"/>
          <w:lang w:eastAsia="en-US"/>
        </w:rPr>
        <w:t xml:space="preserve"> non-exhaustive list of illustrative purposes should include the</w:t>
      </w:r>
    </w:p>
    <w:p w:rsidR="00905F38" w:rsidRDefault="00905F38" w:rsidP="00905F38">
      <w:pPr>
        <w:pBdr>
          <w:top w:val="single" w:sz="4" w:space="1" w:color="auto"/>
          <w:left w:val="single" w:sz="4" w:space="4" w:color="auto"/>
          <w:bottom w:val="single" w:sz="4" w:space="1" w:color="auto"/>
          <w:right w:val="single" w:sz="4" w:space="4" w:color="auto"/>
        </w:pBdr>
        <w:autoSpaceDE w:val="0"/>
        <w:autoSpaceDN w:val="0"/>
        <w:adjustRightInd w:val="0"/>
        <w:spacing w:beforeAutospacing="0" w:afterAutospacing="0"/>
        <w:rPr>
          <w:rFonts w:ascii="Times New Roman" w:eastAsiaTheme="minorHAnsi" w:hAnsi="Times New Roman" w:cs="Times New Roman"/>
          <w:sz w:val="21"/>
          <w:szCs w:val="21"/>
          <w:lang w:eastAsia="en-US"/>
        </w:rPr>
      </w:pPr>
      <w:proofErr w:type="gramStart"/>
      <w:r>
        <w:rPr>
          <w:rFonts w:ascii="Times New Roman" w:eastAsiaTheme="minorHAnsi" w:hAnsi="Times New Roman" w:cs="Times New Roman"/>
          <w:sz w:val="21"/>
          <w:szCs w:val="21"/>
          <w:lang w:eastAsia="en-US"/>
        </w:rPr>
        <w:t>following</w:t>
      </w:r>
      <w:proofErr w:type="gramEnd"/>
      <w:r>
        <w:rPr>
          <w:rFonts w:ascii="Times New Roman" w:eastAsiaTheme="minorHAnsi" w:hAnsi="Times New Roman" w:cs="Times New Roman"/>
          <w:sz w:val="21"/>
          <w:szCs w:val="21"/>
          <w:lang w:eastAsia="en-US"/>
        </w:rPr>
        <w:t>:</w:t>
      </w:r>
    </w:p>
    <w:p w:rsidR="00905F38" w:rsidRDefault="00905F38" w:rsidP="00905F38">
      <w:pPr>
        <w:pBdr>
          <w:top w:val="single" w:sz="4" w:space="1" w:color="auto"/>
          <w:left w:val="single" w:sz="4" w:space="4" w:color="auto"/>
          <w:bottom w:val="single" w:sz="4" w:space="1" w:color="auto"/>
          <w:right w:val="single" w:sz="4" w:space="4" w:color="auto"/>
        </w:pBdr>
        <w:autoSpaceDE w:val="0"/>
        <w:autoSpaceDN w:val="0"/>
        <w:adjustRightInd w:val="0"/>
        <w:spacing w:beforeAutospacing="0" w:afterAutospacing="0"/>
        <w:rPr>
          <w:rFonts w:ascii="Times New Roman" w:eastAsiaTheme="minorHAnsi" w:hAnsi="Times New Roman" w:cs="Times New Roman"/>
          <w:sz w:val="21"/>
          <w:szCs w:val="21"/>
          <w:lang w:eastAsia="en-US"/>
        </w:rPr>
      </w:pPr>
      <w:r>
        <w:rPr>
          <w:rFonts w:ascii="Times New Roman" w:eastAsiaTheme="minorHAnsi" w:hAnsi="Times New Roman" w:cs="Times New Roman"/>
          <w:sz w:val="21"/>
          <w:szCs w:val="21"/>
          <w:lang w:eastAsia="en-US"/>
        </w:rPr>
        <w:t xml:space="preserve">(a) </w:t>
      </w:r>
      <w:proofErr w:type="gramStart"/>
      <w:r>
        <w:rPr>
          <w:rFonts w:ascii="Times New Roman" w:eastAsiaTheme="minorHAnsi" w:hAnsi="Times New Roman" w:cs="Times New Roman"/>
          <w:sz w:val="21"/>
          <w:szCs w:val="21"/>
          <w:lang w:eastAsia="en-US"/>
        </w:rPr>
        <w:t>research</w:t>
      </w:r>
      <w:proofErr w:type="gramEnd"/>
      <w:r>
        <w:rPr>
          <w:rFonts w:ascii="Times New Roman" w:eastAsiaTheme="minorHAnsi" w:hAnsi="Times New Roman" w:cs="Times New Roman"/>
          <w:sz w:val="21"/>
          <w:szCs w:val="21"/>
          <w:lang w:eastAsia="en-US"/>
        </w:rPr>
        <w:t xml:space="preserve"> or study;</w:t>
      </w:r>
    </w:p>
    <w:p w:rsidR="00905F38" w:rsidRDefault="00905F38" w:rsidP="00905F38">
      <w:pPr>
        <w:pBdr>
          <w:top w:val="single" w:sz="4" w:space="1" w:color="auto"/>
          <w:left w:val="single" w:sz="4" w:space="4" w:color="auto"/>
          <w:bottom w:val="single" w:sz="4" w:space="1" w:color="auto"/>
          <w:right w:val="single" w:sz="4" w:space="4" w:color="auto"/>
        </w:pBdr>
        <w:autoSpaceDE w:val="0"/>
        <w:autoSpaceDN w:val="0"/>
        <w:adjustRightInd w:val="0"/>
        <w:spacing w:beforeAutospacing="0" w:afterAutospacing="0"/>
        <w:rPr>
          <w:rFonts w:ascii="Times New Roman" w:eastAsiaTheme="minorHAnsi" w:hAnsi="Times New Roman" w:cs="Times New Roman"/>
          <w:sz w:val="21"/>
          <w:szCs w:val="21"/>
          <w:lang w:eastAsia="en-US"/>
        </w:rPr>
      </w:pPr>
      <w:r>
        <w:rPr>
          <w:rFonts w:ascii="Times New Roman" w:eastAsiaTheme="minorHAnsi" w:hAnsi="Times New Roman" w:cs="Times New Roman"/>
          <w:sz w:val="21"/>
          <w:szCs w:val="21"/>
          <w:lang w:eastAsia="en-US"/>
        </w:rPr>
        <w:t xml:space="preserve">(b) </w:t>
      </w:r>
      <w:proofErr w:type="gramStart"/>
      <w:r>
        <w:rPr>
          <w:rFonts w:ascii="Times New Roman" w:eastAsiaTheme="minorHAnsi" w:hAnsi="Times New Roman" w:cs="Times New Roman"/>
          <w:sz w:val="21"/>
          <w:szCs w:val="21"/>
          <w:lang w:eastAsia="en-US"/>
        </w:rPr>
        <w:t>criticism</w:t>
      </w:r>
      <w:proofErr w:type="gramEnd"/>
      <w:r>
        <w:rPr>
          <w:rFonts w:ascii="Times New Roman" w:eastAsiaTheme="minorHAnsi" w:hAnsi="Times New Roman" w:cs="Times New Roman"/>
          <w:sz w:val="21"/>
          <w:szCs w:val="21"/>
          <w:lang w:eastAsia="en-US"/>
        </w:rPr>
        <w:t xml:space="preserve"> or review;</w:t>
      </w:r>
    </w:p>
    <w:p w:rsidR="00905F38" w:rsidRDefault="00905F38" w:rsidP="00905F38">
      <w:pPr>
        <w:pBdr>
          <w:top w:val="single" w:sz="4" w:space="1" w:color="auto"/>
          <w:left w:val="single" w:sz="4" w:space="4" w:color="auto"/>
          <w:bottom w:val="single" w:sz="4" w:space="1" w:color="auto"/>
          <w:right w:val="single" w:sz="4" w:space="4" w:color="auto"/>
        </w:pBdr>
        <w:autoSpaceDE w:val="0"/>
        <w:autoSpaceDN w:val="0"/>
        <w:adjustRightInd w:val="0"/>
        <w:spacing w:beforeAutospacing="0" w:afterAutospacing="0"/>
        <w:rPr>
          <w:rFonts w:ascii="Times New Roman" w:eastAsiaTheme="minorHAnsi" w:hAnsi="Times New Roman" w:cs="Times New Roman"/>
          <w:sz w:val="21"/>
          <w:szCs w:val="21"/>
          <w:lang w:eastAsia="en-US"/>
        </w:rPr>
      </w:pPr>
      <w:r>
        <w:rPr>
          <w:rFonts w:ascii="Times New Roman" w:eastAsiaTheme="minorHAnsi" w:hAnsi="Times New Roman" w:cs="Times New Roman"/>
          <w:sz w:val="21"/>
          <w:szCs w:val="21"/>
          <w:lang w:eastAsia="en-US"/>
        </w:rPr>
        <w:t xml:space="preserve">(c) </w:t>
      </w:r>
      <w:proofErr w:type="gramStart"/>
      <w:r>
        <w:rPr>
          <w:rFonts w:ascii="Times New Roman" w:eastAsiaTheme="minorHAnsi" w:hAnsi="Times New Roman" w:cs="Times New Roman"/>
          <w:sz w:val="21"/>
          <w:szCs w:val="21"/>
          <w:lang w:eastAsia="en-US"/>
        </w:rPr>
        <w:t>parody</w:t>
      </w:r>
      <w:proofErr w:type="gramEnd"/>
      <w:r>
        <w:rPr>
          <w:rFonts w:ascii="Times New Roman" w:eastAsiaTheme="minorHAnsi" w:hAnsi="Times New Roman" w:cs="Times New Roman"/>
          <w:sz w:val="21"/>
          <w:szCs w:val="21"/>
          <w:lang w:eastAsia="en-US"/>
        </w:rPr>
        <w:t xml:space="preserve"> or satire;</w:t>
      </w:r>
    </w:p>
    <w:p w:rsidR="00905F38" w:rsidRDefault="00905F38" w:rsidP="00905F38">
      <w:pPr>
        <w:pBdr>
          <w:top w:val="single" w:sz="4" w:space="1" w:color="auto"/>
          <w:left w:val="single" w:sz="4" w:space="4" w:color="auto"/>
          <w:bottom w:val="single" w:sz="4" w:space="1" w:color="auto"/>
          <w:right w:val="single" w:sz="4" w:space="4" w:color="auto"/>
        </w:pBdr>
        <w:autoSpaceDE w:val="0"/>
        <w:autoSpaceDN w:val="0"/>
        <w:adjustRightInd w:val="0"/>
        <w:spacing w:beforeAutospacing="0" w:afterAutospacing="0"/>
        <w:rPr>
          <w:rFonts w:ascii="Times New Roman" w:eastAsiaTheme="minorHAnsi" w:hAnsi="Times New Roman" w:cs="Times New Roman"/>
          <w:sz w:val="21"/>
          <w:szCs w:val="21"/>
          <w:lang w:eastAsia="en-US"/>
        </w:rPr>
      </w:pPr>
      <w:r>
        <w:rPr>
          <w:rFonts w:ascii="Times New Roman" w:eastAsiaTheme="minorHAnsi" w:hAnsi="Times New Roman" w:cs="Times New Roman"/>
          <w:sz w:val="21"/>
          <w:szCs w:val="21"/>
          <w:lang w:eastAsia="en-US"/>
        </w:rPr>
        <w:t xml:space="preserve">(d) </w:t>
      </w:r>
      <w:proofErr w:type="gramStart"/>
      <w:r>
        <w:rPr>
          <w:rFonts w:ascii="Times New Roman" w:eastAsiaTheme="minorHAnsi" w:hAnsi="Times New Roman" w:cs="Times New Roman"/>
          <w:sz w:val="21"/>
          <w:szCs w:val="21"/>
          <w:lang w:eastAsia="en-US"/>
        </w:rPr>
        <w:t>reporting</w:t>
      </w:r>
      <w:proofErr w:type="gramEnd"/>
      <w:r>
        <w:rPr>
          <w:rFonts w:ascii="Times New Roman" w:eastAsiaTheme="minorHAnsi" w:hAnsi="Times New Roman" w:cs="Times New Roman"/>
          <w:sz w:val="21"/>
          <w:szCs w:val="21"/>
          <w:lang w:eastAsia="en-US"/>
        </w:rPr>
        <w:t xml:space="preserve"> news;</w:t>
      </w:r>
    </w:p>
    <w:p w:rsidR="00905F38" w:rsidRDefault="00905F38" w:rsidP="00905F38">
      <w:pPr>
        <w:pBdr>
          <w:top w:val="single" w:sz="4" w:space="1" w:color="auto"/>
          <w:left w:val="single" w:sz="4" w:space="4" w:color="auto"/>
          <w:bottom w:val="single" w:sz="4" w:space="1" w:color="auto"/>
          <w:right w:val="single" w:sz="4" w:space="4" w:color="auto"/>
        </w:pBdr>
        <w:autoSpaceDE w:val="0"/>
        <w:autoSpaceDN w:val="0"/>
        <w:adjustRightInd w:val="0"/>
        <w:spacing w:beforeAutospacing="0" w:afterAutospacing="0"/>
        <w:rPr>
          <w:rFonts w:ascii="Times New Roman" w:eastAsiaTheme="minorHAnsi" w:hAnsi="Times New Roman" w:cs="Times New Roman"/>
          <w:sz w:val="21"/>
          <w:szCs w:val="21"/>
          <w:lang w:eastAsia="en-US"/>
        </w:rPr>
      </w:pPr>
      <w:r>
        <w:rPr>
          <w:rFonts w:ascii="Times New Roman" w:eastAsiaTheme="minorHAnsi" w:hAnsi="Times New Roman" w:cs="Times New Roman"/>
          <w:sz w:val="21"/>
          <w:szCs w:val="21"/>
          <w:lang w:eastAsia="en-US"/>
        </w:rPr>
        <w:t xml:space="preserve">(e) </w:t>
      </w:r>
      <w:proofErr w:type="gramStart"/>
      <w:r>
        <w:rPr>
          <w:rFonts w:ascii="Times New Roman" w:eastAsiaTheme="minorHAnsi" w:hAnsi="Times New Roman" w:cs="Times New Roman"/>
          <w:sz w:val="21"/>
          <w:szCs w:val="21"/>
          <w:lang w:eastAsia="en-US"/>
        </w:rPr>
        <w:t>non-consumptive</w:t>
      </w:r>
      <w:proofErr w:type="gramEnd"/>
      <w:r>
        <w:rPr>
          <w:rFonts w:ascii="Times New Roman" w:eastAsiaTheme="minorHAnsi" w:hAnsi="Times New Roman" w:cs="Times New Roman"/>
          <w:sz w:val="21"/>
          <w:szCs w:val="21"/>
          <w:lang w:eastAsia="en-US"/>
        </w:rPr>
        <w:t>;</w:t>
      </w:r>
    </w:p>
    <w:p w:rsidR="00905F38" w:rsidRDefault="00905F38" w:rsidP="00905F38">
      <w:pPr>
        <w:pBdr>
          <w:top w:val="single" w:sz="4" w:space="1" w:color="auto"/>
          <w:left w:val="single" w:sz="4" w:space="4" w:color="auto"/>
          <w:bottom w:val="single" w:sz="4" w:space="1" w:color="auto"/>
          <w:right w:val="single" w:sz="4" w:space="4" w:color="auto"/>
        </w:pBdr>
        <w:autoSpaceDE w:val="0"/>
        <w:autoSpaceDN w:val="0"/>
        <w:adjustRightInd w:val="0"/>
        <w:spacing w:beforeAutospacing="0" w:afterAutospacing="0"/>
        <w:rPr>
          <w:rFonts w:ascii="Times New Roman" w:eastAsiaTheme="minorHAnsi" w:hAnsi="Times New Roman" w:cs="Times New Roman"/>
          <w:sz w:val="21"/>
          <w:szCs w:val="21"/>
          <w:lang w:eastAsia="en-US"/>
        </w:rPr>
      </w:pPr>
      <w:r>
        <w:rPr>
          <w:rFonts w:ascii="Times New Roman" w:eastAsiaTheme="minorHAnsi" w:hAnsi="Times New Roman" w:cs="Times New Roman"/>
          <w:sz w:val="21"/>
          <w:szCs w:val="21"/>
          <w:lang w:eastAsia="en-US"/>
        </w:rPr>
        <w:t xml:space="preserve">(f) </w:t>
      </w:r>
      <w:proofErr w:type="gramStart"/>
      <w:r w:rsidRPr="00905F38">
        <w:rPr>
          <w:rFonts w:ascii="Times New Roman" w:eastAsiaTheme="minorHAnsi" w:hAnsi="Times New Roman" w:cs="Times New Roman"/>
          <w:b/>
          <w:sz w:val="21"/>
          <w:szCs w:val="21"/>
          <w:lang w:eastAsia="en-US"/>
        </w:rPr>
        <w:t>private</w:t>
      </w:r>
      <w:proofErr w:type="gramEnd"/>
      <w:r w:rsidRPr="00905F38">
        <w:rPr>
          <w:rFonts w:ascii="Times New Roman" w:eastAsiaTheme="minorHAnsi" w:hAnsi="Times New Roman" w:cs="Times New Roman"/>
          <w:b/>
          <w:sz w:val="21"/>
          <w:szCs w:val="21"/>
          <w:lang w:eastAsia="en-US"/>
        </w:rPr>
        <w:t xml:space="preserve"> and domestic;</w:t>
      </w:r>
    </w:p>
    <w:p w:rsidR="00905F38" w:rsidRDefault="00905F38" w:rsidP="00905F38">
      <w:pPr>
        <w:pBdr>
          <w:top w:val="single" w:sz="4" w:space="1" w:color="auto"/>
          <w:left w:val="single" w:sz="4" w:space="4" w:color="auto"/>
          <w:bottom w:val="single" w:sz="4" w:space="1" w:color="auto"/>
          <w:right w:val="single" w:sz="4" w:space="4" w:color="auto"/>
        </w:pBdr>
        <w:autoSpaceDE w:val="0"/>
        <w:autoSpaceDN w:val="0"/>
        <w:adjustRightInd w:val="0"/>
        <w:spacing w:beforeAutospacing="0" w:afterAutospacing="0"/>
        <w:rPr>
          <w:rFonts w:ascii="Times New Roman" w:eastAsiaTheme="minorHAnsi" w:hAnsi="Times New Roman" w:cs="Times New Roman"/>
          <w:sz w:val="21"/>
          <w:szCs w:val="21"/>
          <w:lang w:eastAsia="en-US"/>
        </w:rPr>
      </w:pPr>
      <w:r>
        <w:rPr>
          <w:rFonts w:ascii="Times New Roman" w:eastAsiaTheme="minorHAnsi" w:hAnsi="Times New Roman" w:cs="Times New Roman"/>
          <w:sz w:val="21"/>
          <w:szCs w:val="21"/>
          <w:lang w:eastAsia="en-US"/>
        </w:rPr>
        <w:t xml:space="preserve">(g) </w:t>
      </w:r>
      <w:proofErr w:type="gramStart"/>
      <w:r>
        <w:rPr>
          <w:rFonts w:ascii="Times New Roman" w:eastAsiaTheme="minorHAnsi" w:hAnsi="Times New Roman" w:cs="Times New Roman"/>
          <w:sz w:val="21"/>
          <w:szCs w:val="21"/>
          <w:lang w:eastAsia="en-US"/>
        </w:rPr>
        <w:t>quotation</w:t>
      </w:r>
      <w:proofErr w:type="gramEnd"/>
      <w:r>
        <w:rPr>
          <w:rFonts w:ascii="Times New Roman" w:eastAsiaTheme="minorHAnsi" w:hAnsi="Times New Roman" w:cs="Times New Roman"/>
          <w:sz w:val="21"/>
          <w:szCs w:val="21"/>
          <w:lang w:eastAsia="en-US"/>
        </w:rPr>
        <w:t>;</w:t>
      </w:r>
    </w:p>
    <w:p w:rsidR="00905F38" w:rsidRDefault="00905F38" w:rsidP="00905F38">
      <w:pPr>
        <w:pBdr>
          <w:top w:val="single" w:sz="4" w:space="1" w:color="auto"/>
          <w:left w:val="single" w:sz="4" w:space="4" w:color="auto"/>
          <w:bottom w:val="single" w:sz="4" w:space="1" w:color="auto"/>
          <w:right w:val="single" w:sz="4" w:space="4" w:color="auto"/>
        </w:pBdr>
        <w:autoSpaceDE w:val="0"/>
        <w:autoSpaceDN w:val="0"/>
        <w:adjustRightInd w:val="0"/>
        <w:spacing w:beforeAutospacing="0" w:afterAutospacing="0"/>
        <w:rPr>
          <w:rFonts w:ascii="Times New Roman" w:eastAsiaTheme="minorHAnsi" w:hAnsi="Times New Roman" w:cs="Times New Roman"/>
          <w:sz w:val="21"/>
          <w:szCs w:val="21"/>
          <w:lang w:eastAsia="en-US"/>
        </w:rPr>
      </w:pPr>
      <w:r>
        <w:rPr>
          <w:rFonts w:ascii="Times New Roman" w:eastAsiaTheme="minorHAnsi" w:hAnsi="Times New Roman" w:cs="Times New Roman"/>
          <w:sz w:val="21"/>
          <w:szCs w:val="21"/>
          <w:lang w:eastAsia="en-US"/>
        </w:rPr>
        <w:t xml:space="preserve">(h) </w:t>
      </w:r>
      <w:proofErr w:type="gramStart"/>
      <w:r>
        <w:rPr>
          <w:rFonts w:ascii="Times New Roman" w:eastAsiaTheme="minorHAnsi" w:hAnsi="Times New Roman" w:cs="Times New Roman"/>
          <w:sz w:val="21"/>
          <w:szCs w:val="21"/>
          <w:lang w:eastAsia="en-US"/>
        </w:rPr>
        <w:t>education</w:t>
      </w:r>
      <w:proofErr w:type="gramEnd"/>
      <w:r>
        <w:rPr>
          <w:rFonts w:ascii="Times New Roman" w:eastAsiaTheme="minorHAnsi" w:hAnsi="Times New Roman" w:cs="Times New Roman"/>
          <w:sz w:val="21"/>
          <w:szCs w:val="21"/>
          <w:lang w:eastAsia="en-US"/>
        </w:rPr>
        <w:t>; and</w:t>
      </w:r>
    </w:p>
    <w:p w:rsidR="00905F38" w:rsidRDefault="00905F38" w:rsidP="00905F38">
      <w:pPr>
        <w:pBdr>
          <w:top w:val="single" w:sz="4" w:space="1" w:color="auto"/>
          <w:left w:val="single" w:sz="4" w:space="4" w:color="auto"/>
          <w:bottom w:val="single" w:sz="4" w:space="1" w:color="auto"/>
          <w:right w:val="single" w:sz="4" w:space="4" w:color="auto"/>
        </w:pBdr>
        <w:autoSpaceDE w:val="0"/>
        <w:autoSpaceDN w:val="0"/>
        <w:adjustRightInd w:val="0"/>
        <w:spacing w:beforeAutospacing="0" w:afterAutospacing="0"/>
      </w:pPr>
      <w:r>
        <w:rPr>
          <w:rFonts w:ascii="Times New Roman" w:eastAsiaTheme="minorHAnsi" w:hAnsi="Times New Roman" w:cs="Times New Roman"/>
          <w:sz w:val="21"/>
          <w:szCs w:val="21"/>
          <w:lang w:eastAsia="en-US"/>
        </w:rPr>
        <w:t>(</w:t>
      </w:r>
      <w:proofErr w:type="spellStart"/>
      <w:r>
        <w:rPr>
          <w:rFonts w:ascii="Times New Roman" w:eastAsiaTheme="minorHAnsi" w:hAnsi="Times New Roman" w:cs="Times New Roman"/>
          <w:sz w:val="21"/>
          <w:szCs w:val="21"/>
          <w:lang w:eastAsia="en-US"/>
        </w:rPr>
        <w:t>i</w:t>
      </w:r>
      <w:proofErr w:type="spellEnd"/>
      <w:r>
        <w:rPr>
          <w:rFonts w:ascii="Times New Roman" w:eastAsiaTheme="minorHAnsi" w:hAnsi="Times New Roman" w:cs="Times New Roman"/>
          <w:sz w:val="21"/>
          <w:szCs w:val="21"/>
          <w:lang w:eastAsia="en-US"/>
        </w:rPr>
        <w:t xml:space="preserve">) </w:t>
      </w:r>
      <w:proofErr w:type="gramStart"/>
      <w:r>
        <w:rPr>
          <w:rFonts w:ascii="Times New Roman" w:eastAsiaTheme="minorHAnsi" w:hAnsi="Times New Roman" w:cs="Times New Roman"/>
          <w:sz w:val="21"/>
          <w:szCs w:val="21"/>
          <w:lang w:eastAsia="en-US"/>
        </w:rPr>
        <w:t>public</w:t>
      </w:r>
      <w:proofErr w:type="gramEnd"/>
      <w:r>
        <w:rPr>
          <w:rFonts w:ascii="Times New Roman" w:eastAsiaTheme="minorHAnsi" w:hAnsi="Times New Roman" w:cs="Times New Roman"/>
          <w:sz w:val="21"/>
          <w:szCs w:val="21"/>
          <w:lang w:eastAsia="en-US"/>
        </w:rPr>
        <w:t xml:space="preserve"> administration.</w:t>
      </w:r>
    </w:p>
    <w:p w:rsidR="00905F38" w:rsidRDefault="00655780" w:rsidP="00905F38">
      <w:pPr>
        <w:rPr>
          <w:b/>
        </w:rPr>
      </w:pPr>
      <w:r>
        <w:rPr>
          <w:b/>
        </w:rPr>
        <w:t>‘</w:t>
      </w:r>
      <w:r w:rsidR="00905F38" w:rsidRPr="00282874">
        <w:rPr>
          <w:b/>
        </w:rPr>
        <w:t>Private and Domestic</w:t>
      </w:r>
      <w:r>
        <w:rPr>
          <w:b/>
        </w:rPr>
        <w:t>’</w:t>
      </w:r>
      <w:r w:rsidR="00905F38">
        <w:rPr>
          <w:b/>
        </w:rPr>
        <w:t xml:space="preserve"> – fundamental concerns about restrictions on consumer activities </w:t>
      </w:r>
    </w:p>
    <w:p w:rsidR="00200DC2" w:rsidRDefault="00200DC2" w:rsidP="00135AD8">
      <w:r>
        <w:t xml:space="preserve">ACCAN emphatically rejects the notion that consumers’ copying or use must take place </w:t>
      </w:r>
      <w:r w:rsidRPr="00575904">
        <w:rPr>
          <w:i/>
        </w:rPr>
        <w:t>in the home</w:t>
      </w:r>
      <w:r>
        <w:t xml:space="preserve"> to benefit from a fair use exception. </w:t>
      </w:r>
      <w:r w:rsidR="00135AD8">
        <w:t xml:space="preserve">Phrasing the exception as ‘private </w:t>
      </w:r>
      <w:r w:rsidR="00135AD8" w:rsidRPr="00575904">
        <w:rPr>
          <w:i/>
        </w:rPr>
        <w:t>and</w:t>
      </w:r>
      <w:r w:rsidR="00135AD8">
        <w:t xml:space="preserve"> domestic’ places it at odds with the other illustrative purposes which are wider: ‘research </w:t>
      </w:r>
      <w:r w:rsidR="00135AD8">
        <w:rPr>
          <w:i/>
        </w:rPr>
        <w:t>or</w:t>
      </w:r>
      <w:r w:rsidR="00135AD8">
        <w:t xml:space="preserve"> study’, ‘criticism </w:t>
      </w:r>
      <w:r w:rsidR="00135AD8">
        <w:rPr>
          <w:i/>
        </w:rPr>
        <w:t>or</w:t>
      </w:r>
      <w:r w:rsidR="00135AD8">
        <w:t xml:space="preserve"> review’ and ‘parody </w:t>
      </w:r>
      <w:r w:rsidR="00135AD8">
        <w:rPr>
          <w:i/>
        </w:rPr>
        <w:t>or</w:t>
      </w:r>
      <w:r w:rsidR="00135AD8">
        <w:t xml:space="preserve"> satire’.</w:t>
      </w:r>
      <w:r w:rsidR="00C51EF9" w:rsidRPr="00C51EF9">
        <w:t xml:space="preserve"> It is not clear whether the intention is for the existing definition of private and domestic use to remain in the Act. </w:t>
      </w:r>
      <w:r w:rsidR="00C51EF9">
        <w:t xml:space="preserve">The existing definition is that </w:t>
      </w:r>
      <w:r w:rsidR="00C51EF9" w:rsidRPr="00C51EF9">
        <w:t xml:space="preserve">private and domestic use means </w:t>
      </w:r>
      <w:hyperlink r:id="rId10" w:anchor="private_and_domestic_use" w:history="1">
        <w:r w:rsidR="00C51EF9" w:rsidRPr="00C51EF9">
          <w:t>private and domestic use</w:t>
        </w:r>
      </w:hyperlink>
      <w:r w:rsidR="00C51EF9" w:rsidRPr="00C51EF9">
        <w:t xml:space="preserve"> on or off domestic premises.</w:t>
      </w:r>
    </w:p>
    <w:p w:rsidR="00135AD8" w:rsidRDefault="00D17DBD" w:rsidP="00135AD8">
      <w:r>
        <w:lastRenderedPageBreak/>
        <w:t xml:space="preserve">Irrespective of whether the existing definition remains there </w:t>
      </w:r>
      <w:r w:rsidR="00200DC2">
        <w:t>would appear to be no need for th</w:t>
      </w:r>
      <w:r>
        <w:t>e</w:t>
      </w:r>
      <w:r w:rsidR="00200DC2">
        <w:t xml:space="preserve"> double limitation. Furthermore, </w:t>
      </w:r>
      <w:r w:rsidR="00333794">
        <w:t>the proliferation of</w:t>
      </w:r>
      <w:r w:rsidR="00135AD8">
        <w:t xml:space="preserve"> mobile devices</w:t>
      </w:r>
      <w:r w:rsidR="004136A1">
        <w:t xml:space="preserve"> </w:t>
      </w:r>
      <w:r w:rsidR="00333794">
        <w:t xml:space="preserve">has changed the way content is consumed </w:t>
      </w:r>
      <w:r w:rsidR="004136A1">
        <w:t xml:space="preserve">and the </w:t>
      </w:r>
      <w:r w:rsidR="00200DC2">
        <w:t xml:space="preserve">expansion of </w:t>
      </w:r>
      <w:r w:rsidR="004136A1">
        <w:t>cloud computing</w:t>
      </w:r>
      <w:r w:rsidR="00200DC2">
        <w:t xml:space="preserve"> means the widespread use of</w:t>
      </w:r>
      <w:r w:rsidR="004136A1">
        <w:t xml:space="preserve"> remote storage.</w:t>
      </w:r>
      <w:r w:rsidR="00135AD8">
        <w:t xml:space="preserve"> </w:t>
      </w:r>
      <w:r w:rsidR="00200DC2">
        <w:t>It is therefore important that geographical limitations</w:t>
      </w:r>
      <w:r w:rsidR="00333794">
        <w:t xml:space="preserve"> not be </w:t>
      </w:r>
      <w:r w:rsidR="00200DC2">
        <w:t>placed on this exception</w:t>
      </w:r>
      <w:r w:rsidR="00135AD8">
        <w:t>.</w:t>
      </w:r>
    </w:p>
    <w:p w:rsidR="00C51EF9" w:rsidRDefault="00C51EF9" w:rsidP="004C7984">
      <w:r>
        <w:t xml:space="preserve">In the context of fair use, it would be preferable to avoid any suggestion that </w:t>
      </w:r>
      <w:r w:rsidR="004C7984">
        <w:t>‘private’ and ‘domestic’</w:t>
      </w:r>
      <w:r>
        <w:t xml:space="preserve"> each have some distinct meaning of their own.</w:t>
      </w:r>
    </w:p>
    <w:p w:rsidR="00135AD8" w:rsidRDefault="00135AD8" w:rsidP="004C7984">
      <w:r>
        <w:t xml:space="preserve">We should not lose sight of the fact that the rationale for introducing </w:t>
      </w:r>
      <w:r w:rsidR="00677FB5">
        <w:t>f</w:t>
      </w:r>
      <w:r>
        <w:t xml:space="preserve">air </w:t>
      </w:r>
      <w:r w:rsidR="00677FB5">
        <w:t>u</w:t>
      </w:r>
      <w:r>
        <w:t>se is to overcome</w:t>
      </w:r>
      <w:r w:rsidR="001026F8">
        <w:t xml:space="preserve"> needlessly restrictive</w:t>
      </w:r>
      <w:r w:rsidRPr="00D72523">
        <w:t xml:space="preserve"> </w:t>
      </w:r>
      <w:r w:rsidR="001026F8">
        <w:t xml:space="preserve">and </w:t>
      </w:r>
      <w:r w:rsidRPr="00D72523">
        <w:t>ambiguous</w:t>
      </w:r>
      <w:r>
        <w:t xml:space="preserve"> phraseology </w:t>
      </w:r>
      <w:r w:rsidRPr="00D72523">
        <w:t xml:space="preserve">from the </w:t>
      </w:r>
      <w:r>
        <w:t>current</w:t>
      </w:r>
      <w:r w:rsidRPr="00D72523">
        <w:t xml:space="preserve"> </w:t>
      </w:r>
      <w:r>
        <w:t>exceptions</w:t>
      </w:r>
      <w:r w:rsidR="001026F8">
        <w:t>, not</w:t>
      </w:r>
      <w:r>
        <w:t xml:space="preserve"> to replicate it</w:t>
      </w:r>
      <w:r w:rsidR="0072472D">
        <w:t xml:space="preserve"> in a new form</w:t>
      </w:r>
      <w:r>
        <w:t xml:space="preserve">. </w:t>
      </w:r>
      <w:r w:rsidR="001026F8">
        <w:t xml:space="preserve">ACCAN recommends </w:t>
      </w:r>
      <w:r w:rsidR="0072472D">
        <w:t xml:space="preserve">that in order for everyday consumer uses to be properly recognised as </w:t>
      </w:r>
      <w:r w:rsidR="00677FB5">
        <w:t>f</w:t>
      </w:r>
      <w:r w:rsidR="0072472D">
        <w:t xml:space="preserve">air </w:t>
      </w:r>
      <w:r w:rsidR="00677FB5">
        <w:t>u</w:t>
      </w:r>
      <w:r w:rsidR="0072472D">
        <w:t xml:space="preserve">se, </w:t>
      </w:r>
      <w:r w:rsidR="001026F8">
        <w:t>t</w:t>
      </w:r>
      <w:r>
        <w:t xml:space="preserve">he illustrative purpose should be </w:t>
      </w:r>
      <w:r w:rsidR="002B71E3">
        <w:t>either</w:t>
      </w:r>
      <w:r w:rsidR="001026F8">
        <w:t xml:space="preserve"> ‘</w:t>
      </w:r>
      <w:r>
        <w:t>private</w:t>
      </w:r>
      <w:r w:rsidR="002B71E3">
        <w:t xml:space="preserve"> or domestic</w:t>
      </w:r>
      <w:r w:rsidR="001026F8">
        <w:t>’</w:t>
      </w:r>
      <w:r w:rsidR="002B71E3">
        <w:t xml:space="preserve"> or simply ‘private’</w:t>
      </w:r>
      <w:r>
        <w:t>.</w:t>
      </w:r>
    </w:p>
    <w:p w:rsidR="00200DC2" w:rsidRPr="00C51EF9" w:rsidRDefault="00C51EF9" w:rsidP="004C7984">
      <w:r>
        <w:t>In support of this recommendation, we r</w:t>
      </w:r>
      <w:r w:rsidRPr="00C51EF9">
        <w:t>efer</w:t>
      </w:r>
      <w:r>
        <w:t xml:space="preserve"> </w:t>
      </w:r>
      <w:r w:rsidRPr="00C51EF9">
        <w:t xml:space="preserve">to </w:t>
      </w:r>
      <w:r>
        <w:t>A</w:t>
      </w:r>
      <w:r w:rsidRPr="00C51EF9">
        <w:t xml:space="preserve">rticle 5(2)(b) of the </w:t>
      </w:r>
      <w:hyperlink r:id="rId11" w:history="1">
        <w:r w:rsidRPr="00C51EF9">
          <w:t>European Directive on Copyright in the Information Society</w:t>
        </w:r>
      </w:hyperlink>
      <w:r w:rsidRPr="00C51EF9">
        <w:t xml:space="preserve"> that refers to ‘reproductions on any medium made by a natural person for private use and for ends that are neither directly nor indirectly commercial’</w:t>
      </w:r>
      <w:r>
        <w:t xml:space="preserve"> an</w:t>
      </w:r>
      <w:r w:rsidRPr="00C51EF9">
        <w:t xml:space="preserve">d </w:t>
      </w:r>
      <w:hyperlink r:id="rId12" w:anchor="h-28" w:history="1">
        <w:r w:rsidRPr="00C51EF9">
          <w:t>s</w:t>
        </w:r>
        <w:r>
          <w:t>ection</w:t>
        </w:r>
        <w:r w:rsidRPr="00C51EF9">
          <w:t xml:space="preserve"> 29.22 of </w:t>
        </w:r>
        <w:r>
          <w:t xml:space="preserve">the </w:t>
        </w:r>
        <w:r w:rsidRPr="00C51EF9">
          <w:t>Canad</w:t>
        </w:r>
        <w:r w:rsidR="002B71E3">
          <w:t>ian</w:t>
        </w:r>
        <w:r w:rsidRPr="00C51EF9">
          <w:t xml:space="preserve"> </w:t>
        </w:r>
        <w:r>
          <w:t xml:space="preserve">Copyright </w:t>
        </w:r>
        <w:r w:rsidRPr="00C51EF9">
          <w:t>Act</w:t>
        </w:r>
      </w:hyperlink>
      <w:r w:rsidRPr="00C51EF9">
        <w:t xml:space="preserve"> that </w:t>
      </w:r>
      <w:r w:rsidR="00297B63">
        <w:t>refers to</w:t>
      </w:r>
      <w:r w:rsidRPr="00C51EF9">
        <w:t xml:space="preserve"> reproductions that are ‘used only for the individual’s private purposes’.</w:t>
      </w:r>
      <w:r w:rsidR="00C57BF9">
        <w:t xml:space="preserve"> We would also refer to the 2006 Senate Committee’s deliberations on the introduction of the time-shifting exception and the view expressed at that time that </w:t>
      </w:r>
      <w:r w:rsidR="00C57BF9" w:rsidRPr="00C57BF9">
        <w:t>the law should conform to reasonable consumer expectations</w:t>
      </w:r>
      <w:r w:rsidR="00C57BF9">
        <w:t>.</w:t>
      </w:r>
    </w:p>
    <w:p w:rsidR="001026F8" w:rsidRPr="004B5F8E" w:rsidRDefault="00693F36" w:rsidP="00135AD8">
      <w:pPr>
        <w:rPr>
          <w:rFonts w:asciiTheme="majorHAnsi" w:hAnsiTheme="majorHAnsi"/>
          <w:b/>
          <w:color w:val="4F81BD" w:themeColor="accent1"/>
        </w:rPr>
      </w:pPr>
      <w:r w:rsidRPr="004B5F8E">
        <w:rPr>
          <w:rFonts w:asciiTheme="majorHAnsi" w:hAnsiTheme="majorHAnsi"/>
          <w:b/>
          <w:color w:val="4F81BD" w:themeColor="accent1"/>
        </w:rPr>
        <w:t>Recommendation:</w:t>
      </w:r>
    </w:p>
    <w:p w:rsidR="00693F36" w:rsidRDefault="00693F36" w:rsidP="00693F36">
      <w:r>
        <w:t>In the illustrative purposes, it is ACCAN’s view that ‘private and domestic’ is unnecessarily restrictive, and the wording should be</w:t>
      </w:r>
      <w:r w:rsidR="002B71E3">
        <w:t xml:space="preserve"> either ‘private or domestic’ or</w:t>
      </w:r>
      <w:r>
        <w:t xml:space="preserve"> ‘private’.</w:t>
      </w:r>
    </w:p>
    <w:p w:rsidR="0098797B" w:rsidRDefault="0098797B" w:rsidP="00693F36"/>
    <w:p w:rsidR="00135AD8" w:rsidRPr="00282874" w:rsidRDefault="00135AD8" w:rsidP="00135AD8">
      <w:pPr>
        <w:rPr>
          <w:b/>
        </w:rPr>
      </w:pPr>
      <w:r>
        <w:rPr>
          <w:b/>
        </w:rPr>
        <w:t xml:space="preserve">Private and </w:t>
      </w:r>
      <w:proofErr w:type="gramStart"/>
      <w:r>
        <w:rPr>
          <w:b/>
        </w:rPr>
        <w:t>Domestic</w:t>
      </w:r>
      <w:proofErr w:type="gramEnd"/>
      <w:r>
        <w:rPr>
          <w:b/>
        </w:rPr>
        <w:t>: evaluating the potential market for, or value of, copyright material</w:t>
      </w:r>
    </w:p>
    <w:p w:rsidR="00135AD8" w:rsidRDefault="00135AD8" w:rsidP="00135AD8">
      <w:r>
        <w:t>We are concerned that in its analysis the ALRC suggested at 9.59 that where “</w:t>
      </w:r>
      <w:r w:rsidRPr="00422698">
        <w:t>the market offers</w:t>
      </w:r>
      <w:r>
        <w:t xml:space="preserve"> </w:t>
      </w:r>
      <w:r w:rsidRPr="00422698">
        <w:t>properly licensed copies, then it may be less likely that a person should be free to make</w:t>
      </w:r>
      <w:r>
        <w:t xml:space="preserve"> </w:t>
      </w:r>
      <w:r w:rsidRPr="00422698">
        <w:t>their o</w:t>
      </w:r>
      <w:r>
        <w:t>wn private and domestic copies.”</w:t>
      </w:r>
    </w:p>
    <w:p w:rsidR="00135AD8" w:rsidRDefault="00135AD8" w:rsidP="00135AD8">
      <w:r>
        <w:t xml:space="preserve">However, we disagree. The ALRC correctly noted at 9.48 that </w:t>
      </w:r>
      <w:r w:rsidR="00655780">
        <w:t>‘</w:t>
      </w:r>
      <w:r>
        <w:t>[f]</w:t>
      </w:r>
      <w:proofErr w:type="spellStart"/>
      <w:r w:rsidRPr="00422698">
        <w:t>ew</w:t>
      </w:r>
      <w:proofErr w:type="spellEnd"/>
      <w:r w:rsidRPr="00422698">
        <w:t xml:space="preserve"> people will buy the</w:t>
      </w:r>
      <w:r>
        <w:t xml:space="preserve"> </w:t>
      </w:r>
      <w:r w:rsidRPr="00422698">
        <w:t>same item twice</w:t>
      </w:r>
      <w:r w:rsidR="00655780">
        <w:t xml:space="preserve"> </w:t>
      </w:r>
      <w:r>
        <w:t>…</w:t>
      </w:r>
      <w:r w:rsidR="00655780">
        <w:t xml:space="preserve"> </w:t>
      </w:r>
      <w:r w:rsidRPr="00422698">
        <w:t>because the law prohibits them from making a copy.</w:t>
      </w:r>
      <w:r>
        <w:t xml:space="preserve"> </w:t>
      </w:r>
      <w:r w:rsidRPr="00422698">
        <w:t>Members of the public may also be unlikely to seek licences for other purely domestic</w:t>
      </w:r>
      <w:r>
        <w:t xml:space="preserve"> </w:t>
      </w:r>
      <w:r w:rsidRPr="00422698">
        <w:t>non-commercial uses.</w:t>
      </w:r>
      <w:r w:rsidR="00655780">
        <w:t>’</w:t>
      </w:r>
    </w:p>
    <w:p w:rsidR="00D150ED" w:rsidRPr="00D150ED" w:rsidRDefault="00135AD8" w:rsidP="00D150ED">
      <w:pPr>
        <w:pStyle w:val="CommentText"/>
        <w:rPr>
          <w:rFonts w:eastAsiaTheme="minorEastAsia"/>
          <w:sz w:val="22"/>
          <w:szCs w:val="22"/>
          <w:lang w:eastAsia="en-AU"/>
        </w:rPr>
      </w:pPr>
      <w:r w:rsidRPr="00D150ED">
        <w:rPr>
          <w:rFonts w:eastAsiaTheme="minorEastAsia"/>
          <w:sz w:val="22"/>
          <w:szCs w:val="22"/>
          <w:lang w:eastAsia="en-AU"/>
        </w:rPr>
        <w:t xml:space="preserve">It is not merely </w:t>
      </w:r>
      <w:r w:rsidR="00655780" w:rsidRPr="00D150ED">
        <w:rPr>
          <w:rFonts w:eastAsiaTheme="minorEastAsia"/>
          <w:sz w:val="22"/>
          <w:szCs w:val="22"/>
          <w:lang w:eastAsia="en-AU"/>
        </w:rPr>
        <w:t>‘</w:t>
      </w:r>
      <w:r w:rsidRPr="00D150ED">
        <w:rPr>
          <w:rFonts w:eastAsiaTheme="minorEastAsia"/>
          <w:sz w:val="22"/>
          <w:szCs w:val="22"/>
          <w:lang w:eastAsia="en-AU"/>
        </w:rPr>
        <w:t>unlikely</w:t>
      </w:r>
      <w:r w:rsidR="00655780" w:rsidRPr="00D150ED">
        <w:rPr>
          <w:rFonts w:eastAsiaTheme="minorEastAsia"/>
          <w:sz w:val="22"/>
          <w:szCs w:val="22"/>
          <w:lang w:eastAsia="en-AU"/>
        </w:rPr>
        <w:t>’</w:t>
      </w:r>
      <w:r w:rsidRPr="00D150ED">
        <w:rPr>
          <w:rFonts w:eastAsiaTheme="minorEastAsia"/>
          <w:sz w:val="22"/>
          <w:szCs w:val="22"/>
          <w:lang w:eastAsia="en-AU"/>
        </w:rPr>
        <w:t xml:space="preserve"> that the public would seek</w:t>
      </w:r>
      <w:r w:rsidR="00DA4D63" w:rsidRPr="00D150ED">
        <w:rPr>
          <w:rFonts w:eastAsiaTheme="minorEastAsia"/>
          <w:sz w:val="22"/>
          <w:szCs w:val="22"/>
          <w:lang w:eastAsia="en-AU"/>
        </w:rPr>
        <w:t xml:space="preserve"> out the fine print governing </w:t>
      </w:r>
      <w:r w:rsidRPr="00D150ED">
        <w:rPr>
          <w:rFonts w:eastAsiaTheme="minorEastAsia"/>
          <w:sz w:val="22"/>
          <w:szCs w:val="22"/>
          <w:lang w:eastAsia="en-AU"/>
        </w:rPr>
        <w:t>non-commercial use</w:t>
      </w:r>
      <w:r w:rsidR="004136A1" w:rsidRPr="00D150ED">
        <w:rPr>
          <w:rFonts w:eastAsiaTheme="minorEastAsia"/>
          <w:sz w:val="22"/>
          <w:szCs w:val="22"/>
          <w:lang w:eastAsia="en-AU"/>
        </w:rPr>
        <w:t xml:space="preserve"> of content already paid for</w:t>
      </w:r>
      <w:r w:rsidR="00DA4D63" w:rsidRPr="00D150ED">
        <w:rPr>
          <w:rFonts w:eastAsiaTheme="minorEastAsia"/>
          <w:sz w:val="22"/>
          <w:szCs w:val="22"/>
          <w:lang w:eastAsia="en-AU"/>
        </w:rPr>
        <w:t xml:space="preserve"> in order to find out what kind of private copying is allowed</w:t>
      </w:r>
      <w:r w:rsidR="00B20450" w:rsidRPr="00D150ED">
        <w:rPr>
          <w:rFonts w:eastAsiaTheme="minorEastAsia"/>
          <w:sz w:val="22"/>
          <w:szCs w:val="22"/>
          <w:lang w:eastAsia="en-AU"/>
        </w:rPr>
        <w:t xml:space="preserve"> –</w:t>
      </w:r>
      <w:r w:rsidRPr="00D150ED">
        <w:rPr>
          <w:rFonts w:eastAsiaTheme="minorEastAsia"/>
          <w:sz w:val="22"/>
          <w:szCs w:val="22"/>
          <w:lang w:eastAsia="en-AU"/>
        </w:rPr>
        <w:t xml:space="preserve"> </w:t>
      </w:r>
      <w:r w:rsidR="00B20450" w:rsidRPr="00D150ED">
        <w:rPr>
          <w:rFonts w:eastAsiaTheme="minorEastAsia"/>
          <w:sz w:val="22"/>
          <w:szCs w:val="22"/>
          <w:lang w:eastAsia="en-AU"/>
        </w:rPr>
        <w:t xml:space="preserve">it </w:t>
      </w:r>
      <w:r w:rsidRPr="00D150ED">
        <w:rPr>
          <w:rFonts w:eastAsiaTheme="minorEastAsia"/>
          <w:sz w:val="22"/>
          <w:szCs w:val="22"/>
          <w:lang w:eastAsia="en-AU"/>
        </w:rPr>
        <w:t>is entirely unrealistic.</w:t>
      </w:r>
    </w:p>
    <w:p w:rsidR="00135AD8" w:rsidRDefault="00135AD8" w:rsidP="00135AD8">
      <w:r>
        <w:t>Therefore the ‘</w:t>
      </w:r>
      <w:r w:rsidRPr="00422698">
        <w:t>effect of the use upon the</w:t>
      </w:r>
      <w:r>
        <w:t xml:space="preserve"> </w:t>
      </w:r>
      <w:r w:rsidRPr="00422698">
        <w:t>potential market for, or value of, the copyright material</w:t>
      </w:r>
      <w:r>
        <w:t xml:space="preserve">’ of a consumer privately copying something they have already paid for in one way or another is in reality negligible unless we adopt a view of human behaviour which is not credible. </w:t>
      </w:r>
    </w:p>
    <w:p w:rsidR="00D731AE" w:rsidRDefault="00E303CB" w:rsidP="00135AD8">
      <w:r>
        <w:t xml:space="preserve">In addition, merely </w:t>
      </w:r>
      <w:r w:rsidR="00DA4D63" w:rsidRPr="0094519C">
        <w:t xml:space="preserve">because </w:t>
      </w:r>
      <w:r w:rsidR="00D21AC2">
        <w:t>r</w:t>
      </w:r>
      <w:r w:rsidR="00D21AC2" w:rsidRPr="0094519C">
        <w:t xml:space="preserve">ights </w:t>
      </w:r>
      <w:r w:rsidR="00DA4D63" w:rsidRPr="0094519C">
        <w:t xml:space="preserve">holders </w:t>
      </w:r>
      <w:r w:rsidR="002943A6" w:rsidRPr="0094519C">
        <w:t xml:space="preserve">can use technological measures to </w:t>
      </w:r>
      <w:r>
        <w:t>encourage consumers who are not technology-savvy to pay for a</w:t>
      </w:r>
      <w:r w:rsidR="00135AD8" w:rsidRPr="0094519C">
        <w:t xml:space="preserve"> private use</w:t>
      </w:r>
      <w:r>
        <w:t xml:space="preserve"> does not mean such private uses should not be considered </w:t>
      </w:r>
      <w:r w:rsidR="00677FB5">
        <w:t>f</w:t>
      </w:r>
      <w:r w:rsidR="00135AD8" w:rsidRPr="0094519C">
        <w:t xml:space="preserve">air </w:t>
      </w:r>
      <w:r w:rsidR="00677FB5">
        <w:t>u</w:t>
      </w:r>
      <w:r w:rsidR="00135AD8" w:rsidRPr="0094519C">
        <w:t>se</w:t>
      </w:r>
      <w:r w:rsidR="00D731AE">
        <w:t>s</w:t>
      </w:r>
      <w:r>
        <w:t>.</w:t>
      </w:r>
      <w:r w:rsidR="00D731AE">
        <w:t xml:space="preserve"> </w:t>
      </w:r>
    </w:p>
    <w:p w:rsidR="00135AD8" w:rsidRPr="0094519C" w:rsidRDefault="00D731AE" w:rsidP="00135AD8">
      <w:r w:rsidRPr="00D731AE">
        <w:lastRenderedPageBreak/>
        <w:t>A</w:t>
      </w:r>
      <w:r>
        <w:t xml:space="preserve"> commonplace scenario is for a consumer </w:t>
      </w:r>
      <w:r w:rsidRPr="00D731AE">
        <w:t xml:space="preserve">to purchase a movie on iTunes and want to watch it on their Android tablet. They </w:t>
      </w:r>
      <w:r>
        <w:t xml:space="preserve">may </w:t>
      </w:r>
      <w:r w:rsidRPr="00D731AE">
        <w:t xml:space="preserve">find the file is locked to Apple products with digital rights management technology. The consumer believes they should be allowed to watch their purchase on whatever device they desire, so they download a small piece of software to </w:t>
      </w:r>
      <w:r>
        <w:t>enable this</w:t>
      </w:r>
      <w:r w:rsidRPr="00D731AE">
        <w:t>.</w:t>
      </w:r>
    </w:p>
    <w:p w:rsidR="00135AD8" w:rsidRPr="0094519C" w:rsidRDefault="00135AD8" w:rsidP="00135AD8">
      <w:r w:rsidRPr="0094519C">
        <w:t xml:space="preserve">In considering the ‘effect of the use upon the potential market for, or value of, the copyright material’, we believe that the ALRC’s </w:t>
      </w:r>
      <w:r w:rsidR="00D10621">
        <w:t xml:space="preserve">view on licencing </w:t>
      </w:r>
      <w:r w:rsidRPr="0094519C">
        <w:t xml:space="preserve">could lead to judicial reasoning that undermines one of the central rationales for </w:t>
      </w:r>
      <w:r w:rsidR="00677FB5">
        <w:t>f</w:t>
      </w:r>
      <w:r w:rsidRPr="0094519C">
        <w:t xml:space="preserve">air </w:t>
      </w:r>
      <w:r w:rsidR="00677FB5">
        <w:t>u</w:t>
      </w:r>
      <w:r w:rsidRPr="0094519C">
        <w:t>se – to rectify the ‘significant problem’ of the ‘growing mismatch between what is allowed under copyright exceptions, and the reasonable expectations and behaviour of most people’.</w:t>
      </w:r>
      <w:r w:rsidRPr="0094519C">
        <w:rPr>
          <w:rStyle w:val="FootnoteReference"/>
        </w:rPr>
        <w:footnoteReference w:id="1"/>
      </w:r>
    </w:p>
    <w:p w:rsidR="00271235" w:rsidRDefault="00D10621" w:rsidP="00D10621">
      <w:pPr>
        <w:pStyle w:val="CommentText"/>
        <w:rPr>
          <w:rFonts w:eastAsiaTheme="minorEastAsia"/>
          <w:sz w:val="22"/>
          <w:szCs w:val="22"/>
          <w:lang w:eastAsia="en-AU"/>
        </w:rPr>
      </w:pPr>
      <w:r w:rsidRPr="00D10621">
        <w:rPr>
          <w:rFonts w:eastAsiaTheme="minorEastAsia"/>
          <w:sz w:val="22"/>
          <w:szCs w:val="22"/>
          <w:lang w:eastAsia="en-AU"/>
        </w:rPr>
        <w:t>We have been concerned by the fact that in the digital environment, material is more often licensed than sold</w:t>
      </w:r>
      <w:r w:rsidR="00C57BF9">
        <w:rPr>
          <w:rFonts w:eastAsiaTheme="minorEastAsia"/>
          <w:sz w:val="22"/>
          <w:szCs w:val="22"/>
          <w:lang w:eastAsia="en-AU"/>
        </w:rPr>
        <w:t xml:space="preserve"> despite terminology that leads consumers to expect otherwise</w:t>
      </w:r>
      <w:r w:rsidR="00271235">
        <w:rPr>
          <w:rFonts w:eastAsiaTheme="minorEastAsia"/>
          <w:sz w:val="22"/>
          <w:szCs w:val="22"/>
          <w:lang w:eastAsia="en-AU"/>
        </w:rPr>
        <w:t>.</w:t>
      </w:r>
      <w:r w:rsidRPr="00D10621">
        <w:rPr>
          <w:rFonts w:eastAsiaTheme="minorEastAsia"/>
          <w:sz w:val="22"/>
          <w:szCs w:val="22"/>
          <w:lang w:eastAsia="en-AU"/>
        </w:rPr>
        <w:t xml:space="preserve"> </w:t>
      </w:r>
      <w:r w:rsidR="00271235">
        <w:rPr>
          <w:rFonts w:eastAsiaTheme="minorEastAsia"/>
          <w:sz w:val="22"/>
          <w:szCs w:val="22"/>
          <w:lang w:eastAsia="en-AU"/>
        </w:rPr>
        <w:t>P</w:t>
      </w:r>
      <w:r w:rsidRPr="00D10621">
        <w:rPr>
          <w:rFonts w:eastAsiaTheme="minorEastAsia"/>
          <w:sz w:val="22"/>
          <w:szCs w:val="22"/>
          <w:lang w:eastAsia="en-AU"/>
        </w:rPr>
        <w:t>urchases of e</w:t>
      </w:r>
      <w:r>
        <w:rPr>
          <w:rFonts w:eastAsiaTheme="minorEastAsia"/>
          <w:sz w:val="22"/>
          <w:szCs w:val="22"/>
          <w:lang w:eastAsia="en-AU"/>
        </w:rPr>
        <w:t>-</w:t>
      </w:r>
      <w:r w:rsidRPr="00D10621">
        <w:rPr>
          <w:rFonts w:eastAsiaTheme="minorEastAsia"/>
          <w:sz w:val="22"/>
          <w:szCs w:val="22"/>
          <w:lang w:eastAsia="en-AU"/>
        </w:rPr>
        <w:t>books</w:t>
      </w:r>
      <w:r w:rsidR="00D731AE">
        <w:rPr>
          <w:rFonts w:eastAsiaTheme="minorEastAsia"/>
          <w:sz w:val="22"/>
          <w:szCs w:val="22"/>
          <w:lang w:eastAsia="en-AU"/>
        </w:rPr>
        <w:t>, movies</w:t>
      </w:r>
      <w:r w:rsidRPr="00D10621">
        <w:rPr>
          <w:rFonts w:eastAsiaTheme="minorEastAsia"/>
          <w:sz w:val="22"/>
          <w:szCs w:val="22"/>
          <w:lang w:eastAsia="en-AU"/>
        </w:rPr>
        <w:t xml:space="preserve"> or </w:t>
      </w:r>
      <w:r>
        <w:rPr>
          <w:rFonts w:eastAsiaTheme="minorEastAsia"/>
          <w:sz w:val="22"/>
          <w:szCs w:val="22"/>
          <w:lang w:eastAsia="en-AU"/>
        </w:rPr>
        <w:t xml:space="preserve">music </w:t>
      </w:r>
      <w:r w:rsidRPr="00D10621">
        <w:rPr>
          <w:rFonts w:eastAsiaTheme="minorEastAsia"/>
          <w:sz w:val="22"/>
          <w:szCs w:val="22"/>
          <w:lang w:eastAsia="en-AU"/>
        </w:rPr>
        <w:t xml:space="preserve">from iTunes </w:t>
      </w:r>
      <w:r>
        <w:rPr>
          <w:rFonts w:eastAsiaTheme="minorEastAsia"/>
          <w:sz w:val="22"/>
          <w:szCs w:val="22"/>
          <w:lang w:eastAsia="en-AU"/>
        </w:rPr>
        <w:t>for example</w:t>
      </w:r>
      <w:r w:rsidRPr="00D10621">
        <w:rPr>
          <w:rFonts w:eastAsiaTheme="minorEastAsia"/>
          <w:sz w:val="22"/>
          <w:szCs w:val="22"/>
          <w:lang w:eastAsia="en-AU"/>
        </w:rPr>
        <w:t xml:space="preserve"> are presented to consumers as ‘purchases’ (</w:t>
      </w:r>
      <w:r>
        <w:rPr>
          <w:rFonts w:eastAsiaTheme="minorEastAsia"/>
          <w:sz w:val="22"/>
          <w:szCs w:val="22"/>
          <w:lang w:eastAsia="en-AU"/>
        </w:rPr>
        <w:t xml:space="preserve">i.e. it is the </w:t>
      </w:r>
      <w:r w:rsidRPr="00D10621">
        <w:rPr>
          <w:rFonts w:eastAsiaTheme="minorEastAsia"/>
          <w:sz w:val="22"/>
          <w:szCs w:val="22"/>
          <w:lang w:eastAsia="en-AU"/>
        </w:rPr>
        <w:t xml:space="preserve">iTunes </w:t>
      </w:r>
      <w:r w:rsidR="00655780">
        <w:rPr>
          <w:rFonts w:eastAsiaTheme="minorEastAsia"/>
          <w:sz w:val="22"/>
          <w:szCs w:val="22"/>
          <w:lang w:eastAsia="en-AU"/>
        </w:rPr>
        <w:t>‘</w:t>
      </w:r>
      <w:r w:rsidRPr="00D10621">
        <w:rPr>
          <w:rFonts w:eastAsiaTheme="minorEastAsia"/>
          <w:sz w:val="22"/>
          <w:szCs w:val="22"/>
          <w:lang w:eastAsia="en-AU"/>
        </w:rPr>
        <w:t>store</w:t>
      </w:r>
      <w:r w:rsidR="00655780">
        <w:rPr>
          <w:rFonts w:eastAsiaTheme="minorEastAsia"/>
          <w:sz w:val="22"/>
          <w:szCs w:val="22"/>
          <w:lang w:eastAsia="en-AU"/>
        </w:rPr>
        <w:t>’</w:t>
      </w:r>
      <w:r>
        <w:rPr>
          <w:rFonts w:eastAsiaTheme="minorEastAsia"/>
          <w:sz w:val="22"/>
          <w:szCs w:val="22"/>
          <w:lang w:eastAsia="en-AU"/>
        </w:rPr>
        <w:t xml:space="preserve">, not </w:t>
      </w:r>
      <w:r w:rsidR="00655780">
        <w:rPr>
          <w:rFonts w:eastAsiaTheme="minorEastAsia"/>
          <w:sz w:val="22"/>
          <w:szCs w:val="22"/>
          <w:lang w:eastAsia="en-AU"/>
        </w:rPr>
        <w:t>‘</w:t>
      </w:r>
      <w:r>
        <w:rPr>
          <w:rFonts w:eastAsiaTheme="minorEastAsia"/>
          <w:sz w:val="22"/>
          <w:szCs w:val="22"/>
          <w:lang w:eastAsia="en-AU"/>
        </w:rPr>
        <w:t>library</w:t>
      </w:r>
      <w:r w:rsidR="00655780">
        <w:rPr>
          <w:rFonts w:eastAsiaTheme="minorEastAsia"/>
          <w:sz w:val="22"/>
          <w:szCs w:val="22"/>
          <w:lang w:eastAsia="en-AU"/>
        </w:rPr>
        <w:t>’</w:t>
      </w:r>
      <w:r w:rsidRPr="00D10621">
        <w:rPr>
          <w:rFonts w:eastAsiaTheme="minorEastAsia"/>
          <w:sz w:val="22"/>
          <w:szCs w:val="22"/>
          <w:lang w:eastAsia="en-AU"/>
        </w:rPr>
        <w:t xml:space="preserve">) and yet consumers are not given the rights they would expect to have with </w:t>
      </w:r>
      <w:r w:rsidR="00271235">
        <w:rPr>
          <w:rFonts w:eastAsiaTheme="minorEastAsia"/>
          <w:sz w:val="22"/>
          <w:szCs w:val="22"/>
          <w:lang w:eastAsia="en-AU"/>
        </w:rPr>
        <w:t xml:space="preserve">a </w:t>
      </w:r>
      <w:r w:rsidRPr="00D10621">
        <w:rPr>
          <w:rFonts w:eastAsiaTheme="minorEastAsia"/>
          <w:sz w:val="22"/>
          <w:szCs w:val="22"/>
          <w:lang w:eastAsia="en-AU"/>
        </w:rPr>
        <w:t>purchase</w:t>
      </w:r>
      <w:r w:rsidR="00271235">
        <w:rPr>
          <w:rFonts w:eastAsiaTheme="minorEastAsia"/>
          <w:sz w:val="22"/>
          <w:szCs w:val="22"/>
          <w:lang w:eastAsia="en-AU"/>
        </w:rPr>
        <w:t>.</w:t>
      </w:r>
    </w:p>
    <w:p w:rsidR="00C57BF9" w:rsidRDefault="00271235" w:rsidP="00C57BF9">
      <w:pPr>
        <w:pStyle w:val="CommentText"/>
        <w:rPr>
          <w:rFonts w:eastAsiaTheme="minorEastAsia"/>
          <w:sz w:val="22"/>
          <w:szCs w:val="22"/>
          <w:lang w:eastAsia="en-AU"/>
        </w:rPr>
      </w:pPr>
      <w:r>
        <w:rPr>
          <w:rFonts w:eastAsiaTheme="minorEastAsia"/>
          <w:sz w:val="22"/>
          <w:szCs w:val="22"/>
          <w:lang w:eastAsia="en-AU"/>
        </w:rPr>
        <w:t>With a physical purchase, these rights would include</w:t>
      </w:r>
      <w:r w:rsidR="00D10621" w:rsidRPr="00D10621">
        <w:rPr>
          <w:rFonts w:eastAsiaTheme="minorEastAsia"/>
          <w:sz w:val="22"/>
          <w:szCs w:val="22"/>
          <w:lang w:eastAsia="en-AU"/>
        </w:rPr>
        <w:t xml:space="preserve"> </w:t>
      </w:r>
      <w:r>
        <w:rPr>
          <w:rFonts w:eastAsiaTheme="minorEastAsia"/>
          <w:sz w:val="22"/>
          <w:szCs w:val="22"/>
          <w:lang w:eastAsia="en-AU"/>
        </w:rPr>
        <w:t>holding</w:t>
      </w:r>
      <w:r w:rsidR="00D10621" w:rsidRPr="00D10621">
        <w:rPr>
          <w:rFonts w:eastAsiaTheme="minorEastAsia"/>
          <w:sz w:val="22"/>
          <w:szCs w:val="22"/>
          <w:lang w:eastAsia="en-AU"/>
        </w:rPr>
        <w:t xml:space="preserve"> </w:t>
      </w:r>
      <w:r>
        <w:rPr>
          <w:rFonts w:eastAsiaTheme="minorEastAsia"/>
          <w:sz w:val="22"/>
          <w:szCs w:val="22"/>
          <w:lang w:eastAsia="en-AU"/>
        </w:rPr>
        <w:t xml:space="preserve">books or </w:t>
      </w:r>
      <w:r w:rsidR="00D10621" w:rsidRPr="00D10621">
        <w:rPr>
          <w:rFonts w:eastAsiaTheme="minorEastAsia"/>
          <w:sz w:val="22"/>
          <w:szCs w:val="22"/>
          <w:lang w:eastAsia="en-AU"/>
        </w:rPr>
        <w:t>music forever, or bequeath</w:t>
      </w:r>
      <w:r>
        <w:rPr>
          <w:rFonts w:eastAsiaTheme="minorEastAsia"/>
          <w:sz w:val="22"/>
          <w:szCs w:val="22"/>
          <w:lang w:eastAsia="en-AU"/>
        </w:rPr>
        <w:t>ing such a collection</w:t>
      </w:r>
      <w:r w:rsidR="00D10621" w:rsidRPr="00D10621">
        <w:rPr>
          <w:rFonts w:eastAsiaTheme="minorEastAsia"/>
          <w:sz w:val="22"/>
          <w:szCs w:val="22"/>
          <w:lang w:eastAsia="en-AU"/>
        </w:rPr>
        <w:t xml:space="preserve"> to </w:t>
      </w:r>
      <w:r>
        <w:rPr>
          <w:rFonts w:eastAsiaTheme="minorEastAsia"/>
          <w:sz w:val="22"/>
          <w:szCs w:val="22"/>
          <w:lang w:eastAsia="en-AU"/>
        </w:rPr>
        <w:t>next of kin</w:t>
      </w:r>
      <w:r w:rsidR="00D10621" w:rsidRPr="00D10621">
        <w:rPr>
          <w:rFonts w:eastAsiaTheme="minorEastAsia"/>
          <w:sz w:val="22"/>
          <w:szCs w:val="22"/>
          <w:lang w:eastAsia="en-AU"/>
        </w:rPr>
        <w:t xml:space="preserve">. </w:t>
      </w:r>
      <w:r w:rsidR="00C57BF9">
        <w:rPr>
          <w:rFonts w:eastAsiaTheme="minorEastAsia"/>
          <w:sz w:val="22"/>
          <w:szCs w:val="22"/>
          <w:lang w:eastAsia="en-AU"/>
        </w:rPr>
        <w:t xml:space="preserve">However, often </w:t>
      </w:r>
      <w:r w:rsidR="00C57BF9" w:rsidRPr="00D10621">
        <w:rPr>
          <w:rFonts w:eastAsiaTheme="minorEastAsia"/>
          <w:sz w:val="22"/>
          <w:szCs w:val="22"/>
          <w:lang w:eastAsia="en-AU"/>
        </w:rPr>
        <w:t>‘buy</w:t>
      </w:r>
      <w:r w:rsidR="00C57BF9">
        <w:rPr>
          <w:rFonts w:eastAsiaTheme="minorEastAsia"/>
          <w:sz w:val="22"/>
          <w:szCs w:val="22"/>
          <w:lang w:eastAsia="en-AU"/>
        </w:rPr>
        <w:t>ing</w:t>
      </w:r>
      <w:r w:rsidR="00C57BF9" w:rsidRPr="00D10621">
        <w:rPr>
          <w:rFonts w:eastAsiaTheme="minorEastAsia"/>
          <w:sz w:val="22"/>
          <w:szCs w:val="22"/>
          <w:lang w:eastAsia="en-AU"/>
        </w:rPr>
        <w:t xml:space="preserve">’ a song </w:t>
      </w:r>
      <w:r w:rsidR="00C57BF9">
        <w:rPr>
          <w:rFonts w:eastAsiaTheme="minorEastAsia"/>
          <w:sz w:val="22"/>
          <w:szCs w:val="22"/>
          <w:lang w:eastAsia="en-AU"/>
        </w:rPr>
        <w:t xml:space="preserve">also comes with </w:t>
      </w:r>
      <w:r w:rsidR="00C57BF9" w:rsidRPr="00D10621">
        <w:rPr>
          <w:rFonts w:eastAsiaTheme="minorEastAsia"/>
          <w:sz w:val="22"/>
          <w:szCs w:val="22"/>
          <w:lang w:eastAsia="en-AU"/>
        </w:rPr>
        <w:t xml:space="preserve">terms </w:t>
      </w:r>
      <w:r w:rsidR="00C57BF9">
        <w:rPr>
          <w:rFonts w:eastAsiaTheme="minorEastAsia"/>
          <w:sz w:val="22"/>
          <w:szCs w:val="22"/>
          <w:lang w:eastAsia="en-AU"/>
        </w:rPr>
        <w:t xml:space="preserve">attached which </w:t>
      </w:r>
      <w:r w:rsidR="00C57BF9" w:rsidRPr="00D10621">
        <w:rPr>
          <w:rFonts w:eastAsiaTheme="minorEastAsia"/>
          <w:sz w:val="22"/>
          <w:szCs w:val="22"/>
          <w:lang w:eastAsia="en-AU"/>
        </w:rPr>
        <w:t>impose</w:t>
      </w:r>
      <w:r w:rsidR="00C57BF9">
        <w:rPr>
          <w:rFonts w:eastAsiaTheme="minorEastAsia"/>
          <w:sz w:val="22"/>
          <w:szCs w:val="22"/>
          <w:lang w:eastAsia="en-AU"/>
        </w:rPr>
        <w:t xml:space="preserve"> </w:t>
      </w:r>
      <w:r w:rsidR="00C57BF9" w:rsidRPr="00D10621">
        <w:rPr>
          <w:rFonts w:eastAsiaTheme="minorEastAsia"/>
          <w:sz w:val="22"/>
          <w:szCs w:val="22"/>
          <w:lang w:eastAsia="en-AU"/>
        </w:rPr>
        <w:t xml:space="preserve">a </w:t>
      </w:r>
      <w:r w:rsidR="00C57BF9" w:rsidRPr="00584883">
        <w:rPr>
          <w:rFonts w:eastAsiaTheme="minorEastAsia"/>
          <w:i/>
          <w:sz w:val="22"/>
          <w:szCs w:val="22"/>
          <w:lang w:eastAsia="en-AU"/>
        </w:rPr>
        <w:t>temporary</w:t>
      </w:r>
      <w:r w:rsidR="00C57BF9" w:rsidRPr="00D10621">
        <w:rPr>
          <w:rFonts w:eastAsiaTheme="minorEastAsia"/>
          <w:sz w:val="22"/>
          <w:szCs w:val="22"/>
          <w:lang w:eastAsia="en-AU"/>
        </w:rPr>
        <w:t xml:space="preserve"> right to access. This is all the more true in </w:t>
      </w:r>
      <w:r w:rsidR="00C57BF9">
        <w:rPr>
          <w:rFonts w:eastAsiaTheme="minorEastAsia"/>
          <w:sz w:val="22"/>
          <w:szCs w:val="22"/>
          <w:lang w:eastAsia="en-AU"/>
        </w:rPr>
        <w:t>the</w:t>
      </w:r>
      <w:r w:rsidR="00C57BF9" w:rsidRPr="00D10621">
        <w:rPr>
          <w:rFonts w:eastAsiaTheme="minorEastAsia"/>
          <w:sz w:val="22"/>
          <w:szCs w:val="22"/>
          <w:lang w:eastAsia="en-AU"/>
        </w:rPr>
        <w:t xml:space="preserve"> context </w:t>
      </w:r>
      <w:r w:rsidR="00C57BF9">
        <w:rPr>
          <w:rFonts w:eastAsiaTheme="minorEastAsia"/>
          <w:sz w:val="22"/>
          <w:szCs w:val="22"/>
          <w:lang w:eastAsia="en-AU"/>
        </w:rPr>
        <w:t xml:space="preserve">of consumer electronics </w:t>
      </w:r>
      <w:r w:rsidR="00C57BF9" w:rsidRPr="00D10621">
        <w:rPr>
          <w:rFonts w:eastAsiaTheme="minorEastAsia"/>
          <w:sz w:val="22"/>
          <w:szCs w:val="22"/>
          <w:lang w:eastAsia="en-AU"/>
        </w:rPr>
        <w:t xml:space="preserve">where </w:t>
      </w:r>
      <w:r w:rsidR="00C57BF9">
        <w:rPr>
          <w:rFonts w:eastAsiaTheme="minorEastAsia"/>
          <w:sz w:val="22"/>
          <w:szCs w:val="22"/>
          <w:lang w:eastAsia="en-AU"/>
        </w:rPr>
        <w:t>e-books or music will</w:t>
      </w:r>
      <w:r w:rsidR="00C57BF9" w:rsidRPr="00D10621">
        <w:rPr>
          <w:rFonts w:eastAsiaTheme="minorEastAsia"/>
          <w:sz w:val="22"/>
          <w:szCs w:val="22"/>
          <w:lang w:eastAsia="en-AU"/>
        </w:rPr>
        <w:t xml:space="preserve"> </w:t>
      </w:r>
      <w:r w:rsidR="00C57BF9">
        <w:rPr>
          <w:rFonts w:eastAsiaTheme="minorEastAsia"/>
          <w:sz w:val="22"/>
          <w:szCs w:val="22"/>
          <w:lang w:eastAsia="en-AU"/>
        </w:rPr>
        <w:t xml:space="preserve">last as long as the </w:t>
      </w:r>
      <w:r w:rsidR="00584883">
        <w:rPr>
          <w:rFonts w:eastAsiaTheme="minorEastAsia"/>
          <w:sz w:val="22"/>
          <w:szCs w:val="22"/>
          <w:lang w:eastAsia="en-AU"/>
        </w:rPr>
        <w:t>device</w:t>
      </w:r>
      <w:r w:rsidR="00C57BF9">
        <w:rPr>
          <w:rFonts w:eastAsiaTheme="minorEastAsia"/>
          <w:sz w:val="22"/>
          <w:szCs w:val="22"/>
          <w:lang w:eastAsia="en-AU"/>
        </w:rPr>
        <w:t xml:space="preserve"> or hard drive they reside on</w:t>
      </w:r>
      <w:r w:rsidR="00C57BF9" w:rsidRPr="00D10621">
        <w:rPr>
          <w:rFonts w:eastAsiaTheme="minorEastAsia"/>
          <w:sz w:val="22"/>
          <w:szCs w:val="22"/>
          <w:lang w:eastAsia="en-AU"/>
        </w:rPr>
        <w:t xml:space="preserve">. </w:t>
      </w:r>
    </w:p>
    <w:p w:rsidR="00C57BF9" w:rsidRDefault="00C57BF9" w:rsidP="00D10621">
      <w:pPr>
        <w:pStyle w:val="CommentText"/>
        <w:rPr>
          <w:rFonts w:eastAsiaTheme="minorEastAsia"/>
          <w:sz w:val="22"/>
          <w:szCs w:val="22"/>
          <w:lang w:eastAsia="en-AU"/>
        </w:rPr>
      </w:pPr>
      <w:r>
        <w:rPr>
          <w:rFonts w:eastAsiaTheme="minorEastAsia"/>
          <w:sz w:val="22"/>
          <w:szCs w:val="22"/>
          <w:lang w:eastAsia="en-AU"/>
        </w:rPr>
        <w:t>In contrast, s</w:t>
      </w:r>
      <w:r w:rsidR="00271235">
        <w:rPr>
          <w:rFonts w:eastAsiaTheme="minorEastAsia"/>
          <w:sz w:val="22"/>
          <w:szCs w:val="22"/>
          <w:lang w:eastAsia="en-AU"/>
        </w:rPr>
        <w:t>ubscription services are understood as providin</w:t>
      </w:r>
      <w:r w:rsidR="00333794">
        <w:rPr>
          <w:rFonts w:eastAsiaTheme="minorEastAsia"/>
          <w:sz w:val="22"/>
          <w:szCs w:val="22"/>
          <w:lang w:eastAsia="en-AU"/>
        </w:rPr>
        <w:t>g consumers with access to content</w:t>
      </w:r>
      <w:r w:rsidR="00271235">
        <w:rPr>
          <w:rFonts w:eastAsiaTheme="minorEastAsia"/>
          <w:sz w:val="22"/>
          <w:szCs w:val="22"/>
          <w:lang w:eastAsia="en-AU"/>
        </w:rPr>
        <w:t xml:space="preserve"> only while they contin</w:t>
      </w:r>
      <w:r>
        <w:rPr>
          <w:rFonts w:eastAsiaTheme="minorEastAsia"/>
          <w:sz w:val="22"/>
          <w:szCs w:val="22"/>
          <w:lang w:eastAsia="en-AU"/>
        </w:rPr>
        <w:t>ue to pay for such access. There will therefore be varying degrees to which licencing of uses will affect an evaluation of fairness.</w:t>
      </w:r>
    </w:p>
    <w:p w:rsidR="004B5F8E" w:rsidRPr="004B5F8E" w:rsidRDefault="004B5F8E" w:rsidP="00C57BF9">
      <w:pPr>
        <w:pStyle w:val="CommentText"/>
        <w:rPr>
          <w:rFonts w:asciiTheme="majorHAnsi" w:eastAsiaTheme="minorEastAsia" w:hAnsiTheme="majorHAnsi"/>
          <w:b/>
          <w:color w:val="4F81BD" w:themeColor="accent1"/>
          <w:sz w:val="22"/>
          <w:szCs w:val="22"/>
          <w:lang w:eastAsia="en-AU"/>
        </w:rPr>
      </w:pPr>
      <w:r w:rsidRPr="004B5F8E">
        <w:rPr>
          <w:rFonts w:asciiTheme="majorHAnsi" w:eastAsiaTheme="minorEastAsia" w:hAnsiTheme="majorHAnsi"/>
          <w:b/>
          <w:color w:val="4F81BD" w:themeColor="accent1"/>
          <w:sz w:val="22"/>
          <w:szCs w:val="22"/>
          <w:lang w:eastAsia="en-AU"/>
        </w:rPr>
        <w:t>Recommendation:</w:t>
      </w:r>
    </w:p>
    <w:p w:rsidR="00C57BF9" w:rsidRDefault="004C2900" w:rsidP="00C57BF9">
      <w:pPr>
        <w:pStyle w:val="CommentText"/>
        <w:rPr>
          <w:rFonts w:eastAsiaTheme="minorEastAsia"/>
          <w:sz w:val="22"/>
          <w:szCs w:val="22"/>
          <w:lang w:eastAsia="en-AU"/>
        </w:rPr>
      </w:pPr>
      <w:r>
        <w:rPr>
          <w:rFonts w:eastAsiaTheme="minorEastAsia"/>
          <w:sz w:val="22"/>
          <w:szCs w:val="22"/>
          <w:lang w:eastAsia="en-AU"/>
        </w:rPr>
        <w:t>We believe it is important for the</w:t>
      </w:r>
      <w:r w:rsidR="00C57BF9" w:rsidRPr="00C57BF9">
        <w:rPr>
          <w:rFonts w:eastAsiaTheme="minorEastAsia"/>
          <w:sz w:val="22"/>
          <w:szCs w:val="22"/>
          <w:lang w:eastAsia="en-AU"/>
        </w:rPr>
        <w:t xml:space="preserve"> ALRC to recognise that </w:t>
      </w:r>
      <w:r>
        <w:rPr>
          <w:rFonts w:eastAsiaTheme="minorEastAsia"/>
          <w:sz w:val="22"/>
          <w:szCs w:val="22"/>
          <w:lang w:eastAsia="en-AU"/>
        </w:rPr>
        <w:t xml:space="preserve">the </w:t>
      </w:r>
      <w:r w:rsidR="00E303CB">
        <w:rPr>
          <w:rFonts w:eastAsiaTheme="minorEastAsia"/>
          <w:sz w:val="22"/>
          <w:szCs w:val="22"/>
          <w:lang w:eastAsia="en-AU"/>
        </w:rPr>
        <w:t>fairness evaluation</w:t>
      </w:r>
      <w:r>
        <w:rPr>
          <w:rFonts w:eastAsiaTheme="minorEastAsia"/>
          <w:sz w:val="22"/>
          <w:szCs w:val="22"/>
          <w:lang w:eastAsia="en-AU"/>
        </w:rPr>
        <w:t xml:space="preserve"> should </w:t>
      </w:r>
      <w:r w:rsidR="00E303CB">
        <w:rPr>
          <w:rFonts w:eastAsiaTheme="minorEastAsia"/>
          <w:sz w:val="22"/>
          <w:szCs w:val="22"/>
          <w:lang w:eastAsia="en-AU"/>
        </w:rPr>
        <w:t>reflect</w:t>
      </w:r>
      <w:r>
        <w:rPr>
          <w:rFonts w:eastAsiaTheme="minorEastAsia"/>
          <w:sz w:val="22"/>
          <w:szCs w:val="22"/>
          <w:lang w:eastAsia="en-AU"/>
        </w:rPr>
        <w:t xml:space="preserve"> </w:t>
      </w:r>
      <w:r w:rsidR="00C57BF9" w:rsidRPr="00C57BF9">
        <w:rPr>
          <w:rFonts w:eastAsiaTheme="minorEastAsia"/>
          <w:sz w:val="22"/>
          <w:szCs w:val="22"/>
          <w:lang w:eastAsia="en-AU"/>
        </w:rPr>
        <w:t xml:space="preserve">the legitimacy of ordinary consumer behaviour and ordinary consumer expectations. </w:t>
      </w:r>
      <w:r>
        <w:rPr>
          <w:rFonts w:eastAsiaTheme="minorEastAsia"/>
          <w:sz w:val="22"/>
          <w:szCs w:val="22"/>
          <w:lang w:eastAsia="en-AU"/>
        </w:rPr>
        <w:t xml:space="preserve">Not all licence terms that </w:t>
      </w:r>
      <w:r w:rsidR="00677FB5">
        <w:rPr>
          <w:rFonts w:eastAsiaTheme="minorEastAsia"/>
          <w:sz w:val="22"/>
          <w:szCs w:val="22"/>
          <w:lang w:eastAsia="en-AU"/>
        </w:rPr>
        <w:t>r</w:t>
      </w:r>
      <w:r>
        <w:rPr>
          <w:rFonts w:eastAsiaTheme="minorEastAsia"/>
          <w:sz w:val="22"/>
          <w:szCs w:val="22"/>
          <w:lang w:eastAsia="en-AU"/>
        </w:rPr>
        <w:t xml:space="preserve">ights holders </w:t>
      </w:r>
      <w:r w:rsidR="00C57BF9" w:rsidRPr="00C57BF9">
        <w:rPr>
          <w:rFonts w:eastAsiaTheme="minorEastAsia"/>
          <w:sz w:val="22"/>
          <w:szCs w:val="22"/>
          <w:lang w:eastAsia="en-AU"/>
        </w:rPr>
        <w:t>might c</w:t>
      </w:r>
      <w:r>
        <w:rPr>
          <w:rFonts w:eastAsiaTheme="minorEastAsia"/>
          <w:sz w:val="22"/>
          <w:szCs w:val="22"/>
          <w:lang w:eastAsia="en-AU"/>
        </w:rPr>
        <w:t>hoose to impose will be legitimate or should</w:t>
      </w:r>
      <w:r w:rsidR="004B5F8E">
        <w:rPr>
          <w:rFonts w:eastAsiaTheme="minorEastAsia"/>
          <w:sz w:val="22"/>
          <w:szCs w:val="22"/>
          <w:lang w:eastAsia="en-AU"/>
        </w:rPr>
        <w:t xml:space="preserve"> automatically</w:t>
      </w:r>
      <w:r>
        <w:rPr>
          <w:rFonts w:eastAsiaTheme="minorEastAsia"/>
          <w:sz w:val="22"/>
          <w:szCs w:val="22"/>
          <w:lang w:eastAsia="en-AU"/>
        </w:rPr>
        <w:t xml:space="preserve"> </w:t>
      </w:r>
      <w:proofErr w:type="gramStart"/>
      <w:r>
        <w:rPr>
          <w:rFonts w:eastAsiaTheme="minorEastAsia"/>
          <w:sz w:val="22"/>
          <w:szCs w:val="22"/>
          <w:lang w:eastAsia="en-AU"/>
        </w:rPr>
        <w:t>be</w:t>
      </w:r>
      <w:proofErr w:type="gramEnd"/>
      <w:r w:rsidR="00E303CB">
        <w:rPr>
          <w:rFonts w:eastAsiaTheme="minorEastAsia"/>
          <w:sz w:val="22"/>
          <w:szCs w:val="22"/>
          <w:lang w:eastAsia="en-AU"/>
        </w:rPr>
        <w:t xml:space="preserve"> </w:t>
      </w:r>
      <w:r>
        <w:rPr>
          <w:rFonts w:eastAsiaTheme="minorEastAsia"/>
          <w:sz w:val="22"/>
          <w:szCs w:val="22"/>
          <w:lang w:eastAsia="en-AU"/>
        </w:rPr>
        <w:t>factors</w:t>
      </w:r>
      <w:r w:rsidR="00C55AF3">
        <w:rPr>
          <w:rFonts w:eastAsiaTheme="minorEastAsia"/>
          <w:sz w:val="22"/>
          <w:szCs w:val="22"/>
          <w:lang w:eastAsia="en-AU"/>
        </w:rPr>
        <w:t xml:space="preserve"> counting</w:t>
      </w:r>
      <w:r>
        <w:rPr>
          <w:rFonts w:eastAsiaTheme="minorEastAsia"/>
          <w:sz w:val="22"/>
          <w:szCs w:val="22"/>
          <w:lang w:eastAsia="en-AU"/>
        </w:rPr>
        <w:t xml:space="preserve"> against </w:t>
      </w:r>
      <w:r w:rsidR="00677FB5">
        <w:rPr>
          <w:rFonts w:eastAsiaTheme="minorEastAsia"/>
          <w:sz w:val="22"/>
          <w:szCs w:val="22"/>
          <w:lang w:eastAsia="en-AU"/>
        </w:rPr>
        <w:t>f</w:t>
      </w:r>
      <w:r>
        <w:rPr>
          <w:rFonts w:eastAsiaTheme="minorEastAsia"/>
          <w:sz w:val="22"/>
          <w:szCs w:val="22"/>
          <w:lang w:eastAsia="en-AU"/>
        </w:rPr>
        <w:t xml:space="preserve">air </w:t>
      </w:r>
      <w:r w:rsidR="00677FB5">
        <w:rPr>
          <w:rFonts w:eastAsiaTheme="minorEastAsia"/>
          <w:sz w:val="22"/>
          <w:szCs w:val="22"/>
          <w:lang w:eastAsia="en-AU"/>
        </w:rPr>
        <w:t>u</w:t>
      </w:r>
      <w:r>
        <w:rPr>
          <w:rFonts w:eastAsiaTheme="minorEastAsia"/>
          <w:sz w:val="22"/>
          <w:szCs w:val="22"/>
          <w:lang w:eastAsia="en-AU"/>
        </w:rPr>
        <w:t>se.</w:t>
      </w:r>
    </w:p>
    <w:p w:rsidR="00905F38" w:rsidRDefault="00905F38" w:rsidP="00905F38">
      <w:pPr>
        <w:pBdr>
          <w:top w:val="single" w:sz="4" w:space="1" w:color="auto"/>
          <w:left w:val="single" w:sz="4" w:space="4" w:color="auto"/>
          <w:bottom w:val="single" w:sz="4" w:space="1" w:color="auto"/>
          <w:right w:val="single" w:sz="4" w:space="4" w:color="auto"/>
        </w:pBdr>
        <w:autoSpaceDE w:val="0"/>
        <w:autoSpaceDN w:val="0"/>
        <w:adjustRightInd w:val="0"/>
        <w:spacing w:beforeAutospacing="0" w:afterAutospacing="0"/>
        <w:rPr>
          <w:b/>
        </w:rPr>
      </w:pPr>
      <w:r>
        <w:rPr>
          <w:rFonts w:ascii="Times New Roman" w:eastAsiaTheme="minorHAnsi" w:hAnsi="Times New Roman" w:cs="Times New Roman"/>
          <w:b/>
          <w:bCs/>
          <w:sz w:val="21"/>
          <w:szCs w:val="21"/>
          <w:lang w:eastAsia="en-US"/>
        </w:rPr>
        <w:t xml:space="preserve">Proposal 17–1 </w:t>
      </w:r>
      <w:r>
        <w:rPr>
          <w:rFonts w:ascii="Times New Roman" w:eastAsiaTheme="minorHAnsi" w:hAnsi="Times New Roman" w:cs="Times New Roman"/>
          <w:sz w:val="21"/>
          <w:szCs w:val="21"/>
          <w:lang w:eastAsia="en-US"/>
        </w:rPr>
        <w:t xml:space="preserve">The </w:t>
      </w:r>
      <w:r>
        <w:rPr>
          <w:rFonts w:ascii="Times New Roman" w:eastAsiaTheme="minorHAnsi" w:hAnsi="Times New Roman" w:cs="Times New Roman"/>
          <w:i/>
          <w:iCs/>
          <w:sz w:val="21"/>
          <w:szCs w:val="21"/>
          <w:lang w:eastAsia="en-US"/>
        </w:rPr>
        <w:t xml:space="preserve">Copyright Act </w:t>
      </w:r>
      <w:r>
        <w:rPr>
          <w:rFonts w:ascii="Times New Roman" w:eastAsiaTheme="minorHAnsi" w:hAnsi="Times New Roman" w:cs="Times New Roman"/>
          <w:sz w:val="21"/>
          <w:szCs w:val="21"/>
          <w:lang w:eastAsia="en-US"/>
        </w:rPr>
        <w:t xml:space="preserve">should provide that an </w:t>
      </w:r>
      <w:proofErr w:type="gramStart"/>
      <w:r>
        <w:rPr>
          <w:rFonts w:ascii="Times New Roman" w:eastAsiaTheme="minorHAnsi" w:hAnsi="Times New Roman" w:cs="Times New Roman"/>
          <w:sz w:val="21"/>
          <w:szCs w:val="21"/>
          <w:lang w:eastAsia="en-US"/>
        </w:rPr>
        <w:t>agreement,</w:t>
      </w:r>
      <w:proofErr w:type="gramEnd"/>
      <w:r>
        <w:rPr>
          <w:rFonts w:ascii="Times New Roman" w:eastAsiaTheme="minorHAnsi" w:hAnsi="Times New Roman" w:cs="Times New Roman"/>
          <w:sz w:val="21"/>
          <w:szCs w:val="21"/>
          <w:lang w:eastAsia="en-US"/>
        </w:rPr>
        <w:t xml:space="preserve"> or a provision of an agreement, that excludes or limits, or has the effect of excluding or limiting, the operation of certain copyright exceptions has no effect. These limitations on contracting out should apply to the exceptions for libraries and archives; and the fair use or fair dealing exceptions, to the extent these exceptions apply to the use of material for research or study, criticism or review, parody or satire, reporting news, or quotation.</w:t>
      </w:r>
    </w:p>
    <w:p w:rsidR="00135AD8" w:rsidRPr="00A14C97" w:rsidRDefault="00135AD8" w:rsidP="00135AD8">
      <w:pPr>
        <w:rPr>
          <w:b/>
        </w:rPr>
      </w:pPr>
      <w:r>
        <w:rPr>
          <w:b/>
        </w:rPr>
        <w:t xml:space="preserve">Concern about </w:t>
      </w:r>
      <w:r w:rsidRPr="00A14C97">
        <w:rPr>
          <w:b/>
        </w:rPr>
        <w:t>Contract</w:t>
      </w:r>
      <w:r>
        <w:rPr>
          <w:b/>
        </w:rPr>
        <w:t>ing Out</w:t>
      </w:r>
    </w:p>
    <w:p w:rsidR="00135AD8" w:rsidRDefault="00135AD8" w:rsidP="00135AD8">
      <w:r>
        <w:t xml:space="preserve">We are concerned that the proposed approach to contractual override of copyright exceptions is unworkable and has the potential to undermine the proposed reforms on </w:t>
      </w:r>
      <w:r w:rsidR="00677FB5">
        <w:t>f</w:t>
      </w:r>
      <w:r>
        <w:t xml:space="preserve">air </w:t>
      </w:r>
      <w:r w:rsidR="00677FB5">
        <w:t>u</w:t>
      </w:r>
      <w:r>
        <w:t xml:space="preserve">se. </w:t>
      </w:r>
    </w:p>
    <w:p w:rsidR="00135AD8" w:rsidRDefault="00135AD8" w:rsidP="00135AD8">
      <w:r>
        <w:t>The ALRC proposes an explicit prohibition on contractual override for some exceptions</w:t>
      </w:r>
      <w:r w:rsidR="00B20450">
        <w:t xml:space="preserve"> </w:t>
      </w:r>
      <w:r>
        <w:t>but not the exception</w:t>
      </w:r>
      <w:r w:rsidR="00B20450">
        <w:t xml:space="preserve"> </w:t>
      </w:r>
      <w:r>
        <w:t>most relevant for consumers –</w:t>
      </w:r>
      <w:r w:rsidR="00B20450">
        <w:t xml:space="preserve"> fair use for private purposes</w:t>
      </w:r>
      <w:r>
        <w:t xml:space="preserve">. This strengthens the </w:t>
      </w:r>
      <w:r w:rsidR="00B20450">
        <w:t xml:space="preserve">presumption </w:t>
      </w:r>
      <w:r>
        <w:t>that th</w:t>
      </w:r>
      <w:r w:rsidR="00B20450">
        <w:t>is and</w:t>
      </w:r>
      <w:r>
        <w:t xml:space="preserve"> other exceptions </w:t>
      </w:r>
      <w:r w:rsidR="00B20450">
        <w:t xml:space="preserve">not subject to the explicit prohibition </w:t>
      </w:r>
      <w:r>
        <w:t xml:space="preserve">are subject to </w:t>
      </w:r>
      <w:r>
        <w:lastRenderedPageBreak/>
        <w:t>contractual override</w:t>
      </w:r>
      <w:r w:rsidR="00D17DBD">
        <w:t>. Allowing such override is inconsistent with the public policy rationale for introducing fair use.</w:t>
      </w:r>
    </w:p>
    <w:p w:rsidR="00135AD8" w:rsidRDefault="00135AD8" w:rsidP="00135AD8">
      <w:r>
        <w:t xml:space="preserve">We are very concerned that if the specific time shifting and format shifting exceptions are abolished in line with the ALRC proposal, and these uses that are everyday consumer activities become a </w:t>
      </w:r>
      <w:r w:rsidR="00677FB5">
        <w:t>f</w:t>
      </w:r>
      <w:r>
        <w:t xml:space="preserve">air </w:t>
      </w:r>
      <w:r w:rsidR="00677FB5">
        <w:t>u</w:t>
      </w:r>
      <w:r>
        <w:t xml:space="preserve">se subject to contractual override, consumer rights are substantially weakened. At the same time, the ALRC suggests that these exceptions may be subject to markets that are emerging – thereby weakening them further. </w:t>
      </w:r>
    </w:p>
    <w:p w:rsidR="004B5F8E" w:rsidRDefault="004B5F8E" w:rsidP="00135AD8">
      <w:r>
        <w:t>The ALRC view is in contrast to the proposed private copying exception in the UK which contains a no contracting out provision.</w:t>
      </w:r>
      <w:r>
        <w:rPr>
          <w:rStyle w:val="FootnoteReference"/>
        </w:rPr>
        <w:footnoteReference w:id="2"/>
      </w:r>
    </w:p>
    <w:p w:rsidR="00135AD8" w:rsidRDefault="00D17DBD" w:rsidP="00135AD8">
      <w:r>
        <w:t>There are already terms of use for products which seek to impose contractual limitations on consumers that would prevent a consumer from undertaking</w:t>
      </w:r>
      <w:r w:rsidR="007B7A41">
        <w:t xml:space="preserve"> </w:t>
      </w:r>
      <w:r>
        <w:t xml:space="preserve">private copying. </w:t>
      </w:r>
      <w:r w:rsidR="00135AD8">
        <w:t xml:space="preserve"> </w:t>
      </w:r>
    </w:p>
    <w:p w:rsidR="00135AD8" w:rsidRDefault="001F1265" w:rsidP="00135AD8">
      <w:r>
        <w:t>One</w:t>
      </w:r>
      <w:r w:rsidR="00D17DBD">
        <w:t xml:space="preserve"> example </w:t>
      </w:r>
      <w:r>
        <w:t>is</w:t>
      </w:r>
      <w:r w:rsidR="00D17DBD">
        <w:t xml:space="preserve"> t</w:t>
      </w:r>
      <w:r w:rsidR="00135AD8">
        <w:t xml:space="preserve">he terms of use of the </w:t>
      </w:r>
      <w:r>
        <w:t>Kindle Store</w:t>
      </w:r>
      <w:r w:rsidR="00135AD8">
        <w:t xml:space="preserve">, </w:t>
      </w:r>
      <w:r w:rsidR="00D17DBD">
        <w:t xml:space="preserve">which </w:t>
      </w:r>
      <w:r w:rsidR="00135AD8">
        <w:t>relevantly state</w:t>
      </w:r>
      <w:r w:rsidR="007B7A41">
        <w:t>s</w:t>
      </w:r>
      <w:r w:rsidR="00135AD8">
        <w:t xml:space="preserve">: </w:t>
      </w:r>
    </w:p>
    <w:p w:rsidR="001F1265" w:rsidRPr="001F1265" w:rsidRDefault="001F1265" w:rsidP="001F1265">
      <w:pPr>
        <w:ind w:left="720"/>
        <w:rPr>
          <w:i/>
        </w:rPr>
      </w:pPr>
      <w:r w:rsidRPr="001F1265">
        <w:rPr>
          <w:i/>
        </w:rPr>
        <w:t xml:space="preserve">Upon your download of Kindle Content and payment of any applicable fees (including applicable taxes), the Content Provider grants you a non-exclusive right to view, use, and display such Kindle Content an unlimited number of times, </w:t>
      </w:r>
      <w:r w:rsidRPr="001F1265">
        <w:rPr>
          <w:b/>
          <w:i/>
        </w:rPr>
        <w:t>solely on the Kindle or a Reading Application</w:t>
      </w:r>
      <w:r w:rsidRPr="001F1265">
        <w:rPr>
          <w:i/>
        </w:rPr>
        <w:t xml:space="preserve"> or as otherwise permitted as part of the Service, solely on the number of Kindles or Supported Devices specified in the Kindle Store, and </w:t>
      </w:r>
      <w:r w:rsidRPr="001F1265">
        <w:rPr>
          <w:b/>
          <w:i/>
        </w:rPr>
        <w:t>solely for your personal</w:t>
      </w:r>
      <w:r w:rsidRPr="001F1265">
        <w:rPr>
          <w:i/>
        </w:rPr>
        <w:t>, non-commercial use.</w:t>
      </w:r>
      <w:r w:rsidRPr="001F1265">
        <w:rPr>
          <w:rStyle w:val="FootnoteReference"/>
        </w:rPr>
        <w:footnoteReference w:id="3"/>
      </w:r>
    </w:p>
    <w:p w:rsidR="00135AD8" w:rsidRDefault="00135AD8" w:rsidP="00135AD8">
      <w:r>
        <w:t xml:space="preserve">Some of these terms of use </w:t>
      </w:r>
      <w:r w:rsidRPr="008E27CE">
        <w:t xml:space="preserve">would seem to </w:t>
      </w:r>
      <w:r>
        <w:t xml:space="preserve">potentially </w:t>
      </w:r>
      <w:r w:rsidRPr="008E27CE">
        <w:t>prevent</w:t>
      </w:r>
      <w:r>
        <w:t xml:space="preserve"> or restrict</w:t>
      </w:r>
      <w:r w:rsidRPr="008E27CE">
        <w:t xml:space="preserve"> a series of </w:t>
      </w:r>
      <w:r>
        <w:t>uses</w:t>
      </w:r>
      <w:r w:rsidRPr="008E27CE">
        <w:t xml:space="preserve"> </w:t>
      </w:r>
      <w:r w:rsidR="00B703E4">
        <w:t>that would be a</w:t>
      </w:r>
      <w:r w:rsidRPr="008E27CE">
        <w:t xml:space="preserve">llowed under </w:t>
      </w:r>
      <w:r w:rsidR="001F1265">
        <w:t xml:space="preserve">a </w:t>
      </w:r>
      <w:r>
        <w:t xml:space="preserve">copyright exception </w:t>
      </w:r>
      <w:r w:rsidR="001F1265">
        <w:t xml:space="preserve">applying to </w:t>
      </w:r>
      <w:r w:rsidR="004136A1">
        <w:t>private use</w:t>
      </w:r>
      <w:r>
        <w:t>.</w:t>
      </w:r>
      <w:r w:rsidR="001F1265">
        <w:t xml:space="preserve"> It </w:t>
      </w:r>
      <w:r w:rsidR="00DB2F7A">
        <w:t xml:space="preserve">for example </w:t>
      </w:r>
      <w:r w:rsidR="001F1265">
        <w:t xml:space="preserve">restricts the reading of </w:t>
      </w:r>
      <w:r w:rsidR="007B7A41">
        <w:t>an</w:t>
      </w:r>
      <w:r w:rsidR="001F1265">
        <w:t xml:space="preserve"> e-book on another device or the sharing of </w:t>
      </w:r>
      <w:r w:rsidR="007B7A41">
        <w:t>an</w:t>
      </w:r>
      <w:r w:rsidR="001F1265">
        <w:t xml:space="preserve"> e-book with a family member.</w:t>
      </w:r>
    </w:p>
    <w:p w:rsidR="00693F36" w:rsidRPr="004B5F8E" w:rsidRDefault="00693F36" w:rsidP="00135AD8">
      <w:pPr>
        <w:rPr>
          <w:rFonts w:asciiTheme="majorHAnsi" w:hAnsiTheme="majorHAnsi"/>
          <w:b/>
          <w:color w:val="4F81BD" w:themeColor="accent1"/>
        </w:rPr>
      </w:pPr>
      <w:r w:rsidRPr="004B5F8E">
        <w:rPr>
          <w:rFonts w:asciiTheme="majorHAnsi" w:hAnsiTheme="majorHAnsi"/>
          <w:b/>
          <w:color w:val="4F81BD" w:themeColor="accent1"/>
        </w:rPr>
        <w:t>Recommendation:</w:t>
      </w:r>
    </w:p>
    <w:p w:rsidR="00D731AE" w:rsidRDefault="00135AD8" w:rsidP="00135AD8">
      <w:r>
        <w:t xml:space="preserve">In order </w:t>
      </w:r>
      <w:r w:rsidR="00B703E4">
        <w:t xml:space="preserve">to ensure the overall goal </w:t>
      </w:r>
      <w:r>
        <w:t xml:space="preserve">of the ALRC’s reforms is achieved, all fair use and library exceptions should also be subject to a no contracting out provision. </w:t>
      </w:r>
      <w:r w:rsidR="00C55AF3">
        <w:t>A</w:t>
      </w:r>
      <w:r w:rsidR="00C55AF3" w:rsidRPr="00C55AF3">
        <w:t xml:space="preserve"> </w:t>
      </w:r>
      <w:r w:rsidR="00647591">
        <w:t>rule against contracting out</w:t>
      </w:r>
      <w:r w:rsidR="00C55AF3" w:rsidRPr="00C55AF3">
        <w:t xml:space="preserve"> would only prohibit contracting out of fair uses</w:t>
      </w:r>
      <w:r w:rsidR="00C55AF3">
        <w:t xml:space="preserve"> –</w:t>
      </w:r>
      <w:r w:rsidR="00C55AF3" w:rsidRPr="00C55AF3">
        <w:t xml:space="preserve"> </w:t>
      </w:r>
      <w:r w:rsidR="00C55AF3">
        <w:t>it would not mean a ‘free for all’</w:t>
      </w:r>
      <w:r w:rsidR="00C55AF3" w:rsidRPr="00C55AF3">
        <w:t xml:space="preserve"> </w:t>
      </w:r>
      <w:r w:rsidR="00C55AF3">
        <w:t>for</w:t>
      </w:r>
      <w:r w:rsidR="00C55AF3" w:rsidRPr="00C55AF3">
        <w:t xml:space="preserve"> consumer</w:t>
      </w:r>
      <w:r w:rsidR="00C55AF3">
        <w:t xml:space="preserve">s in relation </w:t>
      </w:r>
      <w:r w:rsidR="00C55AF3" w:rsidRPr="00C55AF3">
        <w:t>to purchased content.</w:t>
      </w:r>
      <w:r w:rsidR="00C55AF3">
        <w:t xml:space="preserve"> </w:t>
      </w:r>
    </w:p>
    <w:p w:rsidR="00135AD8" w:rsidRPr="005D1DD5" w:rsidRDefault="00135AD8" w:rsidP="00135AD8">
      <w:r>
        <w:t xml:space="preserve">However, in the absence of this, it is preferable for the Copyright Act to remain unchanged on the issue of contractual override rather </w:t>
      </w:r>
      <w:r w:rsidR="004136A1">
        <w:t xml:space="preserve">than </w:t>
      </w:r>
      <w:r>
        <w:t xml:space="preserve">for the approach proposed in the </w:t>
      </w:r>
      <w:r w:rsidR="00647591">
        <w:t xml:space="preserve">Discussion </w:t>
      </w:r>
      <w:r>
        <w:t>Paper to be adopted. The approach proposed in our view risks weakening the exceptions most relevant to consumers</w:t>
      </w:r>
      <w:r w:rsidR="001026F8">
        <w:t>.</w:t>
      </w:r>
    </w:p>
    <w:sectPr w:rsidR="00135AD8" w:rsidRPr="005D1DD5" w:rsidSect="00A13B92">
      <w:headerReference w:type="default" r:id="rId13"/>
      <w:footerReference w:type="default" r:id="rId14"/>
      <w:headerReference w:type="first" r:id="rId15"/>
      <w:footerReference w:type="first" r:id="rId16"/>
      <w:type w:val="continuous"/>
      <w:pgSz w:w="11906" w:h="16838" w:code="9"/>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120" w:rsidRDefault="00D22120" w:rsidP="00B14DFB">
      <w:r>
        <w:separator/>
      </w:r>
    </w:p>
  </w:endnote>
  <w:endnote w:type="continuationSeparator" w:id="0">
    <w:p w:rsidR="00D22120" w:rsidRDefault="00D22120" w:rsidP="00B1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00007843" w:usb2="00000001"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A41" w:rsidRDefault="007B7A41" w:rsidP="000F58CC">
    <w:pPr>
      <w:rPr>
        <w:noProof/>
      </w:rPr>
    </w:pPr>
    <w:r w:rsidRPr="00E05115">
      <w:rPr>
        <w:color w:val="23B0E6"/>
      </w:rPr>
      <w:t>www.accan.org.au | info@accan.org.au | twitter: @ACCAN_AU</w:t>
    </w:r>
    <w:r>
      <w:rPr>
        <w:color w:val="23B0E6"/>
      </w:rPr>
      <w:ptab w:relativeTo="margin" w:alignment="right" w:leader="none"/>
    </w:r>
    <w:r w:rsidRPr="00C4251E">
      <w:fldChar w:fldCharType="begin"/>
    </w:r>
    <w:r w:rsidRPr="00C4251E">
      <w:instrText xml:space="preserve"> PAGE   \* MERGEFORMAT </w:instrText>
    </w:r>
    <w:r w:rsidRPr="00C4251E">
      <w:fldChar w:fldCharType="separate"/>
    </w:r>
    <w:r w:rsidR="004B739E">
      <w:rPr>
        <w:noProof/>
      </w:rPr>
      <w:t>6</w:t>
    </w:r>
    <w:r w:rsidRPr="00C4251E">
      <w:rPr>
        <w:noProof/>
      </w:rPr>
      <w:fldChar w:fldCharType="end"/>
    </w:r>
  </w:p>
  <w:p w:rsidR="007B7A41" w:rsidRPr="000F58CC" w:rsidRDefault="007B7A41" w:rsidP="00A13B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A41" w:rsidRDefault="007B7A41" w:rsidP="00A13B92">
    <w:pPr>
      <w:pStyle w:val="Footerpage1"/>
    </w:pPr>
    <w:r w:rsidRPr="004A0B0A">
      <w:rPr>
        <w:color w:val="44C8F5"/>
      </w:rPr>
      <w:t>Australian Communications Consumer Action Network (ACCAN)</w:t>
    </w:r>
  </w:p>
  <w:p w:rsidR="007B7A41" w:rsidRDefault="007B7A41" w:rsidP="00A13B92">
    <w:pPr>
      <w:pStyle w:val="Footerpage1"/>
      <w:rPr>
        <w:i/>
      </w:rPr>
    </w:pPr>
    <w:r w:rsidRPr="004A0B0A">
      <w:rPr>
        <w:i/>
        <w:color w:val="44C8F5"/>
      </w:rPr>
      <w:t>Australia’s peak telecommunications consumer advocacy organisation</w:t>
    </w:r>
  </w:p>
  <w:p w:rsidR="007B7A41" w:rsidRDefault="007B7A41" w:rsidP="00A13B92">
    <w:pPr>
      <w:pStyle w:val="Footerpage1"/>
    </w:pPr>
    <w:r w:rsidRPr="008E763A">
      <w:rPr>
        <w:noProof/>
        <w:lang w:eastAsia="en-AU"/>
      </w:rPr>
      <mc:AlternateContent>
        <mc:Choice Requires="wps">
          <w:drawing>
            <wp:inline distT="0" distB="0" distL="0" distR="0" wp14:anchorId="0D73C732" wp14:editId="2DAD88B4">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" strokecolor="#23b0e6" strokeweight="3pt">
              <w10:anchorlock/>
            </v:line>
          </w:pict>
        </mc:Fallback>
      </mc:AlternateContent>
    </w:r>
    <w:r w:rsidRPr="008E763A">
      <w:t>Suite 4.02, 55 Mountain St, Ultimo NSW 2007</w:t>
    </w:r>
  </w:p>
  <w:p w:rsidR="007B7A41" w:rsidRDefault="007B7A41" w:rsidP="00A13B92">
    <w:pPr>
      <w:pStyle w:val="Footerpage1"/>
    </w:pPr>
    <w:r w:rsidRPr="008E763A">
      <w:t>Tel: (02) 9288 4000 | TTY: (02) 9281 5322 | Fax: (02) 9288 4019</w:t>
    </w:r>
  </w:p>
  <w:p w:rsidR="007B7A41" w:rsidRDefault="007B7A41" w:rsidP="00A13B92">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120" w:rsidRDefault="00D22120" w:rsidP="00B14DFB">
      <w:r>
        <w:separator/>
      </w:r>
    </w:p>
  </w:footnote>
  <w:footnote w:type="continuationSeparator" w:id="0">
    <w:p w:rsidR="00D22120" w:rsidRDefault="00D22120" w:rsidP="00B14DFB">
      <w:r>
        <w:continuationSeparator/>
      </w:r>
    </w:p>
  </w:footnote>
  <w:footnote w:id="1">
    <w:p w:rsidR="007B7A41" w:rsidRPr="00D731AE" w:rsidRDefault="007B7A41" w:rsidP="00135AD8">
      <w:pPr>
        <w:pStyle w:val="FootnoteText"/>
        <w:rPr>
          <w:sz w:val="16"/>
          <w:szCs w:val="16"/>
        </w:rPr>
      </w:pPr>
      <w:r w:rsidRPr="00D731AE">
        <w:rPr>
          <w:rStyle w:val="FootnoteReference"/>
          <w:sz w:val="16"/>
          <w:szCs w:val="16"/>
        </w:rPr>
        <w:footnoteRef/>
      </w:r>
      <w:r w:rsidRPr="00D731AE">
        <w:rPr>
          <w:sz w:val="16"/>
          <w:szCs w:val="16"/>
        </w:rPr>
        <w:t xml:space="preserve"> ALRC Paper at 4.52 - quoting I Hargreaves, </w:t>
      </w:r>
      <w:r w:rsidRPr="00D731AE">
        <w:rPr>
          <w:i/>
          <w:sz w:val="16"/>
          <w:szCs w:val="16"/>
        </w:rPr>
        <w:t>Digital Opportunity: A Review of Intellectual Property and Growth (2011)</w:t>
      </w:r>
    </w:p>
  </w:footnote>
  <w:footnote w:id="2">
    <w:p w:rsidR="007B7A41" w:rsidRPr="00D731AE" w:rsidRDefault="007B7A41">
      <w:pPr>
        <w:pStyle w:val="FootnoteText"/>
        <w:rPr>
          <w:sz w:val="16"/>
          <w:szCs w:val="16"/>
        </w:rPr>
      </w:pPr>
      <w:r w:rsidRPr="00D731AE">
        <w:rPr>
          <w:rStyle w:val="FootnoteReference"/>
          <w:sz w:val="16"/>
          <w:szCs w:val="16"/>
        </w:rPr>
        <w:footnoteRef/>
      </w:r>
      <w:r w:rsidRPr="00D731AE">
        <w:rPr>
          <w:color w:val="1F497D"/>
          <w:sz w:val="16"/>
          <w:szCs w:val="16"/>
        </w:rPr>
        <w:t xml:space="preserve"> </w:t>
      </w:r>
      <w:hyperlink r:id="rId1" w:history="1">
        <w:r w:rsidRPr="00D731AE">
          <w:rPr>
            <w:rStyle w:val="Hyperlink"/>
            <w:sz w:val="16"/>
            <w:szCs w:val="16"/>
          </w:rPr>
          <w:t>UK private copying exception proposal</w:t>
        </w:r>
      </w:hyperlink>
    </w:p>
  </w:footnote>
  <w:footnote w:id="3">
    <w:p w:rsidR="007B7A41" w:rsidRPr="00D731AE" w:rsidRDefault="007B7A41">
      <w:pPr>
        <w:pStyle w:val="FootnoteText"/>
        <w:rPr>
          <w:sz w:val="16"/>
          <w:szCs w:val="16"/>
        </w:rPr>
      </w:pPr>
      <w:r w:rsidRPr="00D731AE">
        <w:rPr>
          <w:rStyle w:val="FootnoteReference"/>
          <w:sz w:val="16"/>
          <w:szCs w:val="16"/>
        </w:rPr>
        <w:footnoteRef/>
      </w:r>
      <w:r w:rsidRPr="00D731AE">
        <w:rPr>
          <w:sz w:val="16"/>
          <w:szCs w:val="16"/>
        </w:rPr>
        <w:t xml:space="preserve"> </w:t>
      </w:r>
      <w:hyperlink r:id="rId2" w:history="1">
        <w:r w:rsidRPr="00D731AE">
          <w:rPr>
            <w:rStyle w:val="Hyperlink"/>
            <w:sz w:val="16"/>
            <w:szCs w:val="16"/>
          </w:rPr>
          <w:t>Kindle Store Terms of Use</w:t>
        </w:r>
      </w:hyperlink>
      <w:r w:rsidRPr="00D731AE">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A41" w:rsidRDefault="007B7A41" w:rsidP="00E45E4C">
    <w:pPr>
      <w:pStyle w:val="Header"/>
      <w:jc w:val="right"/>
    </w:pPr>
    <w:r>
      <w:rPr>
        <w:noProof/>
        <w:lang w:eastAsia="en-AU"/>
      </w:rPr>
      <w:drawing>
        <wp:inline distT="0" distB="0" distL="0" distR="0" wp14:anchorId="333DA1EB" wp14:editId="5E79940E">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A41" w:rsidRDefault="007B7A41" w:rsidP="00B14DFB">
    <w:pPr>
      <w:pStyle w:val="Header"/>
      <w:jc w:val="center"/>
    </w:pPr>
    <w:r>
      <w:rPr>
        <w:noProof/>
        <w:lang w:eastAsia="en-AU"/>
      </w:rPr>
      <w:drawing>
        <wp:inline distT="0" distB="0" distL="0" distR="0" wp14:anchorId="1A5D2012" wp14:editId="01A405B8">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7BE3"/>
    <w:multiLevelType w:val="hybridMultilevel"/>
    <w:tmpl w:val="04D0ED58"/>
    <w:lvl w:ilvl="0" w:tplc="B15C87FA">
      <w:start w:val="3"/>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2">
    <w:nsid w:val="337C5FB2"/>
    <w:multiLevelType w:val="multilevel"/>
    <w:tmpl w:val="6AFEEB4C"/>
    <w:numStyleLink w:val="Bullets"/>
  </w:abstractNum>
  <w:abstractNum w:abstractNumId="3">
    <w:nsid w:val="33D9536F"/>
    <w:multiLevelType w:val="multilevel"/>
    <w:tmpl w:val="A7920A6E"/>
    <w:numStyleLink w:val="Headings"/>
  </w:abstractNum>
  <w:abstractNum w:abstractNumId="4">
    <w:nsid w:val="35F41370"/>
    <w:multiLevelType w:val="multilevel"/>
    <w:tmpl w:val="F2FC669E"/>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5">
    <w:nsid w:val="39860C67"/>
    <w:multiLevelType w:val="multilevel"/>
    <w:tmpl w:val="A7920A6E"/>
    <w:numStyleLink w:val="Headings"/>
  </w:abstractNum>
  <w:abstractNum w:abstractNumId="6">
    <w:nsid w:val="3DF936BD"/>
    <w:multiLevelType w:val="multilevel"/>
    <w:tmpl w:val="A7920A6E"/>
    <w:numStyleLink w:val="Headings"/>
  </w:abstractNum>
  <w:abstractNum w:abstractNumId="7">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pStyle w:val="Appendixheading2"/>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nsid w:val="5A467144"/>
    <w:multiLevelType w:val="multilevel"/>
    <w:tmpl w:val="989E8E90"/>
    <w:numStyleLink w:val="Appendices"/>
  </w:abstractNum>
  <w:abstractNum w:abstractNumId="9">
    <w:nsid w:val="5EB4798B"/>
    <w:multiLevelType w:val="hybridMultilevel"/>
    <w:tmpl w:val="42FAE1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6AAF098D"/>
    <w:multiLevelType w:val="multilevel"/>
    <w:tmpl w:val="A7920A6E"/>
    <w:numStyleLink w:val="Headings"/>
  </w:abstractNum>
  <w:abstractNum w:abstractNumId="11">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nsid w:val="77FF45ED"/>
    <w:multiLevelType w:val="multilevel"/>
    <w:tmpl w:val="A7920A6E"/>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num w:numId="1">
    <w:abstractNumId w:val="9"/>
  </w:num>
  <w:num w:numId="2">
    <w:abstractNumId w:val="1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5"/>
  </w:num>
  <w:num w:numId="6">
    <w:abstractNumId w:val="1"/>
  </w:num>
  <w:num w:numId="7">
    <w:abstractNumId w:val="6"/>
  </w:num>
  <w:num w:numId="8">
    <w:abstractNumId w:val="2"/>
  </w:num>
  <w:num w:numId="9">
    <w:abstractNumId w:val="2"/>
  </w:num>
  <w:num w:numId="10">
    <w:abstractNumId w:val="2"/>
  </w:num>
  <w:num w:numId="11">
    <w:abstractNumId w:val="2"/>
  </w:num>
  <w:num w:numId="12">
    <w:abstractNumId w:val="1"/>
    <w:lvlOverride w:ilvl="0">
      <w:lvl w:ilvl="0">
        <w:start w:val="1"/>
        <w:numFmt w:val="bullet"/>
        <w:pStyle w:val="Bulletlist1"/>
        <w:lvlText w:val=""/>
        <w:lvlJc w:val="left"/>
        <w:pPr>
          <w:ind w:left="851" w:hanging="284"/>
        </w:pPr>
        <w:rPr>
          <w:rFonts w:ascii="Symbol" w:hAnsi="Symbol" w:hint="default"/>
        </w:rPr>
      </w:lvl>
    </w:lvlOverride>
  </w:num>
  <w:num w:numId="13">
    <w:abstractNumId w:val="3"/>
  </w:num>
  <w:num w:numId="14">
    <w:abstractNumId w:val="3"/>
  </w:num>
  <w:num w:numId="15">
    <w:abstractNumId w:val="3"/>
  </w:num>
  <w:num w:numId="16">
    <w:abstractNumId w:val="12"/>
  </w:num>
  <w:num w:numId="17">
    <w:abstractNumId w:val="7"/>
  </w:num>
  <w:num w:numId="18">
    <w:abstractNumId w:val="8"/>
  </w:num>
  <w:num w:numId="19">
    <w:abstractNumId w:val="8"/>
  </w:num>
  <w:num w:numId="20">
    <w:abstractNumId w:val="11"/>
  </w:num>
  <w:num w:numId="21">
    <w:abstractNumId w:val="11"/>
  </w:num>
  <w:num w:numId="22">
    <w:abstractNumId w:val="4"/>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1FC"/>
    <w:rsid w:val="000055DA"/>
    <w:rsid w:val="00027253"/>
    <w:rsid w:val="00047257"/>
    <w:rsid w:val="00071394"/>
    <w:rsid w:val="00075324"/>
    <w:rsid w:val="000D0D8C"/>
    <w:rsid w:val="000D51F4"/>
    <w:rsid w:val="000F58CC"/>
    <w:rsid w:val="001026F8"/>
    <w:rsid w:val="001302AA"/>
    <w:rsid w:val="00135AD8"/>
    <w:rsid w:val="00147A7F"/>
    <w:rsid w:val="00197C65"/>
    <w:rsid w:val="001C28E7"/>
    <w:rsid w:val="001C6657"/>
    <w:rsid w:val="001F1265"/>
    <w:rsid w:val="00200DC2"/>
    <w:rsid w:val="002127F0"/>
    <w:rsid w:val="00234042"/>
    <w:rsid w:val="00271235"/>
    <w:rsid w:val="0027792F"/>
    <w:rsid w:val="002943A6"/>
    <w:rsid w:val="00297B63"/>
    <w:rsid w:val="002A629E"/>
    <w:rsid w:val="002A7656"/>
    <w:rsid w:val="002B71E3"/>
    <w:rsid w:val="002D7AD2"/>
    <w:rsid w:val="002E4872"/>
    <w:rsid w:val="00333794"/>
    <w:rsid w:val="003441E5"/>
    <w:rsid w:val="0036351B"/>
    <w:rsid w:val="003B1499"/>
    <w:rsid w:val="003E6503"/>
    <w:rsid w:val="003E76C5"/>
    <w:rsid w:val="003F6199"/>
    <w:rsid w:val="004136A1"/>
    <w:rsid w:val="00437AE3"/>
    <w:rsid w:val="00447E1F"/>
    <w:rsid w:val="004552EA"/>
    <w:rsid w:val="00472C7E"/>
    <w:rsid w:val="00472CA7"/>
    <w:rsid w:val="00477BDB"/>
    <w:rsid w:val="00482425"/>
    <w:rsid w:val="004916A6"/>
    <w:rsid w:val="004A01EB"/>
    <w:rsid w:val="004A55CC"/>
    <w:rsid w:val="004A791B"/>
    <w:rsid w:val="004B5F8E"/>
    <w:rsid w:val="004B739E"/>
    <w:rsid w:val="004B7462"/>
    <w:rsid w:val="004C2900"/>
    <w:rsid w:val="004C3886"/>
    <w:rsid w:val="004C7984"/>
    <w:rsid w:val="004F2201"/>
    <w:rsid w:val="005059BF"/>
    <w:rsid w:val="005067B4"/>
    <w:rsid w:val="00511400"/>
    <w:rsid w:val="00542267"/>
    <w:rsid w:val="00553427"/>
    <w:rsid w:val="005820C9"/>
    <w:rsid w:val="00584883"/>
    <w:rsid w:val="00592615"/>
    <w:rsid w:val="00593975"/>
    <w:rsid w:val="005A5D98"/>
    <w:rsid w:val="005A673E"/>
    <w:rsid w:val="005C1AEB"/>
    <w:rsid w:val="005C2EBF"/>
    <w:rsid w:val="005D1DD5"/>
    <w:rsid w:val="005D2B28"/>
    <w:rsid w:val="00613698"/>
    <w:rsid w:val="00635244"/>
    <w:rsid w:val="00647591"/>
    <w:rsid w:val="00647CB7"/>
    <w:rsid w:val="00654E49"/>
    <w:rsid w:val="00655780"/>
    <w:rsid w:val="006578D7"/>
    <w:rsid w:val="00677FB5"/>
    <w:rsid w:val="00693F36"/>
    <w:rsid w:val="006C7C58"/>
    <w:rsid w:val="006D153D"/>
    <w:rsid w:val="006D4B09"/>
    <w:rsid w:val="00722C86"/>
    <w:rsid w:val="0072472D"/>
    <w:rsid w:val="007506AE"/>
    <w:rsid w:val="007571FD"/>
    <w:rsid w:val="007634BF"/>
    <w:rsid w:val="007A3E1A"/>
    <w:rsid w:val="007A45EB"/>
    <w:rsid w:val="007B7A41"/>
    <w:rsid w:val="007D3F16"/>
    <w:rsid w:val="007F0737"/>
    <w:rsid w:val="008338A0"/>
    <w:rsid w:val="00874386"/>
    <w:rsid w:val="0088571C"/>
    <w:rsid w:val="00886444"/>
    <w:rsid w:val="008A19E7"/>
    <w:rsid w:val="008D7013"/>
    <w:rsid w:val="008E1CC4"/>
    <w:rsid w:val="008F7E90"/>
    <w:rsid w:val="00904D32"/>
    <w:rsid w:val="00905F38"/>
    <w:rsid w:val="009127DB"/>
    <w:rsid w:val="00927102"/>
    <w:rsid w:val="00940F3E"/>
    <w:rsid w:val="0094519C"/>
    <w:rsid w:val="0097022C"/>
    <w:rsid w:val="00984112"/>
    <w:rsid w:val="0098797B"/>
    <w:rsid w:val="00997CFF"/>
    <w:rsid w:val="009A1232"/>
    <w:rsid w:val="009A227B"/>
    <w:rsid w:val="009C61C5"/>
    <w:rsid w:val="009F4B9D"/>
    <w:rsid w:val="00A022BC"/>
    <w:rsid w:val="00A13B92"/>
    <w:rsid w:val="00A1516C"/>
    <w:rsid w:val="00A4447D"/>
    <w:rsid w:val="00A96349"/>
    <w:rsid w:val="00AA686C"/>
    <w:rsid w:val="00AD032B"/>
    <w:rsid w:val="00AE2840"/>
    <w:rsid w:val="00AF01FC"/>
    <w:rsid w:val="00B02AEB"/>
    <w:rsid w:val="00B035EF"/>
    <w:rsid w:val="00B04D3B"/>
    <w:rsid w:val="00B14DFB"/>
    <w:rsid w:val="00B20450"/>
    <w:rsid w:val="00B4140A"/>
    <w:rsid w:val="00B418A0"/>
    <w:rsid w:val="00B703E4"/>
    <w:rsid w:val="00B87233"/>
    <w:rsid w:val="00B877CE"/>
    <w:rsid w:val="00BA0349"/>
    <w:rsid w:val="00BA5C36"/>
    <w:rsid w:val="00BB155D"/>
    <w:rsid w:val="00C02722"/>
    <w:rsid w:val="00C12182"/>
    <w:rsid w:val="00C36C36"/>
    <w:rsid w:val="00C479E1"/>
    <w:rsid w:val="00C51EF9"/>
    <w:rsid w:val="00C55AF3"/>
    <w:rsid w:val="00C57BF9"/>
    <w:rsid w:val="00C613FC"/>
    <w:rsid w:val="00C85F6A"/>
    <w:rsid w:val="00C860BB"/>
    <w:rsid w:val="00C9412A"/>
    <w:rsid w:val="00CF5B31"/>
    <w:rsid w:val="00D10621"/>
    <w:rsid w:val="00D150ED"/>
    <w:rsid w:val="00D17C22"/>
    <w:rsid w:val="00D17DBD"/>
    <w:rsid w:val="00D21AC2"/>
    <w:rsid w:val="00D22120"/>
    <w:rsid w:val="00D325F2"/>
    <w:rsid w:val="00D34878"/>
    <w:rsid w:val="00D3636E"/>
    <w:rsid w:val="00D62BCE"/>
    <w:rsid w:val="00D731AE"/>
    <w:rsid w:val="00D76C0E"/>
    <w:rsid w:val="00D845D5"/>
    <w:rsid w:val="00DA4D63"/>
    <w:rsid w:val="00DB2F7A"/>
    <w:rsid w:val="00DD7C1C"/>
    <w:rsid w:val="00DF2349"/>
    <w:rsid w:val="00DF287A"/>
    <w:rsid w:val="00E05115"/>
    <w:rsid w:val="00E303CB"/>
    <w:rsid w:val="00E30643"/>
    <w:rsid w:val="00E45E4C"/>
    <w:rsid w:val="00E54047"/>
    <w:rsid w:val="00E6685D"/>
    <w:rsid w:val="00E81ECD"/>
    <w:rsid w:val="00E8455F"/>
    <w:rsid w:val="00E879CE"/>
    <w:rsid w:val="00EB163C"/>
    <w:rsid w:val="00EC1696"/>
    <w:rsid w:val="00EE1CFF"/>
    <w:rsid w:val="00F0572E"/>
    <w:rsid w:val="00F12A72"/>
    <w:rsid w:val="00F43B24"/>
    <w:rsid w:val="00F546EA"/>
    <w:rsid w:val="00F61950"/>
    <w:rsid w:val="00F627A6"/>
    <w:rsid w:val="00F6635E"/>
    <w:rsid w:val="00F77AEE"/>
    <w:rsid w:val="00F860D4"/>
    <w:rsid w:val="00F91DBB"/>
    <w:rsid w:val="00FB30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6578D7"/>
    <w:pPr>
      <w:spacing w:beforeAutospacing="1"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Ind w:w="0" w:type="dxa"/>
      <w:tblBorders>
        <w:top w:val="single" w:sz="4" w:space="0" w:color="44C8F5"/>
        <w:bottom w:val="single" w:sz="4" w:space="0" w:color="44C8F5"/>
        <w:insideH w:val="single" w:sz="4" w:space="0" w:color="44C8F5"/>
      </w:tblBorders>
      <w:tblCellMar>
        <w:top w:w="108" w:type="dxa"/>
        <w:left w:w="108" w:type="dxa"/>
        <w:bottom w:w="108" w:type="dxa"/>
        <w:right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6578D7"/>
    <w:pPr>
      <w:spacing w:beforeAutospacing="1"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Ind w:w="0" w:type="dxa"/>
      <w:tblBorders>
        <w:top w:val="single" w:sz="4" w:space="0" w:color="44C8F5"/>
        <w:bottom w:val="single" w:sz="4" w:space="0" w:color="44C8F5"/>
        <w:insideH w:val="single" w:sz="4" w:space="0" w:color="44C8F5"/>
      </w:tblBorders>
      <w:tblCellMar>
        <w:top w:w="108" w:type="dxa"/>
        <w:left w:w="108" w:type="dxa"/>
        <w:bottom w:w="108" w:type="dxa"/>
        <w:right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640563">
      <w:bodyDiv w:val="1"/>
      <w:marLeft w:val="0"/>
      <w:marRight w:val="0"/>
      <w:marTop w:val="0"/>
      <w:marBottom w:val="0"/>
      <w:divBdr>
        <w:top w:val="none" w:sz="0" w:space="0" w:color="auto"/>
        <w:left w:val="none" w:sz="0" w:space="0" w:color="auto"/>
        <w:bottom w:val="none" w:sz="0" w:space="0" w:color="auto"/>
        <w:right w:val="none" w:sz="0" w:space="0" w:color="auto"/>
      </w:divBdr>
    </w:div>
    <w:div w:id="285936239">
      <w:bodyDiv w:val="1"/>
      <w:marLeft w:val="0"/>
      <w:marRight w:val="0"/>
      <w:marTop w:val="0"/>
      <w:marBottom w:val="0"/>
      <w:divBdr>
        <w:top w:val="none" w:sz="0" w:space="0" w:color="auto"/>
        <w:left w:val="none" w:sz="0" w:space="0" w:color="auto"/>
        <w:bottom w:val="none" w:sz="0" w:space="0" w:color="auto"/>
        <w:right w:val="none" w:sz="0" w:space="0" w:color="auto"/>
      </w:divBdr>
    </w:div>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390857339">
      <w:bodyDiv w:val="1"/>
      <w:marLeft w:val="0"/>
      <w:marRight w:val="0"/>
      <w:marTop w:val="0"/>
      <w:marBottom w:val="0"/>
      <w:divBdr>
        <w:top w:val="none" w:sz="0" w:space="0" w:color="auto"/>
        <w:left w:val="none" w:sz="0" w:space="0" w:color="auto"/>
        <w:bottom w:val="none" w:sz="0" w:space="0" w:color="auto"/>
        <w:right w:val="none" w:sz="0" w:space="0" w:color="auto"/>
      </w:divBdr>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 w:id="105959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aws-lois.justice.gc.ca/eng/acts/C-42/page-19.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CELEX:32001L0029:EN:HTML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austlii.edu.au/au/legis/cth/consol_act/ca1968133/s10.html" TargetMode="External"/><Relationship Id="rId4" Type="http://schemas.microsoft.com/office/2007/relationships/stylesWithEffects" Target="stylesWithEffects.xml"/><Relationship Id="rId9" Type="http://schemas.openxmlformats.org/officeDocument/2006/relationships/hyperlink" Target="mailto:jonathan.gadir@accan.org.au"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amazon.com/gp/help/customer/display.html/ref=hp_left_sib?ie=UTF8&amp;nodeId=201014950" TargetMode="External"/><Relationship Id="rId1" Type="http://schemas.openxmlformats.org/officeDocument/2006/relationships/hyperlink" Target="http://www.ipo.gov.uk/techreview-private-copying.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3\Submission%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FE4EC-E8BB-4E89-AAA3-18EECA72B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 2013</Template>
  <TotalTime>1</TotalTime>
  <Pages>6</Pages>
  <Words>1891</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Robertson</dc:creator>
  <cp:lastModifiedBy>Richard Van Der Male</cp:lastModifiedBy>
  <cp:revision>2</cp:revision>
  <cp:lastPrinted>2013-07-31T08:10:00Z</cp:lastPrinted>
  <dcterms:created xsi:type="dcterms:W3CDTF">2013-10-15T04:48:00Z</dcterms:created>
  <dcterms:modified xsi:type="dcterms:W3CDTF">2013-10-15T04:48:00Z</dcterms:modified>
</cp:coreProperties>
</file>