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21" w:rsidRPr="00B40E21" w:rsidRDefault="00B40E21" w:rsidP="00B40E21">
      <w:pPr>
        <w:pStyle w:val="Subtitle"/>
        <w:rPr>
          <w:rFonts w:eastAsiaTheme="majorEastAsia" w:cstheme="majorBidi"/>
          <w:b/>
          <w:spacing w:val="5"/>
          <w:kern w:val="28"/>
          <w:sz w:val="52"/>
          <w:szCs w:val="52"/>
        </w:rPr>
      </w:pPr>
    </w:p>
    <w:p w:rsidR="00B40E21" w:rsidRPr="00B40E21" w:rsidRDefault="00B40E21" w:rsidP="00B40E21">
      <w:pPr>
        <w:pStyle w:val="Subtitle"/>
        <w:rPr>
          <w:rFonts w:eastAsiaTheme="majorEastAsia" w:cstheme="majorBidi"/>
          <w:b/>
          <w:spacing w:val="5"/>
          <w:kern w:val="28"/>
          <w:sz w:val="52"/>
          <w:szCs w:val="52"/>
        </w:rPr>
      </w:pPr>
      <w:r w:rsidRPr="00B40E21">
        <w:rPr>
          <w:rFonts w:eastAsiaTheme="majorEastAsia" w:cstheme="majorBidi"/>
          <w:b/>
          <w:spacing w:val="5"/>
          <w:kern w:val="28"/>
          <w:sz w:val="52"/>
          <w:szCs w:val="52"/>
        </w:rPr>
        <w:t>Implementation of Direct Registrations</w:t>
      </w:r>
    </w:p>
    <w:p w:rsidR="007E1A2A" w:rsidRDefault="007E1A2A" w:rsidP="00B40E21">
      <w:pPr>
        <w:pStyle w:val="Subtitle"/>
        <w:rPr>
          <w:sz w:val="28"/>
          <w:szCs w:val="28"/>
        </w:rPr>
      </w:pPr>
    </w:p>
    <w:p w:rsidR="00B40E21" w:rsidRPr="00B40E21" w:rsidRDefault="00B40E21" w:rsidP="00B40E21">
      <w:pPr>
        <w:pStyle w:val="Subtitle"/>
        <w:rPr>
          <w:sz w:val="28"/>
          <w:szCs w:val="28"/>
        </w:rPr>
      </w:pPr>
      <w:r w:rsidRPr="00B40E21">
        <w:rPr>
          <w:sz w:val="28"/>
          <w:szCs w:val="28"/>
        </w:rPr>
        <w:t>Submission by</w:t>
      </w:r>
    </w:p>
    <w:p w:rsidR="00B40E21" w:rsidRPr="00B40E21" w:rsidRDefault="00B40E21" w:rsidP="00B40E21">
      <w:pPr>
        <w:pStyle w:val="Subtitle"/>
        <w:rPr>
          <w:sz w:val="28"/>
          <w:szCs w:val="28"/>
        </w:rPr>
      </w:pPr>
      <w:proofErr w:type="gramStart"/>
      <w:r w:rsidRPr="00B40E21">
        <w:rPr>
          <w:sz w:val="28"/>
          <w:szCs w:val="28"/>
        </w:rPr>
        <w:t>the</w:t>
      </w:r>
      <w:proofErr w:type="gramEnd"/>
      <w:r w:rsidRPr="00B40E21">
        <w:rPr>
          <w:sz w:val="28"/>
          <w:szCs w:val="28"/>
        </w:rPr>
        <w:t xml:space="preserve"> Australian Communications Consumer Action Network</w:t>
      </w:r>
    </w:p>
    <w:p w:rsidR="00B40E21" w:rsidRPr="00B40E21" w:rsidRDefault="002B21A3" w:rsidP="00B40E21">
      <w:pPr>
        <w:pStyle w:val="Subtitle"/>
        <w:rPr>
          <w:sz w:val="28"/>
          <w:szCs w:val="28"/>
        </w:rPr>
      </w:pPr>
      <w:proofErr w:type="gramStart"/>
      <w:r>
        <w:rPr>
          <w:sz w:val="28"/>
          <w:szCs w:val="28"/>
        </w:rPr>
        <w:t>to</w:t>
      </w:r>
      <w:proofErr w:type="gramEnd"/>
    </w:p>
    <w:p w:rsidR="00B40E21" w:rsidRPr="00B40E21" w:rsidRDefault="00B40E21" w:rsidP="00B40E21">
      <w:pPr>
        <w:pStyle w:val="Subtitle"/>
        <w:rPr>
          <w:sz w:val="28"/>
          <w:szCs w:val="28"/>
        </w:rPr>
      </w:pPr>
      <w:r w:rsidRPr="00B40E21">
        <w:rPr>
          <w:sz w:val="28"/>
          <w:szCs w:val="28"/>
        </w:rPr>
        <w:t>.au Domain Administration</w:t>
      </w:r>
    </w:p>
    <w:p w:rsidR="00B40E21" w:rsidRPr="00B40E21" w:rsidRDefault="00B40E21" w:rsidP="00B40E21">
      <w:pPr>
        <w:pStyle w:val="Subtitle"/>
        <w:rPr>
          <w:sz w:val="28"/>
          <w:szCs w:val="28"/>
        </w:rPr>
      </w:pPr>
      <w:r w:rsidRPr="00B40E21">
        <w:rPr>
          <w:sz w:val="28"/>
          <w:szCs w:val="28"/>
        </w:rPr>
        <w:t>10 November 2017</w:t>
      </w:r>
    </w:p>
    <w:p w:rsidR="009F4B9D" w:rsidRPr="003441E5" w:rsidRDefault="009F4B9D" w:rsidP="00A13B92">
      <w:pPr>
        <w:rPr>
          <w:lang w:eastAsia="en-US"/>
        </w:rPr>
      </w:pPr>
      <w:r w:rsidRPr="003441E5">
        <w:rPr>
          <w:lang w:eastAsia="en-US"/>
        </w:rPr>
        <w:br w:type="page"/>
      </w:r>
    </w:p>
    <w:p w:rsidR="009F4B9D" w:rsidRPr="003441E5" w:rsidRDefault="009F4B9D" w:rsidP="00B14DFB">
      <w:pPr>
        <w:pStyle w:val="About"/>
      </w:pPr>
      <w:r w:rsidRPr="003441E5">
        <w:lastRenderedPageBreak/>
        <w:t xml:space="preserve">About ACCAN </w:t>
      </w:r>
    </w:p>
    <w:p w:rsidR="009F4B9D" w:rsidRPr="003441E5" w:rsidRDefault="009F4B9D" w:rsidP="00B14DFB">
      <w:r w:rsidRPr="003441E5">
        <w:t xml:space="preserve">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w:t>
      </w:r>
      <w:r w:rsidRPr="003441E5">
        <w:rPr>
          <w:rFonts w:asciiTheme="minorHAnsi" w:hAnsiTheme="minorHAnsi" w:cstheme="minorHAnsi"/>
        </w:rPr>
        <w:t>availability</w:t>
      </w:r>
      <w:r w:rsidRPr="003441E5">
        <w:t>, accessibility and affordability of communications services for all Australians.</w:t>
      </w:r>
    </w:p>
    <w:p w:rsidR="00A615CC" w:rsidRPr="003441E5" w:rsidRDefault="00A615CC" w:rsidP="00A615CC">
      <w:r w:rsidRPr="003441E5">
        <w:t xml:space="preserve">Consumers need ACCAN to promote better consumer protection outcomes ensuring speedy responses to complaints and issues. ACCAN aims to empower consumers so that they are well informed and can make good choices about products and services. As a peak body, ACCAN will </w:t>
      </w:r>
      <w:r>
        <w:t>represent the views of</w:t>
      </w:r>
      <w:r w:rsidRPr="003441E5">
        <w:t xml:space="preserve"> its broad and diverse membership base to </w:t>
      </w:r>
      <w:r>
        <w:t>policy makers, government and industry</w:t>
      </w:r>
      <w:r w:rsidRPr="003441E5">
        <w:t xml:space="preserve"> to get better </w:t>
      </w:r>
      <w:r>
        <w:t xml:space="preserve">outcomes </w:t>
      </w:r>
      <w:r w:rsidRPr="003441E5">
        <w:t>for all communications consumers. </w:t>
      </w:r>
    </w:p>
    <w:p w:rsidR="009F4B9D" w:rsidRPr="003441E5" w:rsidRDefault="009F4B9D" w:rsidP="00B14DFB">
      <w:pPr>
        <w:pStyle w:val="About"/>
      </w:pPr>
      <w:r w:rsidRPr="003441E5">
        <w:t>Contact</w:t>
      </w:r>
    </w:p>
    <w:p w:rsidR="002D75D7" w:rsidRDefault="002067A1" w:rsidP="002D75D7">
      <w:r>
        <w:t>Una Lawrence</w:t>
      </w:r>
      <w:r w:rsidR="002D75D7">
        <w:br/>
      </w:r>
      <w:r>
        <w:t xml:space="preserve">Director of </w:t>
      </w:r>
      <w:bookmarkStart w:id="0" w:name="_GoBack"/>
      <w:bookmarkEnd w:id="0"/>
      <w:r>
        <w:t>Policy</w:t>
      </w:r>
    </w:p>
    <w:p w:rsidR="00BF754D" w:rsidRDefault="00BF754D" w:rsidP="00BF754D">
      <w:pPr>
        <w:spacing w:after="0" w:afterAutospacing="0"/>
      </w:pPr>
      <w:r>
        <w:t>PO Box 639,</w:t>
      </w:r>
    </w:p>
    <w:p w:rsidR="00BF754D" w:rsidRDefault="00BF754D" w:rsidP="00BF754D">
      <w:pPr>
        <w:spacing w:before="0" w:beforeAutospacing="0"/>
      </w:pPr>
      <w:r>
        <w:t>Broadway</w:t>
      </w:r>
      <w:r w:rsidR="009F4B9D" w:rsidRPr="003441E5">
        <w:t xml:space="preserve"> NSW, 2007</w:t>
      </w:r>
      <w:r w:rsidR="009F4B9D" w:rsidRPr="003441E5">
        <w:br/>
        <w:t xml:space="preserve">Email: </w:t>
      </w:r>
      <w:hyperlink r:id="rId9" w:history="1">
        <w:r w:rsidR="009F4B9D" w:rsidRPr="003441E5">
          <w:rPr>
            <w:rStyle w:val="Hyperlink"/>
          </w:rPr>
          <w:t>info@accan.org.au</w:t>
        </w:r>
      </w:hyperlink>
      <w:r w:rsidR="009F4B9D" w:rsidRPr="003441E5">
        <w:rPr>
          <w:rStyle w:val="Hyperlink"/>
        </w:rPr>
        <w:br/>
      </w:r>
      <w:r w:rsidR="009F4B9D" w:rsidRPr="003441E5">
        <w:t>Phone: (02) 9288 4000</w:t>
      </w:r>
      <w:r w:rsidR="009F4B9D" w:rsidRPr="003441E5">
        <w:br/>
        <w:t>Fax: (02) 9288 4019</w:t>
      </w:r>
      <w:r w:rsidR="009F4B9D" w:rsidRPr="003441E5">
        <w:br/>
      </w:r>
      <w:r>
        <w:t xml:space="preserve">Contact us through the </w:t>
      </w:r>
      <w:hyperlink r:id="rId10" w:history="1">
        <w:r w:rsidRPr="00FE6EAF">
          <w:rPr>
            <w:rStyle w:val="Hyperlink"/>
          </w:rPr>
          <w:t>National Relay Service</w:t>
        </w:r>
      </w:hyperlink>
    </w:p>
    <w:p w:rsidR="009F4B9D" w:rsidRPr="003441E5" w:rsidRDefault="009F4B9D" w:rsidP="00BF754D">
      <w:pPr>
        <w:spacing w:before="0" w:beforeAutospacing="0"/>
      </w:pPr>
    </w:p>
    <w:sdt>
      <w:sdtPr>
        <w:rPr>
          <w:rFonts w:eastAsiaTheme="minorEastAsia" w:cstheme="minorBidi"/>
          <w:bCs w:val="0"/>
          <w:sz w:val="23"/>
          <w:szCs w:val="22"/>
          <w:lang w:eastAsia="en-AU"/>
        </w:rPr>
        <w:id w:val="-39521029"/>
        <w:docPartObj>
          <w:docPartGallery w:val="Table of Contents"/>
          <w:docPartUnique/>
        </w:docPartObj>
      </w:sdtPr>
      <w:sdtEndPr>
        <w:rPr>
          <w:b/>
          <w:noProof/>
          <w:sz w:val="22"/>
        </w:rPr>
      </w:sdtEndPr>
      <w:sdtContent>
        <w:p w:rsidR="00EC1696" w:rsidRPr="003441E5" w:rsidRDefault="00EC1696">
          <w:pPr>
            <w:pStyle w:val="TOCHeading"/>
          </w:pPr>
          <w:r w:rsidRPr="003441E5">
            <w:t>Contents</w:t>
          </w:r>
        </w:p>
        <w:p w:rsidR="003B4CAC" w:rsidRDefault="00EC1696">
          <w:pPr>
            <w:pStyle w:val="TOC1"/>
            <w:rPr>
              <w:rFonts w:asciiTheme="minorHAnsi" w:hAnsiTheme="minorHAnsi"/>
              <w:noProof/>
            </w:rPr>
          </w:pPr>
          <w:r w:rsidRPr="003441E5">
            <w:fldChar w:fldCharType="begin"/>
          </w:r>
          <w:r w:rsidRPr="003441E5">
            <w:instrText xml:space="preserve"> TOC \o "1-3" \h \z \u </w:instrText>
          </w:r>
          <w:r w:rsidRPr="003441E5">
            <w:fldChar w:fldCharType="separate"/>
          </w:r>
          <w:hyperlink w:anchor="_Toc498093552" w:history="1">
            <w:r w:rsidR="003B4CAC" w:rsidRPr="00C95F61">
              <w:rPr>
                <w:rStyle w:val="Hyperlink"/>
                <w:noProof/>
              </w:rPr>
              <w:t>1.</w:t>
            </w:r>
            <w:r w:rsidR="003B4CAC">
              <w:rPr>
                <w:rFonts w:asciiTheme="minorHAnsi" w:hAnsiTheme="minorHAnsi"/>
                <w:noProof/>
              </w:rPr>
              <w:tab/>
            </w:r>
            <w:r w:rsidR="003B4CAC" w:rsidRPr="00C95F61">
              <w:rPr>
                <w:rStyle w:val="Hyperlink"/>
                <w:noProof/>
              </w:rPr>
              <w:t>Introduction</w:t>
            </w:r>
            <w:r w:rsidR="003B4CAC">
              <w:rPr>
                <w:noProof/>
                <w:webHidden/>
              </w:rPr>
              <w:tab/>
            </w:r>
            <w:r w:rsidR="003B4CAC">
              <w:rPr>
                <w:noProof/>
                <w:webHidden/>
              </w:rPr>
              <w:fldChar w:fldCharType="begin"/>
            </w:r>
            <w:r w:rsidR="003B4CAC">
              <w:rPr>
                <w:noProof/>
                <w:webHidden/>
              </w:rPr>
              <w:instrText xml:space="preserve"> PAGEREF _Toc498093552 \h </w:instrText>
            </w:r>
            <w:r w:rsidR="003B4CAC">
              <w:rPr>
                <w:noProof/>
                <w:webHidden/>
              </w:rPr>
            </w:r>
            <w:r w:rsidR="003B4CAC">
              <w:rPr>
                <w:noProof/>
                <w:webHidden/>
              </w:rPr>
              <w:fldChar w:fldCharType="separate"/>
            </w:r>
            <w:r w:rsidR="003B4CAC">
              <w:rPr>
                <w:noProof/>
                <w:webHidden/>
              </w:rPr>
              <w:t>4</w:t>
            </w:r>
            <w:r w:rsidR="003B4CAC">
              <w:rPr>
                <w:noProof/>
                <w:webHidden/>
              </w:rPr>
              <w:fldChar w:fldCharType="end"/>
            </w:r>
          </w:hyperlink>
        </w:p>
        <w:p w:rsidR="003B4CAC" w:rsidRDefault="003B4CAC">
          <w:pPr>
            <w:pStyle w:val="TOC2"/>
            <w:rPr>
              <w:rFonts w:asciiTheme="minorHAnsi" w:hAnsiTheme="minorHAnsi"/>
            </w:rPr>
          </w:pPr>
          <w:hyperlink w:anchor="_Toc498093553" w:history="1">
            <w:r w:rsidRPr="00C95F61">
              <w:rPr>
                <w:rStyle w:val="Hyperlink"/>
              </w:rPr>
              <w:t>1.1.</w:t>
            </w:r>
            <w:r>
              <w:rPr>
                <w:rFonts w:asciiTheme="minorHAnsi" w:hAnsiTheme="minorHAnsi"/>
              </w:rPr>
              <w:tab/>
            </w:r>
            <w:r w:rsidRPr="00C95F61">
              <w:rPr>
                <w:rStyle w:val="Hyperlink"/>
              </w:rPr>
              <w:t>Review background and scope</w:t>
            </w:r>
            <w:r>
              <w:rPr>
                <w:webHidden/>
              </w:rPr>
              <w:tab/>
            </w:r>
            <w:r>
              <w:rPr>
                <w:webHidden/>
              </w:rPr>
              <w:fldChar w:fldCharType="begin"/>
            </w:r>
            <w:r>
              <w:rPr>
                <w:webHidden/>
              </w:rPr>
              <w:instrText xml:space="preserve"> PAGEREF _Toc498093553 \h </w:instrText>
            </w:r>
            <w:r>
              <w:rPr>
                <w:webHidden/>
              </w:rPr>
            </w:r>
            <w:r>
              <w:rPr>
                <w:webHidden/>
              </w:rPr>
              <w:fldChar w:fldCharType="separate"/>
            </w:r>
            <w:r>
              <w:rPr>
                <w:webHidden/>
              </w:rPr>
              <w:t>4</w:t>
            </w:r>
            <w:r>
              <w:rPr>
                <w:webHidden/>
              </w:rPr>
              <w:fldChar w:fldCharType="end"/>
            </w:r>
          </w:hyperlink>
        </w:p>
        <w:p w:rsidR="003B4CAC" w:rsidRDefault="003B4CAC">
          <w:pPr>
            <w:pStyle w:val="TOC2"/>
            <w:rPr>
              <w:rFonts w:asciiTheme="minorHAnsi" w:hAnsiTheme="minorHAnsi"/>
            </w:rPr>
          </w:pPr>
          <w:hyperlink w:anchor="_Toc498093554" w:history="1">
            <w:r w:rsidRPr="00C95F61">
              <w:rPr>
                <w:rStyle w:val="Hyperlink"/>
              </w:rPr>
              <w:t>1.2.</w:t>
            </w:r>
            <w:r>
              <w:rPr>
                <w:rFonts w:asciiTheme="minorHAnsi" w:hAnsiTheme="minorHAnsi"/>
              </w:rPr>
              <w:tab/>
            </w:r>
            <w:r w:rsidRPr="00C95F61">
              <w:rPr>
                <w:rStyle w:val="Hyperlink"/>
              </w:rPr>
              <w:t>Direct registration background</w:t>
            </w:r>
            <w:r>
              <w:rPr>
                <w:webHidden/>
              </w:rPr>
              <w:tab/>
            </w:r>
            <w:r>
              <w:rPr>
                <w:webHidden/>
              </w:rPr>
              <w:fldChar w:fldCharType="begin"/>
            </w:r>
            <w:r>
              <w:rPr>
                <w:webHidden/>
              </w:rPr>
              <w:instrText xml:space="preserve"> PAGEREF _Toc498093554 \h </w:instrText>
            </w:r>
            <w:r>
              <w:rPr>
                <w:webHidden/>
              </w:rPr>
            </w:r>
            <w:r>
              <w:rPr>
                <w:webHidden/>
              </w:rPr>
              <w:fldChar w:fldCharType="separate"/>
            </w:r>
            <w:r>
              <w:rPr>
                <w:webHidden/>
              </w:rPr>
              <w:t>5</w:t>
            </w:r>
            <w:r>
              <w:rPr>
                <w:webHidden/>
              </w:rPr>
              <w:fldChar w:fldCharType="end"/>
            </w:r>
          </w:hyperlink>
        </w:p>
        <w:p w:rsidR="003B4CAC" w:rsidRDefault="003B4CAC">
          <w:pPr>
            <w:pStyle w:val="TOC2"/>
            <w:rPr>
              <w:rFonts w:asciiTheme="minorHAnsi" w:hAnsiTheme="minorHAnsi"/>
            </w:rPr>
          </w:pPr>
          <w:hyperlink w:anchor="_Toc498093555" w:history="1">
            <w:r w:rsidRPr="00C95F61">
              <w:rPr>
                <w:rStyle w:val="Hyperlink"/>
              </w:rPr>
              <w:t>1.3.</w:t>
            </w:r>
            <w:r>
              <w:rPr>
                <w:rFonts w:asciiTheme="minorHAnsi" w:hAnsiTheme="minorHAnsi"/>
              </w:rPr>
              <w:tab/>
            </w:r>
            <w:r w:rsidRPr="00C95F61">
              <w:rPr>
                <w:rStyle w:val="Hyperlink"/>
              </w:rPr>
              <w:t>ACCAN view on domain space regulation</w:t>
            </w:r>
            <w:r>
              <w:rPr>
                <w:webHidden/>
              </w:rPr>
              <w:tab/>
            </w:r>
            <w:r>
              <w:rPr>
                <w:webHidden/>
              </w:rPr>
              <w:fldChar w:fldCharType="begin"/>
            </w:r>
            <w:r>
              <w:rPr>
                <w:webHidden/>
              </w:rPr>
              <w:instrText xml:space="preserve"> PAGEREF _Toc498093555 \h </w:instrText>
            </w:r>
            <w:r>
              <w:rPr>
                <w:webHidden/>
              </w:rPr>
            </w:r>
            <w:r>
              <w:rPr>
                <w:webHidden/>
              </w:rPr>
              <w:fldChar w:fldCharType="separate"/>
            </w:r>
            <w:r>
              <w:rPr>
                <w:webHidden/>
              </w:rPr>
              <w:t>5</w:t>
            </w:r>
            <w:r>
              <w:rPr>
                <w:webHidden/>
              </w:rPr>
              <w:fldChar w:fldCharType="end"/>
            </w:r>
          </w:hyperlink>
        </w:p>
        <w:p w:rsidR="003B4CAC" w:rsidRDefault="003B4CAC">
          <w:pPr>
            <w:pStyle w:val="TOC1"/>
            <w:rPr>
              <w:rFonts w:asciiTheme="minorHAnsi" w:hAnsiTheme="minorHAnsi"/>
              <w:noProof/>
            </w:rPr>
          </w:pPr>
          <w:hyperlink w:anchor="_Toc498093556" w:history="1">
            <w:r w:rsidRPr="00C95F61">
              <w:rPr>
                <w:rStyle w:val="Hyperlink"/>
                <w:noProof/>
              </w:rPr>
              <w:t>2.</w:t>
            </w:r>
            <w:r>
              <w:rPr>
                <w:rFonts w:asciiTheme="minorHAnsi" w:hAnsiTheme="minorHAnsi"/>
                <w:noProof/>
              </w:rPr>
              <w:tab/>
            </w:r>
            <w:r w:rsidRPr="00C95F61">
              <w:rPr>
                <w:rStyle w:val="Hyperlink"/>
                <w:noProof/>
              </w:rPr>
              <w:t>Responses to Issues Paper</w:t>
            </w:r>
            <w:r>
              <w:rPr>
                <w:noProof/>
                <w:webHidden/>
              </w:rPr>
              <w:tab/>
            </w:r>
            <w:r>
              <w:rPr>
                <w:noProof/>
                <w:webHidden/>
              </w:rPr>
              <w:fldChar w:fldCharType="begin"/>
            </w:r>
            <w:r>
              <w:rPr>
                <w:noProof/>
                <w:webHidden/>
              </w:rPr>
              <w:instrText xml:space="preserve"> PAGEREF _Toc498093556 \h </w:instrText>
            </w:r>
            <w:r>
              <w:rPr>
                <w:noProof/>
                <w:webHidden/>
              </w:rPr>
            </w:r>
            <w:r>
              <w:rPr>
                <w:noProof/>
                <w:webHidden/>
              </w:rPr>
              <w:fldChar w:fldCharType="separate"/>
            </w:r>
            <w:r>
              <w:rPr>
                <w:noProof/>
                <w:webHidden/>
              </w:rPr>
              <w:t>6</w:t>
            </w:r>
            <w:r>
              <w:rPr>
                <w:noProof/>
                <w:webHidden/>
              </w:rPr>
              <w:fldChar w:fldCharType="end"/>
            </w:r>
          </w:hyperlink>
        </w:p>
        <w:p w:rsidR="003B4CAC" w:rsidRDefault="003B4CAC">
          <w:pPr>
            <w:pStyle w:val="TOC2"/>
            <w:rPr>
              <w:rFonts w:asciiTheme="minorHAnsi" w:hAnsiTheme="minorHAnsi"/>
            </w:rPr>
          </w:pPr>
          <w:hyperlink w:anchor="_Toc498093557" w:history="1">
            <w:r w:rsidRPr="00C95F61">
              <w:rPr>
                <w:rStyle w:val="Hyperlink"/>
              </w:rPr>
              <w:t>2.1.</w:t>
            </w:r>
            <w:r>
              <w:rPr>
                <w:rFonts w:asciiTheme="minorHAnsi" w:hAnsiTheme="minorHAnsi"/>
              </w:rPr>
              <w:tab/>
            </w:r>
            <w:r w:rsidRPr="00C95F61">
              <w:rPr>
                <w:rStyle w:val="Hyperlink"/>
              </w:rPr>
              <w:t>Broad questions</w:t>
            </w:r>
            <w:r>
              <w:rPr>
                <w:webHidden/>
              </w:rPr>
              <w:tab/>
            </w:r>
            <w:r>
              <w:rPr>
                <w:webHidden/>
              </w:rPr>
              <w:fldChar w:fldCharType="begin"/>
            </w:r>
            <w:r>
              <w:rPr>
                <w:webHidden/>
              </w:rPr>
              <w:instrText xml:space="preserve"> PAGEREF _Toc498093557 \h </w:instrText>
            </w:r>
            <w:r>
              <w:rPr>
                <w:webHidden/>
              </w:rPr>
            </w:r>
            <w:r>
              <w:rPr>
                <w:webHidden/>
              </w:rPr>
              <w:fldChar w:fldCharType="separate"/>
            </w:r>
            <w:r>
              <w:rPr>
                <w:webHidden/>
              </w:rPr>
              <w:t>6</w:t>
            </w:r>
            <w:r>
              <w:rPr>
                <w:webHidden/>
              </w:rPr>
              <w:fldChar w:fldCharType="end"/>
            </w:r>
          </w:hyperlink>
        </w:p>
        <w:p w:rsidR="003B4CAC" w:rsidRDefault="003B4CAC">
          <w:pPr>
            <w:pStyle w:val="TOC2"/>
            <w:rPr>
              <w:rFonts w:asciiTheme="minorHAnsi" w:hAnsiTheme="minorHAnsi"/>
            </w:rPr>
          </w:pPr>
          <w:hyperlink w:anchor="_Toc498093558" w:history="1">
            <w:r w:rsidRPr="00C95F61">
              <w:rPr>
                <w:rStyle w:val="Hyperlink"/>
              </w:rPr>
              <w:t>2.2.</w:t>
            </w:r>
            <w:r>
              <w:rPr>
                <w:rFonts w:asciiTheme="minorHAnsi" w:hAnsiTheme="minorHAnsi"/>
              </w:rPr>
              <w:tab/>
            </w:r>
            <w:r w:rsidRPr="00C95F61">
              <w:rPr>
                <w:rStyle w:val="Hyperlink"/>
              </w:rPr>
              <w:t>Issues Paper questions</w:t>
            </w:r>
            <w:r>
              <w:rPr>
                <w:webHidden/>
              </w:rPr>
              <w:tab/>
            </w:r>
            <w:r>
              <w:rPr>
                <w:webHidden/>
              </w:rPr>
              <w:fldChar w:fldCharType="begin"/>
            </w:r>
            <w:r>
              <w:rPr>
                <w:webHidden/>
              </w:rPr>
              <w:instrText xml:space="preserve"> PAGEREF _Toc498093558 \h </w:instrText>
            </w:r>
            <w:r>
              <w:rPr>
                <w:webHidden/>
              </w:rPr>
            </w:r>
            <w:r>
              <w:rPr>
                <w:webHidden/>
              </w:rPr>
              <w:fldChar w:fldCharType="separate"/>
            </w:r>
            <w:r>
              <w:rPr>
                <w:webHidden/>
              </w:rPr>
              <w:t>7</w:t>
            </w:r>
            <w:r>
              <w:rPr>
                <w:webHidden/>
              </w:rPr>
              <w:fldChar w:fldCharType="end"/>
            </w:r>
          </w:hyperlink>
        </w:p>
        <w:p w:rsidR="003B4CAC" w:rsidRDefault="003B4CAC">
          <w:pPr>
            <w:pStyle w:val="TOC1"/>
            <w:rPr>
              <w:rFonts w:asciiTheme="minorHAnsi" w:hAnsiTheme="minorHAnsi"/>
              <w:noProof/>
            </w:rPr>
          </w:pPr>
          <w:hyperlink w:anchor="_Toc498093559" w:history="1">
            <w:r w:rsidRPr="00C95F61">
              <w:rPr>
                <w:rStyle w:val="Hyperlink"/>
                <w:noProof/>
              </w:rPr>
              <w:t>3.</w:t>
            </w:r>
            <w:r>
              <w:rPr>
                <w:rFonts w:asciiTheme="minorHAnsi" w:hAnsiTheme="minorHAnsi"/>
                <w:noProof/>
              </w:rPr>
              <w:tab/>
            </w:r>
            <w:r w:rsidRPr="00C95F61">
              <w:rPr>
                <w:rStyle w:val="Hyperlink"/>
                <w:noProof/>
              </w:rPr>
              <w:t>Supplementary comments</w:t>
            </w:r>
            <w:r>
              <w:rPr>
                <w:noProof/>
                <w:webHidden/>
              </w:rPr>
              <w:tab/>
            </w:r>
            <w:r>
              <w:rPr>
                <w:noProof/>
                <w:webHidden/>
              </w:rPr>
              <w:fldChar w:fldCharType="begin"/>
            </w:r>
            <w:r>
              <w:rPr>
                <w:noProof/>
                <w:webHidden/>
              </w:rPr>
              <w:instrText xml:space="preserve"> PAGEREF _Toc498093559 \h </w:instrText>
            </w:r>
            <w:r>
              <w:rPr>
                <w:noProof/>
                <w:webHidden/>
              </w:rPr>
            </w:r>
            <w:r>
              <w:rPr>
                <w:noProof/>
                <w:webHidden/>
              </w:rPr>
              <w:fldChar w:fldCharType="separate"/>
            </w:r>
            <w:r>
              <w:rPr>
                <w:noProof/>
                <w:webHidden/>
              </w:rPr>
              <w:t>11</w:t>
            </w:r>
            <w:r>
              <w:rPr>
                <w:noProof/>
                <w:webHidden/>
              </w:rPr>
              <w:fldChar w:fldCharType="end"/>
            </w:r>
          </w:hyperlink>
        </w:p>
        <w:p w:rsidR="003B4CAC" w:rsidRDefault="003B4CAC">
          <w:pPr>
            <w:pStyle w:val="TOC2"/>
            <w:rPr>
              <w:rFonts w:asciiTheme="minorHAnsi" w:hAnsiTheme="minorHAnsi"/>
            </w:rPr>
          </w:pPr>
          <w:hyperlink w:anchor="_Toc498093560" w:history="1">
            <w:r w:rsidRPr="00C95F61">
              <w:rPr>
                <w:rStyle w:val="Hyperlink"/>
              </w:rPr>
              <w:t>3.1.</w:t>
            </w:r>
            <w:r>
              <w:rPr>
                <w:rFonts w:asciiTheme="minorHAnsi" w:hAnsiTheme="minorHAnsi"/>
              </w:rPr>
              <w:tab/>
            </w:r>
            <w:r w:rsidRPr="00C95F61">
              <w:rPr>
                <w:rStyle w:val="Hyperlink"/>
              </w:rPr>
              <w:t>Consumer outreach and engagement</w:t>
            </w:r>
            <w:r>
              <w:rPr>
                <w:webHidden/>
              </w:rPr>
              <w:tab/>
            </w:r>
            <w:r>
              <w:rPr>
                <w:webHidden/>
              </w:rPr>
              <w:fldChar w:fldCharType="begin"/>
            </w:r>
            <w:r>
              <w:rPr>
                <w:webHidden/>
              </w:rPr>
              <w:instrText xml:space="preserve"> PAGEREF _Toc498093560 \h </w:instrText>
            </w:r>
            <w:r>
              <w:rPr>
                <w:webHidden/>
              </w:rPr>
            </w:r>
            <w:r>
              <w:rPr>
                <w:webHidden/>
              </w:rPr>
              <w:fldChar w:fldCharType="separate"/>
            </w:r>
            <w:r>
              <w:rPr>
                <w:webHidden/>
              </w:rPr>
              <w:t>11</w:t>
            </w:r>
            <w:r>
              <w:rPr>
                <w:webHidden/>
              </w:rPr>
              <w:fldChar w:fldCharType="end"/>
            </w:r>
          </w:hyperlink>
        </w:p>
        <w:p w:rsidR="003B4CAC" w:rsidRDefault="003B4CAC">
          <w:pPr>
            <w:pStyle w:val="TOC2"/>
            <w:rPr>
              <w:rFonts w:asciiTheme="minorHAnsi" w:hAnsiTheme="minorHAnsi"/>
            </w:rPr>
          </w:pPr>
          <w:hyperlink w:anchor="_Toc498093561" w:history="1">
            <w:r w:rsidRPr="00C95F61">
              <w:rPr>
                <w:rStyle w:val="Hyperlink"/>
              </w:rPr>
              <w:t>3.2.</w:t>
            </w:r>
            <w:r>
              <w:rPr>
                <w:rFonts w:asciiTheme="minorHAnsi" w:hAnsiTheme="minorHAnsi"/>
              </w:rPr>
              <w:tab/>
            </w:r>
            <w:r w:rsidRPr="00C95F61">
              <w:rPr>
                <w:rStyle w:val="Hyperlink"/>
              </w:rPr>
              <w:t>auDA customer service</w:t>
            </w:r>
            <w:r>
              <w:rPr>
                <w:webHidden/>
              </w:rPr>
              <w:tab/>
            </w:r>
            <w:r>
              <w:rPr>
                <w:webHidden/>
              </w:rPr>
              <w:fldChar w:fldCharType="begin"/>
            </w:r>
            <w:r>
              <w:rPr>
                <w:webHidden/>
              </w:rPr>
              <w:instrText xml:space="preserve"> PAGEREF _Toc498093561 \h </w:instrText>
            </w:r>
            <w:r>
              <w:rPr>
                <w:webHidden/>
              </w:rPr>
            </w:r>
            <w:r>
              <w:rPr>
                <w:webHidden/>
              </w:rPr>
              <w:fldChar w:fldCharType="separate"/>
            </w:r>
            <w:r>
              <w:rPr>
                <w:webHidden/>
              </w:rPr>
              <w:t>11</w:t>
            </w:r>
            <w:r>
              <w:rPr>
                <w:webHidden/>
              </w:rPr>
              <w:fldChar w:fldCharType="end"/>
            </w:r>
          </w:hyperlink>
        </w:p>
        <w:p w:rsidR="003B4CAC" w:rsidRDefault="003B4CAC">
          <w:pPr>
            <w:pStyle w:val="TOC2"/>
            <w:rPr>
              <w:rFonts w:asciiTheme="minorHAnsi" w:hAnsiTheme="minorHAnsi"/>
            </w:rPr>
          </w:pPr>
          <w:hyperlink w:anchor="_Toc498093562" w:history="1">
            <w:r w:rsidRPr="00C95F61">
              <w:rPr>
                <w:rStyle w:val="Hyperlink"/>
              </w:rPr>
              <w:t>3.3.</w:t>
            </w:r>
            <w:r>
              <w:rPr>
                <w:rFonts w:asciiTheme="minorHAnsi" w:hAnsiTheme="minorHAnsi"/>
              </w:rPr>
              <w:tab/>
            </w:r>
            <w:r w:rsidRPr="00C95F61">
              <w:rPr>
                <w:rStyle w:val="Hyperlink"/>
              </w:rPr>
              <w:t>Reporting</w:t>
            </w:r>
            <w:r>
              <w:rPr>
                <w:webHidden/>
              </w:rPr>
              <w:tab/>
            </w:r>
            <w:r>
              <w:rPr>
                <w:webHidden/>
              </w:rPr>
              <w:fldChar w:fldCharType="begin"/>
            </w:r>
            <w:r>
              <w:rPr>
                <w:webHidden/>
              </w:rPr>
              <w:instrText xml:space="preserve"> PAGEREF _Toc498093562 \h </w:instrText>
            </w:r>
            <w:r>
              <w:rPr>
                <w:webHidden/>
              </w:rPr>
            </w:r>
            <w:r>
              <w:rPr>
                <w:webHidden/>
              </w:rPr>
              <w:fldChar w:fldCharType="separate"/>
            </w:r>
            <w:r>
              <w:rPr>
                <w:webHidden/>
              </w:rPr>
              <w:t>11</w:t>
            </w:r>
            <w:r>
              <w:rPr>
                <w:webHidden/>
              </w:rPr>
              <w:fldChar w:fldCharType="end"/>
            </w:r>
          </w:hyperlink>
        </w:p>
        <w:p w:rsidR="00EC1696" w:rsidRPr="003441E5" w:rsidRDefault="00EC1696">
          <w:r w:rsidRPr="003441E5">
            <w:rPr>
              <w:b/>
              <w:bCs/>
              <w:noProof/>
            </w:rPr>
            <w:fldChar w:fldCharType="end"/>
          </w:r>
        </w:p>
      </w:sdtContent>
    </w:sdt>
    <w:p w:rsidR="00AD032B" w:rsidRDefault="00AD032B" w:rsidP="00EC1696"/>
    <w:p w:rsidR="001721CC" w:rsidRDefault="001721CC" w:rsidP="00EC1696"/>
    <w:p w:rsidR="001721CC" w:rsidRDefault="001721CC" w:rsidP="00EC1696"/>
    <w:p w:rsidR="001721CC" w:rsidRDefault="001721CC">
      <w:pPr>
        <w:spacing w:before="0" w:beforeAutospacing="0" w:after="0" w:afterAutospacing="0"/>
      </w:pPr>
    </w:p>
    <w:p w:rsidR="001721CC" w:rsidRDefault="001721CC" w:rsidP="001721CC">
      <w:pPr>
        <w:pStyle w:val="Heading1"/>
      </w:pPr>
      <w:bookmarkStart w:id="1" w:name="_Toc498093552"/>
      <w:r>
        <w:lastRenderedPageBreak/>
        <w:t>Introduction</w:t>
      </w:r>
      <w:bookmarkEnd w:id="1"/>
    </w:p>
    <w:p w:rsidR="002D75D7" w:rsidRDefault="002D75D7" w:rsidP="002D75D7">
      <w:pPr>
        <w:rPr>
          <w:lang w:eastAsia="en-US"/>
        </w:rPr>
      </w:pPr>
      <w:r>
        <w:rPr>
          <w:lang w:eastAsia="en-US"/>
        </w:rPr>
        <w:t xml:space="preserve">As the peak national body representing telecommunications consumers, the Australian Communications Consumer Action Network (ACCAN) is pleased to have the opportunity to submit to the </w:t>
      </w:r>
      <w:proofErr w:type="spellStart"/>
      <w:r>
        <w:rPr>
          <w:lang w:eastAsia="en-US"/>
        </w:rPr>
        <w:t>auDA</w:t>
      </w:r>
      <w:proofErr w:type="spellEnd"/>
      <w:r>
        <w:rPr>
          <w:lang w:eastAsia="en-US"/>
        </w:rPr>
        <w:t xml:space="preserve"> Names Panel on the implementation of direct registrations.</w:t>
      </w:r>
    </w:p>
    <w:p w:rsidR="002D75D7" w:rsidRDefault="002D75D7" w:rsidP="002D75D7">
      <w:pPr>
        <w:rPr>
          <w:lang w:eastAsia="en-US"/>
        </w:rPr>
      </w:pPr>
      <w:r>
        <w:rPr>
          <w:lang w:eastAsia="en-US"/>
        </w:rPr>
        <w:t>ACCAN consulted with its members (organisational and individual) in the drafting of this response and sought broader community comment.</w:t>
      </w:r>
    </w:p>
    <w:p w:rsidR="002D75D7" w:rsidRDefault="002D75D7" w:rsidP="002D75D7">
      <w:pPr>
        <w:rPr>
          <w:lang w:eastAsia="en-US"/>
        </w:rPr>
      </w:pPr>
      <w:r>
        <w:rPr>
          <w:lang w:eastAsia="en-US"/>
        </w:rPr>
        <w:t>As well as addressing some of the questions posed in the Issues Paper, ACCAN would also like to provide feedback and recommendations on:</w:t>
      </w:r>
    </w:p>
    <w:p w:rsidR="002D75D7" w:rsidRDefault="002D75D7" w:rsidP="002D75D7">
      <w:pPr>
        <w:pStyle w:val="ListParagraph"/>
        <w:numPr>
          <w:ilvl w:val="0"/>
          <w:numId w:val="25"/>
        </w:numPr>
      </w:pPr>
      <w:r>
        <w:t>whether priority should be given to existing registrants</w:t>
      </w:r>
    </w:p>
    <w:p w:rsidR="002D75D7" w:rsidRDefault="002D75D7" w:rsidP="002D75D7">
      <w:pPr>
        <w:pStyle w:val="ListParagraph"/>
        <w:numPr>
          <w:ilvl w:val="0"/>
          <w:numId w:val="25"/>
        </w:numPr>
      </w:pPr>
      <w:r>
        <w:t>restrictions on registrant eligibility</w:t>
      </w:r>
    </w:p>
    <w:p w:rsidR="002D75D7" w:rsidRDefault="002D75D7" w:rsidP="002D75D7">
      <w:pPr>
        <w:pStyle w:val="ListParagraph"/>
        <w:numPr>
          <w:ilvl w:val="0"/>
          <w:numId w:val="25"/>
        </w:numPr>
      </w:pPr>
      <w:proofErr w:type="gramStart"/>
      <w:r>
        <w:t>general</w:t>
      </w:r>
      <w:proofErr w:type="gramEnd"/>
      <w:r>
        <w:t xml:space="preserve"> regulation approach</w:t>
      </w:r>
      <w:r w:rsidR="00E31A9A">
        <w:t xml:space="preserve"> to the Australian name space (.au)</w:t>
      </w:r>
      <w:r>
        <w:t>.</w:t>
      </w:r>
    </w:p>
    <w:p w:rsidR="001721CC" w:rsidRDefault="001721CC" w:rsidP="001721CC">
      <w:pPr>
        <w:pStyle w:val="Heading2"/>
      </w:pPr>
      <w:bookmarkStart w:id="2" w:name="_Toc498093553"/>
      <w:r>
        <w:t>Review background</w:t>
      </w:r>
      <w:r w:rsidR="005029FB">
        <w:t xml:space="preserve"> and scope</w:t>
      </w:r>
      <w:bookmarkEnd w:id="2"/>
    </w:p>
    <w:p w:rsidR="00D90643" w:rsidRDefault="00D90643" w:rsidP="00D90643">
      <w:r>
        <w:rPr>
          <w:lang w:eastAsia="en-US"/>
        </w:rPr>
        <w:t xml:space="preserve">The </w:t>
      </w:r>
      <w:proofErr w:type="spellStart"/>
      <w:r>
        <w:rPr>
          <w:lang w:eastAsia="en-US"/>
        </w:rPr>
        <w:t>auDA</w:t>
      </w:r>
      <w:proofErr w:type="spellEnd"/>
      <w:r>
        <w:rPr>
          <w:lang w:eastAsia="en-US"/>
        </w:rPr>
        <w:t xml:space="preserve"> Board has convened the Names Policy Review Panel to make recommendations on:</w:t>
      </w:r>
    </w:p>
    <w:p w:rsidR="00D90643" w:rsidRDefault="00D90643" w:rsidP="00D90643">
      <w:pPr>
        <w:numPr>
          <w:ilvl w:val="0"/>
          <w:numId w:val="37"/>
        </w:numPr>
        <w:spacing w:before="0" w:after="0"/>
      </w:pPr>
      <w:r>
        <w:rPr>
          <w:lang w:eastAsia="en-US"/>
        </w:rPr>
        <w:t xml:space="preserve">the development of an implementation policy for direct registration; and </w:t>
      </w:r>
    </w:p>
    <w:p w:rsidR="00D90643" w:rsidRDefault="00D90643" w:rsidP="00D90643">
      <w:pPr>
        <w:numPr>
          <w:ilvl w:val="0"/>
          <w:numId w:val="37"/>
        </w:numPr>
        <w:spacing w:before="0" w:after="0"/>
      </w:pPr>
      <w:proofErr w:type="gramStart"/>
      <w:r>
        <w:rPr>
          <w:lang w:eastAsia="en-US"/>
        </w:rPr>
        <w:t>policy</w:t>
      </w:r>
      <w:proofErr w:type="gramEnd"/>
      <w:r>
        <w:rPr>
          <w:lang w:eastAsia="en-US"/>
        </w:rPr>
        <w:t xml:space="preserve"> reform of a list of broader domain name management policies.</w:t>
      </w:r>
    </w:p>
    <w:p w:rsidR="00D90643" w:rsidRDefault="00D90643" w:rsidP="00D90643">
      <w:r>
        <w:rPr>
          <w:lang w:eastAsia="en-US"/>
        </w:rPr>
        <w:t>The review aims to examine and make recommendations on:</w:t>
      </w:r>
    </w:p>
    <w:p w:rsidR="00D90643" w:rsidRDefault="00D90643" w:rsidP="00D90643">
      <w:pPr>
        <w:numPr>
          <w:ilvl w:val="0"/>
          <w:numId w:val="36"/>
        </w:numPr>
        <w:spacing w:before="0" w:after="0"/>
      </w:pPr>
      <w:r>
        <w:rPr>
          <w:rFonts w:eastAsiaTheme="minorHAnsi"/>
          <w:lang w:eastAsia="en-US"/>
        </w:rPr>
        <w:t xml:space="preserve">establishing mechanisms to ensure </w:t>
      </w:r>
      <w:proofErr w:type="spellStart"/>
      <w:r>
        <w:rPr>
          <w:rFonts w:eastAsiaTheme="minorHAnsi"/>
          <w:lang w:eastAsia="en-US"/>
        </w:rPr>
        <w:t>auDA</w:t>
      </w:r>
      <w:proofErr w:type="spellEnd"/>
      <w:r>
        <w:rPr>
          <w:rFonts w:eastAsiaTheme="minorHAnsi"/>
          <w:lang w:eastAsia="en-US"/>
        </w:rPr>
        <w:t xml:space="preserve"> is responsive and accountable to the supply and demand sides of the Australian Internet Community;</w:t>
      </w:r>
    </w:p>
    <w:p w:rsidR="00D90643" w:rsidRDefault="00D90643" w:rsidP="00D90643">
      <w:pPr>
        <w:numPr>
          <w:ilvl w:val="0"/>
          <w:numId w:val="36"/>
        </w:numPr>
        <w:spacing w:before="166" w:after="166"/>
        <w:rPr>
          <w:rFonts w:eastAsiaTheme="minorHAnsi"/>
          <w:lang w:eastAsia="en-US"/>
        </w:rPr>
      </w:pPr>
      <w:r>
        <w:rPr>
          <w:rFonts w:eastAsiaTheme="minorHAnsi"/>
          <w:lang w:eastAsia="en-US"/>
        </w:rPr>
        <w:t>promotion of fair trading;</w:t>
      </w:r>
    </w:p>
    <w:p w:rsidR="00D90643" w:rsidRDefault="00D90643" w:rsidP="00D90643">
      <w:pPr>
        <w:numPr>
          <w:ilvl w:val="0"/>
          <w:numId w:val="36"/>
        </w:numPr>
        <w:spacing w:before="0" w:after="0"/>
        <w:rPr>
          <w:rFonts w:eastAsiaTheme="minorHAnsi"/>
          <w:lang w:eastAsia="en-US"/>
        </w:rPr>
      </w:pPr>
      <w:r>
        <w:rPr>
          <w:rFonts w:eastAsiaTheme="minorHAnsi"/>
          <w:lang w:eastAsia="en-US"/>
        </w:rPr>
        <w:t>promotion of consumer protection; and</w:t>
      </w:r>
    </w:p>
    <w:p w:rsidR="00D90643" w:rsidRDefault="00D90643" w:rsidP="00D90643">
      <w:pPr>
        <w:numPr>
          <w:ilvl w:val="0"/>
          <w:numId w:val="36"/>
        </w:numPr>
        <w:spacing w:before="0" w:after="0"/>
        <w:rPr>
          <w:rFonts w:eastAsiaTheme="minorHAnsi"/>
          <w:lang w:eastAsia="en-US"/>
        </w:rPr>
      </w:pPr>
      <w:proofErr w:type="gramStart"/>
      <w:r>
        <w:rPr>
          <w:rFonts w:eastAsiaTheme="minorHAnsi"/>
          <w:lang w:eastAsia="en-US"/>
        </w:rPr>
        <w:t>adopting</w:t>
      </w:r>
      <w:proofErr w:type="gramEnd"/>
      <w:r>
        <w:rPr>
          <w:rFonts w:eastAsiaTheme="minorHAnsi"/>
          <w:lang w:eastAsia="en-US"/>
        </w:rPr>
        <w:t xml:space="preserve"> open and transparent procedures which are inclusive of all parties having an interest in use of the domain name system in Australia.</w:t>
      </w:r>
    </w:p>
    <w:p w:rsidR="00D90643" w:rsidRDefault="00D90643" w:rsidP="00D90643">
      <w:r>
        <w:rPr>
          <w:lang w:eastAsia="en-US"/>
        </w:rPr>
        <w:t>Many Australian not-for-profit organisations and businesses currently have domain names for their internet presence under second level domains (2LDs)</w:t>
      </w:r>
      <w:r w:rsidR="00596014">
        <w:rPr>
          <w:lang w:eastAsia="en-US"/>
        </w:rPr>
        <w:t>, for example</w:t>
      </w:r>
      <w:r>
        <w:rPr>
          <w:lang w:eastAsia="en-US"/>
        </w:rPr>
        <w:t xml:space="preserve"> *.com.au and *.org.au. Recently </w:t>
      </w:r>
      <w:hyperlink r:id="rId11" w:history="1">
        <w:proofErr w:type="spellStart"/>
        <w:r w:rsidRPr="00506E60">
          <w:rPr>
            <w:rStyle w:val="Hyperlink"/>
            <w:lang w:eastAsia="en-US"/>
          </w:rPr>
          <w:t>auDA</w:t>
        </w:r>
        <w:proofErr w:type="spellEnd"/>
      </w:hyperlink>
      <w:r>
        <w:rPr>
          <w:lang w:eastAsia="en-US"/>
        </w:rPr>
        <w:t>,</w:t>
      </w:r>
      <w:r>
        <w:rPr>
          <w:color w:val="000000"/>
          <w:lang w:eastAsia="en-US"/>
        </w:rPr>
        <w:t xml:space="preserve"> </w:t>
      </w:r>
      <w:r w:rsidRPr="00506E60">
        <w:rPr>
          <w:rStyle w:val="InternetLink"/>
          <w:color w:val="000000"/>
          <w:u w:val="none"/>
          <w:lang w:eastAsia="en-US"/>
        </w:rPr>
        <w:t>the body responsible</w:t>
      </w:r>
      <w:r>
        <w:rPr>
          <w:lang w:eastAsia="en-US"/>
        </w:rPr>
        <w:t xml:space="preserve"> for Australia’s </w:t>
      </w:r>
      <w:r w:rsidR="00506E60">
        <w:rPr>
          <w:lang w:eastAsia="en-US"/>
        </w:rPr>
        <w:t xml:space="preserve">country code </w:t>
      </w:r>
      <w:r w:rsidR="00354513">
        <w:rPr>
          <w:lang w:eastAsia="en-US"/>
        </w:rPr>
        <w:t xml:space="preserve">top level </w:t>
      </w:r>
      <w:r>
        <w:rPr>
          <w:lang w:eastAsia="en-US"/>
        </w:rPr>
        <w:t>domain name system</w:t>
      </w:r>
      <w:r w:rsidR="00506E60">
        <w:rPr>
          <w:lang w:eastAsia="en-US"/>
        </w:rPr>
        <w:t xml:space="preserve"> (</w:t>
      </w:r>
      <w:proofErr w:type="spellStart"/>
      <w:r w:rsidR="00506E60">
        <w:rPr>
          <w:lang w:eastAsia="en-US"/>
        </w:rPr>
        <w:t>ccTLD</w:t>
      </w:r>
      <w:proofErr w:type="spellEnd"/>
      <w:r w:rsidR="00506E60">
        <w:rPr>
          <w:lang w:eastAsia="en-US"/>
        </w:rPr>
        <w:t>)</w:t>
      </w:r>
      <w:r>
        <w:rPr>
          <w:lang w:eastAsia="en-US"/>
        </w:rPr>
        <w:t>, agreed to introduce ‘direct registrations’. This is where an organisation’s chosen internet domain name does not use the familiar “*.com.au”, “*.net.au”, “*.org.au” forms and new names will be simply “</w:t>
      </w:r>
      <w:r>
        <w:rPr>
          <w:i/>
          <w:iCs/>
          <w:lang w:eastAsia="en-US"/>
        </w:rPr>
        <w:t>*</w:t>
      </w:r>
      <w:r>
        <w:rPr>
          <w:lang w:eastAsia="en-US"/>
        </w:rPr>
        <w:t>.au”.</w:t>
      </w:r>
    </w:p>
    <w:p w:rsidR="00D90643" w:rsidRDefault="00D90643" w:rsidP="00D90643">
      <w:r>
        <w:rPr>
          <w:lang w:eastAsia="en-US"/>
        </w:rPr>
        <w:t xml:space="preserve">The purpose of this is to simplify domain names and to broaden </w:t>
      </w:r>
      <w:r w:rsidR="00B910D0">
        <w:rPr>
          <w:lang w:eastAsia="en-US"/>
        </w:rPr>
        <w:t xml:space="preserve">the </w:t>
      </w:r>
      <w:r w:rsidR="00E31A9A">
        <w:rPr>
          <w:lang w:eastAsia="en-US"/>
        </w:rPr>
        <w:t>name space</w:t>
      </w:r>
      <w:r w:rsidR="00B910D0">
        <w:rPr>
          <w:lang w:eastAsia="en-US"/>
        </w:rPr>
        <w:t xml:space="preserve"> available. </w:t>
      </w:r>
      <w:proofErr w:type="spellStart"/>
      <w:proofErr w:type="gramStart"/>
      <w:r w:rsidR="00B910D0">
        <w:rPr>
          <w:lang w:eastAsia="en-US"/>
        </w:rPr>
        <w:t>auDA</w:t>
      </w:r>
      <w:proofErr w:type="spellEnd"/>
      <w:proofErr w:type="gramEnd"/>
      <w:r w:rsidR="00B910D0">
        <w:rPr>
          <w:lang w:eastAsia="en-US"/>
        </w:rPr>
        <w:t xml:space="preserve"> has constituted a </w:t>
      </w:r>
      <w:r>
        <w:rPr>
          <w:lang w:eastAsia="en-US"/>
        </w:rPr>
        <w:t>Names Policy Review Panel</w:t>
      </w:r>
      <w:r w:rsidR="00900B3B">
        <w:rPr>
          <w:rStyle w:val="FootnoteAnchor"/>
          <w:lang w:eastAsia="en-US"/>
        </w:rPr>
        <w:footnoteReference w:id="1"/>
      </w:r>
      <w:r w:rsidR="00900B3B">
        <w:rPr>
          <w:lang w:eastAsia="en-US"/>
        </w:rPr>
        <w:t xml:space="preserve"> </w:t>
      </w:r>
      <w:r w:rsidR="00B910D0">
        <w:rPr>
          <w:lang w:eastAsia="en-US"/>
        </w:rPr>
        <w:t>which</w:t>
      </w:r>
      <w:r>
        <w:rPr>
          <w:lang w:eastAsia="en-US"/>
        </w:rPr>
        <w:t xml:space="preserve"> has released an issues paper</w:t>
      </w:r>
      <w:r w:rsidR="00900B3B">
        <w:rPr>
          <w:rStyle w:val="FootnoteReference"/>
          <w:lang w:eastAsia="en-US"/>
        </w:rPr>
        <w:footnoteReference w:id="2"/>
      </w:r>
      <w:r w:rsidR="00900B3B">
        <w:rPr>
          <w:lang w:eastAsia="en-US"/>
        </w:rPr>
        <w:t xml:space="preserve"> </w:t>
      </w:r>
      <w:r>
        <w:rPr>
          <w:lang w:eastAsia="en-US"/>
        </w:rPr>
        <w:t>and is conducting a consultation on how this should be implemented to best protect all stakeholders (suppliers and domain name holders and users).</w:t>
      </w:r>
    </w:p>
    <w:p w:rsidR="00D90643" w:rsidRDefault="00D90643" w:rsidP="00D90643">
      <w:pPr>
        <w:rPr>
          <w:lang w:eastAsia="en-US"/>
        </w:rPr>
      </w:pPr>
      <w:r>
        <w:rPr>
          <w:lang w:eastAsia="en-US"/>
        </w:rPr>
        <w:lastRenderedPageBreak/>
        <w:t>Domain names are used to find resources and services on the internet such as web pages (e</w:t>
      </w:r>
      <w:r w:rsidR="00B910D0">
        <w:rPr>
          <w:lang w:eastAsia="en-US"/>
        </w:rPr>
        <w:t>.</w:t>
      </w:r>
      <w:r>
        <w:rPr>
          <w:lang w:eastAsia="en-US"/>
        </w:rPr>
        <w:t>g</w:t>
      </w:r>
      <w:r w:rsidR="00B910D0">
        <w:rPr>
          <w:lang w:eastAsia="en-US"/>
        </w:rPr>
        <w:t>.</w:t>
      </w:r>
      <w:r>
        <w:rPr>
          <w:lang w:eastAsia="en-US"/>
        </w:rPr>
        <w:t xml:space="preserve"> </w:t>
      </w:r>
      <w:hyperlink r:id="rId12">
        <w:r>
          <w:rPr>
            <w:rStyle w:val="InternetLink"/>
            <w:vanish/>
            <w:webHidden/>
            <w:lang w:eastAsia="en-US"/>
          </w:rPr>
          <w:t>www.accan.org.au</w:t>
        </w:r>
      </w:hyperlink>
      <w:r>
        <w:rPr>
          <w:lang w:eastAsia="en-US"/>
        </w:rPr>
        <w:t>) and email addresses (e</w:t>
      </w:r>
      <w:r w:rsidR="00B910D0">
        <w:rPr>
          <w:lang w:eastAsia="en-US"/>
        </w:rPr>
        <w:t>.</w:t>
      </w:r>
      <w:r>
        <w:rPr>
          <w:lang w:eastAsia="en-US"/>
        </w:rPr>
        <w:t>g</w:t>
      </w:r>
      <w:r w:rsidR="00B910D0">
        <w:rPr>
          <w:lang w:eastAsia="en-US"/>
        </w:rPr>
        <w:t>.</w:t>
      </w:r>
      <w:r>
        <w:rPr>
          <w:lang w:eastAsia="en-US"/>
        </w:rPr>
        <w:t xml:space="preserve"> </w:t>
      </w:r>
      <w:hyperlink r:id="rId13">
        <w:r>
          <w:rPr>
            <w:rStyle w:val="InternetLink"/>
            <w:vanish/>
            <w:webHidden/>
            <w:lang w:eastAsia="en-US"/>
          </w:rPr>
          <w:t>info@accan.org.au</w:t>
        </w:r>
      </w:hyperlink>
      <w:r w:rsidR="00B910D0">
        <w:rPr>
          <w:lang w:eastAsia="en-US"/>
        </w:rPr>
        <w:t>).</w:t>
      </w:r>
    </w:p>
    <w:p w:rsidR="00D90643" w:rsidRDefault="00D90643" w:rsidP="00D90643">
      <w:pPr>
        <w:rPr>
          <w:b/>
          <w:bCs/>
          <w:i/>
          <w:iCs/>
        </w:rPr>
      </w:pPr>
      <w:r>
        <w:rPr>
          <w:b/>
          <w:bCs/>
          <w:i/>
          <w:iCs/>
          <w:lang w:eastAsia="en-US"/>
        </w:rPr>
        <w:t>Examples</w:t>
      </w:r>
    </w:p>
    <w:tbl>
      <w:tblPr>
        <w:tblStyle w:val="TableGrid"/>
        <w:tblW w:w="8895" w:type="dxa"/>
        <w:tblInd w:w="334" w:type="dxa"/>
        <w:tblCellMar>
          <w:left w:w="98" w:type="dxa"/>
        </w:tblCellMar>
        <w:tblLook w:val="04A0" w:firstRow="1" w:lastRow="0" w:firstColumn="1" w:lastColumn="0" w:noHBand="0" w:noVBand="1"/>
      </w:tblPr>
      <w:tblGrid>
        <w:gridCol w:w="2729"/>
        <w:gridCol w:w="3090"/>
        <w:gridCol w:w="3076"/>
      </w:tblGrid>
      <w:tr w:rsidR="00D90643" w:rsidTr="00F0683E">
        <w:tc>
          <w:tcPr>
            <w:tcW w:w="2729" w:type="dxa"/>
            <w:shd w:val="clear" w:color="auto" w:fill="auto"/>
            <w:tcMar>
              <w:left w:w="98" w:type="dxa"/>
            </w:tcMar>
          </w:tcPr>
          <w:p w:rsidR="00D90643" w:rsidRDefault="00D90643" w:rsidP="00F0683E">
            <w:pPr>
              <w:spacing w:before="52" w:after="52"/>
            </w:pPr>
            <w:r>
              <w:rPr>
                <w:b/>
                <w:lang w:eastAsia="en-US"/>
              </w:rPr>
              <w:t>Current names</w:t>
            </w:r>
          </w:p>
        </w:tc>
        <w:tc>
          <w:tcPr>
            <w:tcW w:w="3090" w:type="dxa"/>
            <w:shd w:val="clear" w:color="auto" w:fill="auto"/>
            <w:tcMar>
              <w:left w:w="98" w:type="dxa"/>
            </w:tcMar>
          </w:tcPr>
          <w:p w:rsidR="00D90643" w:rsidRDefault="00D90643" w:rsidP="00F0683E">
            <w:pPr>
              <w:spacing w:before="52" w:after="52"/>
            </w:pPr>
            <w:r>
              <w:rPr>
                <w:b/>
                <w:lang w:eastAsia="en-US"/>
              </w:rPr>
              <w:t>Possible new names</w:t>
            </w:r>
          </w:p>
        </w:tc>
        <w:tc>
          <w:tcPr>
            <w:tcW w:w="3076" w:type="dxa"/>
            <w:shd w:val="clear" w:color="auto" w:fill="auto"/>
            <w:tcMar>
              <w:left w:w="98" w:type="dxa"/>
            </w:tcMar>
          </w:tcPr>
          <w:p w:rsidR="00D90643" w:rsidRDefault="00D90643" w:rsidP="00F0683E">
            <w:pPr>
              <w:spacing w:before="52" w:after="52"/>
            </w:pPr>
            <w:r>
              <w:rPr>
                <w:b/>
                <w:lang w:eastAsia="en-US"/>
              </w:rPr>
              <w:t>Example use</w:t>
            </w:r>
          </w:p>
        </w:tc>
      </w:tr>
      <w:tr w:rsidR="00D90643" w:rsidTr="00F0683E">
        <w:tc>
          <w:tcPr>
            <w:tcW w:w="2729" w:type="dxa"/>
            <w:shd w:val="clear" w:color="auto" w:fill="auto"/>
            <w:tcMar>
              <w:left w:w="98" w:type="dxa"/>
            </w:tcMar>
          </w:tcPr>
          <w:p w:rsidR="00D90643" w:rsidRDefault="00D90643" w:rsidP="00F0683E">
            <w:pPr>
              <w:spacing w:before="52" w:after="52"/>
            </w:pPr>
            <w:r>
              <w:rPr>
                <w:lang w:eastAsia="en-US"/>
              </w:rPr>
              <w:t>abc.net.au</w:t>
            </w:r>
          </w:p>
        </w:tc>
        <w:tc>
          <w:tcPr>
            <w:tcW w:w="3090" w:type="dxa"/>
            <w:shd w:val="clear" w:color="auto" w:fill="auto"/>
            <w:tcMar>
              <w:left w:w="98" w:type="dxa"/>
            </w:tcMar>
          </w:tcPr>
          <w:p w:rsidR="00D90643" w:rsidRDefault="00D90643" w:rsidP="00F0683E">
            <w:pPr>
              <w:spacing w:before="52" w:after="52"/>
            </w:pPr>
            <w:r>
              <w:rPr>
                <w:lang w:eastAsia="en-US"/>
              </w:rPr>
              <w:t>abc.au</w:t>
            </w:r>
          </w:p>
        </w:tc>
        <w:tc>
          <w:tcPr>
            <w:tcW w:w="3076" w:type="dxa"/>
            <w:shd w:val="clear" w:color="auto" w:fill="auto"/>
            <w:tcMar>
              <w:left w:w="98" w:type="dxa"/>
            </w:tcMar>
          </w:tcPr>
          <w:p w:rsidR="00D90643" w:rsidRDefault="00D90643" w:rsidP="00F0683E">
            <w:pPr>
              <w:spacing w:before="52" w:after="52"/>
            </w:pPr>
            <w:r>
              <w:rPr>
                <w:lang w:eastAsia="en-US"/>
              </w:rPr>
              <w:t>iview.abc.au</w:t>
            </w:r>
          </w:p>
        </w:tc>
      </w:tr>
      <w:tr w:rsidR="00D90643" w:rsidTr="00F0683E">
        <w:tc>
          <w:tcPr>
            <w:tcW w:w="2729" w:type="dxa"/>
            <w:shd w:val="clear" w:color="auto" w:fill="auto"/>
            <w:tcMar>
              <w:left w:w="98" w:type="dxa"/>
            </w:tcMar>
          </w:tcPr>
          <w:p w:rsidR="00D90643" w:rsidRDefault="00D90643" w:rsidP="00F0683E">
            <w:pPr>
              <w:spacing w:before="52" w:after="52"/>
            </w:pPr>
            <w:r>
              <w:rPr>
                <w:lang w:eastAsia="en-US"/>
              </w:rPr>
              <w:t>accan.org.au</w:t>
            </w:r>
          </w:p>
        </w:tc>
        <w:tc>
          <w:tcPr>
            <w:tcW w:w="3090" w:type="dxa"/>
            <w:shd w:val="clear" w:color="auto" w:fill="auto"/>
            <w:tcMar>
              <w:left w:w="98" w:type="dxa"/>
            </w:tcMar>
          </w:tcPr>
          <w:p w:rsidR="00D90643" w:rsidRDefault="00D90643" w:rsidP="00F0683E">
            <w:pPr>
              <w:spacing w:before="52" w:after="52"/>
            </w:pPr>
            <w:r>
              <w:rPr>
                <w:lang w:eastAsia="en-US"/>
              </w:rPr>
              <w:t>accan.au</w:t>
            </w:r>
          </w:p>
        </w:tc>
        <w:tc>
          <w:tcPr>
            <w:tcW w:w="3076" w:type="dxa"/>
            <w:shd w:val="clear" w:color="auto" w:fill="auto"/>
            <w:tcMar>
              <w:left w:w="98" w:type="dxa"/>
            </w:tcMar>
          </w:tcPr>
          <w:p w:rsidR="00D90643" w:rsidRDefault="00D90643" w:rsidP="00F0683E">
            <w:pPr>
              <w:spacing w:before="52" w:after="52"/>
            </w:pPr>
            <w:r>
              <w:rPr>
                <w:lang w:eastAsia="en-US"/>
              </w:rPr>
              <w:t>info@accan.au</w:t>
            </w:r>
          </w:p>
        </w:tc>
      </w:tr>
      <w:tr w:rsidR="00D90643" w:rsidTr="00F0683E">
        <w:tc>
          <w:tcPr>
            <w:tcW w:w="2729" w:type="dxa"/>
            <w:shd w:val="clear" w:color="auto" w:fill="auto"/>
            <w:tcMar>
              <w:left w:w="98" w:type="dxa"/>
            </w:tcMar>
          </w:tcPr>
          <w:p w:rsidR="00D90643" w:rsidRDefault="00D90643" w:rsidP="00F0683E">
            <w:pPr>
              <w:spacing w:before="52" w:after="52"/>
            </w:pPr>
            <w:r>
              <w:rPr>
                <w:lang w:eastAsia="en-US"/>
              </w:rPr>
              <w:t>tio.com.au</w:t>
            </w:r>
          </w:p>
        </w:tc>
        <w:tc>
          <w:tcPr>
            <w:tcW w:w="3090" w:type="dxa"/>
            <w:shd w:val="clear" w:color="auto" w:fill="auto"/>
            <w:tcMar>
              <w:left w:w="98" w:type="dxa"/>
            </w:tcMar>
          </w:tcPr>
          <w:p w:rsidR="00D90643" w:rsidRDefault="00D90643" w:rsidP="00F0683E">
            <w:pPr>
              <w:spacing w:before="52" w:after="52"/>
            </w:pPr>
            <w:r>
              <w:rPr>
                <w:lang w:eastAsia="en-US"/>
              </w:rPr>
              <w:t>tio.au</w:t>
            </w:r>
          </w:p>
        </w:tc>
        <w:tc>
          <w:tcPr>
            <w:tcW w:w="3076" w:type="dxa"/>
            <w:shd w:val="clear" w:color="auto" w:fill="auto"/>
            <w:tcMar>
              <w:left w:w="98" w:type="dxa"/>
            </w:tcMar>
          </w:tcPr>
          <w:p w:rsidR="00D90643" w:rsidRDefault="00D90643" w:rsidP="00F0683E">
            <w:pPr>
              <w:spacing w:before="52" w:after="52"/>
            </w:pPr>
            <w:r>
              <w:rPr>
                <w:lang w:eastAsia="en-US"/>
              </w:rPr>
              <w:t>www.tio.au</w:t>
            </w:r>
          </w:p>
        </w:tc>
      </w:tr>
    </w:tbl>
    <w:p w:rsidR="00D90643" w:rsidRDefault="00D90643" w:rsidP="00D90643"/>
    <w:p w:rsidR="00D90643" w:rsidRDefault="00D90643" w:rsidP="00E401A1">
      <w:pPr>
        <w:pStyle w:val="Heading2"/>
      </w:pPr>
      <w:bookmarkStart w:id="3" w:name="_Toc498093554"/>
      <w:r>
        <w:t>Direct registration background</w:t>
      </w:r>
      <w:bookmarkEnd w:id="3"/>
    </w:p>
    <w:p w:rsidR="00D90643" w:rsidRDefault="00D90643" w:rsidP="00D90643">
      <w:r>
        <w:rPr>
          <w:lang w:eastAsia="en-US"/>
        </w:rPr>
        <w:t>On 18 April 2016, the Board of .au Domain Administration Limited (</w:t>
      </w:r>
      <w:proofErr w:type="spellStart"/>
      <w:r>
        <w:rPr>
          <w:lang w:eastAsia="en-US"/>
        </w:rPr>
        <w:t>auDA</w:t>
      </w:r>
      <w:proofErr w:type="spellEnd"/>
      <w:r>
        <w:rPr>
          <w:lang w:eastAsia="en-US"/>
        </w:rPr>
        <w:t>) approved second level domain name registration in .au, known as direct registration. The existing 2LDs will continue to operate as dedicated domains for businesses, not-for-profit organisations, government, education and individuals.</w:t>
      </w:r>
    </w:p>
    <w:p w:rsidR="00D90643" w:rsidRDefault="00D90643" w:rsidP="00D90643">
      <w:r>
        <w:rPr>
          <w:lang w:eastAsia="en-US"/>
        </w:rPr>
        <w:t xml:space="preserve">ACCAN opposed this move at the time of the previous </w:t>
      </w:r>
      <w:proofErr w:type="spellStart"/>
      <w:r>
        <w:rPr>
          <w:lang w:eastAsia="en-US"/>
        </w:rPr>
        <w:t>auDA</w:t>
      </w:r>
      <w:proofErr w:type="spellEnd"/>
      <w:r>
        <w:rPr>
          <w:lang w:eastAsia="en-US"/>
        </w:rPr>
        <w:t xml:space="preserve"> consultation on the basis that it would increase consumer confusion and detract from the existing investment in marketing and branding made by many Australian organisations (registrants).</w:t>
      </w:r>
      <w:r w:rsidR="00596014">
        <w:rPr>
          <w:lang w:eastAsia="en-US"/>
        </w:rPr>
        <w:t xml:space="preserve"> ACCAN has not shifted from this central view.</w:t>
      </w:r>
    </w:p>
    <w:p w:rsidR="00D90643" w:rsidRDefault="00D90643" w:rsidP="00D90643">
      <w:pPr>
        <w:spacing w:beforeAutospacing="0" w:afterAutospacing="0"/>
        <w:rPr>
          <w:lang w:eastAsia="en-US"/>
        </w:rPr>
      </w:pPr>
      <w:proofErr w:type="spellStart"/>
      <w:proofErr w:type="gramStart"/>
      <w:r>
        <w:rPr>
          <w:lang w:eastAsia="en-US"/>
        </w:rPr>
        <w:t>auDA</w:t>
      </w:r>
      <w:proofErr w:type="spellEnd"/>
      <w:proofErr w:type="gramEnd"/>
      <w:r>
        <w:rPr>
          <w:lang w:eastAsia="en-US"/>
        </w:rPr>
        <w:t xml:space="preserve"> has canvased this topic on other dates in the past – these dates were not available at the time of writing and should be considered</w:t>
      </w:r>
      <w:r w:rsidR="00596014">
        <w:rPr>
          <w:lang w:eastAsia="en-US"/>
        </w:rPr>
        <w:t xml:space="preserve"> as part of the implementation process</w:t>
      </w:r>
      <w:r>
        <w:rPr>
          <w:lang w:eastAsia="en-US"/>
        </w:rPr>
        <w:t>.</w:t>
      </w:r>
    </w:p>
    <w:p w:rsidR="00D90643" w:rsidRDefault="00D90643" w:rsidP="00E401A1">
      <w:pPr>
        <w:pStyle w:val="Heading2"/>
      </w:pPr>
      <w:bookmarkStart w:id="4" w:name="__RefHeading___Toc498_122414714"/>
      <w:bookmarkStart w:id="5" w:name="_Toc498093555"/>
      <w:bookmarkEnd w:id="4"/>
      <w:r>
        <w:t>ACCAN view on domain space regulation</w:t>
      </w:r>
      <w:bookmarkEnd w:id="5"/>
    </w:p>
    <w:p w:rsidR="00D90643" w:rsidRDefault="00D90643" w:rsidP="00D90643">
      <w:pPr>
        <w:spacing w:beforeAutospacing="0" w:afterAutospacing="0"/>
        <w:rPr>
          <w:lang w:eastAsia="en-US"/>
        </w:rPr>
      </w:pPr>
      <w:r>
        <w:rPr>
          <w:lang w:eastAsia="en-US"/>
        </w:rPr>
        <w:t xml:space="preserve">ACCAN has taken the view that there is evidence that </w:t>
      </w:r>
      <w:r w:rsidR="00005C44">
        <w:rPr>
          <w:lang w:eastAsia="en-US"/>
        </w:rPr>
        <w:t>there is a lower incidence of abuse</w:t>
      </w:r>
      <w:r w:rsidR="00005C44">
        <w:rPr>
          <w:lang w:eastAsia="en-US"/>
        </w:rPr>
        <w:t>, such as spam, malware and phishing,</w:t>
      </w:r>
      <w:r w:rsidR="00005C44">
        <w:rPr>
          <w:lang w:eastAsia="en-US"/>
        </w:rPr>
        <w:t xml:space="preserve"> in </w:t>
      </w:r>
      <w:r>
        <w:rPr>
          <w:lang w:eastAsia="en-US"/>
        </w:rPr>
        <w:t>well-regulated domain spaces</w:t>
      </w:r>
      <w:r>
        <w:rPr>
          <w:rStyle w:val="FootnoteAnchor"/>
          <w:lang w:eastAsia="en-US"/>
        </w:rPr>
        <w:footnoteReference w:id="3"/>
      </w:r>
      <w:r>
        <w:rPr>
          <w:lang w:eastAsia="en-US"/>
        </w:rPr>
        <w:t xml:space="preserve"> than </w:t>
      </w:r>
      <w:r w:rsidR="00005C44">
        <w:rPr>
          <w:lang w:eastAsia="en-US"/>
        </w:rPr>
        <w:t xml:space="preserve">in </w:t>
      </w:r>
      <w:r>
        <w:rPr>
          <w:lang w:eastAsia="en-US"/>
        </w:rPr>
        <w:t>those that are less well regulated.</w:t>
      </w:r>
      <w:r w:rsidR="00506E60">
        <w:rPr>
          <w:lang w:eastAsia="en-US"/>
        </w:rPr>
        <w:t xml:space="preserve"> </w:t>
      </w:r>
      <w:proofErr w:type="spellStart"/>
      <w:r w:rsidR="00506E60">
        <w:rPr>
          <w:lang w:eastAsia="en-US"/>
        </w:rPr>
        <w:t>Spamhaus</w:t>
      </w:r>
      <w:proofErr w:type="spellEnd"/>
      <w:r w:rsidR="00506E60">
        <w:rPr>
          <w:lang w:eastAsia="en-US"/>
        </w:rPr>
        <w:t xml:space="preserve"> currently rates the .au </w:t>
      </w:r>
      <w:proofErr w:type="spellStart"/>
      <w:r w:rsidR="00506E60">
        <w:rPr>
          <w:lang w:eastAsia="en-US"/>
        </w:rPr>
        <w:t>ccTLD</w:t>
      </w:r>
      <w:proofErr w:type="spellEnd"/>
      <w:r w:rsidR="00506E60">
        <w:rPr>
          <w:lang w:eastAsia="en-US"/>
        </w:rPr>
        <w:t xml:space="preserve"> as a very low source of spam</w:t>
      </w:r>
      <w:r w:rsidR="00506E60">
        <w:rPr>
          <w:rStyle w:val="FootnoteReference"/>
          <w:lang w:eastAsia="en-US"/>
        </w:rPr>
        <w:footnoteReference w:id="4"/>
      </w:r>
      <w:r w:rsidR="00506E60">
        <w:rPr>
          <w:lang w:eastAsia="en-US"/>
        </w:rPr>
        <w:t>.</w:t>
      </w:r>
      <w:r>
        <w:rPr>
          <w:lang w:eastAsia="en-US"/>
        </w:rPr>
        <w:t xml:space="preserve"> It is ACCAN’s view that the value inherent in the *.au </w:t>
      </w:r>
      <w:r w:rsidR="00E31A9A">
        <w:rPr>
          <w:lang w:eastAsia="en-US"/>
        </w:rPr>
        <w:t>name space</w:t>
      </w:r>
      <w:r>
        <w:rPr>
          <w:lang w:eastAsia="en-US"/>
        </w:rPr>
        <w:t xml:space="preserve"> is its:</w:t>
      </w:r>
    </w:p>
    <w:p w:rsidR="00D90643" w:rsidRDefault="00D90643" w:rsidP="00D90643">
      <w:pPr>
        <w:numPr>
          <w:ilvl w:val="0"/>
          <w:numId w:val="39"/>
        </w:numPr>
        <w:spacing w:before="0" w:beforeAutospacing="0" w:after="0" w:afterAutospacing="0"/>
        <w:rPr>
          <w:lang w:eastAsia="en-US"/>
        </w:rPr>
      </w:pPr>
      <w:r>
        <w:rPr>
          <w:lang w:eastAsia="en-US"/>
        </w:rPr>
        <w:t>association with Australia;</w:t>
      </w:r>
    </w:p>
    <w:p w:rsidR="00D90643" w:rsidRDefault="00D90643" w:rsidP="00D90643">
      <w:pPr>
        <w:numPr>
          <w:ilvl w:val="0"/>
          <w:numId w:val="39"/>
        </w:numPr>
        <w:spacing w:before="0" w:beforeAutospacing="0" w:after="0" w:afterAutospacing="0"/>
        <w:rPr>
          <w:lang w:eastAsia="en-US"/>
        </w:rPr>
      </w:pPr>
      <w:r>
        <w:rPr>
          <w:lang w:eastAsia="en-US"/>
        </w:rPr>
        <w:t>the perception of good access to the Australian legal system and the applicability of Australian consumer law; and</w:t>
      </w:r>
    </w:p>
    <w:p w:rsidR="00D90643" w:rsidRDefault="00D90643" w:rsidP="00D90643">
      <w:pPr>
        <w:numPr>
          <w:ilvl w:val="0"/>
          <w:numId w:val="39"/>
        </w:numPr>
        <w:spacing w:before="0" w:beforeAutospacing="0" w:after="0" w:afterAutospacing="0"/>
        <w:rPr>
          <w:lang w:eastAsia="en-US"/>
        </w:rPr>
      </w:pPr>
      <w:proofErr w:type="gramStart"/>
      <w:r>
        <w:rPr>
          <w:lang w:eastAsia="en-US"/>
        </w:rPr>
        <w:t>high</w:t>
      </w:r>
      <w:proofErr w:type="gramEnd"/>
      <w:r>
        <w:rPr>
          <w:lang w:eastAsia="en-US"/>
        </w:rPr>
        <w:t xml:space="preserve"> likelihood of names therein belong</w:t>
      </w:r>
      <w:r w:rsidR="00A028BC">
        <w:rPr>
          <w:lang w:eastAsia="en-US"/>
        </w:rPr>
        <w:t>ing</w:t>
      </w:r>
      <w:r>
        <w:rPr>
          <w:lang w:eastAsia="en-US"/>
        </w:rPr>
        <w:t xml:space="preserve"> to an Australian business or entity (believed to be generally trustworthy).</w:t>
      </w:r>
    </w:p>
    <w:p w:rsidR="00031ECC" w:rsidRDefault="00E31A9A">
      <w:pPr>
        <w:spacing w:before="0" w:beforeAutospacing="0" w:after="0" w:afterAutospacing="0"/>
        <w:rPr>
          <w:lang w:eastAsia="en-US"/>
        </w:rPr>
      </w:pPr>
      <w:r>
        <w:rPr>
          <w:lang w:eastAsia="en-US"/>
        </w:rPr>
        <w:t>Thus it is ACCAN’s view that regulation should be robust and enforced within the .au name space.</w:t>
      </w:r>
    </w:p>
    <w:p w:rsidR="00516DE7" w:rsidRDefault="00516DE7" w:rsidP="00516DE7">
      <w:pPr>
        <w:pStyle w:val="Heading1"/>
      </w:pPr>
      <w:bookmarkStart w:id="6" w:name="_Toc498093556"/>
      <w:r>
        <w:lastRenderedPageBreak/>
        <w:t>Responses to Issues Paper</w:t>
      </w:r>
      <w:bookmarkEnd w:id="6"/>
    </w:p>
    <w:p w:rsidR="00516DE7" w:rsidRPr="00516DE7" w:rsidRDefault="00516DE7" w:rsidP="00516DE7">
      <w:pPr>
        <w:pStyle w:val="Heading2"/>
      </w:pPr>
      <w:bookmarkStart w:id="7" w:name="__RefHeading___Toc502_122414714"/>
      <w:bookmarkStart w:id="8" w:name="_Toc498093557"/>
      <w:bookmarkEnd w:id="7"/>
      <w:r w:rsidRPr="00516DE7">
        <w:t>Broad questions</w:t>
      </w:r>
      <w:bookmarkEnd w:id="8"/>
    </w:p>
    <w:p w:rsidR="00516DE7" w:rsidRDefault="00516DE7" w:rsidP="00516DE7">
      <w:pPr>
        <w:pStyle w:val="Heading4"/>
      </w:pPr>
      <w:r>
        <w:t>Sentiment on direct registrations</w:t>
      </w:r>
    </w:p>
    <w:p w:rsidR="00516DE7" w:rsidRDefault="00516DE7" w:rsidP="00516DE7">
      <w:r>
        <w:t xml:space="preserve">ACCAN has continued to receive strongly expressed sentiments against the introduction of direct registrations. </w:t>
      </w:r>
      <w:r w:rsidR="00E31A9A">
        <w:t>It is our experience that m</w:t>
      </w:r>
      <w:r>
        <w:t>any consumers</w:t>
      </w:r>
      <w:r w:rsidR="00E31A9A">
        <w:t>, including internet users,</w:t>
      </w:r>
      <w:r>
        <w:t xml:space="preserve"> simply do not recognise </w:t>
      </w:r>
      <w:r w:rsidR="00E31A9A">
        <w:t xml:space="preserve">or </w:t>
      </w:r>
      <w:r w:rsidR="00005C44">
        <w:t xml:space="preserve">directly </w:t>
      </w:r>
      <w:proofErr w:type="gramStart"/>
      <w:r w:rsidR="00E31A9A">
        <w:t>use</w:t>
      </w:r>
      <w:proofErr w:type="gramEnd"/>
      <w:r w:rsidR="00E31A9A">
        <w:t xml:space="preserve"> </w:t>
      </w:r>
      <w:r>
        <w:t>domain names at all.</w:t>
      </w:r>
      <w:r w:rsidR="00005C44">
        <w:t xml:space="preserve"> Furthermore, few consumers in the broader community understand their system of regulation and allocation.</w:t>
      </w:r>
      <w:r>
        <w:t xml:space="preserve"> These two observations represent a strong argument for caution in the introduction of direct registrations and emphasise the need for </w:t>
      </w:r>
      <w:r w:rsidR="00E31A9A">
        <w:t>comprehensive</w:t>
      </w:r>
      <w:r>
        <w:t xml:space="preserve"> education and outreach initiatives</w:t>
      </w:r>
      <w:r w:rsidR="00AE049B">
        <w:t xml:space="preserve"> to accompany any change</w:t>
      </w:r>
      <w:r>
        <w:t>.</w:t>
      </w:r>
    </w:p>
    <w:p w:rsidR="00516DE7" w:rsidRDefault="00516DE7" w:rsidP="00516DE7">
      <w:pPr>
        <w:pStyle w:val="Heading4"/>
      </w:pPr>
      <w:r>
        <w:t>Should priority be given to existing name holders?</w:t>
      </w:r>
    </w:p>
    <w:p w:rsidR="00516DE7" w:rsidRDefault="00210F94" w:rsidP="00516DE7">
      <w:r>
        <w:rPr>
          <w:lang w:eastAsia="en-US"/>
        </w:rPr>
        <w:t xml:space="preserve">Under any system of direct registration, </w:t>
      </w:r>
      <w:r w:rsidR="00516DE7">
        <w:rPr>
          <w:lang w:eastAsia="en-US"/>
        </w:rPr>
        <w:t>ACCAN believes existing registrants should be given priority</w:t>
      </w:r>
      <w:r w:rsidR="00AE049B">
        <w:rPr>
          <w:lang w:eastAsia="en-US"/>
        </w:rPr>
        <w:t xml:space="preserve"> for a set period</w:t>
      </w:r>
      <w:r w:rsidR="00516DE7">
        <w:rPr>
          <w:lang w:eastAsia="en-US"/>
        </w:rPr>
        <w:t xml:space="preserve"> to license the new direct registration. This allows the existing investments in names to be protected. A</w:t>
      </w:r>
      <w:r w:rsidR="00AE049B">
        <w:rPr>
          <w:lang w:eastAsia="en-US"/>
        </w:rPr>
        <w:t>CCAN believes a</w:t>
      </w:r>
      <w:r w:rsidR="00516DE7">
        <w:rPr>
          <w:lang w:eastAsia="en-US"/>
        </w:rPr>
        <w:t>ll 2LD registra</w:t>
      </w:r>
      <w:r w:rsidR="00D66D8A">
        <w:rPr>
          <w:lang w:eastAsia="en-US"/>
        </w:rPr>
        <w:t>nt</w:t>
      </w:r>
      <w:r w:rsidR="00516DE7">
        <w:rPr>
          <w:lang w:eastAsia="en-US"/>
        </w:rPr>
        <w:t>s should have the same degree of rights</w:t>
      </w:r>
      <w:r w:rsidR="001E78B2">
        <w:rPr>
          <w:lang w:eastAsia="en-US"/>
        </w:rPr>
        <w:t>.</w:t>
      </w:r>
    </w:p>
    <w:p w:rsidR="00516DE7" w:rsidRDefault="00516DE7" w:rsidP="00516DE7">
      <w:r>
        <w:rPr>
          <w:lang w:eastAsia="en-US"/>
        </w:rPr>
        <w:t xml:space="preserve">ACCAN recognises that priority also gives rights to existing holders that do </w:t>
      </w:r>
      <w:r>
        <w:rPr>
          <w:b/>
          <w:i/>
          <w:lang w:eastAsia="en-US"/>
        </w:rPr>
        <w:t>not</w:t>
      </w:r>
      <w:r>
        <w:rPr>
          <w:lang w:eastAsia="en-US"/>
        </w:rPr>
        <w:t xml:space="preserve"> actually </w:t>
      </w:r>
      <w:proofErr w:type="gramStart"/>
      <w:r>
        <w:rPr>
          <w:lang w:eastAsia="en-US"/>
        </w:rPr>
        <w:t>have a close matching business name</w:t>
      </w:r>
      <w:proofErr w:type="gramEnd"/>
      <w:r w:rsidR="00210F94">
        <w:rPr>
          <w:lang w:eastAsia="en-US"/>
        </w:rPr>
        <w:t>, trademark, or product,</w:t>
      </w:r>
      <w:r>
        <w:rPr>
          <w:lang w:eastAsia="en-US"/>
        </w:rPr>
        <w:t xml:space="preserve"> but hold </w:t>
      </w:r>
      <w:r w:rsidR="00D66D8A">
        <w:rPr>
          <w:lang w:eastAsia="en-US"/>
        </w:rPr>
        <w:t>names</w:t>
      </w:r>
      <w:r>
        <w:rPr>
          <w:lang w:eastAsia="en-US"/>
        </w:rPr>
        <w:t xml:space="preserve"> for historical reasons for example, or have acquired the rights through automated systems, thus locking out others with perhaps stronger moral claims to a name. Some care therefore should be taken in assessing the claims for existing rights.</w:t>
      </w:r>
    </w:p>
    <w:p w:rsidR="00516DE7" w:rsidRDefault="00516DE7" w:rsidP="00516DE7">
      <w:r>
        <w:rPr>
          <w:lang w:eastAsia="en-US"/>
        </w:rPr>
        <w:t>Priority should apply for a period of four years, backdating to the 18 April 2016 commencement and ending approximately two years after implementation in early 2018.</w:t>
      </w:r>
    </w:p>
    <w:p w:rsidR="00516DE7" w:rsidRDefault="00516DE7" w:rsidP="00516DE7">
      <w:pPr>
        <w:pStyle w:val="Heading4"/>
      </w:pPr>
      <w:r>
        <w:t>Should there be restrictions on eligibility?</w:t>
      </w:r>
    </w:p>
    <w:p w:rsidR="00516DE7" w:rsidRDefault="00516DE7" w:rsidP="00516DE7">
      <w:pPr>
        <w:rPr>
          <w:lang w:eastAsia="en-US"/>
        </w:rPr>
      </w:pPr>
      <w:r>
        <w:rPr>
          <w:lang w:eastAsia="en-US"/>
        </w:rPr>
        <w:t>Under the existing rules Australian organisations with an ABN can register under *.com.au and *.net.au, and Australian not-for-profits can register in *.org.au and *.asn.au with similar sector specific rules for the other categories. All organisations and individuals must demonstrate an Australian nexus.</w:t>
      </w:r>
    </w:p>
    <w:p w:rsidR="00516DE7" w:rsidRDefault="00516DE7" w:rsidP="00516DE7">
      <w:pPr>
        <w:rPr>
          <w:lang w:eastAsia="en-US"/>
        </w:rPr>
      </w:pPr>
      <w:r>
        <w:rPr>
          <w:lang w:eastAsia="en-US"/>
        </w:rPr>
        <w:t xml:space="preserve">These rules should be preserved and strengthened as it is ACCAN’s view that Australian consumers perceive a general connection between </w:t>
      </w:r>
      <w:r w:rsidRPr="00D66D8A">
        <w:rPr>
          <w:i/>
          <w:lang w:eastAsia="en-US"/>
        </w:rPr>
        <w:t>Australia</w:t>
      </w:r>
      <w:r>
        <w:rPr>
          <w:lang w:eastAsia="en-US"/>
        </w:rPr>
        <w:t xml:space="preserve"> and the use of *.au and a presumption that Australian Consumer Law will apply – a </w:t>
      </w:r>
      <w:r w:rsidR="00210F94">
        <w:rPr>
          <w:lang w:eastAsia="en-US"/>
        </w:rPr>
        <w:t>perception</w:t>
      </w:r>
      <w:r>
        <w:rPr>
          <w:lang w:eastAsia="en-US"/>
        </w:rPr>
        <w:t xml:space="preserve"> which should be strengthened not weakened.</w:t>
      </w:r>
      <w:r w:rsidR="001B70A1">
        <w:rPr>
          <w:lang w:eastAsia="en-US"/>
        </w:rPr>
        <w:t xml:space="preserve"> Australian consumers expect that entities registered within *.au </w:t>
      </w:r>
      <w:proofErr w:type="gramStart"/>
      <w:r w:rsidR="001B70A1">
        <w:rPr>
          <w:lang w:eastAsia="en-US"/>
        </w:rPr>
        <w:t>have</w:t>
      </w:r>
      <w:proofErr w:type="gramEnd"/>
      <w:r w:rsidR="001B70A1" w:rsidRPr="001B70A1">
        <w:rPr>
          <w:lang w:eastAsia="en-US"/>
        </w:rPr>
        <w:t xml:space="preserve"> an Australian presence, is physically located and</w:t>
      </w:r>
      <w:r w:rsidR="001B70A1">
        <w:rPr>
          <w:lang w:eastAsia="en-US"/>
        </w:rPr>
        <w:t>/or</w:t>
      </w:r>
      <w:r w:rsidR="001B70A1" w:rsidRPr="001B70A1">
        <w:rPr>
          <w:lang w:eastAsia="en-US"/>
        </w:rPr>
        <w:t xml:space="preserve"> does business in Australia.</w:t>
      </w:r>
    </w:p>
    <w:p w:rsidR="002C13E6" w:rsidRDefault="002C13E6" w:rsidP="002C13E6">
      <w:pPr>
        <w:rPr>
          <w:lang w:eastAsia="en-US"/>
        </w:rPr>
      </w:pPr>
      <w:r>
        <w:rPr>
          <w:lang w:eastAsia="en-US"/>
        </w:rPr>
        <w:t>Any Australian resident</w:t>
      </w:r>
      <w:r w:rsidR="00210F94">
        <w:rPr>
          <w:lang w:eastAsia="en-US"/>
        </w:rPr>
        <w:t>,</w:t>
      </w:r>
      <w:r>
        <w:rPr>
          <w:lang w:eastAsia="en-US"/>
        </w:rPr>
        <w:t xml:space="preserve"> or citizen</w:t>
      </w:r>
      <w:r w:rsidR="00210F94">
        <w:rPr>
          <w:lang w:eastAsia="en-US"/>
        </w:rPr>
        <w:t>,</w:t>
      </w:r>
      <w:r>
        <w:rPr>
          <w:lang w:eastAsia="en-US"/>
        </w:rPr>
        <w:t xml:space="preserve"> should therefore be able to register a domain name within the .au name space as well as business organisation, not-for-profit entity, association, sole trader or partnership as recognised under Australian law. The level of proof required should be an </w:t>
      </w:r>
      <w:r w:rsidR="00210F94">
        <w:rPr>
          <w:lang w:eastAsia="en-US"/>
        </w:rPr>
        <w:t xml:space="preserve">appropriate </w:t>
      </w:r>
      <w:r>
        <w:rPr>
          <w:lang w:eastAsia="en-US"/>
        </w:rPr>
        <w:t>Australian identity document, including ABN documentation such as that found in the ASIC and ACNC databases. Further, the</w:t>
      </w:r>
      <w:r w:rsidRPr="002F5516">
        <w:rPr>
          <w:lang w:eastAsia="en-US"/>
        </w:rPr>
        <w:t xml:space="preserve"> requirement that there must be a close and substantial connection between the name and applicant</w:t>
      </w:r>
      <w:r>
        <w:rPr>
          <w:lang w:eastAsia="en-US"/>
        </w:rPr>
        <w:t xml:space="preserve"> must be retained and reinforced.</w:t>
      </w:r>
    </w:p>
    <w:p w:rsidR="00E643DC" w:rsidRDefault="00E643DC" w:rsidP="00516DE7">
      <w:pPr>
        <w:rPr>
          <w:lang w:eastAsia="en-US"/>
        </w:rPr>
      </w:pPr>
      <w:r>
        <w:rPr>
          <w:lang w:eastAsia="en-US"/>
        </w:rPr>
        <w:lastRenderedPageBreak/>
        <w:t xml:space="preserve">The existing </w:t>
      </w:r>
      <w:r w:rsidRPr="00E643DC">
        <w:rPr>
          <w:lang w:eastAsia="en-US"/>
        </w:rPr>
        <w:t>requirement that there must be a close and substantial connection between the name and applicant</w:t>
      </w:r>
      <w:r>
        <w:rPr>
          <w:lang w:eastAsia="en-US"/>
        </w:rPr>
        <w:t xml:space="preserve"> must be preserved and reinforced.</w:t>
      </w:r>
    </w:p>
    <w:p w:rsidR="00516DE7" w:rsidRDefault="00516DE7" w:rsidP="00516DE7">
      <w:pPr>
        <w:spacing w:beforeAutospacing="0" w:afterAutospacing="0"/>
      </w:pPr>
      <w:r>
        <w:rPr>
          <w:lang w:eastAsia="en-US"/>
        </w:rPr>
        <w:t>Rules allowing for rapid deregistration should be strengthened in order to reduce the likelihood of fraud, and this approach should be applied more broadly to other parts of the *.au name space.</w:t>
      </w:r>
    </w:p>
    <w:p w:rsidR="00516DE7" w:rsidRDefault="00516DE7" w:rsidP="00516DE7">
      <w:pPr>
        <w:pStyle w:val="Heading4"/>
      </w:pPr>
      <w:r>
        <w:t>New Zealand model</w:t>
      </w:r>
    </w:p>
    <w:p w:rsidR="00516DE7" w:rsidRDefault="00516DE7" w:rsidP="00516DE7">
      <w:pPr>
        <w:rPr>
          <w:lang w:eastAsia="en-US"/>
        </w:rPr>
      </w:pPr>
      <w:r>
        <w:rPr>
          <w:lang w:eastAsia="en-US"/>
        </w:rPr>
        <w:t>New Zealand recently also introduced direct registrations, with a model that allows for clear priority where eligibility dates from the date of first canvasing the introduction of direct registrations. The model used appears sound and should be reflected in the Australian model as much as possible.</w:t>
      </w:r>
      <w:r w:rsidR="001E78B2">
        <w:rPr>
          <w:lang w:eastAsia="en-US"/>
        </w:rPr>
        <w:t xml:space="preserve"> Note that the </w:t>
      </w:r>
      <w:proofErr w:type="spellStart"/>
      <w:r w:rsidR="001E78B2">
        <w:rPr>
          <w:lang w:eastAsia="en-US"/>
        </w:rPr>
        <w:t>auDA</w:t>
      </w:r>
      <w:proofErr w:type="spellEnd"/>
      <w:r w:rsidR="001E78B2">
        <w:rPr>
          <w:lang w:eastAsia="en-US"/>
        </w:rPr>
        <w:t xml:space="preserve"> Issues Paper does not correctly describe the New Zealand implementation model.</w:t>
      </w:r>
    </w:p>
    <w:p w:rsidR="008D12FC" w:rsidRDefault="008D12FC" w:rsidP="00516DE7">
      <w:pPr>
        <w:rPr>
          <w:lang w:eastAsia="en-US"/>
        </w:rPr>
      </w:pPr>
    </w:p>
    <w:p w:rsidR="000F0494" w:rsidRPr="000F0494" w:rsidRDefault="000F0494" w:rsidP="000F0494">
      <w:pPr>
        <w:pStyle w:val="Heading2"/>
      </w:pPr>
      <w:bookmarkStart w:id="9" w:name="_Toc498093558"/>
      <w:r w:rsidRPr="000F0494">
        <w:t>Issues Paper questions</w:t>
      </w:r>
      <w:bookmarkEnd w:id="9"/>
    </w:p>
    <w:p w:rsidR="000F0494" w:rsidRDefault="000F0494" w:rsidP="000F0494">
      <w:pPr>
        <w:pStyle w:val="Heading4"/>
      </w:pPr>
      <w:r>
        <w:t>What date should be chosen as the cut-off date for determining registrant eligibility for priority registration of the second level domain name, and why?</w:t>
      </w:r>
    </w:p>
    <w:p w:rsidR="000F0494" w:rsidRDefault="000F0494" w:rsidP="000F0494">
      <w:r>
        <w:rPr>
          <w:rFonts w:eastAsiaTheme="minorHAnsi"/>
        </w:rPr>
        <w:t>The cut-off date should be from 18 April 2016, with consideration of earlier dates from the time of prior canvasing of direct registrations as per the New Zealand model. This allows for the fairest allocation of priority on the basis that allocations subsequent to 18 April 2016 are more likely to be speculative in nature and not necessarily reflect business intentions.</w:t>
      </w:r>
    </w:p>
    <w:p w:rsidR="000F0494" w:rsidRDefault="000F0494" w:rsidP="000F0494">
      <w:pPr>
        <w:pStyle w:val="Heading4"/>
      </w:pPr>
      <w:r>
        <w:t>Should the holders of domain names at the fourth level within edu.au and gov.au be eligible for priority registration? If so, what rules should apply?</w:t>
      </w:r>
    </w:p>
    <w:p w:rsidR="00210F94" w:rsidRDefault="000F0494" w:rsidP="000F0494">
      <w:r>
        <w:t>Australian educational institutions with names under various *.edu.au</w:t>
      </w:r>
      <w:r w:rsidR="00210F94">
        <w:t xml:space="preserve"> and *.gov.au</w:t>
      </w:r>
      <w:r>
        <w:t xml:space="preserve"> spaces, should have priority for the new names where the name is distinctive, i.e. without a clash, and not simply the geographic locality or generic discipline </w:t>
      </w:r>
      <w:r w:rsidR="001B70A1">
        <w:t>(i.e. not simply</w:t>
      </w:r>
      <w:r>
        <w:t xml:space="preserve"> </w:t>
      </w:r>
      <w:r w:rsidRPr="000F0494">
        <w:rPr>
          <w:i/>
        </w:rPr>
        <w:t>arts</w:t>
      </w:r>
      <w:r>
        <w:t>.uni</w:t>
      </w:r>
      <w:r w:rsidR="00210F94">
        <w:t>-name</w:t>
      </w:r>
      <w:r>
        <w:t>.edu.au</w:t>
      </w:r>
      <w:r w:rsidR="001B70A1">
        <w:t>)</w:t>
      </w:r>
      <w:r>
        <w:t>. This will allow for unique institutions to claim pre-existing rights.</w:t>
      </w:r>
    </w:p>
    <w:p w:rsidR="000F0494" w:rsidRDefault="00AE049B" w:rsidP="000F0494">
      <w:r>
        <w:t xml:space="preserve">Government entities performing similar functions at the state level should be encouraged to collaborate such that combined </w:t>
      </w:r>
      <w:r w:rsidR="00210F94">
        <w:t>services</w:t>
      </w:r>
      <w:r>
        <w:t xml:space="preserve"> such as roads.au or transport.au may be possible.</w:t>
      </w:r>
      <w:r w:rsidR="00E747F5">
        <w:t xml:space="preserve"> This has particular merit for such generic functions. </w:t>
      </w:r>
      <w:r w:rsidR="001E78B2">
        <w:t>F</w:t>
      </w:r>
      <w:r w:rsidR="00E747F5">
        <w:t>ederal</w:t>
      </w:r>
      <w:r w:rsidR="001E78B2">
        <w:t>, or Australia-wide, functions</w:t>
      </w:r>
      <w:r w:rsidR="00E747F5">
        <w:t xml:space="preserve"> should take priority over state functions (e.g. communications.au and health.au) but again collaboration should be encouraged where possible. Liaison with the management of the gov.au name space should be undertaken to conduct an appropriate audit for consideration for reservation.</w:t>
      </w:r>
    </w:p>
    <w:p w:rsidR="000F0494" w:rsidRDefault="000F0494" w:rsidP="000F0494">
      <w:pPr>
        <w:pStyle w:val="Heading4"/>
      </w:pPr>
      <w:r>
        <w:t>What process should be implemented to resolve competing claims to the same .au name and why? Should registrants whose claim is unsuccessful be given priority to register another second level domain name?</w:t>
      </w:r>
    </w:p>
    <w:p w:rsidR="000F0494" w:rsidRDefault="000F0494" w:rsidP="000F0494">
      <w:pPr>
        <w:rPr>
          <w:rFonts w:eastAsiaTheme="minorHAnsi" w:cs="Calibri"/>
          <w:lang w:eastAsia="en-US"/>
        </w:rPr>
      </w:pPr>
      <w:r>
        <w:rPr>
          <w:rFonts w:eastAsiaTheme="minorHAnsi" w:cs="Calibri"/>
          <w:lang w:eastAsia="en-US"/>
        </w:rPr>
        <w:t>ACCAN believes that registrations with the longest tenure and associated with a single organisational entity should have higher priority when licensing *.au names.</w:t>
      </w:r>
    </w:p>
    <w:p w:rsidR="000F0494" w:rsidRDefault="000F0494" w:rsidP="000F0494">
      <w:r>
        <w:rPr>
          <w:rFonts w:eastAsiaTheme="minorHAnsi" w:cs="Calibri"/>
          <w:lang w:eastAsia="en-US"/>
        </w:rPr>
        <w:lastRenderedPageBreak/>
        <w:t>In order to maximise fairness where the longest continuing registration cannot be established, a lottery should be held to resolve competing claims. Lotteries should not be held where the conflict exists with</w:t>
      </w:r>
      <w:r w:rsidR="00B55850">
        <w:rPr>
          <w:rFonts w:eastAsiaTheme="minorHAnsi" w:cs="Calibri"/>
          <w:lang w:eastAsia="en-US"/>
        </w:rPr>
        <w:t>in</w:t>
      </w:r>
      <w:r>
        <w:rPr>
          <w:rFonts w:eastAsiaTheme="minorHAnsi" w:cs="Calibri"/>
          <w:lang w:eastAsia="en-US"/>
        </w:rPr>
        <w:t xml:space="preserve"> a single entity</w:t>
      </w:r>
      <w:r w:rsidR="00B55850">
        <w:rPr>
          <w:rFonts w:eastAsiaTheme="minorHAnsi" w:cs="Calibri"/>
          <w:lang w:eastAsia="en-US"/>
        </w:rPr>
        <w:t>, i.e. where two domain names are registered to the same organisation/person</w:t>
      </w:r>
      <w:r>
        <w:rPr>
          <w:rFonts w:eastAsiaTheme="minorHAnsi" w:cs="Calibri"/>
          <w:lang w:eastAsia="en-US"/>
        </w:rPr>
        <w:t xml:space="preserve">. </w:t>
      </w:r>
      <w:r w:rsidR="007E67ED">
        <w:rPr>
          <w:rFonts w:eastAsiaTheme="minorHAnsi" w:cs="Calibri"/>
          <w:lang w:eastAsia="en-US"/>
        </w:rPr>
        <w:t xml:space="preserve">Multiple registrations to a single entity should correspond to multiple entries in the lottery, reflecting the level of diligence an entity has taken in </w:t>
      </w:r>
      <w:r w:rsidR="00210F94">
        <w:rPr>
          <w:rFonts w:eastAsiaTheme="minorHAnsi" w:cs="Calibri"/>
          <w:lang w:eastAsia="en-US"/>
        </w:rPr>
        <w:t>securing</w:t>
      </w:r>
      <w:r w:rsidR="007E67ED">
        <w:rPr>
          <w:rFonts w:eastAsiaTheme="minorHAnsi" w:cs="Calibri"/>
          <w:lang w:eastAsia="en-US"/>
        </w:rPr>
        <w:t xml:space="preserve"> the name</w:t>
      </w:r>
      <w:r w:rsidR="00210F94">
        <w:rPr>
          <w:rFonts w:eastAsiaTheme="minorHAnsi" w:cs="Calibri"/>
          <w:lang w:eastAsia="en-US"/>
        </w:rPr>
        <w:t xml:space="preserve"> for its use</w:t>
      </w:r>
      <w:r w:rsidR="007E67ED">
        <w:rPr>
          <w:rFonts w:eastAsiaTheme="minorHAnsi" w:cs="Calibri"/>
          <w:lang w:eastAsia="en-US"/>
        </w:rPr>
        <w:t>.</w:t>
      </w:r>
    </w:p>
    <w:p w:rsidR="000F0494" w:rsidRDefault="000F0494" w:rsidP="000F0494">
      <w:r>
        <w:rPr>
          <w:rFonts w:eastAsiaTheme="minorHAnsi" w:cs="Calibri"/>
          <w:lang w:eastAsia="en-US"/>
        </w:rPr>
        <w:t xml:space="preserve">Should </w:t>
      </w:r>
      <w:proofErr w:type="spellStart"/>
      <w:r>
        <w:rPr>
          <w:rFonts w:eastAsiaTheme="minorHAnsi" w:cs="Calibri"/>
          <w:lang w:eastAsia="en-US"/>
        </w:rPr>
        <w:t>auDA</w:t>
      </w:r>
      <w:proofErr w:type="spellEnd"/>
      <w:r>
        <w:rPr>
          <w:rFonts w:eastAsiaTheme="minorHAnsi" w:cs="Calibri"/>
          <w:lang w:eastAsia="en-US"/>
        </w:rPr>
        <w:t xml:space="preserve"> ultimately decide that an auction process is to be held</w:t>
      </w:r>
      <w:r w:rsidR="00210F94">
        <w:rPr>
          <w:rFonts w:eastAsiaTheme="minorHAnsi" w:cs="Calibri"/>
          <w:lang w:eastAsia="en-US"/>
        </w:rPr>
        <w:t>,</w:t>
      </w:r>
      <w:r>
        <w:rPr>
          <w:rFonts w:eastAsiaTheme="minorHAnsi" w:cs="Calibri"/>
          <w:lang w:eastAsia="en-US"/>
        </w:rPr>
        <w:t xml:space="preserve"> rather than a lottery process, </w:t>
      </w:r>
      <w:r w:rsidR="001E78B2">
        <w:rPr>
          <w:rFonts w:eastAsiaTheme="minorHAnsi" w:cs="Calibri"/>
          <w:lang w:eastAsia="en-US"/>
        </w:rPr>
        <w:t>auction proceeds</w:t>
      </w:r>
      <w:r>
        <w:rPr>
          <w:rFonts w:eastAsiaTheme="minorHAnsi" w:cs="Calibri"/>
          <w:lang w:eastAsia="en-US"/>
        </w:rPr>
        <w:t xml:space="preserve"> should be directed to positive</w:t>
      </w:r>
      <w:r w:rsidR="00210F94">
        <w:rPr>
          <w:rFonts w:eastAsiaTheme="minorHAnsi" w:cs="Calibri"/>
          <w:lang w:eastAsia="en-US"/>
        </w:rPr>
        <w:t xml:space="preserve"> internet-oriented</w:t>
      </w:r>
      <w:r>
        <w:rPr>
          <w:rFonts w:eastAsiaTheme="minorHAnsi" w:cs="Calibri"/>
          <w:lang w:eastAsia="en-US"/>
        </w:rPr>
        <w:t xml:space="preserve"> causes</w:t>
      </w:r>
      <w:r w:rsidR="00210F94">
        <w:rPr>
          <w:rFonts w:eastAsiaTheme="minorHAnsi" w:cs="Calibri"/>
          <w:lang w:eastAsia="en-US"/>
        </w:rPr>
        <w:t>, such as digital literacy and online safety programs</w:t>
      </w:r>
      <w:r>
        <w:rPr>
          <w:rFonts w:eastAsiaTheme="minorHAnsi" w:cs="Calibri"/>
          <w:lang w:eastAsia="en-US"/>
        </w:rPr>
        <w:t xml:space="preserve">, rather than profit for </w:t>
      </w:r>
      <w:proofErr w:type="spellStart"/>
      <w:r>
        <w:rPr>
          <w:rFonts w:eastAsiaTheme="minorHAnsi" w:cs="Calibri"/>
          <w:lang w:eastAsia="en-US"/>
        </w:rPr>
        <w:t>auDA</w:t>
      </w:r>
      <w:proofErr w:type="spellEnd"/>
      <w:r>
        <w:rPr>
          <w:rFonts w:eastAsiaTheme="minorHAnsi" w:cs="Calibri"/>
          <w:lang w:eastAsia="en-US"/>
        </w:rPr>
        <w:t>.</w:t>
      </w:r>
    </w:p>
    <w:p w:rsidR="000F0494" w:rsidRDefault="000F0494" w:rsidP="000F0494">
      <w:r>
        <w:rPr>
          <w:rFonts w:eastAsiaTheme="minorHAnsi" w:cs="Calibri"/>
          <w:lang w:eastAsia="en-US"/>
        </w:rPr>
        <w:t>An organisation may be happy to swap for another name if they miss out on a direct registration</w:t>
      </w:r>
      <w:r w:rsidR="00F25750">
        <w:rPr>
          <w:rFonts w:eastAsiaTheme="minorHAnsi" w:cs="Calibri"/>
          <w:lang w:eastAsia="en-US"/>
        </w:rPr>
        <w:t xml:space="preserve"> and implementation processes should take this into account</w:t>
      </w:r>
      <w:r>
        <w:rPr>
          <w:rFonts w:eastAsiaTheme="minorHAnsi" w:cs="Calibri"/>
          <w:lang w:eastAsia="en-US"/>
        </w:rPr>
        <w:t xml:space="preserve">. This can be </w:t>
      </w:r>
      <w:r w:rsidR="00F25750">
        <w:rPr>
          <w:rFonts w:eastAsiaTheme="minorHAnsi" w:cs="Calibri"/>
          <w:lang w:eastAsia="en-US"/>
        </w:rPr>
        <w:t>made available as an option</w:t>
      </w:r>
      <w:r>
        <w:rPr>
          <w:rFonts w:eastAsiaTheme="minorHAnsi" w:cs="Calibri"/>
          <w:lang w:eastAsia="en-US"/>
        </w:rPr>
        <w:t xml:space="preserve"> in the event another </w:t>
      </w:r>
      <w:r w:rsidR="00B55850">
        <w:rPr>
          <w:rFonts w:eastAsiaTheme="minorHAnsi" w:cs="Calibri"/>
          <w:lang w:eastAsia="en-US"/>
        </w:rPr>
        <w:t xml:space="preserve">similar </w:t>
      </w:r>
      <w:r>
        <w:rPr>
          <w:rFonts w:eastAsiaTheme="minorHAnsi" w:cs="Calibri"/>
          <w:lang w:eastAsia="en-US"/>
        </w:rPr>
        <w:t>domain name becomes vacant as a result of a direct registration.</w:t>
      </w:r>
    </w:p>
    <w:p w:rsidR="000F0494" w:rsidRDefault="000F0494" w:rsidP="000F0494">
      <w:pPr>
        <w:pStyle w:val="Heading4"/>
      </w:pPr>
      <w:r>
        <w:t>How much time should priority domain name holders have to exercise their right to register the matching *.au name before it is made available to the public for registration?</w:t>
      </w:r>
    </w:p>
    <w:p w:rsidR="000F0494" w:rsidRDefault="000F0494" w:rsidP="000F0494">
      <w:pPr>
        <w:rPr>
          <w:rFonts w:eastAsiaTheme="minorHAnsi" w:cs="Calibri"/>
          <w:lang w:eastAsia="en-US"/>
        </w:rPr>
      </w:pPr>
      <w:r>
        <w:rPr>
          <w:rFonts w:eastAsiaTheme="minorHAnsi" w:cs="Calibri"/>
          <w:lang w:eastAsia="en-US"/>
        </w:rPr>
        <w:t xml:space="preserve">Priority should </w:t>
      </w:r>
      <w:r w:rsidR="00F25750">
        <w:rPr>
          <w:rFonts w:eastAsiaTheme="minorHAnsi" w:cs="Calibri"/>
          <w:lang w:eastAsia="en-US"/>
        </w:rPr>
        <w:t>be able to be secured</w:t>
      </w:r>
      <w:r>
        <w:rPr>
          <w:rFonts w:eastAsiaTheme="minorHAnsi" w:cs="Calibri"/>
          <w:lang w:eastAsia="en-US"/>
        </w:rPr>
        <w:t xml:space="preserve"> for a period of four years, assuming the 18 April 2016 commencement and implementation early within 2018, or approximately two years after implementation.</w:t>
      </w:r>
    </w:p>
    <w:p w:rsidR="000F0494" w:rsidRDefault="000F0494" w:rsidP="000F0494">
      <w:pPr>
        <w:pStyle w:val="Heading4"/>
      </w:pPr>
      <w:r>
        <w:t>Should certain names be reserved for future use as 2LDs? Please indicate which names and why they should be reserved as future 2LDs?</w:t>
      </w:r>
    </w:p>
    <w:p w:rsidR="000F0494" w:rsidRDefault="000F0494" w:rsidP="000F0494">
      <w:pPr>
        <w:keepNext/>
      </w:pPr>
      <w:r>
        <w:t>The following should be considered for reservation:</w:t>
      </w:r>
    </w:p>
    <w:p w:rsidR="000F0494" w:rsidRDefault="000F0494" w:rsidP="000F0494">
      <w:pPr>
        <w:numPr>
          <w:ilvl w:val="0"/>
          <w:numId w:val="42"/>
        </w:numPr>
        <w:spacing w:before="223" w:after="223"/>
      </w:pPr>
      <w:r>
        <w:t>names within the</w:t>
      </w:r>
      <w:r w:rsidR="00F25750">
        <w:t xml:space="preserve"> current</w:t>
      </w:r>
      <w:r>
        <w:t xml:space="preserve"> ICANN</w:t>
      </w:r>
      <w:r w:rsidR="00B55850">
        <w:t xml:space="preserve"> generic top level domains (</w:t>
      </w:r>
      <w:proofErr w:type="spellStart"/>
      <w:r>
        <w:t>gTLD</w:t>
      </w:r>
      <w:r w:rsidR="00B55850">
        <w:t>s</w:t>
      </w:r>
      <w:proofErr w:type="spellEnd"/>
      <w:r w:rsidR="00B55850">
        <w:t>)</w:t>
      </w:r>
      <w:r>
        <w:t xml:space="preserve"> registration list</w:t>
      </w:r>
    </w:p>
    <w:p w:rsidR="000F0494" w:rsidRDefault="000F0494" w:rsidP="000F0494">
      <w:pPr>
        <w:numPr>
          <w:ilvl w:val="0"/>
          <w:numId w:val="42"/>
        </w:numPr>
        <w:spacing w:before="223" w:after="223"/>
      </w:pPr>
      <w:proofErr w:type="gramStart"/>
      <w:r>
        <w:t>bank</w:t>
      </w:r>
      <w:proofErr w:type="gramEnd"/>
      <w:r>
        <w:t>, shop, biz,</w:t>
      </w:r>
      <w:r w:rsidR="00B55850">
        <w:t xml:space="preserve"> museum</w:t>
      </w:r>
      <w:r>
        <w:t xml:space="preserve"> and other categories of long standing </w:t>
      </w:r>
      <w:proofErr w:type="spellStart"/>
      <w:r>
        <w:t>gTLDs</w:t>
      </w:r>
      <w:proofErr w:type="spellEnd"/>
      <w:r>
        <w:t xml:space="preserve"> with broad acceptance should be considered.</w:t>
      </w:r>
    </w:p>
    <w:p w:rsidR="000F0494" w:rsidRDefault="000F0494" w:rsidP="000F0494">
      <w:pPr>
        <w:pStyle w:val="Heading4"/>
      </w:pPr>
      <w:r>
        <w:t>Are there names whose use is not prohibited at law that should be reserved?</w:t>
      </w:r>
    </w:p>
    <w:p w:rsidR="000F0494" w:rsidRDefault="000F0494" w:rsidP="000F0494">
      <w:pPr>
        <w:pStyle w:val="Heading4"/>
      </w:pPr>
      <w:proofErr w:type="gramStart"/>
      <w:r>
        <w:rPr>
          <w:rFonts w:eastAsiaTheme="minorHAnsi" w:cs="Calibri"/>
        </w:rPr>
        <w:t>Should names that are potentially confusing or misleading when registered at the second level be reserved (</w:t>
      </w:r>
      <w:proofErr w:type="spellStart"/>
      <w:r>
        <w:rPr>
          <w:rFonts w:eastAsiaTheme="minorHAnsi" w:cs="Calibri"/>
        </w:rPr>
        <w:t>ie</w:t>
      </w:r>
      <w:proofErr w:type="spellEnd"/>
      <w:r>
        <w:rPr>
          <w:rFonts w:eastAsiaTheme="minorHAnsi" w:cs="Calibri"/>
        </w:rPr>
        <w:t xml:space="preserve"> not available for registration)?</w:t>
      </w:r>
      <w:proofErr w:type="gramEnd"/>
    </w:p>
    <w:p w:rsidR="000F0494" w:rsidRDefault="000F0494" w:rsidP="000F0494">
      <w:r>
        <w:rPr>
          <w:rFonts w:eastAsiaTheme="minorHAnsi" w:cs="Calibri"/>
          <w:lang w:eastAsia="en-US"/>
        </w:rPr>
        <w:t xml:space="preserve">Names reserved under ICANN’s </w:t>
      </w:r>
      <w:proofErr w:type="spellStart"/>
      <w:r>
        <w:rPr>
          <w:rFonts w:eastAsiaTheme="minorHAnsi" w:cs="Calibri"/>
          <w:lang w:eastAsia="en-US"/>
        </w:rPr>
        <w:t>gTLD</w:t>
      </w:r>
      <w:proofErr w:type="spellEnd"/>
      <w:r>
        <w:rPr>
          <w:rFonts w:eastAsiaTheme="minorHAnsi" w:cs="Calibri"/>
          <w:lang w:eastAsia="en-US"/>
        </w:rPr>
        <w:t xml:space="preserve"> exclusion policy and other relevant ICANN rules should be examined for preservation.</w:t>
      </w:r>
      <w:r w:rsidR="002C13E6" w:rsidRPr="002C13E6">
        <w:rPr>
          <w:rFonts w:eastAsiaTheme="minorHAnsi" w:cs="Calibri"/>
          <w:lang w:eastAsia="en-US"/>
        </w:rPr>
        <w:t xml:space="preserve"> </w:t>
      </w:r>
      <w:r w:rsidR="002C13E6">
        <w:rPr>
          <w:rFonts w:eastAsiaTheme="minorHAnsi" w:cs="Calibri"/>
          <w:lang w:eastAsia="en-US"/>
        </w:rPr>
        <w:t xml:space="preserve">Existing </w:t>
      </w:r>
      <w:proofErr w:type="spellStart"/>
      <w:r w:rsidR="002C13E6">
        <w:rPr>
          <w:rFonts w:eastAsiaTheme="minorHAnsi" w:cs="Calibri"/>
          <w:lang w:eastAsia="en-US"/>
        </w:rPr>
        <w:t>auDA</w:t>
      </w:r>
      <w:proofErr w:type="spellEnd"/>
      <w:r w:rsidR="002C13E6">
        <w:rPr>
          <w:rFonts w:eastAsiaTheme="minorHAnsi" w:cs="Calibri"/>
          <w:lang w:eastAsia="en-US"/>
        </w:rPr>
        <w:t xml:space="preserve"> reserved names should be preserved. ACCAN supports the addition of those </w:t>
      </w:r>
      <w:r w:rsidR="00F25750">
        <w:rPr>
          <w:rFonts w:eastAsiaTheme="minorHAnsi" w:cs="Calibri"/>
          <w:lang w:eastAsia="en-US"/>
        </w:rPr>
        <w:t xml:space="preserve">also </w:t>
      </w:r>
      <w:r w:rsidR="002C13E6">
        <w:rPr>
          <w:rFonts w:eastAsiaTheme="minorHAnsi" w:cs="Calibri"/>
          <w:lang w:eastAsia="en-US"/>
        </w:rPr>
        <w:t>proposed in the Issues Paper.</w:t>
      </w:r>
    </w:p>
    <w:p w:rsidR="000F0494" w:rsidRDefault="000F0494" w:rsidP="000F0494">
      <w:r>
        <w:rPr>
          <w:rFonts w:eastAsiaTheme="minorHAnsi" w:cs="Calibri"/>
          <w:lang w:eastAsia="en-US"/>
        </w:rPr>
        <w:t>Consumers may expect to find official court information at court.au or official policing information at police.au</w:t>
      </w:r>
      <w:r w:rsidR="00F25750">
        <w:rPr>
          <w:rFonts w:eastAsiaTheme="minorHAnsi" w:cs="Calibri"/>
          <w:lang w:eastAsia="en-US"/>
        </w:rPr>
        <w:t xml:space="preserve"> and these should be reserved</w:t>
      </w:r>
      <w:r>
        <w:rPr>
          <w:rFonts w:eastAsiaTheme="minorHAnsi" w:cs="Calibri"/>
          <w:lang w:eastAsia="en-US"/>
        </w:rPr>
        <w:t>. Other examples include parliament.au, emergency.au, bank.au</w:t>
      </w:r>
      <w:r w:rsidR="002C13E6">
        <w:rPr>
          <w:rFonts w:eastAsiaTheme="minorHAnsi" w:cs="Calibri"/>
          <w:lang w:eastAsia="en-US"/>
        </w:rPr>
        <w:t xml:space="preserve"> (and similarly for other financial institutions),</w:t>
      </w:r>
      <w:r>
        <w:rPr>
          <w:rFonts w:eastAsiaTheme="minorHAnsi" w:cs="Calibri"/>
          <w:lang w:eastAsia="en-US"/>
        </w:rPr>
        <w:t xml:space="preserve"> </w:t>
      </w:r>
      <w:r w:rsidR="00F25750">
        <w:rPr>
          <w:rFonts w:eastAsiaTheme="minorHAnsi" w:cs="Calibri"/>
          <w:lang w:eastAsia="en-US"/>
        </w:rPr>
        <w:t xml:space="preserve">military.au, </w:t>
      </w:r>
      <w:r>
        <w:rPr>
          <w:rFonts w:eastAsiaTheme="minorHAnsi" w:cs="Calibri"/>
          <w:lang w:eastAsia="en-US"/>
        </w:rPr>
        <w:t>navy.au</w:t>
      </w:r>
      <w:r w:rsidR="002C13E6">
        <w:rPr>
          <w:rFonts w:eastAsiaTheme="minorHAnsi" w:cs="Calibri"/>
          <w:lang w:eastAsia="en-US"/>
        </w:rPr>
        <w:t>,</w:t>
      </w:r>
      <w:r>
        <w:rPr>
          <w:rFonts w:eastAsiaTheme="minorHAnsi" w:cs="Calibri"/>
          <w:lang w:eastAsia="en-US"/>
        </w:rPr>
        <w:t xml:space="preserve"> </w:t>
      </w:r>
      <w:r w:rsidR="002C13E6">
        <w:rPr>
          <w:rFonts w:eastAsiaTheme="minorHAnsi" w:cs="Calibri"/>
          <w:lang w:eastAsia="en-US"/>
        </w:rPr>
        <w:t xml:space="preserve">air-force.au </w:t>
      </w:r>
      <w:r>
        <w:rPr>
          <w:rFonts w:eastAsiaTheme="minorHAnsi" w:cs="Calibri"/>
          <w:lang w:eastAsia="en-US"/>
        </w:rPr>
        <w:t>and army.au.</w:t>
      </w:r>
    </w:p>
    <w:p w:rsidR="000F0494" w:rsidRDefault="000F0494" w:rsidP="000F0494">
      <w:r>
        <w:rPr>
          <w:rFonts w:eastAsiaTheme="minorHAnsi" w:cs="Calibri"/>
          <w:lang w:eastAsia="en-US"/>
        </w:rPr>
        <w:t xml:space="preserve">Existing rules precluding geographic and cultural names such as Australia, </w:t>
      </w:r>
      <w:r w:rsidR="00B55850">
        <w:rPr>
          <w:rFonts w:eastAsiaTheme="minorHAnsi" w:cs="Calibri"/>
          <w:lang w:eastAsia="en-US"/>
        </w:rPr>
        <w:t xml:space="preserve">Commonwealth, </w:t>
      </w:r>
      <w:r>
        <w:rPr>
          <w:rFonts w:eastAsiaTheme="minorHAnsi" w:cs="Calibri"/>
          <w:lang w:eastAsia="en-US"/>
        </w:rPr>
        <w:t xml:space="preserve">Anzac, Uluru, Christmas, Easter, Hanukah, Ramadan, Mohammed should be </w:t>
      </w:r>
      <w:r w:rsidR="002C13E6">
        <w:rPr>
          <w:rFonts w:eastAsiaTheme="minorHAnsi" w:cs="Calibri"/>
          <w:lang w:eastAsia="en-US"/>
        </w:rPr>
        <w:t>retained</w:t>
      </w:r>
      <w:r>
        <w:rPr>
          <w:rFonts w:eastAsiaTheme="minorHAnsi" w:cs="Calibri"/>
          <w:lang w:eastAsia="en-US"/>
        </w:rPr>
        <w:t>. Names corresponding with Aboriginal and Torres Strait Islander peoples</w:t>
      </w:r>
      <w:r w:rsidR="00B55850">
        <w:rPr>
          <w:rFonts w:eastAsiaTheme="minorHAnsi" w:cs="Calibri"/>
          <w:lang w:eastAsia="en-US"/>
        </w:rPr>
        <w:t xml:space="preserve"> or of cultural significance</w:t>
      </w:r>
      <w:r>
        <w:rPr>
          <w:rFonts w:eastAsiaTheme="minorHAnsi" w:cs="Calibri"/>
          <w:lang w:eastAsia="en-US"/>
        </w:rPr>
        <w:t xml:space="preserve"> (e.g. Eora, </w:t>
      </w:r>
      <w:proofErr w:type="spellStart"/>
      <w:r>
        <w:rPr>
          <w:rFonts w:eastAsiaTheme="minorHAnsi" w:cs="Calibri"/>
          <w:lang w:eastAsia="en-US"/>
        </w:rPr>
        <w:t>Dharug</w:t>
      </w:r>
      <w:proofErr w:type="spellEnd"/>
      <w:r>
        <w:rPr>
          <w:rFonts w:eastAsiaTheme="minorHAnsi" w:cs="Calibri"/>
          <w:lang w:eastAsia="en-US"/>
        </w:rPr>
        <w:t>, Makarrata), should also be reserved for allocation by the corresponding Land Council, or recognised appropriate cultural entity.</w:t>
      </w:r>
    </w:p>
    <w:p w:rsidR="000F0494" w:rsidRDefault="000F0494" w:rsidP="000F0494">
      <w:r>
        <w:rPr>
          <w:rFonts w:eastAsiaTheme="minorHAnsi" w:cs="Calibri"/>
          <w:lang w:eastAsia="en-US"/>
        </w:rPr>
        <w:lastRenderedPageBreak/>
        <w:t>Consumers may also find two letter co</w:t>
      </w:r>
      <w:r w:rsidR="007854AB">
        <w:rPr>
          <w:rFonts w:eastAsiaTheme="minorHAnsi" w:cs="Calibri"/>
          <w:lang w:eastAsia="en-US"/>
        </w:rPr>
        <w:t>des under ISO 3166-1 misleading</w:t>
      </w:r>
      <w:r>
        <w:rPr>
          <w:rFonts w:eastAsiaTheme="minorHAnsi" w:cs="Calibri"/>
          <w:lang w:eastAsia="en-US"/>
        </w:rPr>
        <w:t xml:space="preserve"> and other countries may object to us using their country code to make names such as nz.au or uk.au. These should be reserved pending further review. Codes corresponding to ISO 3166-1 alpha 3 </w:t>
      </w:r>
      <w:r w:rsidR="007854AB">
        <w:rPr>
          <w:rFonts w:eastAsiaTheme="minorHAnsi" w:cs="Calibri"/>
          <w:lang w:eastAsia="en-US"/>
        </w:rPr>
        <w:t>need</w:t>
      </w:r>
      <w:r>
        <w:rPr>
          <w:rFonts w:eastAsiaTheme="minorHAnsi" w:cs="Calibri"/>
          <w:lang w:eastAsia="en-US"/>
        </w:rPr>
        <w:t xml:space="preserve"> not be reserved.</w:t>
      </w:r>
    </w:p>
    <w:p w:rsidR="000F0494" w:rsidRDefault="000F0494" w:rsidP="000F0494">
      <w:r>
        <w:rPr>
          <w:rFonts w:eastAsiaTheme="minorHAnsi" w:cs="Calibri"/>
          <w:lang w:eastAsia="en-US"/>
        </w:rPr>
        <w:t xml:space="preserve">Names corresponding to terms used for registered professionals should also be considered for reservation, with views sought from the relevant professional bodies, </w:t>
      </w:r>
      <w:r w:rsidR="007854AB">
        <w:rPr>
          <w:rFonts w:eastAsiaTheme="minorHAnsi" w:cs="Calibri"/>
          <w:lang w:eastAsia="en-US"/>
        </w:rPr>
        <w:t xml:space="preserve">potentially on a first refusal basis, </w:t>
      </w:r>
      <w:r>
        <w:rPr>
          <w:rFonts w:eastAsiaTheme="minorHAnsi" w:cs="Calibri"/>
          <w:lang w:eastAsia="en-US"/>
        </w:rPr>
        <w:t>including: engineers.au, lawyers.au, doctors.au, nurses.au, physiotherapists.au, dentists.au, accountants.au, psychologists.au, podiatrists.au.</w:t>
      </w:r>
    </w:p>
    <w:p w:rsidR="000F0494" w:rsidRDefault="000F0494" w:rsidP="000F0494">
      <w:pPr>
        <w:rPr>
          <w:rFonts w:eastAsiaTheme="minorHAnsi" w:cs="Calibri"/>
          <w:lang w:eastAsia="en-US"/>
        </w:rPr>
      </w:pPr>
      <w:r>
        <w:rPr>
          <w:rFonts w:eastAsiaTheme="minorHAnsi" w:cs="Calibri"/>
          <w:lang w:eastAsia="en-US"/>
        </w:rPr>
        <w:t>The Australian Health Practitioner Regulation Agency should be consulted for an appropriate list.</w:t>
      </w:r>
    </w:p>
    <w:p w:rsidR="000F0494" w:rsidRDefault="000F0494" w:rsidP="000F0494">
      <w:pPr>
        <w:rPr>
          <w:rFonts w:eastAsiaTheme="minorHAnsi" w:cs="Calibri"/>
          <w:lang w:eastAsia="en-US"/>
        </w:rPr>
      </w:pPr>
      <w:r>
        <w:rPr>
          <w:rFonts w:eastAsiaTheme="minorHAnsi" w:cs="Calibri"/>
          <w:lang w:eastAsia="en-US"/>
        </w:rPr>
        <w:t xml:space="preserve">Non-professional registrations, such as licensed </w:t>
      </w:r>
      <w:proofErr w:type="spellStart"/>
      <w:r>
        <w:rPr>
          <w:rFonts w:eastAsiaTheme="minorHAnsi" w:cs="Calibri"/>
          <w:lang w:eastAsia="en-US"/>
        </w:rPr>
        <w:t>cablers</w:t>
      </w:r>
      <w:proofErr w:type="spellEnd"/>
      <w:r>
        <w:rPr>
          <w:rFonts w:eastAsiaTheme="minorHAnsi" w:cs="Calibri"/>
          <w:lang w:eastAsia="en-US"/>
        </w:rPr>
        <w:t xml:space="preserve">, builders and plumbers are typically less onerous to obtain and more broadly open to </w:t>
      </w:r>
      <w:r w:rsidR="00B55850">
        <w:rPr>
          <w:rFonts w:eastAsiaTheme="minorHAnsi" w:cs="Calibri"/>
          <w:lang w:eastAsia="en-US"/>
        </w:rPr>
        <w:t>licensing</w:t>
      </w:r>
      <w:r>
        <w:rPr>
          <w:rFonts w:eastAsiaTheme="minorHAnsi" w:cs="Calibri"/>
          <w:lang w:eastAsia="en-US"/>
        </w:rPr>
        <w:t xml:space="preserve"> and therefore not necessary for name space </w:t>
      </w:r>
      <w:r w:rsidR="00B55850">
        <w:rPr>
          <w:rFonts w:eastAsiaTheme="minorHAnsi" w:cs="Calibri"/>
          <w:lang w:eastAsia="en-US"/>
        </w:rPr>
        <w:t>reservation</w:t>
      </w:r>
      <w:r>
        <w:rPr>
          <w:rFonts w:eastAsiaTheme="minorHAnsi" w:cs="Calibri"/>
          <w:lang w:eastAsia="en-US"/>
        </w:rPr>
        <w:t>.</w:t>
      </w:r>
    </w:p>
    <w:p w:rsidR="000F0494" w:rsidRDefault="000F0494" w:rsidP="000F0494">
      <w:pPr>
        <w:pStyle w:val="Heading4"/>
      </w:pPr>
      <w:r>
        <w:t>Should names that are a deliberate misspelling of the existing domain names be prohibited from being registered at the second level?</w:t>
      </w:r>
    </w:p>
    <w:p w:rsidR="000F0494" w:rsidRDefault="000F0494" w:rsidP="000F0494">
      <w:pPr>
        <w:rPr>
          <w:rFonts w:eastAsiaTheme="minorHAnsi" w:cs="Calibri"/>
          <w:lang w:eastAsia="en-US"/>
        </w:rPr>
      </w:pPr>
      <w:r>
        <w:rPr>
          <w:rFonts w:eastAsiaTheme="minorHAnsi" w:cs="Calibri"/>
          <w:lang w:eastAsia="en-US"/>
        </w:rPr>
        <w:t xml:space="preserve">Steps should be taken to prevent obvious </w:t>
      </w:r>
      <w:proofErr w:type="spellStart"/>
      <w:r>
        <w:rPr>
          <w:rFonts w:eastAsiaTheme="minorHAnsi" w:cs="Calibri"/>
          <w:lang w:eastAsia="en-US"/>
        </w:rPr>
        <w:t>typosquatting</w:t>
      </w:r>
      <w:proofErr w:type="spellEnd"/>
      <w:r>
        <w:rPr>
          <w:rFonts w:eastAsiaTheme="minorHAnsi" w:cs="Calibri"/>
          <w:lang w:eastAsia="en-US"/>
        </w:rPr>
        <w:t xml:space="preserve"> and deliberate misspelling of existing domain names should be prohibited from being registered at the second level. Other models from other </w:t>
      </w:r>
      <w:r w:rsidR="00B55850">
        <w:rPr>
          <w:rFonts w:eastAsiaTheme="minorHAnsi" w:cs="Calibri"/>
          <w:lang w:eastAsia="en-US"/>
        </w:rPr>
        <w:t>country code top level domains (</w:t>
      </w:r>
      <w:proofErr w:type="spellStart"/>
      <w:r>
        <w:rPr>
          <w:rFonts w:eastAsiaTheme="minorHAnsi" w:cs="Calibri"/>
          <w:lang w:eastAsia="en-US"/>
        </w:rPr>
        <w:t>ccTLDs</w:t>
      </w:r>
      <w:proofErr w:type="spellEnd"/>
      <w:r w:rsidR="00B55850">
        <w:rPr>
          <w:rFonts w:eastAsiaTheme="minorHAnsi" w:cs="Calibri"/>
          <w:lang w:eastAsia="en-US"/>
        </w:rPr>
        <w:t>)</w:t>
      </w:r>
      <w:r>
        <w:rPr>
          <w:rFonts w:eastAsiaTheme="minorHAnsi" w:cs="Calibri"/>
          <w:lang w:eastAsia="en-US"/>
        </w:rPr>
        <w:t xml:space="preserve"> and other </w:t>
      </w:r>
      <w:proofErr w:type="spellStart"/>
      <w:r>
        <w:rPr>
          <w:rFonts w:eastAsiaTheme="minorHAnsi" w:cs="Calibri"/>
          <w:lang w:eastAsia="en-US"/>
        </w:rPr>
        <w:t>gTLDs</w:t>
      </w:r>
      <w:proofErr w:type="spellEnd"/>
      <w:r>
        <w:rPr>
          <w:rFonts w:eastAsiaTheme="minorHAnsi" w:cs="Calibri"/>
          <w:lang w:eastAsia="en-US"/>
        </w:rPr>
        <w:t xml:space="preserve"> should be assessed for adoption, with a view to identify</w:t>
      </w:r>
      <w:r w:rsidR="002C13E6">
        <w:rPr>
          <w:rFonts w:eastAsiaTheme="minorHAnsi" w:cs="Calibri"/>
          <w:lang w:eastAsia="en-US"/>
        </w:rPr>
        <w:t xml:space="preserve">ing best practice, if existing </w:t>
      </w:r>
      <w:proofErr w:type="spellStart"/>
      <w:r>
        <w:rPr>
          <w:rFonts w:eastAsiaTheme="minorHAnsi" w:cs="Calibri"/>
          <w:lang w:eastAsia="en-US"/>
        </w:rPr>
        <w:t>au</w:t>
      </w:r>
      <w:r w:rsidR="002C13E6">
        <w:rPr>
          <w:rFonts w:eastAsiaTheme="minorHAnsi" w:cs="Calibri"/>
          <w:lang w:eastAsia="en-US"/>
        </w:rPr>
        <w:t>DA</w:t>
      </w:r>
      <w:proofErr w:type="spellEnd"/>
      <w:r>
        <w:rPr>
          <w:rFonts w:eastAsiaTheme="minorHAnsi" w:cs="Calibri"/>
          <w:lang w:eastAsia="en-US"/>
        </w:rPr>
        <w:t xml:space="preserve"> policy be deemed inadequate.</w:t>
      </w:r>
    </w:p>
    <w:p w:rsidR="000F0494" w:rsidRDefault="000F0494" w:rsidP="000F0494">
      <w:pPr>
        <w:pStyle w:val="Heading4"/>
      </w:pPr>
      <w:proofErr w:type="gramStart"/>
      <w:r>
        <w:t>Should direct registration be implemented in .au using a staged process or concurrent reservation and open availability process, and why?</w:t>
      </w:r>
      <w:proofErr w:type="gramEnd"/>
    </w:p>
    <w:p w:rsidR="00B55850" w:rsidRDefault="00B55850" w:rsidP="00B55850">
      <w:pPr>
        <w:keepNext/>
      </w:pPr>
      <w:r>
        <w:rPr>
          <w:rFonts w:eastAsiaTheme="minorHAnsi" w:cs="Calibri"/>
          <w:lang w:eastAsia="en-US"/>
        </w:rPr>
        <w:t>The land rush period has arguably already begun. New names under *.au should be made available in stages, with a reservation period open</w:t>
      </w:r>
      <w:r w:rsidR="00792D2C">
        <w:rPr>
          <w:rFonts w:eastAsiaTheme="minorHAnsi" w:cs="Calibri"/>
          <w:lang w:eastAsia="en-US"/>
        </w:rPr>
        <w:t xml:space="preserve"> exclusively in the first instance for at least one year, then</w:t>
      </w:r>
      <w:r>
        <w:rPr>
          <w:rFonts w:eastAsiaTheme="minorHAnsi" w:cs="Calibri"/>
          <w:lang w:eastAsia="en-US"/>
        </w:rPr>
        <w:t xml:space="preserve"> concurrent to general availability</w:t>
      </w:r>
      <w:r w:rsidR="00792D2C">
        <w:rPr>
          <w:rFonts w:eastAsiaTheme="minorHAnsi" w:cs="Calibri"/>
          <w:lang w:eastAsia="en-US"/>
        </w:rPr>
        <w:t xml:space="preserve"> for another year whilst competing claims are resolved</w:t>
      </w:r>
      <w:r>
        <w:rPr>
          <w:rFonts w:eastAsiaTheme="minorHAnsi" w:cs="Calibri"/>
          <w:lang w:eastAsia="en-US"/>
        </w:rPr>
        <w:t>.</w:t>
      </w:r>
      <w:r w:rsidR="00792D2C">
        <w:rPr>
          <w:rFonts w:eastAsiaTheme="minorHAnsi" w:cs="Calibri"/>
          <w:lang w:eastAsia="en-US"/>
        </w:rPr>
        <w:t xml:space="preserve"> After two years general availability should commence, with regard to existing reservations.</w:t>
      </w:r>
      <w:r w:rsidR="007854AB">
        <w:rPr>
          <w:rFonts w:eastAsiaTheme="minorHAnsi" w:cs="Calibri"/>
          <w:lang w:eastAsia="en-US"/>
        </w:rPr>
        <w:t xml:space="preserve"> All existing *.au domain names should be reserved during the initial reservation period.</w:t>
      </w:r>
    </w:p>
    <w:p w:rsidR="00B55850" w:rsidRDefault="002C13E6" w:rsidP="00B55850">
      <w:r>
        <w:rPr>
          <w:noProof/>
        </w:rPr>
        <w:drawing>
          <wp:inline distT="0" distB="0" distL="0" distR="0">
            <wp:extent cx="5486400" cy="1304925"/>
            <wp:effectExtent l="19050" t="0" r="1905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55850" w:rsidRDefault="00B55850" w:rsidP="00B55850">
      <w:r>
        <w:rPr>
          <w:rFonts w:eastAsiaTheme="minorHAnsi" w:cs="Calibri"/>
          <w:lang w:eastAsia="en-US"/>
        </w:rPr>
        <w:t xml:space="preserve">Existing registrations should be locked out in the </w:t>
      </w:r>
      <w:r w:rsidR="002C13E6">
        <w:rPr>
          <w:rFonts w:eastAsiaTheme="minorHAnsi" w:cs="Calibri"/>
          <w:lang w:eastAsia="en-US"/>
        </w:rPr>
        <w:t>second</w:t>
      </w:r>
      <w:r>
        <w:rPr>
          <w:rFonts w:eastAsiaTheme="minorHAnsi" w:cs="Calibri"/>
          <w:lang w:eastAsia="en-US"/>
        </w:rPr>
        <w:t xml:space="preserve"> period</w:t>
      </w:r>
      <w:r w:rsidR="00792D2C">
        <w:rPr>
          <w:rFonts w:eastAsiaTheme="minorHAnsi" w:cs="Calibri"/>
          <w:lang w:eastAsia="en-US"/>
        </w:rPr>
        <w:t xml:space="preserve">, </w:t>
      </w:r>
      <w:r>
        <w:rPr>
          <w:rFonts w:eastAsiaTheme="minorHAnsi" w:cs="Calibri"/>
          <w:lang w:eastAsia="en-US"/>
        </w:rPr>
        <w:t xml:space="preserve">whilst also allowing for </w:t>
      </w:r>
      <w:r w:rsidR="002C13E6">
        <w:rPr>
          <w:rFonts w:eastAsiaTheme="minorHAnsi" w:cs="Calibri"/>
          <w:lang w:eastAsia="en-US"/>
        </w:rPr>
        <w:t>broader</w:t>
      </w:r>
      <w:r>
        <w:rPr>
          <w:rFonts w:eastAsiaTheme="minorHAnsi" w:cs="Calibri"/>
          <w:lang w:eastAsia="en-US"/>
        </w:rPr>
        <w:t xml:space="preserve"> availability</w:t>
      </w:r>
      <w:r w:rsidR="007854AB">
        <w:rPr>
          <w:rFonts w:eastAsiaTheme="minorHAnsi" w:cs="Calibri"/>
          <w:lang w:eastAsia="en-US"/>
        </w:rPr>
        <w:t xml:space="preserve"> of new names</w:t>
      </w:r>
      <w:r>
        <w:rPr>
          <w:rFonts w:eastAsiaTheme="minorHAnsi" w:cs="Calibri"/>
          <w:lang w:eastAsia="en-US"/>
        </w:rPr>
        <w:t>.</w:t>
      </w:r>
      <w:r w:rsidR="007854AB">
        <w:rPr>
          <w:rFonts w:eastAsiaTheme="minorHAnsi" w:cs="Calibri"/>
          <w:lang w:eastAsia="en-US"/>
        </w:rPr>
        <w:t xml:space="preserve"> After names have been released from reservation by existing registrants and/or disputes resolved, names should be released for general direct registration.</w:t>
      </w:r>
    </w:p>
    <w:p w:rsidR="00B55850" w:rsidRDefault="00B55850" w:rsidP="00B55850">
      <w:r>
        <w:rPr>
          <w:rFonts w:eastAsiaTheme="minorHAnsi" w:cs="Calibri"/>
          <w:lang w:eastAsia="en-US"/>
        </w:rPr>
        <w:t>Further analysis of the New Zealand model should be undertaken to determine which aspects should be considered for adoption. This would allow for consistency across the region and easy adoption by registry operators.</w:t>
      </w:r>
    </w:p>
    <w:p w:rsidR="00B55850" w:rsidRDefault="00B55850" w:rsidP="00B55850">
      <w:pPr>
        <w:pStyle w:val="Heading4"/>
      </w:pPr>
      <w:r>
        <w:lastRenderedPageBreak/>
        <w:t>Should other domain name holders or rights holders be given priority during the land rush or reservation period to register a second level domain name (trademark owners)?</w:t>
      </w:r>
    </w:p>
    <w:p w:rsidR="00B55850" w:rsidRDefault="00B55850" w:rsidP="00B55850">
      <w:pPr>
        <w:spacing w:before="280" w:after="280"/>
      </w:pPr>
      <w:r>
        <w:t xml:space="preserve">Australian registered trademarks with clear name correspondence should be available for </w:t>
      </w:r>
      <w:proofErr w:type="gramStart"/>
      <w:r>
        <w:t>reservation,</w:t>
      </w:r>
      <w:proofErr w:type="gramEnd"/>
      <w:r>
        <w:t xml:space="preserve"> however, these should only apply to complete trademarks, not incomplete trademarks.</w:t>
      </w:r>
      <w:r w:rsidR="002C13E6">
        <w:t xml:space="preserve"> Allowance</w:t>
      </w:r>
      <w:r w:rsidR="007854AB">
        <w:t xml:space="preserve"> may be made for pending trademarks, but with expiry should the trademark not be secured.</w:t>
      </w:r>
    </w:p>
    <w:p w:rsidR="000F0494" w:rsidRDefault="000F0494" w:rsidP="00516DE7">
      <w:pPr>
        <w:rPr>
          <w:lang w:eastAsia="en-US"/>
        </w:rPr>
      </w:pPr>
    </w:p>
    <w:p w:rsidR="00D341B1" w:rsidRDefault="00D341B1" w:rsidP="00D341B1">
      <w:pPr>
        <w:pStyle w:val="Heading1"/>
        <w:numPr>
          <w:ilvl w:val="0"/>
          <w:numId w:val="2"/>
        </w:numPr>
      </w:pPr>
      <w:bookmarkStart w:id="10" w:name="_Toc486612198"/>
      <w:bookmarkStart w:id="11" w:name="_Toc498012737"/>
      <w:bookmarkStart w:id="12" w:name="_Toc498015020"/>
      <w:bookmarkStart w:id="13" w:name="_Toc498016079"/>
      <w:bookmarkStart w:id="14" w:name="_Toc498093559"/>
      <w:bookmarkEnd w:id="10"/>
      <w:bookmarkEnd w:id="11"/>
      <w:bookmarkEnd w:id="12"/>
      <w:bookmarkEnd w:id="13"/>
      <w:r>
        <w:lastRenderedPageBreak/>
        <w:t>Supplementary comments</w:t>
      </w:r>
      <w:bookmarkEnd w:id="14"/>
    </w:p>
    <w:p w:rsidR="00D341B1" w:rsidRDefault="00D341B1" w:rsidP="00D341B1">
      <w:pPr>
        <w:pStyle w:val="Heading2"/>
        <w:numPr>
          <w:ilvl w:val="1"/>
          <w:numId w:val="2"/>
        </w:numPr>
      </w:pPr>
      <w:bookmarkStart w:id="15" w:name="_Toc498093560"/>
      <w:r>
        <w:t>Consumer outreach and engagement</w:t>
      </w:r>
      <w:bookmarkEnd w:id="15"/>
    </w:p>
    <w:p w:rsidR="00D341B1" w:rsidRDefault="001432C1" w:rsidP="00D341B1">
      <w:pPr>
        <w:rPr>
          <w:lang w:eastAsia="en-US"/>
        </w:rPr>
      </w:pPr>
      <w:r>
        <w:rPr>
          <w:lang w:eastAsia="en-US"/>
        </w:rPr>
        <w:t>ACCAN remains concerned that the general Australian population</w:t>
      </w:r>
      <w:r w:rsidR="007854AB" w:rsidRPr="007854AB">
        <w:rPr>
          <w:lang w:eastAsia="en-US"/>
        </w:rPr>
        <w:t xml:space="preserve"> </w:t>
      </w:r>
      <w:r w:rsidR="007854AB">
        <w:rPr>
          <w:lang w:eastAsia="en-US"/>
        </w:rPr>
        <w:t>and existing registrants</w:t>
      </w:r>
      <w:r>
        <w:rPr>
          <w:lang w:eastAsia="en-US"/>
        </w:rPr>
        <w:t xml:space="preserve">, and in particular small businesses, will be unaware of this introduction and </w:t>
      </w:r>
      <w:r w:rsidR="00320070">
        <w:rPr>
          <w:lang w:eastAsia="en-US"/>
        </w:rPr>
        <w:t xml:space="preserve">may </w:t>
      </w:r>
      <w:r>
        <w:rPr>
          <w:lang w:eastAsia="en-US"/>
        </w:rPr>
        <w:t xml:space="preserve">be put at a disadvantage through the </w:t>
      </w:r>
      <w:r w:rsidR="00320070">
        <w:rPr>
          <w:lang w:eastAsia="en-US"/>
        </w:rPr>
        <w:t>implementation</w:t>
      </w:r>
      <w:r>
        <w:rPr>
          <w:lang w:eastAsia="en-US"/>
        </w:rPr>
        <w:t xml:space="preserve"> process.</w:t>
      </w:r>
      <w:r w:rsidR="00C42250">
        <w:rPr>
          <w:lang w:eastAsia="en-US"/>
        </w:rPr>
        <w:t xml:space="preserve"> The loss of a domain name in today’s digital world can be catastrophic for business, and direct registration represents the potential for significant traffic diversion.</w:t>
      </w:r>
      <w:r>
        <w:rPr>
          <w:lang w:eastAsia="en-US"/>
        </w:rPr>
        <w:t xml:space="preserve"> It is therefore essential that a strong education and outreach program be constructed in order to raise awareness of these changes</w:t>
      </w:r>
      <w:r w:rsidR="00320070">
        <w:rPr>
          <w:lang w:eastAsia="en-US"/>
        </w:rPr>
        <w:t xml:space="preserve"> prior to implementation</w:t>
      </w:r>
      <w:r>
        <w:rPr>
          <w:lang w:eastAsia="en-US"/>
        </w:rPr>
        <w:t>. ACCAN therefore recommends</w:t>
      </w:r>
      <w:r w:rsidR="00320070">
        <w:rPr>
          <w:lang w:eastAsia="en-US"/>
        </w:rPr>
        <w:t xml:space="preserve"> (at least)</w:t>
      </w:r>
      <w:r>
        <w:rPr>
          <w:lang w:eastAsia="en-US"/>
        </w:rPr>
        <w:t xml:space="preserve"> the following:</w:t>
      </w:r>
    </w:p>
    <w:p w:rsidR="001432C1" w:rsidRDefault="001432C1" w:rsidP="001432C1">
      <w:pPr>
        <w:pStyle w:val="ListParagraph"/>
        <w:numPr>
          <w:ilvl w:val="0"/>
          <w:numId w:val="44"/>
        </w:numPr>
      </w:pPr>
      <w:r>
        <w:t xml:space="preserve">Direct emails to registrars both from </w:t>
      </w:r>
      <w:proofErr w:type="spellStart"/>
      <w:r>
        <w:t>auDA</w:t>
      </w:r>
      <w:proofErr w:type="spellEnd"/>
      <w:r>
        <w:t xml:space="preserve"> and their registrar</w:t>
      </w:r>
    </w:p>
    <w:p w:rsidR="001432C1" w:rsidRDefault="00320070" w:rsidP="001432C1">
      <w:pPr>
        <w:pStyle w:val="ListParagraph"/>
        <w:numPr>
          <w:ilvl w:val="0"/>
          <w:numId w:val="44"/>
        </w:numPr>
      </w:pPr>
      <w:r>
        <w:t>Targeted advertising through the ICT services sector</w:t>
      </w:r>
    </w:p>
    <w:p w:rsidR="00320070" w:rsidRDefault="00320070" w:rsidP="001432C1">
      <w:pPr>
        <w:pStyle w:val="ListParagraph"/>
        <w:numPr>
          <w:ilvl w:val="0"/>
          <w:numId w:val="44"/>
        </w:numPr>
      </w:pPr>
      <w:r>
        <w:t>Targeted outreach through the NFP sector and small business groups</w:t>
      </w:r>
    </w:p>
    <w:p w:rsidR="00320070" w:rsidRDefault="00320070" w:rsidP="001432C1">
      <w:pPr>
        <w:pStyle w:val="ListParagraph"/>
        <w:numPr>
          <w:ilvl w:val="0"/>
          <w:numId w:val="44"/>
        </w:numPr>
      </w:pPr>
      <w:r>
        <w:t>Significant social media promotion</w:t>
      </w:r>
    </w:p>
    <w:p w:rsidR="00320070" w:rsidRDefault="00320070" w:rsidP="00320070">
      <w:r>
        <w:t>Further mechanisms should also be researched and identified for use.</w:t>
      </w:r>
    </w:p>
    <w:p w:rsidR="00D341B1" w:rsidRDefault="001432C1" w:rsidP="00D341B1">
      <w:pPr>
        <w:pStyle w:val="Heading2"/>
        <w:numPr>
          <w:ilvl w:val="1"/>
          <w:numId w:val="2"/>
        </w:numPr>
      </w:pPr>
      <w:bookmarkStart w:id="16" w:name="_Toc498093561"/>
      <w:proofErr w:type="spellStart"/>
      <w:proofErr w:type="gramStart"/>
      <w:r>
        <w:t>auDA</w:t>
      </w:r>
      <w:proofErr w:type="spellEnd"/>
      <w:proofErr w:type="gramEnd"/>
      <w:r w:rsidR="00D341B1">
        <w:t xml:space="preserve"> customer service</w:t>
      </w:r>
      <w:bookmarkEnd w:id="16"/>
    </w:p>
    <w:p w:rsidR="00D341B1" w:rsidRDefault="001432C1" w:rsidP="00D341B1">
      <w:pPr>
        <w:rPr>
          <w:lang w:eastAsia="en-US"/>
        </w:rPr>
      </w:pPr>
      <w:proofErr w:type="spellStart"/>
      <w:proofErr w:type="gramStart"/>
      <w:r>
        <w:rPr>
          <w:lang w:eastAsia="en-US"/>
        </w:rPr>
        <w:t>auDA</w:t>
      </w:r>
      <w:proofErr w:type="spellEnd"/>
      <w:proofErr w:type="gramEnd"/>
      <w:r>
        <w:rPr>
          <w:lang w:eastAsia="en-US"/>
        </w:rPr>
        <w:t xml:space="preserve"> should ensure its customer service units are appropriately resourced during the introduction of direct registrations to ensure smooth registry, registrar and registrant support. Staff should also receive appropriate training on policy, customer service and complaint handling and be supported through what will likely be a challenging period.</w:t>
      </w:r>
    </w:p>
    <w:p w:rsidR="00D341B1" w:rsidRDefault="00D341B1" w:rsidP="00D341B1">
      <w:pPr>
        <w:pStyle w:val="Heading2"/>
        <w:numPr>
          <w:ilvl w:val="1"/>
          <w:numId w:val="2"/>
        </w:numPr>
        <w:rPr>
          <w:rFonts w:eastAsiaTheme="minorEastAsia"/>
        </w:rPr>
      </w:pPr>
      <w:bookmarkStart w:id="17" w:name="_Toc498093562"/>
      <w:r>
        <w:rPr>
          <w:rFonts w:eastAsiaTheme="minorEastAsia"/>
        </w:rPr>
        <w:t>Reporting</w:t>
      </w:r>
      <w:bookmarkEnd w:id="17"/>
    </w:p>
    <w:p w:rsidR="00FC0688" w:rsidRDefault="001432C1" w:rsidP="001D65CB">
      <w:pPr>
        <w:rPr>
          <w:lang w:eastAsia="en-US"/>
        </w:rPr>
      </w:pPr>
      <w:proofErr w:type="spellStart"/>
      <w:proofErr w:type="gramStart"/>
      <w:r>
        <w:rPr>
          <w:lang w:eastAsia="en-US"/>
        </w:rPr>
        <w:t>auDA</w:t>
      </w:r>
      <w:proofErr w:type="spellEnd"/>
      <w:proofErr w:type="gramEnd"/>
      <w:r>
        <w:rPr>
          <w:lang w:eastAsia="en-US"/>
        </w:rPr>
        <w:t xml:space="preserve"> should gather registration, reservations, applications, abuse, fraud, complaint and other relevant data prior and during the implementation and release of direct registrations. This data should be made available to stakeholders and members.</w:t>
      </w:r>
    </w:p>
    <w:p w:rsidR="001432C1" w:rsidRDefault="001432C1" w:rsidP="001D65CB">
      <w:pPr>
        <w:rPr>
          <w:lang w:eastAsia="en-US"/>
        </w:rPr>
      </w:pPr>
      <w:r>
        <w:rPr>
          <w:lang w:eastAsia="en-US"/>
        </w:rPr>
        <w:t xml:space="preserve">Comparison data with other </w:t>
      </w:r>
      <w:proofErr w:type="spellStart"/>
      <w:r>
        <w:rPr>
          <w:lang w:eastAsia="en-US"/>
        </w:rPr>
        <w:t>ccTLDs</w:t>
      </w:r>
      <w:proofErr w:type="spellEnd"/>
      <w:r>
        <w:rPr>
          <w:lang w:eastAsia="en-US"/>
        </w:rPr>
        <w:t xml:space="preserve"> should also be carefully monitored.</w:t>
      </w:r>
    </w:p>
    <w:p w:rsidR="0045572C" w:rsidRPr="0045572C" w:rsidRDefault="0045572C" w:rsidP="001432C1"/>
    <w:sectPr w:rsidR="0045572C" w:rsidRPr="0045572C" w:rsidSect="00A64002">
      <w:headerReference w:type="default" r:id="rId19"/>
      <w:footerReference w:type="default" r:id="rId20"/>
      <w:headerReference w:type="first" r:id="rId21"/>
      <w:footerReference w:type="first" r:id="rId22"/>
      <w:type w:val="continuous"/>
      <w:pgSz w:w="11906" w:h="16838" w:code="9"/>
      <w:pgMar w:top="1440" w:right="1440" w:bottom="1530" w:left="1440"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746" w:rsidRDefault="002A1746" w:rsidP="00B14DFB">
      <w:r>
        <w:separator/>
      </w:r>
    </w:p>
  </w:endnote>
  <w:endnote w:type="continuationSeparator" w:id="0">
    <w:p w:rsidR="002A1746" w:rsidRDefault="002A1746" w:rsidP="00B1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30" w:rsidRPr="000F58CC" w:rsidRDefault="006B6530" w:rsidP="00A64002">
    <w:pPr>
      <w:spacing w:after="0"/>
    </w:pPr>
    <w:r w:rsidRPr="00E05115">
      <w:rPr>
        <w:color w:val="23B0E6"/>
      </w:rPr>
      <w:t>www.accan.org.au | info@accan.org.au | twitter: @ACCAN_AU</w:t>
    </w:r>
    <w:r>
      <w:rPr>
        <w:color w:val="23B0E6"/>
      </w:rPr>
      <w:ptab w:relativeTo="margin" w:alignment="right" w:leader="none"/>
    </w:r>
    <w:r w:rsidRPr="00C4251E">
      <w:fldChar w:fldCharType="begin"/>
    </w:r>
    <w:r w:rsidRPr="00C4251E">
      <w:instrText xml:space="preserve"> PAGE   \* MERGEFORMAT </w:instrText>
    </w:r>
    <w:r w:rsidRPr="00C4251E">
      <w:fldChar w:fldCharType="separate"/>
    </w:r>
    <w:r w:rsidR="002067A1">
      <w:rPr>
        <w:noProof/>
      </w:rPr>
      <w:t>2</w:t>
    </w:r>
    <w:r w:rsidRPr="00C4251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30" w:rsidRDefault="006B6530" w:rsidP="00A13B92">
    <w:pPr>
      <w:pStyle w:val="Footerpage1"/>
    </w:pPr>
    <w:r w:rsidRPr="004A0B0A">
      <w:rPr>
        <w:color w:val="44C8F5"/>
      </w:rPr>
      <w:t>Australian Communications Consumer Action Network (ACCAN)</w:t>
    </w:r>
  </w:p>
  <w:p w:rsidR="006B6530" w:rsidRDefault="006B6530" w:rsidP="00A13B92">
    <w:pPr>
      <w:pStyle w:val="Footerpage1"/>
      <w:rPr>
        <w:i/>
      </w:rPr>
    </w:pPr>
    <w:r w:rsidRPr="004A0B0A">
      <w:rPr>
        <w:i/>
        <w:color w:val="44C8F5"/>
      </w:rPr>
      <w:t>Australia’s peak telecommunications consumer organisation</w:t>
    </w:r>
  </w:p>
  <w:p w:rsidR="006B6530" w:rsidRDefault="006B6530" w:rsidP="00A13B92">
    <w:pPr>
      <w:pStyle w:val="Footerpage1"/>
    </w:pPr>
    <w:r w:rsidRPr="008E763A">
      <w:rPr>
        <w:noProof/>
        <w:lang w:eastAsia="en-AU"/>
      </w:rPr>
      <mc:AlternateContent>
        <mc:Choice Requires="wps">
          <w:drawing>
            <wp:inline distT="0" distB="0" distL="0" distR="0" wp14:anchorId="719BEB64" wp14:editId="05A241C2">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" strokecolor="#23b0e6" strokeweight="3pt">
              <w10:anchorlock/>
            </v:line>
          </w:pict>
        </mc:Fallback>
      </mc:AlternateContent>
    </w:r>
    <w:r>
      <w:t>PO Box 639, Broadway</w:t>
    </w:r>
    <w:r w:rsidRPr="008E763A">
      <w:t xml:space="preserve"> NSW 2007</w:t>
    </w:r>
  </w:p>
  <w:p w:rsidR="006B6530" w:rsidRDefault="006B6530" w:rsidP="00A13B92">
    <w:pPr>
      <w:pStyle w:val="Footerpage1"/>
    </w:pPr>
    <w:r w:rsidRPr="008E763A">
      <w:t>Tel: (02) 9288 4000 | TTY: (02) 9281 5322 | Fax: (02) 9288 4019</w:t>
    </w:r>
  </w:p>
  <w:p w:rsidR="006B6530" w:rsidRDefault="006B6530" w:rsidP="00A13B92">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746" w:rsidRDefault="002A1746" w:rsidP="00B14DFB">
      <w:r>
        <w:separator/>
      </w:r>
    </w:p>
  </w:footnote>
  <w:footnote w:type="continuationSeparator" w:id="0">
    <w:p w:rsidR="002A1746" w:rsidRDefault="002A1746" w:rsidP="00B14DFB">
      <w:r>
        <w:continuationSeparator/>
      </w:r>
    </w:p>
  </w:footnote>
  <w:footnote w:id="1">
    <w:p w:rsidR="00900B3B" w:rsidRPr="00900B3B" w:rsidRDefault="00900B3B" w:rsidP="00900B3B">
      <w:pPr>
        <w:pStyle w:val="FootnoteText"/>
        <w:rPr>
          <w:szCs w:val="18"/>
        </w:rPr>
      </w:pPr>
      <w:r w:rsidRPr="00900B3B">
        <w:rPr>
          <w:rStyle w:val="FootnoteReference"/>
          <w:szCs w:val="18"/>
          <w:vertAlign w:val="baseline"/>
        </w:rPr>
        <w:footnoteRef/>
      </w:r>
      <w:r w:rsidRPr="00900B3B">
        <w:rPr>
          <w:rStyle w:val="FootnoteReference"/>
          <w:szCs w:val="18"/>
          <w:vertAlign w:val="baseline"/>
        </w:rPr>
        <w:t xml:space="preserve"> Narelle Clark ACCAN DCEO is a member of the </w:t>
      </w:r>
      <w:proofErr w:type="spellStart"/>
      <w:r w:rsidRPr="00900B3B">
        <w:rPr>
          <w:rStyle w:val="FootnoteReference"/>
          <w:szCs w:val="18"/>
          <w:vertAlign w:val="baseline"/>
        </w:rPr>
        <w:t>auDA</w:t>
      </w:r>
      <w:proofErr w:type="spellEnd"/>
      <w:r w:rsidRPr="00900B3B">
        <w:rPr>
          <w:rStyle w:val="FootnoteReference"/>
          <w:szCs w:val="18"/>
          <w:vertAlign w:val="baseline"/>
        </w:rPr>
        <w:t xml:space="preserve"> Names Policy Review Panel</w:t>
      </w:r>
    </w:p>
  </w:footnote>
  <w:footnote w:id="2">
    <w:p w:rsidR="00900B3B" w:rsidRDefault="00900B3B">
      <w:pPr>
        <w:pStyle w:val="FootnoteText"/>
      </w:pPr>
      <w:r>
        <w:rPr>
          <w:rStyle w:val="FootnoteReference"/>
        </w:rPr>
        <w:footnoteRef/>
      </w:r>
      <w:r>
        <w:t xml:space="preserve"> </w:t>
      </w:r>
      <w:hyperlink r:id="rId1" w:history="1">
        <w:r w:rsidRPr="006F48E9">
          <w:rPr>
            <w:rStyle w:val="Hyperlink"/>
          </w:rPr>
          <w:t>https://auda.org.au/assets/pdf/2017PRP-03102017-directreg-issuespaper-WEB.pdf</w:t>
        </w:r>
      </w:hyperlink>
      <w:r>
        <w:t xml:space="preserve"> </w:t>
      </w:r>
    </w:p>
  </w:footnote>
  <w:footnote w:id="3">
    <w:p w:rsidR="00D90643" w:rsidRDefault="00D90643" w:rsidP="00506E60">
      <w:pPr>
        <w:pStyle w:val="FootnoteText"/>
      </w:pPr>
      <w:r>
        <w:rPr>
          <w:szCs w:val="18"/>
        </w:rPr>
        <w:footnoteRef/>
      </w:r>
      <w:r w:rsidR="00506E60">
        <w:rPr>
          <w:szCs w:val="18"/>
        </w:rPr>
        <w:t xml:space="preserve"> </w:t>
      </w:r>
      <w:r w:rsidRPr="001231F9">
        <w:rPr>
          <w:i/>
          <w:szCs w:val="18"/>
        </w:rPr>
        <w:t xml:space="preserve">Statistical Analysis of DNS Abuse in </w:t>
      </w:r>
      <w:proofErr w:type="spellStart"/>
      <w:r w:rsidRPr="001231F9">
        <w:rPr>
          <w:i/>
          <w:szCs w:val="18"/>
        </w:rPr>
        <w:t>gTLDs</w:t>
      </w:r>
      <w:proofErr w:type="spellEnd"/>
      <w:r w:rsidRPr="001231F9">
        <w:rPr>
          <w:i/>
          <w:szCs w:val="18"/>
        </w:rPr>
        <w:t xml:space="preserve"> Final Report</w:t>
      </w:r>
      <w:r>
        <w:rPr>
          <w:szCs w:val="18"/>
        </w:rPr>
        <w:t xml:space="preserve"> commissioned by the ICANN C</w:t>
      </w:r>
      <w:r w:rsidR="00516DE7">
        <w:rPr>
          <w:szCs w:val="18"/>
        </w:rPr>
        <w:t>CT</w:t>
      </w:r>
      <w:r>
        <w:rPr>
          <w:szCs w:val="18"/>
        </w:rPr>
        <w:t xml:space="preserve">RT at </w:t>
      </w:r>
      <w:hyperlink r:id="rId2" w:history="1">
        <w:r w:rsidRPr="006F48E9">
          <w:rPr>
            <w:rStyle w:val="Hyperlink"/>
            <w:szCs w:val="18"/>
          </w:rPr>
          <w:t>https://www.icann.org/en/system/files/files/sadag-final-09aug17-en.pdf</w:t>
        </w:r>
      </w:hyperlink>
      <w:r>
        <w:rPr>
          <w:szCs w:val="18"/>
        </w:rPr>
        <w:t xml:space="preserve"> </w:t>
      </w:r>
    </w:p>
  </w:footnote>
  <w:footnote w:id="4">
    <w:p w:rsidR="00506E60" w:rsidRDefault="00506E60">
      <w:pPr>
        <w:pStyle w:val="FootnoteText"/>
      </w:pPr>
      <w:r>
        <w:rPr>
          <w:rStyle w:val="FootnoteReference"/>
        </w:rPr>
        <w:footnoteRef/>
      </w:r>
      <w:r>
        <w:t xml:space="preserve"> The </w:t>
      </w:r>
      <w:proofErr w:type="spellStart"/>
      <w:r>
        <w:t>Spamhaus</w:t>
      </w:r>
      <w:proofErr w:type="spellEnd"/>
      <w:r>
        <w:t xml:space="preserve"> Project pages on the most abused </w:t>
      </w:r>
      <w:proofErr w:type="spellStart"/>
      <w:r>
        <w:t>ccTLDs</w:t>
      </w:r>
      <w:proofErr w:type="spellEnd"/>
      <w:r>
        <w:t xml:space="preserve"> at </w:t>
      </w:r>
      <w:hyperlink r:id="rId3" w:history="1">
        <w:r w:rsidRPr="006F48E9">
          <w:rPr>
            <w:rStyle w:val="Hyperlink"/>
          </w:rPr>
          <w:t>www.spamhaus.org/statistics/tlds/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30" w:rsidRDefault="006B6530" w:rsidP="00E45E4C">
    <w:pPr>
      <w:pStyle w:val="Header"/>
      <w:jc w:val="right"/>
    </w:pPr>
    <w:r>
      <w:rPr>
        <w:noProof/>
        <w:lang w:eastAsia="en-AU"/>
      </w:rPr>
      <w:drawing>
        <wp:inline distT="0" distB="0" distL="0" distR="0" wp14:anchorId="5B8EC85B" wp14:editId="0FA92799">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30" w:rsidRDefault="006B6530" w:rsidP="00B14DFB">
    <w:pPr>
      <w:pStyle w:val="Header"/>
      <w:jc w:val="center"/>
    </w:pPr>
    <w:r>
      <w:rPr>
        <w:noProof/>
        <w:lang w:eastAsia="en-AU"/>
      </w:rPr>
      <w:drawing>
        <wp:inline distT="0" distB="0" distL="0" distR="0" wp14:anchorId="6760D892" wp14:editId="09613787">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E1F"/>
    <w:multiLevelType w:val="hybridMultilevel"/>
    <w:tmpl w:val="71347710"/>
    <w:lvl w:ilvl="0" w:tplc="82904C34">
      <w:start w:val="1"/>
      <w:numFmt w:val="decimal"/>
      <w:lvlText w:val="%1."/>
      <w:lvlJc w:val="left"/>
      <w:pPr>
        <w:ind w:left="720" w:hanging="360"/>
      </w:pPr>
    </w:lvl>
    <w:lvl w:ilvl="1" w:tplc="1E061D4C">
      <w:start w:val="4"/>
      <w:numFmt w:val="bullet"/>
      <w:lvlText w:val="·"/>
      <w:lvlJc w:val="left"/>
      <w:pPr>
        <w:ind w:left="1530" w:hanging="45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55945"/>
    <w:multiLevelType w:val="hybridMultilevel"/>
    <w:tmpl w:val="DF9C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75BD6"/>
    <w:multiLevelType w:val="multilevel"/>
    <w:tmpl w:val="D32E25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1609006C"/>
    <w:multiLevelType w:val="hybridMultilevel"/>
    <w:tmpl w:val="9E6E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C4BC9"/>
    <w:multiLevelType w:val="hybridMultilevel"/>
    <w:tmpl w:val="E6529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E6C0B"/>
    <w:multiLevelType w:val="hybridMultilevel"/>
    <w:tmpl w:val="8FBCA644"/>
    <w:lvl w:ilvl="0" w:tplc="7BC23376">
      <w:start w:val="10"/>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7">
    <w:nsid w:val="337C5FB2"/>
    <w:multiLevelType w:val="multilevel"/>
    <w:tmpl w:val="6AFEEB4C"/>
    <w:numStyleLink w:val="Bullets"/>
  </w:abstractNum>
  <w:abstractNum w:abstractNumId="8">
    <w:nsid w:val="33D9536F"/>
    <w:multiLevelType w:val="multilevel"/>
    <w:tmpl w:val="A7920A6E"/>
    <w:numStyleLink w:val="Headings"/>
  </w:abstractNum>
  <w:abstractNum w:abstractNumId="9">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0">
    <w:nsid w:val="36C60F3F"/>
    <w:multiLevelType w:val="hybridMultilevel"/>
    <w:tmpl w:val="5270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56821"/>
    <w:multiLevelType w:val="hybridMultilevel"/>
    <w:tmpl w:val="2614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860C67"/>
    <w:multiLevelType w:val="multilevel"/>
    <w:tmpl w:val="A7920A6E"/>
    <w:numStyleLink w:val="Headings"/>
  </w:abstractNum>
  <w:abstractNum w:abstractNumId="13">
    <w:nsid w:val="3DF936BD"/>
    <w:multiLevelType w:val="multilevel"/>
    <w:tmpl w:val="A7920A6E"/>
    <w:numStyleLink w:val="Headings"/>
  </w:abstractNum>
  <w:abstractNum w:abstractNumId="14">
    <w:nsid w:val="42130E09"/>
    <w:multiLevelType w:val="multilevel"/>
    <w:tmpl w:val="21E25B4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44DD094D"/>
    <w:multiLevelType w:val="multilevel"/>
    <w:tmpl w:val="091A9B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A6A7C76"/>
    <w:multiLevelType w:val="hybridMultilevel"/>
    <w:tmpl w:val="0ACEF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559A4D3A"/>
    <w:multiLevelType w:val="multilevel"/>
    <w:tmpl w:val="C33C5F9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56565CC1"/>
    <w:multiLevelType w:val="hybridMultilevel"/>
    <w:tmpl w:val="28DCDA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467144"/>
    <w:multiLevelType w:val="multilevel"/>
    <w:tmpl w:val="989E8E90"/>
    <w:numStyleLink w:val="Appendices"/>
  </w:abstractNum>
  <w:abstractNum w:abstractNumId="21">
    <w:nsid w:val="5EB4798B"/>
    <w:multiLevelType w:val="hybridMultilevel"/>
    <w:tmpl w:val="42FAE1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66726EE3"/>
    <w:multiLevelType w:val="hybridMultilevel"/>
    <w:tmpl w:val="BA4450F2"/>
    <w:lvl w:ilvl="0" w:tplc="03D663EC">
      <w:start w:val="1"/>
      <w:numFmt w:val="decimal"/>
      <w:lvlText w:val="%1."/>
      <w:lvlJc w:val="left"/>
      <w:pPr>
        <w:ind w:left="720" w:hanging="360"/>
      </w:pPr>
    </w:lvl>
    <w:lvl w:ilvl="1" w:tplc="1E061D4C">
      <w:start w:val="4"/>
      <w:numFmt w:val="bullet"/>
      <w:lvlText w:val="·"/>
      <w:lvlJc w:val="left"/>
      <w:pPr>
        <w:ind w:left="1530" w:hanging="450"/>
      </w:pPr>
      <w:rPr>
        <w:rFonts w:ascii="Calibri" w:eastAsiaTheme="minorEastAsia"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E5B6E"/>
    <w:multiLevelType w:val="hybridMultilevel"/>
    <w:tmpl w:val="612891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6A1162BC"/>
    <w:multiLevelType w:val="hybridMultilevel"/>
    <w:tmpl w:val="2EACD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AF098D"/>
    <w:multiLevelType w:val="multilevel"/>
    <w:tmpl w:val="A7920A6E"/>
    <w:numStyleLink w:val="Headings"/>
  </w:abstractNum>
  <w:abstractNum w:abstractNumId="26">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nsid w:val="76821C7B"/>
    <w:multiLevelType w:val="multilevel"/>
    <w:tmpl w:val="82FED7D6"/>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none"/>
      <w:suff w:val="nothing"/>
      <w:lvlText w:val=""/>
      <w:lvlJc w:val="left"/>
      <w:pPr>
        <w:ind w:left="0" w:firstLine="0"/>
      </w:pPr>
    </w:lvl>
    <w:lvl w:ilvl="4">
      <w:start w:val="1"/>
      <w:numFmt w:val="none"/>
      <w:suff w:val="nothing"/>
      <w:lvlText w:val=""/>
      <w:lvlJc w:val="left"/>
      <w:pPr>
        <w:ind w:left="851" w:hanging="851"/>
      </w:pPr>
    </w:lvl>
    <w:lvl w:ilvl="5">
      <w:start w:val="1"/>
      <w:numFmt w:val="none"/>
      <w:suff w:val="nothing"/>
      <w:lvlText w:val=""/>
      <w:lvlJc w:val="left"/>
      <w:pPr>
        <w:ind w:left="851" w:hanging="851"/>
      </w:pPr>
    </w:lvl>
    <w:lvl w:ilvl="6">
      <w:start w:val="1"/>
      <w:numFmt w:val="none"/>
      <w:suff w:val="nothing"/>
      <w:lvlText w:val=""/>
      <w:lvlJc w:val="left"/>
      <w:pPr>
        <w:ind w:left="851" w:hanging="851"/>
      </w:pPr>
    </w:lvl>
    <w:lvl w:ilvl="7">
      <w:start w:val="1"/>
      <w:numFmt w:val="none"/>
      <w:suff w:val="nothing"/>
      <w:lvlText w:val=""/>
      <w:lvlJc w:val="left"/>
      <w:pPr>
        <w:ind w:left="851" w:hanging="851"/>
      </w:pPr>
    </w:lvl>
    <w:lvl w:ilvl="8">
      <w:start w:val="1"/>
      <w:numFmt w:val="none"/>
      <w:suff w:val="nothing"/>
      <w:lvlText w:val=""/>
      <w:lvlJc w:val="left"/>
      <w:pPr>
        <w:ind w:left="851" w:hanging="851"/>
      </w:pPr>
    </w:lvl>
  </w:abstractNum>
  <w:abstractNum w:abstractNumId="28">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9">
    <w:nsid w:val="79186B41"/>
    <w:multiLevelType w:val="multilevel"/>
    <w:tmpl w:val="D464A1C8"/>
    <w:lvl w:ilvl="0">
      <w:start w:val="1"/>
      <w:numFmt w:val="decimal"/>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none"/>
      <w:suff w:val="nothing"/>
      <w:lvlText w:val=""/>
      <w:lvlJc w:val="left"/>
      <w:pPr>
        <w:ind w:left="0" w:firstLine="0"/>
      </w:pPr>
    </w:lvl>
    <w:lvl w:ilvl="4">
      <w:start w:val="1"/>
      <w:numFmt w:val="none"/>
      <w:suff w:val="nothing"/>
      <w:lvlText w:val=""/>
      <w:lvlJc w:val="left"/>
      <w:pPr>
        <w:ind w:left="851" w:hanging="851"/>
      </w:pPr>
    </w:lvl>
    <w:lvl w:ilvl="5">
      <w:start w:val="1"/>
      <w:numFmt w:val="none"/>
      <w:suff w:val="nothing"/>
      <w:lvlText w:val=""/>
      <w:lvlJc w:val="left"/>
      <w:pPr>
        <w:ind w:left="851" w:hanging="851"/>
      </w:pPr>
    </w:lvl>
    <w:lvl w:ilvl="6">
      <w:start w:val="1"/>
      <w:numFmt w:val="none"/>
      <w:suff w:val="nothing"/>
      <w:lvlText w:val=""/>
      <w:lvlJc w:val="left"/>
      <w:pPr>
        <w:ind w:left="851" w:hanging="851"/>
      </w:pPr>
    </w:lvl>
    <w:lvl w:ilvl="7">
      <w:start w:val="1"/>
      <w:numFmt w:val="none"/>
      <w:suff w:val="nothing"/>
      <w:lvlText w:val=""/>
      <w:lvlJc w:val="left"/>
      <w:pPr>
        <w:ind w:left="851" w:hanging="851"/>
      </w:pPr>
    </w:lvl>
    <w:lvl w:ilvl="8">
      <w:start w:val="1"/>
      <w:numFmt w:val="none"/>
      <w:suff w:val="nothing"/>
      <w:lvlText w:val=""/>
      <w:lvlJc w:val="left"/>
      <w:pPr>
        <w:ind w:left="851" w:hanging="851"/>
      </w:pPr>
    </w:lvl>
  </w:abstractNum>
  <w:abstractNum w:abstractNumId="30">
    <w:nsid w:val="7C6E6BD5"/>
    <w:multiLevelType w:val="hybridMultilevel"/>
    <w:tmpl w:val="3E82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6"/>
  </w:num>
  <w:num w:numId="7">
    <w:abstractNumId w:val="13"/>
  </w:num>
  <w:num w:numId="8">
    <w:abstractNumId w:val="7"/>
  </w:num>
  <w:num w:numId="9">
    <w:abstractNumId w:val="7"/>
  </w:num>
  <w:num w:numId="10">
    <w:abstractNumId w:val="7"/>
  </w:num>
  <w:num w:numId="11">
    <w:abstractNumId w:val="7"/>
  </w:num>
  <w:num w:numId="12">
    <w:abstractNumId w:val="6"/>
  </w:num>
  <w:num w:numId="13">
    <w:abstractNumId w:val="8"/>
  </w:num>
  <w:num w:numId="14">
    <w:abstractNumId w:val="8"/>
  </w:num>
  <w:num w:numId="15">
    <w:abstractNumId w:val="8"/>
  </w:num>
  <w:num w:numId="16">
    <w:abstractNumId w:val="28"/>
  </w:num>
  <w:num w:numId="17">
    <w:abstractNumId w:val="17"/>
  </w:num>
  <w:num w:numId="18">
    <w:abstractNumId w:val="20"/>
  </w:num>
  <w:num w:numId="19">
    <w:abstractNumId w:val="20"/>
  </w:num>
  <w:num w:numId="20">
    <w:abstractNumId w:val="26"/>
  </w:num>
  <w:num w:numId="21">
    <w:abstractNumId w:val="26"/>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1"/>
  </w:num>
  <w:num w:numId="27">
    <w:abstractNumId w:val="16"/>
  </w:num>
  <w:num w:numId="28">
    <w:abstractNumId w:val="22"/>
  </w:num>
  <w:num w:numId="29">
    <w:abstractNumId w:val="30"/>
  </w:num>
  <w:num w:numId="30">
    <w:abstractNumId w:val="4"/>
  </w:num>
  <w:num w:numId="31">
    <w:abstractNumId w:val="1"/>
  </w:num>
  <w:num w:numId="32">
    <w:abstractNumId w:val="19"/>
  </w:num>
  <w:num w:numId="33">
    <w:abstractNumId w:val="24"/>
  </w:num>
  <w:num w:numId="34">
    <w:abstractNumId w:val="0"/>
  </w:num>
  <w:num w:numId="35">
    <w:abstractNumId w:val="10"/>
  </w:num>
  <w:num w:numId="36">
    <w:abstractNumId w:val="14"/>
  </w:num>
  <w:num w:numId="37">
    <w:abstractNumId w:val="15"/>
  </w:num>
  <w:num w:numId="38">
    <w:abstractNumId w:val="27"/>
  </w:num>
  <w:num w:numId="39">
    <w:abstractNumId w:val="18"/>
  </w:num>
  <w:num w:numId="40">
    <w:abstractNumId w:val="29"/>
  </w:num>
  <w:num w:numId="41">
    <w:abstractNumId w:val="28"/>
  </w:num>
  <w:num w:numId="42">
    <w:abstractNumId w:val="2"/>
  </w:num>
  <w:num w:numId="43">
    <w:abstractNumId w:val="5"/>
  </w:num>
  <w:num w:numId="44">
    <w:abstractNumId w:val="23"/>
  </w:num>
  <w:num w:numId="45">
    <w:abstractNumId w:val="2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9C"/>
    <w:rsid w:val="00005C44"/>
    <w:rsid w:val="00017AFD"/>
    <w:rsid w:val="000229DE"/>
    <w:rsid w:val="00027253"/>
    <w:rsid w:val="00031094"/>
    <w:rsid w:val="00031ECC"/>
    <w:rsid w:val="00035303"/>
    <w:rsid w:val="00037B7B"/>
    <w:rsid w:val="000467B9"/>
    <w:rsid w:val="00047257"/>
    <w:rsid w:val="000C294E"/>
    <w:rsid w:val="000D1A1C"/>
    <w:rsid w:val="000D51F4"/>
    <w:rsid w:val="000F0494"/>
    <w:rsid w:val="000F58CC"/>
    <w:rsid w:val="0010121D"/>
    <w:rsid w:val="00107912"/>
    <w:rsid w:val="00122A10"/>
    <w:rsid w:val="0012614F"/>
    <w:rsid w:val="00127302"/>
    <w:rsid w:val="001432C1"/>
    <w:rsid w:val="0014364C"/>
    <w:rsid w:val="0014453D"/>
    <w:rsid w:val="00147A7F"/>
    <w:rsid w:val="001615D0"/>
    <w:rsid w:val="001721CC"/>
    <w:rsid w:val="00186FD6"/>
    <w:rsid w:val="001972A6"/>
    <w:rsid w:val="001A07CE"/>
    <w:rsid w:val="001B70A1"/>
    <w:rsid w:val="001C28E7"/>
    <w:rsid w:val="001C6657"/>
    <w:rsid w:val="001D65CB"/>
    <w:rsid w:val="001E78B2"/>
    <w:rsid w:val="0020426C"/>
    <w:rsid w:val="002067A1"/>
    <w:rsid w:val="00210F94"/>
    <w:rsid w:val="002127F0"/>
    <w:rsid w:val="00234042"/>
    <w:rsid w:val="00244B71"/>
    <w:rsid w:val="00244B73"/>
    <w:rsid w:val="0024688C"/>
    <w:rsid w:val="002574BD"/>
    <w:rsid w:val="00270BEA"/>
    <w:rsid w:val="00283FCE"/>
    <w:rsid w:val="0029768D"/>
    <w:rsid w:val="002A1746"/>
    <w:rsid w:val="002A4193"/>
    <w:rsid w:val="002A629E"/>
    <w:rsid w:val="002B21A3"/>
    <w:rsid w:val="002C13E6"/>
    <w:rsid w:val="002C4AE8"/>
    <w:rsid w:val="002D75D7"/>
    <w:rsid w:val="002E4872"/>
    <w:rsid w:val="002E786F"/>
    <w:rsid w:val="00313821"/>
    <w:rsid w:val="00320070"/>
    <w:rsid w:val="003209FD"/>
    <w:rsid w:val="003441E5"/>
    <w:rsid w:val="00351419"/>
    <w:rsid w:val="00354513"/>
    <w:rsid w:val="0036351B"/>
    <w:rsid w:val="00372804"/>
    <w:rsid w:val="003743FC"/>
    <w:rsid w:val="00397720"/>
    <w:rsid w:val="003A46F3"/>
    <w:rsid w:val="003B055C"/>
    <w:rsid w:val="003B1499"/>
    <w:rsid w:val="003B4CAC"/>
    <w:rsid w:val="003E6503"/>
    <w:rsid w:val="003E76C5"/>
    <w:rsid w:val="003F6199"/>
    <w:rsid w:val="004402BE"/>
    <w:rsid w:val="00447B76"/>
    <w:rsid w:val="00447E1F"/>
    <w:rsid w:val="00453C6C"/>
    <w:rsid w:val="004552EA"/>
    <w:rsid w:val="0045572C"/>
    <w:rsid w:val="00472C7E"/>
    <w:rsid w:val="00472CA7"/>
    <w:rsid w:val="00477BDB"/>
    <w:rsid w:val="00497C7F"/>
    <w:rsid w:val="004A01EB"/>
    <w:rsid w:val="004A55CC"/>
    <w:rsid w:val="004A791B"/>
    <w:rsid w:val="004B1CB0"/>
    <w:rsid w:val="004B3607"/>
    <w:rsid w:val="004B7462"/>
    <w:rsid w:val="004C055B"/>
    <w:rsid w:val="004C3886"/>
    <w:rsid w:val="004D06F5"/>
    <w:rsid w:val="004D2D62"/>
    <w:rsid w:val="004F2201"/>
    <w:rsid w:val="0050128B"/>
    <w:rsid w:val="005029FB"/>
    <w:rsid w:val="00506E60"/>
    <w:rsid w:val="00511400"/>
    <w:rsid w:val="00516DE7"/>
    <w:rsid w:val="00523041"/>
    <w:rsid w:val="0053577D"/>
    <w:rsid w:val="00542267"/>
    <w:rsid w:val="00542FB2"/>
    <w:rsid w:val="00543B79"/>
    <w:rsid w:val="00553427"/>
    <w:rsid w:val="005557AB"/>
    <w:rsid w:val="00555CBB"/>
    <w:rsid w:val="00556765"/>
    <w:rsid w:val="0057437D"/>
    <w:rsid w:val="005820C9"/>
    <w:rsid w:val="00584623"/>
    <w:rsid w:val="005903AA"/>
    <w:rsid w:val="00592615"/>
    <w:rsid w:val="00593975"/>
    <w:rsid w:val="00596014"/>
    <w:rsid w:val="005A673E"/>
    <w:rsid w:val="005B0A34"/>
    <w:rsid w:val="005B3EC1"/>
    <w:rsid w:val="005C2EBF"/>
    <w:rsid w:val="005D0748"/>
    <w:rsid w:val="005D3F87"/>
    <w:rsid w:val="005F6B36"/>
    <w:rsid w:val="00613698"/>
    <w:rsid w:val="00622FE8"/>
    <w:rsid w:val="00630BB6"/>
    <w:rsid w:val="00653C9A"/>
    <w:rsid w:val="00654E49"/>
    <w:rsid w:val="006578D7"/>
    <w:rsid w:val="0067096D"/>
    <w:rsid w:val="006B6530"/>
    <w:rsid w:val="006C7C58"/>
    <w:rsid w:val="006D153D"/>
    <w:rsid w:val="006D43CC"/>
    <w:rsid w:val="006D4B09"/>
    <w:rsid w:val="006F0533"/>
    <w:rsid w:val="00702888"/>
    <w:rsid w:val="0072549C"/>
    <w:rsid w:val="00745BF3"/>
    <w:rsid w:val="007506AE"/>
    <w:rsid w:val="00750EA8"/>
    <w:rsid w:val="007571FD"/>
    <w:rsid w:val="00761BDE"/>
    <w:rsid w:val="007854AB"/>
    <w:rsid w:val="00792C25"/>
    <w:rsid w:val="00792D2C"/>
    <w:rsid w:val="007A3140"/>
    <w:rsid w:val="007A3E1A"/>
    <w:rsid w:val="007D3F16"/>
    <w:rsid w:val="007E1A2A"/>
    <w:rsid w:val="007E3640"/>
    <w:rsid w:val="007E67ED"/>
    <w:rsid w:val="007F0737"/>
    <w:rsid w:val="00814907"/>
    <w:rsid w:val="008202CD"/>
    <w:rsid w:val="008218F0"/>
    <w:rsid w:val="008338A0"/>
    <w:rsid w:val="00855FEC"/>
    <w:rsid w:val="008627A4"/>
    <w:rsid w:val="00874386"/>
    <w:rsid w:val="00882EBF"/>
    <w:rsid w:val="0088571C"/>
    <w:rsid w:val="00886444"/>
    <w:rsid w:val="00887849"/>
    <w:rsid w:val="008A19E7"/>
    <w:rsid w:val="008B4649"/>
    <w:rsid w:val="008C3292"/>
    <w:rsid w:val="008C693F"/>
    <w:rsid w:val="008C754A"/>
    <w:rsid w:val="008D0763"/>
    <w:rsid w:val="008D12FC"/>
    <w:rsid w:val="008D7013"/>
    <w:rsid w:val="008E08D4"/>
    <w:rsid w:val="008E1CC4"/>
    <w:rsid w:val="008E5DAC"/>
    <w:rsid w:val="008F7E90"/>
    <w:rsid w:val="00900B3B"/>
    <w:rsid w:val="00905AE4"/>
    <w:rsid w:val="00913A3D"/>
    <w:rsid w:val="00922928"/>
    <w:rsid w:val="00925922"/>
    <w:rsid w:val="00927102"/>
    <w:rsid w:val="00932136"/>
    <w:rsid w:val="009329E6"/>
    <w:rsid w:val="009500D2"/>
    <w:rsid w:val="00953F40"/>
    <w:rsid w:val="00965AF0"/>
    <w:rsid w:val="00977A08"/>
    <w:rsid w:val="009A227B"/>
    <w:rsid w:val="009A5747"/>
    <w:rsid w:val="009B025C"/>
    <w:rsid w:val="009B6156"/>
    <w:rsid w:val="009C61C5"/>
    <w:rsid w:val="009D5078"/>
    <w:rsid w:val="009E7D99"/>
    <w:rsid w:val="009F4B9D"/>
    <w:rsid w:val="00A022BC"/>
    <w:rsid w:val="00A028BC"/>
    <w:rsid w:val="00A13B92"/>
    <w:rsid w:val="00A4447D"/>
    <w:rsid w:val="00A615CC"/>
    <w:rsid w:val="00A64002"/>
    <w:rsid w:val="00A7290F"/>
    <w:rsid w:val="00A96349"/>
    <w:rsid w:val="00AA686C"/>
    <w:rsid w:val="00AA69DE"/>
    <w:rsid w:val="00AB5D0C"/>
    <w:rsid w:val="00AD032B"/>
    <w:rsid w:val="00AE049B"/>
    <w:rsid w:val="00AE2840"/>
    <w:rsid w:val="00AF73DD"/>
    <w:rsid w:val="00B02AEB"/>
    <w:rsid w:val="00B14DFB"/>
    <w:rsid w:val="00B2220C"/>
    <w:rsid w:val="00B2337D"/>
    <w:rsid w:val="00B34D79"/>
    <w:rsid w:val="00B40E21"/>
    <w:rsid w:val="00B4140A"/>
    <w:rsid w:val="00B418A0"/>
    <w:rsid w:val="00B47719"/>
    <w:rsid w:val="00B505F3"/>
    <w:rsid w:val="00B55850"/>
    <w:rsid w:val="00B65DDA"/>
    <w:rsid w:val="00B71BF4"/>
    <w:rsid w:val="00B87233"/>
    <w:rsid w:val="00B910D0"/>
    <w:rsid w:val="00B92CB7"/>
    <w:rsid w:val="00B97249"/>
    <w:rsid w:val="00BA5C36"/>
    <w:rsid w:val="00BB496C"/>
    <w:rsid w:val="00BC0012"/>
    <w:rsid w:val="00BC5E51"/>
    <w:rsid w:val="00BD448A"/>
    <w:rsid w:val="00BD6544"/>
    <w:rsid w:val="00BE1C80"/>
    <w:rsid w:val="00BF1102"/>
    <w:rsid w:val="00BF59DB"/>
    <w:rsid w:val="00BF754D"/>
    <w:rsid w:val="00C02722"/>
    <w:rsid w:val="00C12182"/>
    <w:rsid w:val="00C17757"/>
    <w:rsid w:val="00C234D7"/>
    <w:rsid w:val="00C23B85"/>
    <w:rsid w:val="00C37301"/>
    <w:rsid w:val="00C42250"/>
    <w:rsid w:val="00C57663"/>
    <w:rsid w:val="00C613FC"/>
    <w:rsid w:val="00C63F3E"/>
    <w:rsid w:val="00C71B29"/>
    <w:rsid w:val="00C81E1A"/>
    <w:rsid w:val="00C860BB"/>
    <w:rsid w:val="00C872EB"/>
    <w:rsid w:val="00C969B7"/>
    <w:rsid w:val="00CA6344"/>
    <w:rsid w:val="00CB36F3"/>
    <w:rsid w:val="00CC4115"/>
    <w:rsid w:val="00CC7DAA"/>
    <w:rsid w:val="00CD16A2"/>
    <w:rsid w:val="00CE2DB2"/>
    <w:rsid w:val="00CE7E70"/>
    <w:rsid w:val="00CF3E0E"/>
    <w:rsid w:val="00CF5B31"/>
    <w:rsid w:val="00D01A43"/>
    <w:rsid w:val="00D079CB"/>
    <w:rsid w:val="00D17C22"/>
    <w:rsid w:val="00D341B1"/>
    <w:rsid w:val="00D34878"/>
    <w:rsid w:val="00D34AC0"/>
    <w:rsid w:val="00D3636E"/>
    <w:rsid w:val="00D574BE"/>
    <w:rsid w:val="00D62BCE"/>
    <w:rsid w:val="00D66D8A"/>
    <w:rsid w:val="00D76C0E"/>
    <w:rsid w:val="00D847C3"/>
    <w:rsid w:val="00D90643"/>
    <w:rsid w:val="00D92DB1"/>
    <w:rsid w:val="00D936DA"/>
    <w:rsid w:val="00D94C2A"/>
    <w:rsid w:val="00DA1D0F"/>
    <w:rsid w:val="00DD7C1C"/>
    <w:rsid w:val="00DF2349"/>
    <w:rsid w:val="00DF287A"/>
    <w:rsid w:val="00DF5BF5"/>
    <w:rsid w:val="00DF682C"/>
    <w:rsid w:val="00DF78CE"/>
    <w:rsid w:val="00E05115"/>
    <w:rsid w:val="00E21C44"/>
    <w:rsid w:val="00E23745"/>
    <w:rsid w:val="00E263AF"/>
    <w:rsid w:val="00E30643"/>
    <w:rsid w:val="00E31A9A"/>
    <w:rsid w:val="00E401A1"/>
    <w:rsid w:val="00E45E4C"/>
    <w:rsid w:val="00E461E2"/>
    <w:rsid w:val="00E54047"/>
    <w:rsid w:val="00E60C15"/>
    <w:rsid w:val="00E61FD3"/>
    <w:rsid w:val="00E63283"/>
    <w:rsid w:val="00E643DC"/>
    <w:rsid w:val="00E747F5"/>
    <w:rsid w:val="00E77DFF"/>
    <w:rsid w:val="00E81ECD"/>
    <w:rsid w:val="00E8505A"/>
    <w:rsid w:val="00E879CE"/>
    <w:rsid w:val="00E961B5"/>
    <w:rsid w:val="00EB74BE"/>
    <w:rsid w:val="00EC1696"/>
    <w:rsid w:val="00EE1CFF"/>
    <w:rsid w:val="00F00A6A"/>
    <w:rsid w:val="00F12A72"/>
    <w:rsid w:val="00F131C7"/>
    <w:rsid w:val="00F17456"/>
    <w:rsid w:val="00F25750"/>
    <w:rsid w:val="00F43B24"/>
    <w:rsid w:val="00F557AB"/>
    <w:rsid w:val="00F61950"/>
    <w:rsid w:val="00F627A6"/>
    <w:rsid w:val="00F706AD"/>
    <w:rsid w:val="00F77AEE"/>
    <w:rsid w:val="00F81531"/>
    <w:rsid w:val="00F860D4"/>
    <w:rsid w:val="00F91DBB"/>
    <w:rsid w:val="00FA4E84"/>
    <w:rsid w:val="00FC0688"/>
    <w:rsid w:val="00FD3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qFormat/>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qFormat/>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qFormat/>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customStyle="1" w:styleId="InternetLink">
    <w:name w:val="Internet Link"/>
    <w:basedOn w:val="DefaultParagraphFont"/>
    <w:uiPriority w:val="99"/>
    <w:unhideWhenUsed/>
    <w:rsid w:val="00D90643"/>
    <w:rPr>
      <w:color w:val="0000FF" w:themeColor="hyperlink"/>
      <w:u w:val="single"/>
    </w:rPr>
  </w:style>
  <w:style w:type="character" w:customStyle="1" w:styleId="FootnoteAnchor">
    <w:name w:val="Footnote Anchor"/>
    <w:rsid w:val="00D906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6578D7"/>
    <w:pPr>
      <w:spacing w:before="100" w:beforeAutospacing="1" w:after="100" w:afterAutospacing="1"/>
    </w:pPr>
    <w:rPr>
      <w:rFonts w:ascii="Calibri" w:eastAsiaTheme="minorEastAsia" w:hAnsi="Calibri"/>
      <w:lang w:eastAsia="en-AU"/>
    </w:rPr>
  </w:style>
  <w:style w:type="paragraph" w:styleId="Heading1">
    <w:name w:val="heading 1"/>
    <w:next w:val="Normal"/>
    <w:link w:val="Heading1Char"/>
    <w:uiPriority w:val="9"/>
    <w:qFormat/>
    <w:rsid w:val="003E76C5"/>
    <w:pPr>
      <w:keepNext/>
      <w:keepLines/>
      <w:pageBreakBefore/>
      <w:numPr>
        <w:numId w:val="16"/>
      </w:numPr>
      <w:spacing w:before="100" w:beforeAutospacing="1" w:after="240"/>
      <w:outlineLvl w:val="0"/>
    </w:pPr>
    <w:rPr>
      <w:rFonts w:ascii="Calibri" w:eastAsiaTheme="majorEastAsia" w:hAnsi="Calibri" w:cstheme="majorBidi"/>
      <w:bCs/>
      <w:sz w:val="48"/>
      <w:szCs w:val="28"/>
    </w:rPr>
  </w:style>
  <w:style w:type="paragraph" w:styleId="Heading2">
    <w:name w:val="heading 2"/>
    <w:next w:val="Normal"/>
    <w:link w:val="Heading2Char"/>
    <w:qFormat/>
    <w:rsid w:val="003E76C5"/>
    <w:pPr>
      <w:keepNext/>
      <w:numPr>
        <w:ilvl w:val="1"/>
        <w:numId w:val="16"/>
      </w:numPr>
      <w:spacing w:before="100" w:beforeAutospacing="1" w:after="240"/>
      <w:outlineLvl w:val="1"/>
    </w:pPr>
    <w:rPr>
      <w:rFonts w:ascii="Calibri" w:eastAsia="Times New Roman" w:hAnsi="Calibri" w:cs="Times New Roman"/>
      <w:bCs/>
      <w:iCs/>
      <w:sz w:val="32"/>
      <w:szCs w:val="24"/>
    </w:rPr>
  </w:style>
  <w:style w:type="paragraph" w:styleId="Heading3">
    <w:name w:val="heading 3"/>
    <w:next w:val="Normal"/>
    <w:link w:val="Heading3Char"/>
    <w:qFormat/>
    <w:rsid w:val="003E76C5"/>
    <w:pPr>
      <w:keepNext/>
      <w:numPr>
        <w:ilvl w:val="2"/>
        <w:numId w:val="16"/>
      </w:numPr>
      <w:spacing w:before="100" w:beforeAutospacing="1" w:after="240"/>
      <w:outlineLvl w:val="2"/>
    </w:pPr>
    <w:rPr>
      <w:rFonts w:ascii="Calibri" w:eastAsia="Times New Roman" w:hAnsi="Calibri" w:cs="Times New Roman"/>
      <w:bCs/>
      <w:iCs/>
      <w:sz w:val="28"/>
      <w:szCs w:val="24"/>
    </w:rPr>
  </w:style>
  <w:style w:type="paragraph" w:styleId="Heading4">
    <w:name w:val="heading 4"/>
    <w:next w:val="Normal"/>
    <w:link w:val="Heading4Char"/>
    <w:uiPriority w:val="9"/>
    <w:unhideWhenUsed/>
    <w:qFormat/>
    <w:rsid w:val="003E76C5"/>
    <w:pPr>
      <w:keepNext/>
      <w:keepLines/>
      <w:spacing w:before="100" w:beforeAutospacing="1" w:after="240"/>
      <w:outlineLvl w:val="3"/>
    </w:pPr>
    <w:rPr>
      <w:rFonts w:ascii="Calibri" w:eastAsiaTheme="majorEastAsia" w:hAnsi="Calibri" w:cstheme="majorBidi"/>
      <w:bCs/>
      <w:i/>
      <w:iCs/>
      <w:sz w:val="24"/>
    </w:rPr>
  </w:style>
  <w:style w:type="paragraph" w:styleId="Heading5">
    <w:name w:val="heading 5"/>
    <w:next w:val="Normal"/>
    <w:link w:val="Heading5Char"/>
    <w:uiPriority w:val="9"/>
    <w:unhideWhenUsed/>
    <w:qFormat/>
    <w:rsid w:val="003E76C5"/>
    <w:pPr>
      <w:keepNext/>
      <w:keepLines/>
      <w:outlineLvl w:val="4"/>
    </w:pPr>
    <w:rPr>
      <w:rFonts w:ascii="Calibri" w:eastAsiaTheme="majorEastAsia" w:hAnsi="Calibri" w:cstheme="majorBidi"/>
      <w:sz w:val="23"/>
      <w:u w:val="single"/>
    </w:rPr>
  </w:style>
  <w:style w:type="paragraph" w:styleId="Heading6">
    <w:name w:val="heading 6"/>
    <w:next w:val="Normal"/>
    <w:link w:val="Heading6Char"/>
    <w:uiPriority w:val="9"/>
    <w:unhideWhenUsed/>
    <w:qFormat/>
    <w:rsid w:val="003E76C5"/>
    <w:pPr>
      <w:keepNext/>
      <w:keepLines/>
      <w:spacing w:before="200"/>
      <w:outlineLvl w:val="5"/>
    </w:pPr>
    <w:rPr>
      <w:rFonts w:ascii="Calibri" w:eastAsiaTheme="majorEastAsia" w:hAnsi="Calibri" w:cstheme="majorBidi"/>
      <w:i/>
      <w:iCs/>
      <w:sz w:val="23"/>
    </w:rPr>
  </w:style>
  <w:style w:type="paragraph" w:styleId="Heading7">
    <w:name w:val="heading 7"/>
    <w:next w:val="Normal"/>
    <w:link w:val="Heading7Char"/>
    <w:uiPriority w:val="9"/>
    <w:semiHidden/>
    <w:unhideWhenUsed/>
    <w:rsid w:val="00EC1696"/>
    <w:pPr>
      <w:keepNext/>
      <w:keepLines/>
      <w:spacing w:before="200"/>
      <w:outlineLvl w:val="6"/>
    </w:pPr>
    <w:rPr>
      <w:rFonts w:asciiTheme="majorHAnsi" w:eastAsiaTheme="majorEastAsia" w:hAnsiTheme="majorHAnsi" w:cstheme="majorBidi"/>
      <w:i/>
      <w:iCs/>
      <w:color w:val="404040" w:themeColor="text1" w:themeTint="BF"/>
      <w:sz w:val="23"/>
      <w:lang w:eastAsia="en-AU"/>
    </w:rPr>
  </w:style>
  <w:style w:type="paragraph" w:styleId="Heading8">
    <w:name w:val="heading 8"/>
    <w:basedOn w:val="Normal"/>
    <w:next w:val="Normal"/>
    <w:link w:val="Heading8Char"/>
    <w:uiPriority w:val="9"/>
    <w:semiHidden/>
    <w:unhideWhenUsed/>
    <w:qFormat/>
    <w:rsid w:val="00EC16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6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C5"/>
    <w:rPr>
      <w:rFonts w:ascii="Calibri" w:eastAsiaTheme="majorEastAsia" w:hAnsi="Calibri" w:cstheme="majorBidi"/>
      <w:bCs/>
      <w:sz w:val="48"/>
      <w:szCs w:val="28"/>
    </w:rPr>
  </w:style>
  <w:style w:type="character" w:customStyle="1" w:styleId="Heading2Char">
    <w:name w:val="Heading 2 Char"/>
    <w:basedOn w:val="DefaultParagraphFont"/>
    <w:link w:val="Heading2"/>
    <w:rsid w:val="003E76C5"/>
    <w:rPr>
      <w:rFonts w:ascii="Calibri" w:eastAsia="Times New Roman" w:hAnsi="Calibri" w:cs="Times New Roman"/>
      <w:bCs/>
      <w:iCs/>
      <w:sz w:val="32"/>
      <w:szCs w:val="24"/>
    </w:rPr>
  </w:style>
  <w:style w:type="character" w:customStyle="1" w:styleId="Heading3Char">
    <w:name w:val="Heading 3 Char"/>
    <w:basedOn w:val="DefaultParagraphFont"/>
    <w:link w:val="Heading3"/>
    <w:rsid w:val="003E76C5"/>
    <w:rPr>
      <w:rFonts w:ascii="Calibri" w:eastAsia="Times New Roman" w:hAnsi="Calibri" w:cs="Times New Roman"/>
      <w:bCs/>
      <w:iCs/>
      <w:sz w:val="28"/>
      <w:szCs w:val="24"/>
    </w:rPr>
  </w:style>
  <w:style w:type="character" w:customStyle="1" w:styleId="Heading4Char">
    <w:name w:val="Heading 4 Char"/>
    <w:basedOn w:val="DefaultParagraphFont"/>
    <w:link w:val="Heading4"/>
    <w:uiPriority w:val="9"/>
    <w:rsid w:val="003E76C5"/>
    <w:rPr>
      <w:rFonts w:ascii="Calibri" w:eastAsiaTheme="majorEastAsia" w:hAnsi="Calibri" w:cstheme="majorBidi"/>
      <w:bCs/>
      <w:i/>
      <w:iCs/>
      <w:sz w:val="24"/>
    </w:rPr>
  </w:style>
  <w:style w:type="character" w:customStyle="1" w:styleId="Heading5Char">
    <w:name w:val="Heading 5 Char"/>
    <w:basedOn w:val="DefaultParagraphFont"/>
    <w:link w:val="Heading5"/>
    <w:uiPriority w:val="9"/>
    <w:rsid w:val="003E76C5"/>
    <w:rPr>
      <w:rFonts w:ascii="Calibri" w:eastAsiaTheme="majorEastAsia" w:hAnsi="Calibri" w:cstheme="majorBidi"/>
      <w:sz w:val="23"/>
      <w:u w:val="single"/>
    </w:rPr>
  </w:style>
  <w:style w:type="character" w:customStyle="1" w:styleId="Heading6Char">
    <w:name w:val="Heading 6 Char"/>
    <w:basedOn w:val="DefaultParagraphFont"/>
    <w:link w:val="Heading6"/>
    <w:uiPriority w:val="9"/>
    <w:rsid w:val="003E76C5"/>
    <w:rPr>
      <w:rFonts w:ascii="Calibri" w:eastAsiaTheme="majorEastAsia" w:hAnsi="Calibri" w:cstheme="majorBidi"/>
      <w:i/>
      <w:iCs/>
      <w:sz w:val="23"/>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3E76C5"/>
    <w:pPr>
      <w:tabs>
        <w:tab w:val="left" w:leader="underscore" w:pos="8640"/>
      </w:tabs>
      <w:spacing w:before="60" w:after="360"/>
    </w:pPr>
    <w:rPr>
      <w:rFonts w:ascii="Tahoma" w:eastAsia="Times New Roman" w:hAnsi="Tahoma" w:cs="Times New Roman"/>
      <w:sz w:val="20"/>
      <w:szCs w:val="24"/>
      <w:lang w:eastAsia="en-US"/>
    </w:rPr>
  </w:style>
  <w:style w:type="paragraph" w:customStyle="1" w:styleId="Line">
    <w:name w:val="Line"/>
    <w:basedOn w:val="Normal"/>
    <w:rsid w:val="003E76C5"/>
    <w:pPr>
      <w:tabs>
        <w:tab w:val="left" w:leader="underscore" w:pos="8640"/>
      </w:tabs>
      <w:spacing w:before="60"/>
    </w:pPr>
    <w:rPr>
      <w:rFonts w:ascii="Tahoma" w:eastAsia="Times New Roman" w:hAnsi="Tahoma" w:cs="Times New Roman"/>
      <w:sz w:val="20"/>
      <w:szCs w:val="24"/>
      <w:lang w:eastAsia="en-US"/>
    </w:rPr>
  </w:style>
  <w:style w:type="paragraph" w:customStyle="1" w:styleId="Thankyou">
    <w:name w:val="Thankyou"/>
    <w:basedOn w:val="Normal"/>
    <w:rsid w:val="003E76C5"/>
    <w:pPr>
      <w:keepNext/>
      <w:jc w:val="center"/>
    </w:pPr>
    <w:rPr>
      <w:rFonts w:ascii="Tahoma" w:eastAsia="Times New Roman" w:hAnsi="Tahoma" w:cs="Times New Roman"/>
      <w:sz w:val="20"/>
      <w:szCs w:val="24"/>
      <w:lang w:eastAsia="en-US"/>
    </w:rPr>
  </w:style>
  <w:style w:type="character" w:customStyle="1" w:styleId="maintitle">
    <w:name w:val="maintitle"/>
    <w:basedOn w:val="DefaultParagraphFont"/>
    <w:rsid w:val="008F7E90"/>
  </w:style>
  <w:style w:type="paragraph" w:customStyle="1" w:styleId="Tablecell">
    <w:name w:val="Table cell"/>
    <w:rsid w:val="003E76C5"/>
    <w:pPr>
      <w:keepLines/>
      <w:suppressAutoHyphens/>
      <w:spacing w:before="40" w:after="40"/>
    </w:pPr>
    <w:rPr>
      <w:rFonts w:ascii="Arial" w:eastAsia="Times New Roman" w:hAnsi="Arial" w:cs="Arial"/>
      <w:sz w:val="16"/>
      <w:szCs w:val="20"/>
    </w:rPr>
  </w:style>
  <w:style w:type="paragraph" w:styleId="Header">
    <w:name w:val="header"/>
    <w:link w:val="HeaderChar"/>
    <w:uiPriority w:val="99"/>
    <w:unhideWhenUsed/>
    <w:rsid w:val="003E76C5"/>
    <w:pPr>
      <w:tabs>
        <w:tab w:val="center" w:pos="4513"/>
        <w:tab w:val="right" w:pos="9026"/>
      </w:tabs>
      <w:spacing w:after="240"/>
    </w:pPr>
    <w:rPr>
      <w:rFonts w:ascii="Calibri" w:hAnsi="Calibri"/>
      <w:sz w:val="23"/>
    </w:rPr>
  </w:style>
  <w:style w:type="character" w:customStyle="1" w:styleId="HeaderChar">
    <w:name w:val="Header Char"/>
    <w:basedOn w:val="DefaultParagraphFont"/>
    <w:link w:val="Header"/>
    <w:uiPriority w:val="99"/>
    <w:qFormat/>
    <w:rsid w:val="003E76C5"/>
    <w:rPr>
      <w:rFonts w:ascii="Calibri" w:hAnsi="Calibri"/>
      <w:sz w:val="23"/>
    </w:rPr>
  </w:style>
  <w:style w:type="paragraph" w:styleId="TOC1">
    <w:name w:val="toc 1"/>
    <w:basedOn w:val="Normal"/>
    <w:next w:val="Normal"/>
    <w:autoRedefine/>
    <w:uiPriority w:val="39"/>
    <w:unhideWhenUsed/>
    <w:rsid w:val="004F2201"/>
    <w:pPr>
      <w:tabs>
        <w:tab w:val="left" w:pos="440"/>
        <w:tab w:val="right" w:leader="dot" w:pos="9016"/>
      </w:tabs>
      <w:spacing w:before="120" w:beforeAutospacing="0" w:after="120" w:afterAutospacing="0"/>
    </w:pPr>
  </w:style>
  <w:style w:type="paragraph" w:styleId="TOC2">
    <w:name w:val="toc 2"/>
    <w:basedOn w:val="Normal"/>
    <w:next w:val="Normal"/>
    <w:autoRedefine/>
    <w:uiPriority w:val="39"/>
    <w:unhideWhenUsed/>
    <w:rsid w:val="004F2201"/>
    <w:pPr>
      <w:tabs>
        <w:tab w:val="left" w:pos="880"/>
        <w:tab w:val="right" w:leader="dot" w:pos="9016"/>
      </w:tabs>
      <w:spacing w:before="120" w:beforeAutospacing="0" w:after="120" w:afterAutospacing="0"/>
      <w:ind w:left="232"/>
    </w:pPr>
    <w:rPr>
      <w:noProof/>
    </w:rPr>
  </w:style>
  <w:style w:type="paragraph" w:styleId="TOC3">
    <w:name w:val="toc 3"/>
    <w:basedOn w:val="Normal"/>
    <w:next w:val="Normal"/>
    <w:autoRedefine/>
    <w:uiPriority w:val="39"/>
    <w:unhideWhenUsed/>
    <w:rsid w:val="004F2201"/>
    <w:pPr>
      <w:tabs>
        <w:tab w:val="left" w:pos="1320"/>
        <w:tab w:val="right" w:leader="dot" w:pos="9016"/>
      </w:tabs>
      <w:spacing w:before="120" w:beforeAutospacing="0" w:after="120" w:afterAutospacing="0"/>
      <w:ind w:left="459"/>
    </w:pPr>
    <w:rPr>
      <w:noProof/>
    </w:rPr>
  </w:style>
  <w:style w:type="numbering" w:customStyle="1" w:styleId="Appendices">
    <w:name w:val="Appendices"/>
    <w:uiPriority w:val="99"/>
    <w:rsid w:val="00047257"/>
    <w:pPr>
      <w:numPr>
        <w:numId w:val="17"/>
      </w:numPr>
    </w:pPr>
  </w:style>
  <w:style w:type="paragraph" w:styleId="FootnoteText">
    <w:name w:val="footnote text"/>
    <w:link w:val="FootnoteTextChar"/>
    <w:uiPriority w:val="99"/>
    <w:unhideWhenUsed/>
    <w:rsid w:val="003E76C5"/>
    <w:pPr>
      <w:spacing w:after="120"/>
    </w:pPr>
    <w:rPr>
      <w:rFonts w:ascii="Calibri" w:hAnsi="Calibri"/>
      <w:sz w:val="18"/>
      <w:szCs w:val="20"/>
    </w:rPr>
  </w:style>
  <w:style w:type="character" w:customStyle="1" w:styleId="FootnoteTextChar">
    <w:name w:val="Footnote Text Char"/>
    <w:basedOn w:val="DefaultParagraphFont"/>
    <w:link w:val="FootnoteText"/>
    <w:uiPriority w:val="99"/>
    <w:rsid w:val="003E76C5"/>
    <w:rPr>
      <w:rFonts w:ascii="Calibri" w:hAnsi="Calibri"/>
      <w:sz w:val="18"/>
      <w:szCs w:val="20"/>
    </w:rPr>
  </w:style>
  <w:style w:type="paragraph" w:styleId="CommentText">
    <w:name w:val="annotation text"/>
    <w:basedOn w:val="Normal"/>
    <w:link w:val="CommentTextChar"/>
    <w:uiPriority w:val="99"/>
    <w:unhideWhenUsed/>
    <w:rsid w:val="003E76C5"/>
    <w:rPr>
      <w:rFonts w:eastAsiaTheme="minorHAnsi"/>
      <w:sz w:val="20"/>
      <w:szCs w:val="20"/>
      <w:lang w:eastAsia="en-US"/>
    </w:rPr>
  </w:style>
  <w:style w:type="character" w:customStyle="1" w:styleId="CommentTextChar">
    <w:name w:val="Comment Text Char"/>
    <w:basedOn w:val="DefaultParagraphFont"/>
    <w:link w:val="CommentText"/>
    <w:uiPriority w:val="99"/>
    <w:rsid w:val="003E76C5"/>
    <w:rPr>
      <w:rFonts w:ascii="Calibri" w:hAnsi="Calibri"/>
      <w:sz w:val="20"/>
      <w:szCs w:val="20"/>
    </w:rPr>
  </w:style>
  <w:style w:type="paragraph" w:styleId="Footer">
    <w:name w:val="footer"/>
    <w:basedOn w:val="Normal"/>
    <w:link w:val="FooterChar"/>
    <w:uiPriority w:val="99"/>
    <w:unhideWhenUsed/>
    <w:rsid w:val="003E76C5"/>
    <w:pPr>
      <w:tabs>
        <w:tab w:val="center" w:pos="4513"/>
        <w:tab w:val="right" w:pos="9026"/>
      </w:tabs>
      <w:ind w:left="8505"/>
    </w:pPr>
    <w:rPr>
      <w:rFonts w:eastAsiaTheme="minorHAnsi"/>
      <w:lang w:eastAsia="en-US"/>
    </w:rPr>
  </w:style>
  <w:style w:type="character" w:customStyle="1" w:styleId="FooterChar">
    <w:name w:val="Footer Char"/>
    <w:basedOn w:val="DefaultParagraphFont"/>
    <w:link w:val="Footer"/>
    <w:uiPriority w:val="99"/>
    <w:rsid w:val="003E76C5"/>
    <w:rPr>
      <w:rFonts w:ascii="Calibri" w:hAnsi="Calibri"/>
    </w:rPr>
  </w:style>
  <w:style w:type="paragraph" w:styleId="Caption">
    <w:name w:val="caption"/>
    <w:basedOn w:val="Normal"/>
    <w:next w:val="Normal"/>
    <w:uiPriority w:val="35"/>
    <w:unhideWhenUsed/>
    <w:rsid w:val="003E76C5"/>
    <w:rPr>
      <w:rFonts w:eastAsiaTheme="minorHAnsi"/>
      <w:b/>
      <w:bCs/>
      <w:color w:val="4F81BD" w:themeColor="accent1"/>
      <w:sz w:val="18"/>
      <w:szCs w:val="18"/>
      <w:lang w:eastAsia="en-US"/>
    </w:rPr>
  </w:style>
  <w:style w:type="character" w:styleId="FootnoteReference">
    <w:name w:val="footnote reference"/>
    <w:basedOn w:val="DefaultParagraphFont"/>
    <w:uiPriority w:val="99"/>
    <w:semiHidden/>
    <w:unhideWhenUsed/>
    <w:qFormat/>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aliases w:val="Submission"/>
    <w:next w:val="Normal"/>
    <w:link w:val="TitleChar"/>
    <w:qFormat/>
    <w:rsid w:val="003E76C5"/>
    <w:pPr>
      <w:spacing w:before="2040" w:after="120"/>
      <w:contextualSpacing/>
      <w:jc w:val="center"/>
    </w:pPr>
    <w:rPr>
      <w:rFonts w:ascii="Calibri" w:eastAsiaTheme="majorEastAsia" w:hAnsi="Calibri" w:cstheme="majorBidi"/>
      <w:b/>
      <w:spacing w:val="5"/>
      <w:kern w:val="28"/>
      <w:sz w:val="52"/>
      <w:szCs w:val="52"/>
    </w:rPr>
  </w:style>
  <w:style w:type="character" w:customStyle="1" w:styleId="TitleChar">
    <w:name w:val="Title Char"/>
    <w:aliases w:val="Submission Char"/>
    <w:basedOn w:val="DefaultParagraphFont"/>
    <w:link w:val="Title"/>
    <w:rsid w:val="003E76C5"/>
    <w:rPr>
      <w:rFonts w:ascii="Calibri" w:eastAsiaTheme="majorEastAsia" w:hAnsi="Calibri" w:cstheme="majorBidi"/>
      <w:b/>
      <w:spacing w:val="5"/>
      <w:kern w:val="28"/>
      <w:sz w:val="52"/>
      <w:szCs w:val="52"/>
    </w:rPr>
  </w:style>
  <w:style w:type="paragraph" w:styleId="BodyText">
    <w:name w:val="Body Text"/>
    <w:basedOn w:val="Normal"/>
    <w:link w:val="BodyTextChar"/>
    <w:rsid w:val="003E76C5"/>
    <w:rPr>
      <w:rFonts w:ascii="Times New Roman" w:eastAsia="Times New Roman" w:hAnsi="Times New Roman" w:cs="Times New Roman"/>
      <w:szCs w:val="24"/>
      <w:lang w:eastAsia="en-US"/>
    </w:rPr>
  </w:style>
  <w:style w:type="character" w:customStyle="1" w:styleId="BodyTextChar">
    <w:name w:val="Body Text Char"/>
    <w:basedOn w:val="DefaultParagraphFont"/>
    <w:link w:val="BodyText"/>
    <w:rsid w:val="003E76C5"/>
    <w:rPr>
      <w:rFonts w:ascii="Times New Roman" w:eastAsia="Times New Roman" w:hAnsi="Times New Roman" w:cs="Times New Roman"/>
      <w:szCs w:val="24"/>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rFonts w:ascii="Calibri" w:hAnsi="Calibri"/>
      <w:b/>
      <w:bCs/>
      <w:sz w:val="20"/>
      <w:szCs w:val="20"/>
      <w:lang w:val="en-GB"/>
    </w:rPr>
  </w:style>
  <w:style w:type="paragraph" w:styleId="BalloonText">
    <w:name w:val="Balloon Text"/>
    <w:basedOn w:val="Normal"/>
    <w:link w:val="BalloonTextChar"/>
    <w:uiPriority w:val="99"/>
    <w:semiHidden/>
    <w:unhideWhenUsed/>
    <w:rsid w:val="008F7E90"/>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3E76C5"/>
    <w:pPr>
      <w:ind w:left="720"/>
      <w:contextualSpacing/>
    </w:pPr>
    <w:rPr>
      <w:rFonts w:eastAsiaTheme="minorHAnsi"/>
      <w:lang w:eastAsia="en-US"/>
    </w:rPr>
  </w:style>
  <w:style w:type="paragraph" w:styleId="TOCHeading">
    <w:name w:val="TOC Heading"/>
    <w:basedOn w:val="Heading1"/>
    <w:next w:val="Normal"/>
    <w:uiPriority w:val="39"/>
    <w:unhideWhenUsed/>
    <w:qFormat/>
    <w:rsid w:val="003E76C5"/>
    <w:pPr>
      <w:numPr>
        <w:numId w:val="0"/>
      </w:numPr>
      <w:spacing w:line="276" w:lineRule="auto"/>
      <w:outlineLvl w:val="9"/>
    </w:p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uiPriority w:val="1"/>
    <w:rsid w:val="000D51F4"/>
    <w:rPr>
      <w:rFonts w:ascii="Calibri" w:eastAsiaTheme="minorEastAsia" w:hAnsi="Calibri"/>
      <w:sz w:val="23"/>
      <w:lang w:eastAsia="en-AU"/>
    </w:rPr>
  </w:style>
  <w:style w:type="paragraph" w:customStyle="1" w:styleId="About">
    <w:name w:val="About"/>
    <w:basedOn w:val="Normal"/>
    <w:link w:val="AboutChar"/>
    <w:qFormat/>
    <w:rsid w:val="00C12182"/>
    <w:rPr>
      <w:b/>
    </w:rPr>
  </w:style>
  <w:style w:type="table" w:customStyle="1" w:styleId="ACCANtable">
    <w:name w:val="ACCAN table"/>
    <w:basedOn w:val="TableNormal"/>
    <w:uiPriority w:val="99"/>
    <w:rsid w:val="0036351B"/>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C12182"/>
    <w:rPr>
      <w:rFonts w:ascii="Calibri" w:eastAsiaTheme="minorEastAsia" w:hAnsi="Calibri"/>
      <w:b/>
      <w:sz w:val="23"/>
      <w:lang w:eastAsia="en-AU"/>
    </w:rPr>
  </w:style>
  <w:style w:type="paragraph" w:styleId="Subtitle">
    <w:name w:val="Subtitle"/>
    <w:next w:val="Normal"/>
    <w:link w:val="SubtitleChar"/>
    <w:uiPriority w:val="11"/>
    <w:rsid w:val="003E76C5"/>
    <w:pPr>
      <w:spacing w:before="360" w:after="360"/>
      <w:jc w:val="center"/>
    </w:pPr>
    <w:rPr>
      <w:rFonts w:ascii="Calibri" w:eastAsiaTheme="minorEastAsia" w:hAnsi="Calibri"/>
      <w:sz w:val="32"/>
      <w:szCs w:val="32"/>
    </w:rPr>
  </w:style>
  <w:style w:type="character" w:customStyle="1" w:styleId="SubtitleChar">
    <w:name w:val="Subtitle Char"/>
    <w:basedOn w:val="DefaultParagraphFont"/>
    <w:link w:val="Subtitle"/>
    <w:uiPriority w:val="11"/>
    <w:rsid w:val="003E76C5"/>
    <w:rPr>
      <w:rFonts w:ascii="Calibri" w:eastAsiaTheme="minorEastAsia" w:hAnsi="Calibri"/>
      <w:sz w:val="32"/>
      <w:szCs w:val="32"/>
    </w:rPr>
  </w:style>
  <w:style w:type="character" w:customStyle="1" w:styleId="Heading7Char">
    <w:name w:val="Heading 7 Char"/>
    <w:basedOn w:val="DefaultParagraphFont"/>
    <w:link w:val="Heading7"/>
    <w:uiPriority w:val="9"/>
    <w:semiHidden/>
    <w:rsid w:val="00EC1696"/>
    <w:rPr>
      <w:rFonts w:asciiTheme="majorHAnsi" w:eastAsiaTheme="majorEastAsia" w:hAnsiTheme="majorHAnsi" w:cstheme="majorBidi"/>
      <w:i/>
      <w:iCs/>
      <w:color w:val="404040" w:themeColor="text1" w:themeTint="BF"/>
      <w:sz w:val="23"/>
      <w:lang w:eastAsia="en-AU"/>
    </w:rPr>
  </w:style>
  <w:style w:type="paragraph" w:customStyle="1" w:styleId="Recommendation">
    <w:name w:val="Recommendation"/>
    <w:basedOn w:val="Normal"/>
    <w:link w:val="RecommendationChar"/>
    <w:qFormat/>
    <w:rsid w:val="00593975"/>
    <w:pPr>
      <w:numPr>
        <w:numId w:val="22"/>
      </w:numPr>
      <w:pBdr>
        <w:top w:val="single" w:sz="8" w:space="6" w:color="44C8F5"/>
        <w:left w:val="single" w:sz="8" w:space="5" w:color="44C8F5"/>
        <w:bottom w:val="single" w:sz="8" w:space="6" w:color="44C8F5"/>
        <w:right w:val="single" w:sz="8" w:space="5" w:color="44C8F5"/>
      </w:pBdr>
      <w:ind w:right="851"/>
    </w:pPr>
    <w:rPr>
      <w:lang w:eastAsia="en-US"/>
    </w:rPr>
  </w:style>
  <w:style w:type="table" w:styleId="LightShading-Accent1">
    <w:name w:val="Light Shading Accent 1"/>
    <w:basedOn w:val="TableNormal"/>
    <w:uiPriority w:val="60"/>
    <w:rsid w:val="005C2EB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593975"/>
    <w:rPr>
      <w:rFonts w:ascii="Calibri" w:eastAsiaTheme="minorEastAsia" w:hAnsi="Calibri"/>
      <w:sz w:val="23"/>
    </w:rPr>
  </w:style>
  <w:style w:type="paragraph" w:customStyle="1" w:styleId="Blockquote">
    <w:name w:val="Blockquote"/>
    <w:basedOn w:val="Normal"/>
    <w:link w:val="BlockquoteChar"/>
    <w:qFormat/>
    <w:rsid w:val="003E76C5"/>
    <w:pPr>
      <w:ind w:left="851" w:right="851"/>
    </w:pPr>
    <w:rPr>
      <w:lang w:eastAsia="en-US"/>
    </w:rPr>
  </w:style>
  <w:style w:type="character" w:customStyle="1" w:styleId="BlockquoteChar">
    <w:name w:val="Blockquote Char"/>
    <w:basedOn w:val="DefaultParagraphFont"/>
    <w:link w:val="Blockquote"/>
    <w:rsid w:val="003E76C5"/>
    <w:rPr>
      <w:rFonts w:ascii="Calibri" w:eastAsiaTheme="minorEastAsia" w:hAnsi="Calibri"/>
    </w:rPr>
  </w:style>
  <w:style w:type="numbering" w:customStyle="1" w:styleId="Headings">
    <w:name w:val="Headings"/>
    <w:uiPriority w:val="99"/>
    <w:rsid w:val="00EC1696"/>
    <w:pPr>
      <w:numPr>
        <w:numId w:val="2"/>
      </w:numPr>
    </w:pPr>
  </w:style>
  <w:style w:type="numbering" w:customStyle="1" w:styleId="Bullets">
    <w:name w:val="Bullets"/>
    <w:uiPriority w:val="99"/>
    <w:rsid w:val="00EC1696"/>
    <w:pPr>
      <w:numPr>
        <w:numId w:val="6"/>
      </w:numPr>
    </w:pPr>
  </w:style>
  <w:style w:type="character" w:customStyle="1" w:styleId="Heading8Char">
    <w:name w:val="Heading 8 Char"/>
    <w:basedOn w:val="DefaultParagraphFont"/>
    <w:link w:val="Heading8"/>
    <w:uiPriority w:val="9"/>
    <w:semiHidden/>
    <w:rsid w:val="00EC169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EC1696"/>
    <w:rPr>
      <w:rFonts w:asciiTheme="majorHAnsi" w:eastAsiaTheme="majorEastAsia" w:hAnsiTheme="majorHAnsi" w:cstheme="majorBidi"/>
      <w:i/>
      <w:iCs/>
      <w:color w:val="404040" w:themeColor="text1" w:themeTint="BF"/>
      <w:sz w:val="20"/>
      <w:szCs w:val="20"/>
      <w:lang w:eastAsia="en-AU"/>
    </w:rPr>
  </w:style>
  <w:style w:type="paragraph" w:customStyle="1" w:styleId="Bulletlist1">
    <w:name w:val="Bullet list 1"/>
    <w:basedOn w:val="Normal"/>
    <w:link w:val="Bulletlist1Char"/>
    <w:qFormat/>
    <w:rsid w:val="00EC1696"/>
    <w:pPr>
      <w:numPr>
        <w:numId w:val="12"/>
      </w:numPr>
    </w:pPr>
  </w:style>
  <w:style w:type="paragraph" w:customStyle="1" w:styleId="Bulletlist2">
    <w:name w:val="Bullet list 2"/>
    <w:basedOn w:val="Bulletlist1"/>
    <w:link w:val="Bulletlist2Char"/>
    <w:qFormat/>
    <w:rsid w:val="00EC1696"/>
    <w:pPr>
      <w:numPr>
        <w:ilvl w:val="1"/>
      </w:numPr>
    </w:pPr>
  </w:style>
  <w:style w:type="character" w:customStyle="1" w:styleId="Bulletlist1Char">
    <w:name w:val="Bullet list 1 Char"/>
    <w:basedOn w:val="DefaultParagraphFont"/>
    <w:link w:val="Bulletlist1"/>
    <w:rsid w:val="00EC1696"/>
    <w:rPr>
      <w:rFonts w:ascii="Calibri" w:eastAsiaTheme="minorEastAsia" w:hAnsi="Calibri"/>
      <w:sz w:val="23"/>
      <w:lang w:eastAsia="en-AU"/>
    </w:rPr>
  </w:style>
  <w:style w:type="paragraph" w:customStyle="1" w:styleId="Bulletlist3">
    <w:name w:val="Bullet list 3"/>
    <w:basedOn w:val="Bulletlist2"/>
    <w:link w:val="Bulletlist3Char"/>
    <w:qFormat/>
    <w:rsid w:val="00EC1696"/>
    <w:pPr>
      <w:numPr>
        <w:ilvl w:val="2"/>
      </w:numPr>
    </w:pPr>
  </w:style>
  <w:style w:type="character" w:customStyle="1" w:styleId="Bulletlist2Char">
    <w:name w:val="Bullet list 2 Char"/>
    <w:basedOn w:val="Bulletlist1Char"/>
    <w:link w:val="Bulletlist2"/>
    <w:rsid w:val="00EC1696"/>
    <w:rPr>
      <w:rFonts w:ascii="Calibri" w:eastAsiaTheme="minorEastAsia" w:hAnsi="Calibri"/>
      <w:sz w:val="23"/>
      <w:lang w:eastAsia="en-AU"/>
    </w:rPr>
  </w:style>
  <w:style w:type="character" w:customStyle="1" w:styleId="Bulletlist3Char">
    <w:name w:val="Bullet list 3 Char"/>
    <w:basedOn w:val="Bulletlist2Char"/>
    <w:link w:val="Bulletlist3"/>
    <w:rsid w:val="00EC1696"/>
    <w:rPr>
      <w:rFonts w:ascii="Calibri" w:eastAsiaTheme="minorEastAsia" w:hAnsi="Calibri"/>
      <w:sz w:val="23"/>
      <w:lang w:eastAsia="en-AU"/>
    </w:rPr>
  </w:style>
  <w:style w:type="paragraph" w:customStyle="1" w:styleId="Footerpage1">
    <w:name w:val="Footer page 1"/>
    <w:qFormat/>
    <w:rsid w:val="00A13B92"/>
    <w:pPr>
      <w:spacing w:after="200"/>
      <w:ind w:left="-754"/>
      <w:contextualSpacing/>
    </w:pPr>
    <w:rPr>
      <w:sz w:val="20"/>
      <w:szCs w:val="20"/>
    </w:rPr>
  </w:style>
  <w:style w:type="paragraph" w:customStyle="1" w:styleId="Celltext">
    <w:name w:val="Cell text"/>
    <w:basedOn w:val="Normal"/>
    <w:qFormat/>
    <w:rsid w:val="00EC1696"/>
    <w:pPr>
      <w:contextualSpacing/>
    </w:pPr>
    <w:rPr>
      <w:sz w:val="20"/>
    </w:rPr>
  </w:style>
  <w:style w:type="paragraph" w:customStyle="1" w:styleId="Appendixheading1">
    <w:name w:val="Appendix heading 1"/>
    <w:basedOn w:val="Heading1"/>
    <w:next w:val="Normal"/>
    <w:link w:val="Appendixheading1Char"/>
    <w:qFormat/>
    <w:rsid w:val="00047257"/>
    <w:pPr>
      <w:numPr>
        <w:numId w:val="19"/>
      </w:numPr>
    </w:pPr>
  </w:style>
  <w:style w:type="character" w:customStyle="1" w:styleId="Appendixheading1Char">
    <w:name w:val="Appendix heading 1 Char"/>
    <w:basedOn w:val="Heading1Char"/>
    <w:link w:val="Appendixheading1"/>
    <w:rsid w:val="00047257"/>
    <w:rPr>
      <w:rFonts w:ascii="Calibri" w:eastAsiaTheme="majorEastAsia" w:hAnsi="Calibri" w:cstheme="majorBidi"/>
      <w:bCs/>
      <w:sz w:val="48"/>
      <w:szCs w:val="28"/>
      <w:lang w:val="en-GB"/>
    </w:rPr>
  </w:style>
  <w:style w:type="paragraph" w:customStyle="1" w:styleId="Appendixheading2">
    <w:name w:val="Appendix heading 2"/>
    <w:basedOn w:val="Heading2"/>
    <w:next w:val="Normal"/>
    <w:link w:val="Appendixheading2Char"/>
    <w:qFormat/>
    <w:rsid w:val="00047257"/>
    <w:pPr>
      <w:numPr>
        <w:numId w:val="19"/>
      </w:numPr>
    </w:pPr>
    <w:rPr>
      <w:b/>
    </w:rPr>
  </w:style>
  <w:style w:type="character" w:customStyle="1" w:styleId="Appendixheading2Char">
    <w:name w:val="Appendix heading 2 Char"/>
    <w:basedOn w:val="Heading2Char"/>
    <w:link w:val="Appendixheading2"/>
    <w:rsid w:val="00047257"/>
    <w:rPr>
      <w:rFonts w:ascii="Calibri" w:eastAsia="Times New Roman" w:hAnsi="Calibri" w:cs="Times New Roman"/>
      <w:b/>
      <w:bCs/>
      <w:iCs/>
      <w:sz w:val="32"/>
      <w:szCs w:val="24"/>
      <w:lang w:val="en-US"/>
    </w:rPr>
  </w:style>
  <w:style w:type="paragraph" w:customStyle="1" w:styleId="Appendixheading3">
    <w:name w:val="Appendix heading 3"/>
    <w:basedOn w:val="Heading3"/>
    <w:next w:val="Normal"/>
    <w:link w:val="Appendixheading3Char"/>
    <w:qFormat/>
    <w:rsid w:val="00047257"/>
    <w:pPr>
      <w:numPr>
        <w:ilvl w:val="0"/>
        <w:numId w:val="0"/>
      </w:numPr>
    </w:pPr>
    <w:rPr>
      <w:b/>
      <w:sz w:val="24"/>
    </w:rPr>
  </w:style>
  <w:style w:type="character" w:customStyle="1" w:styleId="Appendixheading3Char">
    <w:name w:val="Appendix heading 3 Char"/>
    <w:basedOn w:val="Heading3Char"/>
    <w:link w:val="Appendixheading3"/>
    <w:rsid w:val="00047257"/>
    <w:rPr>
      <w:rFonts w:ascii="Calibri" w:eastAsia="Times New Roman" w:hAnsi="Calibri" w:cs="Times New Roman"/>
      <w:b/>
      <w:bCs/>
      <w:iCs/>
      <w:sz w:val="24"/>
      <w:szCs w:val="24"/>
      <w:lang w:val="en-US"/>
    </w:rPr>
  </w:style>
  <w:style w:type="paragraph" w:customStyle="1" w:styleId="Blockquote2">
    <w:name w:val="Blockquote 2"/>
    <w:basedOn w:val="Blockquote"/>
    <w:link w:val="Blockquote2Char"/>
    <w:qFormat/>
    <w:rsid w:val="00047257"/>
    <w:pPr>
      <w:ind w:left="1418"/>
      <w:contextualSpacing/>
    </w:pPr>
  </w:style>
  <w:style w:type="character" w:customStyle="1" w:styleId="Blockquote2Char">
    <w:name w:val="Blockquote 2 Char"/>
    <w:basedOn w:val="BlockquoteChar"/>
    <w:link w:val="Blockquote2"/>
    <w:rsid w:val="00047257"/>
    <w:rPr>
      <w:rFonts w:ascii="Calibri" w:eastAsiaTheme="minorEastAsia" w:hAnsi="Calibri"/>
      <w:sz w:val="23"/>
      <w:lang w:val="en-US"/>
    </w:rPr>
  </w:style>
  <w:style w:type="paragraph" w:customStyle="1" w:styleId="Blockquote3">
    <w:name w:val="Blockquote 3"/>
    <w:basedOn w:val="Blockquote"/>
    <w:link w:val="Blockquote3Char"/>
    <w:qFormat/>
    <w:rsid w:val="00047257"/>
    <w:pPr>
      <w:ind w:left="1985"/>
      <w:contextualSpacing/>
    </w:pPr>
  </w:style>
  <w:style w:type="character" w:customStyle="1" w:styleId="Blockquote3Char">
    <w:name w:val="Blockquote 3 Char"/>
    <w:basedOn w:val="BlockquoteChar"/>
    <w:link w:val="Blockquote3"/>
    <w:rsid w:val="00047257"/>
    <w:rPr>
      <w:rFonts w:ascii="Calibri" w:eastAsiaTheme="minorEastAsia" w:hAnsi="Calibri"/>
      <w:sz w:val="23"/>
      <w:lang w:val="en-US"/>
    </w:rPr>
  </w:style>
  <w:style w:type="paragraph" w:customStyle="1" w:styleId="Blockquotebulletlist1">
    <w:name w:val="Blockquote bullet list 1"/>
    <w:basedOn w:val="Blockquote"/>
    <w:link w:val="Blockquotebulletlist1Char"/>
    <w:qFormat/>
    <w:rsid w:val="00047257"/>
    <w:pPr>
      <w:numPr>
        <w:numId w:val="21"/>
      </w:numPr>
    </w:pPr>
  </w:style>
  <w:style w:type="character" w:customStyle="1" w:styleId="Blockquotebulletlist1Char">
    <w:name w:val="Blockquote bullet list 1 Char"/>
    <w:basedOn w:val="BlockquoteChar"/>
    <w:link w:val="Blockquotebulletlist1"/>
    <w:rsid w:val="00047257"/>
    <w:rPr>
      <w:rFonts w:ascii="Calibri" w:eastAsiaTheme="minorEastAsia" w:hAnsi="Calibri"/>
      <w:sz w:val="23"/>
      <w:lang w:val="en-US"/>
    </w:rPr>
  </w:style>
  <w:style w:type="numbering" w:customStyle="1" w:styleId="Blockquotebullets">
    <w:name w:val="Blockquote bullets"/>
    <w:uiPriority w:val="99"/>
    <w:rsid w:val="00047257"/>
    <w:pPr>
      <w:numPr>
        <w:numId w:val="20"/>
      </w:numPr>
    </w:pPr>
  </w:style>
  <w:style w:type="paragraph" w:customStyle="1" w:styleId="Casestudyheading">
    <w:name w:val="Case study heading"/>
    <w:basedOn w:val="Normal"/>
    <w:next w:val="Normal"/>
    <w:link w:val="CasestudyheadingChar"/>
    <w:qFormat/>
    <w:rsid w:val="003E76C5"/>
    <w:pPr>
      <w:keepNext/>
      <w:ind w:left="851" w:right="851"/>
    </w:pPr>
    <w:rPr>
      <w:b/>
      <w:lang w:eastAsia="en-US"/>
    </w:rPr>
  </w:style>
  <w:style w:type="character" w:customStyle="1" w:styleId="CasestudyheadingChar">
    <w:name w:val="Case study heading Char"/>
    <w:basedOn w:val="DefaultParagraphFont"/>
    <w:link w:val="Casestudyheading"/>
    <w:rsid w:val="003E76C5"/>
    <w:rPr>
      <w:rFonts w:ascii="Calibri" w:eastAsiaTheme="minorEastAsia" w:hAnsi="Calibri"/>
      <w:b/>
    </w:rPr>
  </w:style>
  <w:style w:type="paragraph" w:customStyle="1" w:styleId="Casestudy">
    <w:name w:val="Case study"/>
    <w:basedOn w:val="Casestudyheading"/>
    <w:link w:val="CasestudyChar"/>
    <w:qFormat/>
    <w:rsid w:val="00047257"/>
    <w:pPr>
      <w:keepNext w:val="0"/>
    </w:pPr>
    <w:rPr>
      <w:b w:val="0"/>
    </w:rPr>
  </w:style>
  <w:style w:type="character" w:customStyle="1" w:styleId="CasestudyChar">
    <w:name w:val="Case study Char"/>
    <w:basedOn w:val="CasestudyheadingChar"/>
    <w:link w:val="Casestudy"/>
    <w:rsid w:val="00047257"/>
    <w:rPr>
      <w:rFonts w:ascii="Calibri" w:eastAsiaTheme="minorEastAsia" w:hAnsi="Calibri"/>
      <w:b w:val="0"/>
      <w:sz w:val="23"/>
      <w:lang w:val="en-US"/>
    </w:rPr>
  </w:style>
  <w:style w:type="paragraph" w:customStyle="1" w:styleId="Casestudyquote">
    <w:name w:val="Case study quote"/>
    <w:basedOn w:val="Casestudy"/>
    <w:link w:val="CasestudyquoteChar"/>
    <w:qFormat/>
    <w:rsid w:val="00047257"/>
    <w:pPr>
      <w:ind w:left="1418" w:right="1418"/>
    </w:pPr>
  </w:style>
  <w:style w:type="character" w:customStyle="1" w:styleId="CasestudyquoteChar">
    <w:name w:val="Case study quote Char"/>
    <w:basedOn w:val="CasestudyChar"/>
    <w:link w:val="Casestudyquote"/>
    <w:rsid w:val="00047257"/>
    <w:rPr>
      <w:rFonts w:ascii="Calibri" w:eastAsiaTheme="minorEastAsia" w:hAnsi="Calibri"/>
      <w:b w:val="0"/>
      <w:sz w:val="23"/>
      <w:lang w:val="en-US"/>
    </w:rPr>
  </w:style>
  <w:style w:type="numbering" w:customStyle="1" w:styleId="Recommendations">
    <w:name w:val="Recommendations"/>
    <w:uiPriority w:val="99"/>
    <w:rsid w:val="00593975"/>
    <w:pPr>
      <w:numPr>
        <w:numId w:val="22"/>
      </w:numPr>
    </w:pPr>
  </w:style>
  <w:style w:type="character" w:customStyle="1" w:styleId="InternetLink">
    <w:name w:val="Internet Link"/>
    <w:basedOn w:val="DefaultParagraphFont"/>
    <w:uiPriority w:val="99"/>
    <w:unhideWhenUsed/>
    <w:rsid w:val="00D90643"/>
    <w:rPr>
      <w:color w:val="0000FF" w:themeColor="hyperlink"/>
      <w:u w:val="single"/>
    </w:rPr>
  </w:style>
  <w:style w:type="character" w:customStyle="1" w:styleId="FootnoteAnchor">
    <w:name w:val="Footnote Anchor"/>
    <w:rsid w:val="00D906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472481714">
      <w:bodyDiv w:val="1"/>
      <w:marLeft w:val="0"/>
      <w:marRight w:val="0"/>
      <w:marTop w:val="0"/>
      <w:marBottom w:val="0"/>
      <w:divBdr>
        <w:top w:val="none" w:sz="0" w:space="0" w:color="auto"/>
        <w:left w:val="none" w:sz="0" w:space="0" w:color="auto"/>
        <w:bottom w:val="none" w:sz="0" w:space="0" w:color="auto"/>
        <w:right w:val="none" w:sz="0" w:space="0" w:color="auto"/>
      </w:divBdr>
    </w:div>
    <w:div w:id="808398297">
      <w:bodyDiv w:val="1"/>
      <w:marLeft w:val="0"/>
      <w:marRight w:val="0"/>
      <w:marTop w:val="0"/>
      <w:marBottom w:val="0"/>
      <w:divBdr>
        <w:top w:val="none" w:sz="0" w:space="0" w:color="auto"/>
        <w:left w:val="none" w:sz="0" w:space="0" w:color="auto"/>
        <w:bottom w:val="none" w:sz="0" w:space="0" w:color="auto"/>
        <w:right w:val="none" w:sz="0" w:space="0" w:color="auto"/>
      </w:divBdr>
    </w:div>
    <w:div w:id="20463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ccan.org.au"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accan.org.au/"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da.org.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hyperlink" Target="http://relayservice.gov.a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diagramData" Target="diagrams/data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spamhaus.org/statistics/tlds/" TargetMode="External"/><Relationship Id="rId2" Type="http://schemas.openxmlformats.org/officeDocument/2006/relationships/hyperlink" Target="https://www.icann.org/en/system/files/files/sadag-final-09aug17-en.pdf" TargetMode="External"/><Relationship Id="rId1" Type="http://schemas.openxmlformats.org/officeDocument/2006/relationships/hyperlink" Target="https://auda.org.au/assets/pdf/2017PRP-03102017-directreg-issuespaper-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6%20as%20at%20August%202016\Submission%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606885-8710-46D4-8BD1-3F14979CD1A4}" type="doc">
      <dgm:prSet loTypeId="urn:microsoft.com/office/officeart/2005/8/layout/chevron1" loCatId="process" qsTypeId="urn:microsoft.com/office/officeart/2005/8/quickstyle/simple1" qsCatId="simple" csTypeId="urn:microsoft.com/office/officeart/2005/8/colors/accent1_2" csCatId="accent1" phldr="1"/>
      <dgm:spPr/>
    </dgm:pt>
    <dgm:pt modelId="{794C6842-8AD4-40CE-B275-A3D41B7E006F}">
      <dgm:prSet phldrT="[Text]"/>
      <dgm:spPr/>
      <dgm:t>
        <a:bodyPr/>
        <a:lstStyle/>
        <a:p>
          <a:r>
            <a:rPr lang="en-AU"/>
            <a:t>Education and reservation period</a:t>
          </a:r>
        </a:p>
      </dgm:t>
    </dgm:pt>
    <dgm:pt modelId="{70E630D4-2971-4932-9D41-58E9AD366458}" type="parTrans" cxnId="{202908BB-FBB2-47A1-AC79-CB2E91D1DEA7}">
      <dgm:prSet/>
      <dgm:spPr/>
      <dgm:t>
        <a:bodyPr/>
        <a:lstStyle/>
        <a:p>
          <a:endParaRPr lang="en-AU"/>
        </a:p>
      </dgm:t>
    </dgm:pt>
    <dgm:pt modelId="{2F00DB8C-7F9A-442D-8EB1-5471F459B6DA}" type="sibTrans" cxnId="{202908BB-FBB2-47A1-AC79-CB2E91D1DEA7}">
      <dgm:prSet/>
      <dgm:spPr/>
      <dgm:t>
        <a:bodyPr/>
        <a:lstStyle/>
        <a:p>
          <a:endParaRPr lang="en-AU"/>
        </a:p>
      </dgm:t>
    </dgm:pt>
    <dgm:pt modelId="{E7BC03DC-CB15-4C34-8006-3FFF802933DB}">
      <dgm:prSet phldrT="[Text]"/>
      <dgm:spPr/>
      <dgm:t>
        <a:bodyPr/>
        <a:lstStyle/>
        <a:p>
          <a:r>
            <a:rPr lang="en-AU"/>
            <a:t>Competing claims resolution period / partial availability</a:t>
          </a:r>
        </a:p>
      </dgm:t>
    </dgm:pt>
    <dgm:pt modelId="{A051C617-BEEC-4BB2-B958-1BA7FBB17750}" type="parTrans" cxnId="{671A0427-D034-4062-8CE3-1479A168EBF5}">
      <dgm:prSet/>
      <dgm:spPr/>
      <dgm:t>
        <a:bodyPr/>
        <a:lstStyle/>
        <a:p>
          <a:endParaRPr lang="en-AU"/>
        </a:p>
      </dgm:t>
    </dgm:pt>
    <dgm:pt modelId="{9CAD4045-F7CD-480C-830D-A41B321B5C49}" type="sibTrans" cxnId="{671A0427-D034-4062-8CE3-1479A168EBF5}">
      <dgm:prSet/>
      <dgm:spPr/>
      <dgm:t>
        <a:bodyPr/>
        <a:lstStyle/>
        <a:p>
          <a:endParaRPr lang="en-AU"/>
        </a:p>
      </dgm:t>
    </dgm:pt>
    <dgm:pt modelId="{0EA843C7-5017-4FA4-A62B-EB8DC0F48B97}">
      <dgm:prSet phldrT="[Text]"/>
      <dgm:spPr/>
      <dgm:t>
        <a:bodyPr/>
        <a:lstStyle/>
        <a:p>
          <a:r>
            <a:rPr lang="en-AU"/>
            <a:t>General availability</a:t>
          </a:r>
        </a:p>
      </dgm:t>
    </dgm:pt>
    <dgm:pt modelId="{6CFB250E-BE63-443F-BE1A-F8F60526AEB6}" type="parTrans" cxnId="{E393E1E0-5010-47AA-8ED8-B2252FC0AFCA}">
      <dgm:prSet/>
      <dgm:spPr/>
      <dgm:t>
        <a:bodyPr/>
        <a:lstStyle/>
        <a:p>
          <a:endParaRPr lang="en-AU"/>
        </a:p>
      </dgm:t>
    </dgm:pt>
    <dgm:pt modelId="{E169C660-F175-4850-AB44-3297A5EE3E94}" type="sibTrans" cxnId="{E393E1E0-5010-47AA-8ED8-B2252FC0AFCA}">
      <dgm:prSet/>
      <dgm:spPr/>
      <dgm:t>
        <a:bodyPr/>
        <a:lstStyle/>
        <a:p>
          <a:endParaRPr lang="en-AU"/>
        </a:p>
      </dgm:t>
    </dgm:pt>
    <dgm:pt modelId="{669EBA06-E7FF-4D41-9DEC-C92F6E61F3B1}" type="pres">
      <dgm:prSet presAssocID="{CA606885-8710-46D4-8BD1-3F14979CD1A4}" presName="Name0" presStyleCnt="0">
        <dgm:presLayoutVars>
          <dgm:dir/>
          <dgm:animLvl val="lvl"/>
          <dgm:resizeHandles val="exact"/>
        </dgm:presLayoutVars>
      </dgm:prSet>
      <dgm:spPr/>
    </dgm:pt>
    <dgm:pt modelId="{098561F6-6C1D-4BBB-A323-629ACEE22292}" type="pres">
      <dgm:prSet presAssocID="{794C6842-8AD4-40CE-B275-A3D41B7E006F}" presName="parTxOnly" presStyleLbl="node1" presStyleIdx="0" presStyleCnt="3">
        <dgm:presLayoutVars>
          <dgm:chMax val="0"/>
          <dgm:chPref val="0"/>
          <dgm:bulletEnabled val="1"/>
        </dgm:presLayoutVars>
      </dgm:prSet>
      <dgm:spPr/>
      <dgm:t>
        <a:bodyPr/>
        <a:lstStyle/>
        <a:p>
          <a:endParaRPr lang="en-AU"/>
        </a:p>
      </dgm:t>
    </dgm:pt>
    <dgm:pt modelId="{655A5ABA-89C6-4D09-BC20-331B803A4D9B}" type="pres">
      <dgm:prSet presAssocID="{2F00DB8C-7F9A-442D-8EB1-5471F459B6DA}" presName="parTxOnlySpace" presStyleCnt="0"/>
      <dgm:spPr/>
    </dgm:pt>
    <dgm:pt modelId="{D23ADBA8-D1AE-405D-9FD8-B057E757EE3E}" type="pres">
      <dgm:prSet presAssocID="{E7BC03DC-CB15-4C34-8006-3FFF802933DB}" presName="parTxOnly" presStyleLbl="node1" presStyleIdx="1" presStyleCnt="3">
        <dgm:presLayoutVars>
          <dgm:chMax val="0"/>
          <dgm:chPref val="0"/>
          <dgm:bulletEnabled val="1"/>
        </dgm:presLayoutVars>
      </dgm:prSet>
      <dgm:spPr/>
      <dgm:t>
        <a:bodyPr/>
        <a:lstStyle/>
        <a:p>
          <a:endParaRPr lang="en-AU"/>
        </a:p>
      </dgm:t>
    </dgm:pt>
    <dgm:pt modelId="{7981BEFE-4244-4C98-BB38-DFBAF634495D}" type="pres">
      <dgm:prSet presAssocID="{9CAD4045-F7CD-480C-830D-A41B321B5C49}" presName="parTxOnlySpace" presStyleCnt="0"/>
      <dgm:spPr/>
    </dgm:pt>
    <dgm:pt modelId="{E188C043-7B87-439C-9924-658CD46B563E}" type="pres">
      <dgm:prSet presAssocID="{0EA843C7-5017-4FA4-A62B-EB8DC0F48B97}" presName="parTxOnly" presStyleLbl="node1" presStyleIdx="2" presStyleCnt="3">
        <dgm:presLayoutVars>
          <dgm:chMax val="0"/>
          <dgm:chPref val="0"/>
          <dgm:bulletEnabled val="1"/>
        </dgm:presLayoutVars>
      </dgm:prSet>
      <dgm:spPr/>
      <dgm:t>
        <a:bodyPr/>
        <a:lstStyle/>
        <a:p>
          <a:endParaRPr lang="en-AU"/>
        </a:p>
      </dgm:t>
    </dgm:pt>
  </dgm:ptLst>
  <dgm:cxnLst>
    <dgm:cxn modelId="{671A0427-D034-4062-8CE3-1479A168EBF5}" srcId="{CA606885-8710-46D4-8BD1-3F14979CD1A4}" destId="{E7BC03DC-CB15-4C34-8006-3FFF802933DB}" srcOrd="1" destOrd="0" parTransId="{A051C617-BEEC-4BB2-B958-1BA7FBB17750}" sibTransId="{9CAD4045-F7CD-480C-830D-A41B321B5C49}"/>
    <dgm:cxn modelId="{E393E1E0-5010-47AA-8ED8-B2252FC0AFCA}" srcId="{CA606885-8710-46D4-8BD1-3F14979CD1A4}" destId="{0EA843C7-5017-4FA4-A62B-EB8DC0F48B97}" srcOrd="2" destOrd="0" parTransId="{6CFB250E-BE63-443F-BE1A-F8F60526AEB6}" sibTransId="{E169C660-F175-4850-AB44-3297A5EE3E94}"/>
    <dgm:cxn modelId="{7DF01227-825F-4112-BCBD-54A679BB942D}" type="presOf" srcId="{CA606885-8710-46D4-8BD1-3F14979CD1A4}" destId="{669EBA06-E7FF-4D41-9DEC-C92F6E61F3B1}" srcOrd="0" destOrd="0" presId="urn:microsoft.com/office/officeart/2005/8/layout/chevron1"/>
    <dgm:cxn modelId="{202908BB-FBB2-47A1-AC79-CB2E91D1DEA7}" srcId="{CA606885-8710-46D4-8BD1-3F14979CD1A4}" destId="{794C6842-8AD4-40CE-B275-A3D41B7E006F}" srcOrd="0" destOrd="0" parTransId="{70E630D4-2971-4932-9D41-58E9AD366458}" sibTransId="{2F00DB8C-7F9A-442D-8EB1-5471F459B6DA}"/>
    <dgm:cxn modelId="{77750A7C-B4C6-4DAA-869A-C45DF6A34C37}" type="presOf" srcId="{E7BC03DC-CB15-4C34-8006-3FFF802933DB}" destId="{D23ADBA8-D1AE-405D-9FD8-B057E757EE3E}" srcOrd="0" destOrd="0" presId="urn:microsoft.com/office/officeart/2005/8/layout/chevron1"/>
    <dgm:cxn modelId="{2F479C35-C8B2-4D52-AD19-69C1CEFF8F72}" type="presOf" srcId="{0EA843C7-5017-4FA4-A62B-EB8DC0F48B97}" destId="{E188C043-7B87-439C-9924-658CD46B563E}" srcOrd="0" destOrd="0" presId="urn:microsoft.com/office/officeart/2005/8/layout/chevron1"/>
    <dgm:cxn modelId="{E5895803-4A17-4434-80FA-1CC7B9544DB7}" type="presOf" srcId="{794C6842-8AD4-40CE-B275-A3D41B7E006F}" destId="{098561F6-6C1D-4BBB-A323-629ACEE22292}" srcOrd="0" destOrd="0" presId="urn:microsoft.com/office/officeart/2005/8/layout/chevron1"/>
    <dgm:cxn modelId="{6D7689B7-2074-4A72-936D-1C253BA366DE}" type="presParOf" srcId="{669EBA06-E7FF-4D41-9DEC-C92F6E61F3B1}" destId="{098561F6-6C1D-4BBB-A323-629ACEE22292}" srcOrd="0" destOrd="0" presId="urn:microsoft.com/office/officeart/2005/8/layout/chevron1"/>
    <dgm:cxn modelId="{A0CA279F-F9BC-4A15-AD6D-1B3C22D2DAC9}" type="presParOf" srcId="{669EBA06-E7FF-4D41-9DEC-C92F6E61F3B1}" destId="{655A5ABA-89C6-4D09-BC20-331B803A4D9B}" srcOrd="1" destOrd="0" presId="urn:microsoft.com/office/officeart/2005/8/layout/chevron1"/>
    <dgm:cxn modelId="{694BB36B-6C6D-43C3-AB84-F675FA982350}" type="presParOf" srcId="{669EBA06-E7FF-4D41-9DEC-C92F6E61F3B1}" destId="{D23ADBA8-D1AE-405D-9FD8-B057E757EE3E}" srcOrd="2" destOrd="0" presId="urn:microsoft.com/office/officeart/2005/8/layout/chevron1"/>
    <dgm:cxn modelId="{4A0C65EE-F24A-490B-9800-5899F5B169CF}" type="presParOf" srcId="{669EBA06-E7FF-4D41-9DEC-C92F6E61F3B1}" destId="{7981BEFE-4244-4C98-BB38-DFBAF634495D}" srcOrd="3" destOrd="0" presId="urn:microsoft.com/office/officeart/2005/8/layout/chevron1"/>
    <dgm:cxn modelId="{DC7829C2-E6E6-48BA-A3AB-E5ADF0890559}" type="presParOf" srcId="{669EBA06-E7FF-4D41-9DEC-C92F6E61F3B1}" destId="{E188C043-7B87-439C-9924-658CD46B563E}" srcOrd="4"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8561F6-6C1D-4BBB-A323-629ACEE22292}">
      <dsp:nvSpPr>
        <dsp:cNvPr id="0" name=""/>
        <dsp:cNvSpPr/>
      </dsp:nvSpPr>
      <dsp:spPr>
        <a:xfrm>
          <a:off x="1607" y="260806"/>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AU" sz="1200" kern="1200"/>
            <a:t>Education and reservation period</a:t>
          </a:r>
        </a:p>
      </dsp:txBody>
      <dsp:txXfrm>
        <a:off x="393263" y="260806"/>
        <a:ext cx="1174968" cy="783312"/>
      </dsp:txXfrm>
    </dsp:sp>
    <dsp:sp modelId="{D23ADBA8-D1AE-405D-9FD8-B057E757EE3E}">
      <dsp:nvSpPr>
        <dsp:cNvPr id="0" name=""/>
        <dsp:cNvSpPr/>
      </dsp:nvSpPr>
      <dsp:spPr>
        <a:xfrm>
          <a:off x="1764059" y="260806"/>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AU" sz="1200" kern="1200"/>
            <a:t>Competing claims resolution period / partial availability</a:t>
          </a:r>
        </a:p>
      </dsp:txBody>
      <dsp:txXfrm>
        <a:off x="2155715" y="260806"/>
        <a:ext cx="1174968" cy="783312"/>
      </dsp:txXfrm>
    </dsp:sp>
    <dsp:sp modelId="{E188C043-7B87-439C-9924-658CD46B563E}">
      <dsp:nvSpPr>
        <dsp:cNvPr id="0" name=""/>
        <dsp:cNvSpPr/>
      </dsp:nvSpPr>
      <dsp:spPr>
        <a:xfrm>
          <a:off x="3526512" y="260806"/>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en-AU" sz="1200" kern="1200"/>
            <a:t>General availability</a:t>
          </a:r>
        </a:p>
      </dsp:txBody>
      <dsp:txXfrm>
        <a:off x="3918168" y="260806"/>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6132A-4AB3-4351-96B6-E50ECE15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Template.dotx</Template>
  <TotalTime>33</TotalTime>
  <Pages>11</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Riddle</dc:creator>
  <cp:lastModifiedBy>Narelle Clark</cp:lastModifiedBy>
  <cp:revision>7</cp:revision>
  <cp:lastPrinted>2017-06-30T08:54:00Z</cp:lastPrinted>
  <dcterms:created xsi:type="dcterms:W3CDTF">2017-11-10T04:20:00Z</dcterms:created>
  <dcterms:modified xsi:type="dcterms:W3CDTF">2017-11-10T05:15:00Z</dcterms:modified>
</cp:coreProperties>
</file>