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1DBC2" w14:textId="77777777" w:rsidR="005820C9" w:rsidRPr="006B7331" w:rsidRDefault="005820C9" w:rsidP="004B7574">
      <w:pPr>
        <w:spacing w:after="0"/>
        <w:rPr>
          <w:rFonts w:ascii="Times New Roman" w:hAnsi="Times New Roman" w:cs="Times New Roman"/>
          <w:sz w:val="24"/>
          <w:szCs w:val="24"/>
        </w:rPr>
        <w:sectPr w:rsidR="005820C9" w:rsidRPr="006B7331"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14:paraId="3F085C72" w14:textId="77777777" w:rsidR="00DD1B6E" w:rsidRPr="006B7331" w:rsidRDefault="00D25124" w:rsidP="004B7574">
      <w:pPr>
        <w:spacing w:after="0"/>
        <w:rPr>
          <w:rFonts w:ascii="Times New Roman" w:hAnsi="Times New Roman" w:cs="Times New Roman"/>
          <w:sz w:val="24"/>
          <w:szCs w:val="24"/>
        </w:rPr>
      </w:pPr>
      <w:r w:rsidRPr="006B7331">
        <w:rPr>
          <w:rFonts w:ascii="Times New Roman" w:hAnsi="Times New Roman" w:cs="Times New Roman"/>
          <w:sz w:val="24"/>
          <w:szCs w:val="24"/>
        </w:rPr>
        <w:lastRenderedPageBreak/>
        <w:t>12 October 2018</w:t>
      </w:r>
    </w:p>
    <w:p w14:paraId="3ECF5961" w14:textId="77777777" w:rsidR="00DD1B6E" w:rsidRPr="006B7331" w:rsidRDefault="00DD1B6E" w:rsidP="004B7574">
      <w:pPr>
        <w:spacing w:after="0"/>
        <w:rPr>
          <w:rFonts w:ascii="Times New Roman" w:hAnsi="Times New Roman" w:cs="Times New Roman"/>
          <w:sz w:val="24"/>
          <w:szCs w:val="24"/>
        </w:rPr>
      </w:pPr>
    </w:p>
    <w:p w14:paraId="33A4C185" w14:textId="77777777" w:rsidR="00DD1B6E" w:rsidRPr="006B7331" w:rsidRDefault="007E33C0" w:rsidP="004B7574">
      <w:pPr>
        <w:spacing w:after="0"/>
        <w:rPr>
          <w:rFonts w:ascii="Times New Roman" w:hAnsi="Times New Roman" w:cs="Times New Roman"/>
          <w:sz w:val="24"/>
          <w:szCs w:val="24"/>
        </w:rPr>
      </w:pPr>
      <w:r w:rsidRPr="006B7331">
        <w:rPr>
          <w:rFonts w:ascii="Times New Roman" w:hAnsi="Times New Roman" w:cs="Times New Roman"/>
          <w:sz w:val="24"/>
          <w:szCs w:val="24"/>
        </w:rPr>
        <w:t>Kathryn Wardell</w:t>
      </w:r>
    </w:p>
    <w:p w14:paraId="52A0D8A4" w14:textId="77777777" w:rsidR="00DD1B6E" w:rsidRPr="006B7331" w:rsidRDefault="007E33C0" w:rsidP="004B7574">
      <w:pPr>
        <w:spacing w:after="0"/>
        <w:rPr>
          <w:rFonts w:ascii="Times New Roman" w:hAnsi="Times New Roman" w:cs="Times New Roman"/>
          <w:sz w:val="24"/>
          <w:szCs w:val="24"/>
        </w:rPr>
      </w:pPr>
      <w:r w:rsidRPr="006B7331">
        <w:rPr>
          <w:rFonts w:ascii="Times New Roman" w:hAnsi="Times New Roman" w:cs="Times New Roman"/>
          <w:sz w:val="24"/>
          <w:szCs w:val="24"/>
        </w:rPr>
        <w:t>The Treasury</w:t>
      </w:r>
    </w:p>
    <w:p w14:paraId="7FA3F6CC" w14:textId="77777777" w:rsidR="00C32DD1" w:rsidRPr="006B7331" w:rsidRDefault="00B5748C" w:rsidP="004B7574">
      <w:pPr>
        <w:tabs>
          <w:tab w:val="left" w:pos="2576"/>
        </w:tabs>
        <w:spacing w:after="0"/>
        <w:rPr>
          <w:rFonts w:ascii="Times New Roman" w:hAnsi="Times New Roman" w:cs="Times New Roman"/>
          <w:sz w:val="24"/>
          <w:szCs w:val="24"/>
        </w:rPr>
      </w:pPr>
      <w:hyperlink r:id="rId11" w:history="1">
        <w:r w:rsidR="005A5263" w:rsidRPr="006B7331">
          <w:rPr>
            <w:rStyle w:val="Hyperlink"/>
            <w:rFonts w:ascii="Times New Roman" w:hAnsi="Times New Roman" w:cs="Times New Roman"/>
            <w:sz w:val="24"/>
            <w:szCs w:val="24"/>
          </w:rPr>
          <w:t>Data@treasury.gov.au</w:t>
        </w:r>
      </w:hyperlink>
      <w:r w:rsidR="005A5263" w:rsidRPr="006B7331">
        <w:rPr>
          <w:rFonts w:ascii="Times New Roman" w:hAnsi="Times New Roman" w:cs="Times New Roman"/>
          <w:sz w:val="24"/>
          <w:szCs w:val="24"/>
        </w:rPr>
        <w:t xml:space="preserve"> </w:t>
      </w:r>
      <w:r w:rsidR="00EF540C" w:rsidRPr="006B7331">
        <w:rPr>
          <w:rFonts w:ascii="Times New Roman" w:hAnsi="Times New Roman" w:cs="Times New Roman"/>
          <w:sz w:val="24"/>
          <w:szCs w:val="24"/>
        </w:rPr>
        <w:tab/>
      </w:r>
    </w:p>
    <w:p w14:paraId="503FED8A" w14:textId="5136A2ED" w:rsidR="007E33C0" w:rsidRPr="006B7331" w:rsidRDefault="00E23948" w:rsidP="004B7574">
      <w:pPr>
        <w:spacing w:before="100" w:beforeAutospacing="1" w:after="100" w:afterAutospacing="1"/>
        <w:jc w:val="both"/>
        <w:rPr>
          <w:rFonts w:ascii="Times New Roman" w:hAnsi="Times New Roman" w:cs="Times New Roman"/>
          <w:color w:val="000000" w:themeColor="text1"/>
          <w:sz w:val="24"/>
          <w:szCs w:val="24"/>
        </w:rPr>
      </w:pPr>
      <w:r w:rsidRPr="006B7331">
        <w:rPr>
          <w:rFonts w:ascii="Times New Roman" w:hAnsi="Times New Roman" w:cs="Times New Roman"/>
          <w:color w:val="000000" w:themeColor="text1"/>
          <w:sz w:val="24"/>
          <w:szCs w:val="24"/>
        </w:rPr>
        <w:t>Dear Ms Wardell,</w:t>
      </w:r>
      <w:r w:rsidR="00BA0FDD" w:rsidRPr="006B7331">
        <w:rPr>
          <w:rFonts w:ascii="Times New Roman" w:hAnsi="Times New Roman" w:cs="Times New Roman"/>
          <w:color w:val="000000" w:themeColor="text1"/>
          <w:sz w:val="24"/>
          <w:szCs w:val="24"/>
        </w:rPr>
        <w:t xml:space="preserve"> </w:t>
      </w:r>
    </w:p>
    <w:p w14:paraId="163F4AFD" w14:textId="71CF0B4B" w:rsidR="00543FAB" w:rsidRPr="006B7331" w:rsidRDefault="00D25124" w:rsidP="004B7574">
      <w:pPr>
        <w:spacing w:before="100" w:beforeAutospacing="1" w:after="100" w:afterAutospacing="1"/>
        <w:jc w:val="both"/>
        <w:rPr>
          <w:rFonts w:ascii="Times New Roman" w:hAnsi="Times New Roman" w:cs="Times New Roman"/>
          <w:color w:val="000000" w:themeColor="text1"/>
          <w:sz w:val="24"/>
          <w:szCs w:val="24"/>
        </w:rPr>
      </w:pPr>
      <w:r w:rsidRPr="006B7331">
        <w:rPr>
          <w:rFonts w:ascii="Times New Roman" w:hAnsi="Times New Roman" w:cs="Times New Roman"/>
          <w:color w:val="000000" w:themeColor="text1"/>
          <w:sz w:val="24"/>
          <w:szCs w:val="24"/>
        </w:rPr>
        <w:t>ACCAN thank</w:t>
      </w:r>
      <w:r w:rsidR="00314B4C">
        <w:rPr>
          <w:rFonts w:ascii="Times New Roman" w:hAnsi="Times New Roman" w:cs="Times New Roman"/>
          <w:color w:val="000000" w:themeColor="text1"/>
          <w:sz w:val="24"/>
          <w:szCs w:val="24"/>
        </w:rPr>
        <w:t>s</w:t>
      </w:r>
      <w:r w:rsidRPr="006B7331">
        <w:rPr>
          <w:rFonts w:ascii="Times New Roman" w:hAnsi="Times New Roman" w:cs="Times New Roman"/>
          <w:color w:val="000000" w:themeColor="text1"/>
          <w:sz w:val="24"/>
          <w:szCs w:val="24"/>
        </w:rPr>
        <w:t xml:space="preserve"> the Treasury for the opportunity to submit to its consultation on the further provisions of the exposure draft of the </w:t>
      </w:r>
      <w:r w:rsidRPr="006B7331">
        <w:rPr>
          <w:rFonts w:ascii="Times New Roman" w:hAnsi="Times New Roman" w:cs="Times New Roman"/>
          <w:i/>
          <w:color w:val="000000" w:themeColor="text1"/>
          <w:sz w:val="24"/>
          <w:szCs w:val="24"/>
        </w:rPr>
        <w:t xml:space="preserve">Treasury Laws Amendment (Consumer Data Right) Bill 2018. </w:t>
      </w:r>
      <w:r w:rsidR="000E20C3" w:rsidRPr="006B7331">
        <w:rPr>
          <w:rFonts w:ascii="Times New Roman" w:hAnsi="Times New Roman" w:cs="Times New Roman"/>
          <w:color w:val="000000" w:themeColor="text1"/>
          <w:sz w:val="24"/>
          <w:szCs w:val="24"/>
        </w:rPr>
        <w:t>The revisions to the draft legislation have addressed some of A</w:t>
      </w:r>
      <w:r w:rsidR="00663DCC" w:rsidRPr="006B7331">
        <w:rPr>
          <w:rFonts w:ascii="Times New Roman" w:hAnsi="Times New Roman" w:cs="Times New Roman"/>
          <w:color w:val="000000" w:themeColor="text1"/>
          <w:sz w:val="24"/>
          <w:szCs w:val="24"/>
        </w:rPr>
        <w:t>CCAN</w:t>
      </w:r>
      <w:r w:rsidR="00314B4C">
        <w:rPr>
          <w:rFonts w:ascii="Times New Roman" w:hAnsi="Times New Roman" w:cs="Times New Roman"/>
          <w:color w:val="000000" w:themeColor="text1"/>
          <w:sz w:val="24"/>
          <w:szCs w:val="24"/>
        </w:rPr>
        <w:t>’s concerns</w:t>
      </w:r>
      <w:r w:rsidR="0040588F" w:rsidRPr="006B7331">
        <w:rPr>
          <w:rFonts w:ascii="Times New Roman" w:hAnsi="Times New Roman" w:cs="Times New Roman"/>
          <w:color w:val="000000" w:themeColor="text1"/>
          <w:sz w:val="24"/>
          <w:szCs w:val="24"/>
        </w:rPr>
        <w:t xml:space="preserve"> with respect to the clari</w:t>
      </w:r>
      <w:bookmarkStart w:id="0" w:name="_GoBack"/>
      <w:bookmarkEnd w:id="0"/>
      <w:r w:rsidR="0040588F" w:rsidRPr="006B7331">
        <w:rPr>
          <w:rFonts w:ascii="Times New Roman" w:hAnsi="Times New Roman" w:cs="Times New Roman"/>
          <w:color w:val="000000" w:themeColor="text1"/>
          <w:sz w:val="24"/>
          <w:szCs w:val="24"/>
        </w:rPr>
        <w:t>ty of drafting</w:t>
      </w:r>
      <w:r w:rsidR="00663DCC" w:rsidRPr="006B7331">
        <w:rPr>
          <w:rFonts w:ascii="Times New Roman" w:hAnsi="Times New Roman" w:cs="Times New Roman"/>
          <w:color w:val="000000" w:themeColor="text1"/>
          <w:sz w:val="24"/>
          <w:szCs w:val="24"/>
        </w:rPr>
        <w:t>, however man</w:t>
      </w:r>
      <w:r w:rsidR="00B272CA" w:rsidRPr="006B7331">
        <w:rPr>
          <w:rFonts w:ascii="Times New Roman" w:hAnsi="Times New Roman" w:cs="Times New Roman"/>
          <w:color w:val="000000" w:themeColor="text1"/>
          <w:sz w:val="24"/>
          <w:szCs w:val="24"/>
        </w:rPr>
        <w:t>y of the concerns set out withi</w:t>
      </w:r>
      <w:r w:rsidR="00663DCC" w:rsidRPr="006B7331">
        <w:rPr>
          <w:rFonts w:ascii="Times New Roman" w:hAnsi="Times New Roman" w:cs="Times New Roman"/>
          <w:color w:val="000000" w:themeColor="text1"/>
          <w:sz w:val="24"/>
          <w:szCs w:val="24"/>
        </w:rPr>
        <w:t>n our initial</w:t>
      </w:r>
      <w:r w:rsidR="007717C0" w:rsidRPr="006B7331">
        <w:rPr>
          <w:rFonts w:ascii="Times New Roman" w:hAnsi="Times New Roman" w:cs="Times New Roman"/>
          <w:color w:val="000000" w:themeColor="text1"/>
          <w:sz w:val="24"/>
          <w:szCs w:val="24"/>
        </w:rPr>
        <w:t xml:space="preserve"> submission remain</w:t>
      </w:r>
      <w:r w:rsidR="00314B4C">
        <w:rPr>
          <w:rFonts w:ascii="Times New Roman" w:hAnsi="Times New Roman" w:cs="Times New Roman"/>
          <w:color w:val="000000" w:themeColor="text1"/>
          <w:sz w:val="24"/>
          <w:szCs w:val="24"/>
        </w:rPr>
        <w:t>. W</w:t>
      </w:r>
      <w:r w:rsidR="0040588F" w:rsidRPr="006B7331">
        <w:rPr>
          <w:rFonts w:ascii="Times New Roman" w:hAnsi="Times New Roman" w:cs="Times New Roman"/>
          <w:color w:val="000000" w:themeColor="text1"/>
          <w:sz w:val="24"/>
          <w:szCs w:val="24"/>
        </w:rPr>
        <w:t>e encourage the Treasur</w:t>
      </w:r>
      <w:r w:rsidR="00E23948" w:rsidRPr="006B7331">
        <w:rPr>
          <w:rFonts w:ascii="Times New Roman" w:hAnsi="Times New Roman" w:cs="Times New Roman"/>
          <w:color w:val="000000" w:themeColor="text1"/>
          <w:sz w:val="24"/>
          <w:szCs w:val="24"/>
        </w:rPr>
        <w:t xml:space="preserve">y to consider further revisions </w:t>
      </w:r>
      <w:r w:rsidR="00314B4C">
        <w:rPr>
          <w:rFonts w:ascii="Times New Roman" w:hAnsi="Times New Roman" w:cs="Times New Roman"/>
          <w:color w:val="000000" w:themeColor="text1"/>
          <w:sz w:val="24"/>
          <w:szCs w:val="24"/>
        </w:rPr>
        <w:t>f</w:t>
      </w:r>
      <w:r w:rsidR="00161096" w:rsidRPr="006B7331">
        <w:rPr>
          <w:rFonts w:ascii="Times New Roman" w:hAnsi="Times New Roman" w:cs="Times New Roman"/>
          <w:color w:val="000000" w:themeColor="text1"/>
          <w:sz w:val="24"/>
          <w:szCs w:val="24"/>
        </w:rPr>
        <w:t>o</w:t>
      </w:r>
      <w:r w:rsidR="00314B4C">
        <w:rPr>
          <w:rFonts w:ascii="Times New Roman" w:hAnsi="Times New Roman" w:cs="Times New Roman"/>
          <w:color w:val="000000" w:themeColor="text1"/>
          <w:sz w:val="24"/>
          <w:szCs w:val="24"/>
        </w:rPr>
        <w:t>r</w:t>
      </w:r>
      <w:r w:rsidR="00E23948" w:rsidRPr="006B7331">
        <w:rPr>
          <w:rFonts w:ascii="Times New Roman" w:hAnsi="Times New Roman" w:cs="Times New Roman"/>
          <w:color w:val="000000" w:themeColor="text1"/>
          <w:sz w:val="24"/>
          <w:szCs w:val="24"/>
        </w:rPr>
        <w:t xml:space="preserve"> the final bill</w:t>
      </w:r>
      <w:r w:rsidR="009A3F44" w:rsidRPr="006B7331">
        <w:rPr>
          <w:rFonts w:ascii="Times New Roman" w:hAnsi="Times New Roman" w:cs="Times New Roman"/>
          <w:color w:val="000000" w:themeColor="text1"/>
          <w:sz w:val="24"/>
          <w:szCs w:val="24"/>
        </w:rPr>
        <w:t xml:space="preserve">. </w:t>
      </w:r>
    </w:p>
    <w:p w14:paraId="77FBBD78" w14:textId="2EF13CFA" w:rsidR="0092246E" w:rsidRPr="006B7331" w:rsidRDefault="00EB2D07" w:rsidP="004B7574">
      <w:pPr>
        <w:spacing w:before="100" w:beforeAutospacing="1" w:after="100" w:afterAutospacing="1"/>
        <w:jc w:val="both"/>
        <w:rPr>
          <w:rFonts w:ascii="Times New Roman" w:hAnsi="Times New Roman" w:cs="Times New Roman"/>
          <w:color w:val="000000" w:themeColor="text1"/>
          <w:sz w:val="24"/>
          <w:szCs w:val="24"/>
        </w:rPr>
      </w:pPr>
      <w:r w:rsidRPr="006B7331">
        <w:rPr>
          <w:rFonts w:ascii="Times New Roman" w:hAnsi="Times New Roman" w:cs="Times New Roman"/>
          <w:color w:val="000000" w:themeColor="text1"/>
          <w:sz w:val="24"/>
          <w:szCs w:val="24"/>
        </w:rPr>
        <w:t>As</w:t>
      </w:r>
      <w:r w:rsidR="0092246E" w:rsidRPr="006B7331">
        <w:rPr>
          <w:rFonts w:ascii="Times New Roman" w:hAnsi="Times New Roman" w:cs="Times New Roman"/>
          <w:color w:val="000000" w:themeColor="text1"/>
          <w:sz w:val="24"/>
          <w:szCs w:val="24"/>
        </w:rPr>
        <w:t xml:space="preserve"> noted in our initial submission</w:t>
      </w:r>
      <w:r w:rsidR="00314B4C">
        <w:rPr>
          <w:rFonts w:ascii="Times New Roman" w:hAnsi="Times New Roman" w:cs="Times New Roman"/>
          <w:color w:val="000000" w:themeColor="text1"/>
          <w:sz w:val="24"/>
          <w:szCs w:val="24"/>
        </w:rPr>
        <w:t>, there are</w:t>
      </w:r>
      <w:r w:rsidR="0088682F" w:rsidRPr="006B7331">
        <w:rPr>
          <w:rFonts w:ascii="Times New Roman" w:hAnsi="Times New Roman" w:cs="Times New Roman"/>
          <w:color w:val="000000" w:themeColor="text1"/>
          <w:sz w:val="24"/>
          <w:szCs w:val="24"/>
        </w:rPr>
        <w:t xml:space="preserve"> </w:t>
      </w:r>
      <w:r w:rsidR="0092246E" w:rsidRPr="006B7331">
        <w:rPr>
          <w:rFonts w:ascii="Times New Roman" w:hAnsi="Times New Roman" w:cs="Times New Roman"/>
          <w:color w:val="000000" w:themeColor="text1"/>
          <w:sz w:val="24"/>
          <w:szCs w:val="24"/>
        </w:rPr>
        <w:t xml:space="preserve">issues with respect to: </w:t>
      </w:r>
    </w:p>
    <w:p w14:paraId="0FB57341" w14:textId="40FDDA7B" w:rsidR="00D40797" w:rsidRPr="00666D6A" w:rsidRDefault="00601819" w:rsidP="00666D6A">
      <w:pPr>
        <w:pStyle w:val="ListParagraph"/>
        <w:numPr>
          <w:ilvl w:val="0"/>
          <w:numId w:val="2"/>
        </w:numPr>
        <w:spacing w:before="100" w:beforeAutospacing="1" w:after="100" w:afterAutospacing="1" w:line="276" w:lineRule="auto"/>
        <w:jc w:val="both"/>
        <w:rPr>
          <w:rFonts w:ascii="Times New Roman" w:hAnsi="Times New Roman" w:cs="Times New Roman"/>
          <w:color w:val="000000" w:themeColor="text1"/>
          <w:sz w:val="24"/>
          <w:szCs w:val="24"/>
        </w:rPr>
      </w:pPr>
      <w:r w:rsidRPr="006B7331">
        <w:rPr>
          <w:rFonts w:ascii="Times New Roman" w:hAnsi="Times New Roman" w:cs="Times New Roman"/>
          <w:color w:val="000000" w:themeColor="text1"/>
          <w:sz w:val="24"/>
          <w:szCs w:val="24"/>
        </w:rPr>
        <w:t xml:space="preserve">the extent to which the bill addresses </w:t>
      </w:r>
      <w:r w:rsidR="0092246E" w:rsidRPr="006B7331">
        <w:rPr>
          <w:rFonts w:ascii="Times New Roman" w:hAnsi="Times New Roman" w:cs="Times New Roman"/>
          <w:color w:val="000000" w:themeColor="text1"/>
          <w:sz w:val="24"/>
          <w:szCs w:val="24"/>
        </w:rPr>
        <w:t>fundamental and entrenched information asymmetries;</w:t>
      </w:r>
    </w:p>
    <w:p w14:paraId="1D383E5B" w14:textId="731110D7" w:rsidR="006B7331" w:rsidRDefault="0092246E" w:rsidP="004B7574">
      <w:pPr>
        <w:pStyle w:val="ListParagraph"/>
        <w:numPr>
          <w:ilvl w:val="0"/>
          <w:numId w:val="2"/>
        </w:numPr>
        <w:spacing w:before="100" w:beforeAutospacing="1" w:after="100" w:afterAutospacing="1" w:line="276" w:lineRule="auto"/>
        <w:jc w:val="both"/>
        <w:rPr>
          <w:rFonts w:ascii="Times New Roman" w:hAnsi="Times New Roman" w:cs="Times New Roman"/>
          <w:color w:val="000000" w:themeColor="text1"/>
          <w:sz w:val="24"/>
          <w:szCs w:val="24"/>
        </w:rPr>
      </w:pPr>
      <w:r w:rsidRPr="006B7331">
        <w:rPr>
          <w:rFonts w:ascii="Times New Roman" w:hAnsi="Times New Roman" w:cs="Times New Roman"/>
          <w:color w:val="000000" w:themeColor="text1"/>
          <w:sz w:val="24"/>
          <w:szCs w:val="24"/>
        </w:rPr>
        <w:t>the potential for consumer data to be used for anti-competitive conduct</w:t>
      </w:r>
      <w:r w:rsidR="00666D6A">
        <w:rPr>
          <w:rFonts w:ascii="Times New Roman" w:hAnsi="Times New Roman" w:cs="Times New Roman"/>
          <w:color w:val="000000" w:themeColor="text1"/>
          <w:sz w:val="24"/>
          <w:szCs w:val="24"/>
        </w:rPr>
        <w:t xml:space="preserve">; </w:t>
      </w:r>
      <w:r w:rsidR="00314B4C">
        <w:rPr>
          <w:rFonts w:ascii="Times New Roman" w:hAnsi="Times New Roman" w:cs="Times New Roman"/>
          <w:color w:val="000000" w:themeColor="text1"/>
          <w:sz w:val="24"/>
          <w:szCs w:val="24"/>
        </w:rPr>
        <w:t>and</w:t>
      </w:r>
    </w:p>
    <w:p w14:paraId="6BFD36EC" w14:textId="441D690D" w:rsidR="00666D6A" w:rsidRPr="00666D6A" w:rsidRDefault="00666D6A" w:rsidP="00666D6A">
      <w:pPr>
        <w:pStyle w:val="ListParagraph"/>
        <w:numPr>
          <w:ilvl w:val="0"/>
          <w:numId w:val="2"/>
        </w:numPr>
        <w:spacing w:before="100" w:beforeAutospacing="1" w:after="100" w:afterAutospacing="1" w:line="276" w:lineRule="auto"/>
        <w:jc w:val="both"/>
        <w:rPr>
          <w:rFonts w:ascii="Times New Roman" w:hAnsi="Times New Roman" w:cs="Times New Roman"/>
          <w:color w:val="000000" w:themeColor="text1"/>
          <w:sz w:val="24"/>
          <w:szCs w:val="24"/>
        </w:rPr>
      </w:pPr>
      <w:proofErr w:type="gramStart"/>
      <w:r w:rsidRPr="006B7331">
        <w:rPr>
          <w:rFonts w:ascii="Times New Roman" w:hAnsi="Times New Roman" w:cs="Times New Roman"/>
          <w:color w:val="000000" w:themeColor="text1"/>
          <w:sz w:val="24"/>
          <w:szCs w:val="24"/>
        </w:rPr>
        <w:t>the</w:t>
      </w:r>
      <w:proofErr w:type="gramEnd"/>
      <w:r w:rsidRPr="006B7331">
        <w:rPr>
          <w:rFonts w:ascii="Times New Roman" w:hAnsi="Times New Roman" w:cs="Times New Roman"/>
          <w:color w:val="000000" w:themeColor="text1"/>
          <w:sz w:val="24"/>
          <w:szCs w:val="24"/>
        </w:rPr>
        <w:t xml:space="preserve"> scope of consumer privacy protections</w:t>
      </w:r>
      <w:r>
        <w:rPr>
          <w:rFonts w:ascii="Times New Roman" w:hAnsi="Times New Roman" w:cs="Times New Roman"/>
          <w:color w:val="000000" w:themeColor="text1"/>
          <w:sz w:val="24"/>
          <w:szCs w:val="24"/>
        </w:rPr>
        <w:t>.</w:t>
      </w:r>
    </w:p>
    <w:p w14:paraId="0051BCF6" w14:textId="126940EC" w:rsidR="006B7331" w:rsidRPr="006B7331" w:rsidRDefault="006B7331" w:rsidP="004B7574">
      <w:pPr>
        <w:spacing w:before="100" w:beforeAutospacing="1" w:after="100" w:afterAutospacing="1"/>
        <w:jc w:val="right"/>
        <w:rPr>
          <w:rFonts w:ascii="Times New Roman" w:hAnsi="Times New Roman" w:cs="Times New Roman"/>
          <w:color w:val="000000" w:themeColor="text1"/>
          <w:sz w:val="24"/>
          <w:szCs w:val="24"/>
        </w:rPr>
      </w:pPr>
      <w:r w:rsidRPr="006B7331">
        <w:rPr>
          <w:rFonts w:ascii="Times New Roman" w:hAnsi="Times New Roman" w:cs="Times New Roman"/>
          <w:noProof/>
          <w:color w:val="000000" w:themeColor="text1"/>
          <w:sz w:val="24"/>
          <w:szCs w:val="24"/>
        </w:rPr>
        <w:t>(ACCAN, 2018)</w:t>
      </w:r>
    </w:p>
    <w:p w14:paraId="2696B928" w14:textId="7F1A808B" w:rsidR="0088682F" w:rsidRDefault="008C53BE" w:rsidP="004B7574">
      <w:pPr>
        <w:spacing w:before="100" w:beforeAutospacing="1" w:after="100" w:afterAutospacing="1"/>
        <w:jc w:val="both"/>
        <w:rPr>
          <w:rFonts w:ascii="Times New Roman" w:hAnsi="Times New Roman" w:cs="Times New Roman"/>
          <w:color w:val="000000" w:themeColor="text1"/>
          <w:sz w:val="24"/>
          <w:szCs w:val="24"/>
        </w:rPr>
      </w:pPr>
      <w:r w:rsidRPr="006B7331">
        <w:rPr>
          <w:rFonts w:ascii="Times New Roman" w:hAnsi="Times New Roman" w:cs="Times New Roman"/>
          <w:color w:val="000000" w:themeColor="text1"/>
          <w:sz w:val="24"/>
          <w:szCs w:val="24"/>
        </w:rPr>
        <w:t xml:space="preserve">ACCAN’s concerns regarding the substance of consent requirements have been broadly addressed in the </w:t>
      </w:r>
      <w:r w:rsidR="00567045">
        <w:rPr>
          <w:rFonts w:ascii="Times New Roman" w:hAnsi="Times New Roman" w:cs="Times New Roman"/>
          <w:i/>
          <w:color w:val="000000" w:themeColor="text1"/>
          <w:sz w:val="24"/>
          <w:szCs w:val="24"/>
        </w:rPr>
        <w:t>Consumer Data Right</w:t>
      </w:r>
      <w:r w:rsidRPr="006B7331">
        <w:rPr>
          <w:rFonts w:ascii="Times New Roman" w:hAnsi="Times New Roman" w:cs="Times New Roman"/>
          <w:i/>
          <w:color w:val="000000" w:themeColor="text1"/>
          <w:sz w:val="24"/>
          <w:szCs w:val="24"/>
        </w:rPr>
        <w:t xml:space="preserve"> Rules Framework </w:t>
      </w:r>
      <w:r w:rsidR="009B4B9E" w:rsidRPr="006B7331">
        <w:rPr>
          <w:rFonts w:ascii="Times New Roman" w:hAnsi="Times New Roman" w:cs="Times New Roman"/>
          <w:color w:val="000000" w:themeColor="text1"/>
          <w:sz w:val="24"/>
          <w:szCs w:val="24"/>
        </w:rPr>
        <w:t>which sets out</w:t>
      </w:r>
      <w:r w:rsidR="00A8620A" w:rsidRPr="006B7331">
        <w:rPr>
          <w:rFonts w:ascii="Times New Roman" w:hAnsi="Times New Roman" w:cs="Times New Roman"/>
          <w:color w:val="000000" w:themeColor="text1"/>
          <w:sz w:val="24"/>
          <w:szCs w:val="24"/>
        </w:rPr>
        <w:t xml:space="preserve"> the ACCC’s</w:t>
      </w:r>
      <w:r w:rsidR="009B4B9E" w:rsidRPr="006B7331">
        <w:rPr>
          <w:rFonts w:ascii="Times New Roman" w:hAnsi="Times New Roman" w:cs="Times New Roman"/>
          <w:color w:val="000000" w:themeColor="text1"/>
          <w:sz w:val="24"/>
          <w:szCs w:val="24"/>
        </w:rPr>
        <w:t xml:space="preserve"> in principle</w:t>
      </w:r>
      <w:r w:rsidR="001B5728" w:rsidRPr="006B7331">
        <w:rPr>
          <w:rFonts w:ascii="Times New Roman" w:hAnsi="Times New Roman" w:cs="Times New Roman"/>
          <w:color w:val="000000" w:themeColor="text1"/>
          <w:sz w:val="24"/>
          <w:szCs w:val="24"/>
        </w:rPr>
        <w:t xml:space="preserve"> </w:t>
      </w:r>
      <w:r w:rsidR="00A8620A" w:rsidRPr="006B7331">
        <w:rPr>
          <w:rFonts w:ascii="Times New Roman" w:hAnsi="Times New Roman" w:cs="Times New Roman"/>
          <w:color w:val="000000" w:themeColor="text1"/>
          <w:sz w:val="24"/>
          <w:szCs w:val="24"/>
        </w:rPr>
        <w:t xml:space="preserve">approach to rules development. </w:t>
      </w:r>
      <w:r w:rsidR="00DC0F85" w:rsidRPr="006B7331">
        <w:rPr>
          <w:rFonts w:ascii="Times New Roman" w:hAnsi="Times New Roman" w:cs="Times New Roman"/>
          <w:color w:val="000000" w:themeColor="text1"/>
          <w:sz w:val="24"/>
          <w:szCs w:val="24"/>
        </w:rPr>
        <w:t xml:space="preserve">ACCAN will comment further on the suitability of the draft rules when they are released. </w:t>
      </w:r>
    </w:p>
    <w:p w14:paraId="444249F6" w14:textId="26C15488" w:rsidR="007402DC" w:rsidRDefault="00567045" w:rsidP="004B7574">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Consumer Data Right (CDR)</w:t>
      </w:r>
      <w:r w:rsidR="007402DC">
        <w:rPr>
          <w:rFonts w:ascii="Times New Roman" w:hAnsi="Times New Roman" w:cs="Times New Roman"/>
          <w:color w:val="000000" w:themeColor="text1"/>
          <w:sz w:val="24"/>
          <w:szCs w:val="24"/>
        </w:rPr>
        <w:t xml:space="preserve"> has the potential to provide significant benefits, particularly to those consumers with limited financial resources. Although supportive of the proposed CDR reforms, ACCAN considers that further refinement of the legislation is required to address asymmetrical information, prevent the use of consumer data for price discrimination or targeted price rises and prevent breaches of consumers’ privacy through the loss, theft or misuse of their data. </w:t>
      </w:r>
    </w:p>
    <w:p w14:paraId="07FFFBED" w14:textId="42A38961" w:rsidR="007402DC" w:rsidRDefault="007402DC" w:rsidP="004B7574">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ACCAN believes that these risks can be addressed through comprehensive privacy protections including clear obligations for third party data recipients</w:t>
      </w:r>
      <w:r w:rsidR="00CE3F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targeted policy interventions to prevent emerging information asymmetries</w:t>
      </w:r>
      <w:r w:rsidR="00CE3FAE">
        <w:rPr>
          <w:rFonts w:ascii="Times New Roman" w:hAnsi="Times New Roman" w:cs="Times New Roman"/>
          <w:color w:val="000000" w:themeColor="text1"/>
          <w:sz w:val="24"/>
          <w:szCs w:val="24"/>
        </w:rPr>
        <w:t>, and an exemplary penalties framework for use of consumer data for anti-competitive purposes.</w:t>
      </w:r>
      <w:r w:rsidR="002C729D">
        <w:rPr>
          <w:rFonts w:ascii="Times New Roman" w:hAnsi="Times New Roman" w:cs="Times New Roman"/>
          <w:color w:val="000000" w:themeColor="text1"/>
          <w:sz w:val="24"/>
          <w:szCs w:val="24"/>
        </w:rPr>
        <w:t xml:space="preserve"> ACCAN also calls for the legislation to ban the use of CDR data for re-identification of individuals in order to prevent </w:t>
      </w:r>
      <w:r w:rsidR="002C729D">
        <w:rPr>
          <w:rFonts w:ascii="Times New Roman" w:hAnsi="Times New Roman" w:cs="Times New Roman"/>
          <w:color w:val="000000" w:themeColor="text1"/>
          <w:sz w:val="24"/>
          <w:szCs w:val="24"/>
        </w:rPr>
        <w:lastRenderedPageBreak/>
        <w:t xml:space="preserve">consumers facing undue loss of privacy and health and safety risks as a result of malicious parties having access to detailed information about their habits and movements. </w:t>
      </w:r>
    </w:p>
    <w:p w14:paraId="42896653" w14:textId="69A26610" w:rsidR="0092246E" w:rsidRPr="006B7331" w:rsidRDefault="0092246E" w:rsidP="004B7574">
      <w:pPr>
        <w:spacing w:before="100" w:beforeAutospacing="1" w:after="100" w:afterAutospacing="1"/>
        <w:jc w:val="both"/>
        <w:rPr>
          <w:rFonts w:ascii="Times New Roman" w:hAnsi="Times New Roman" w:cs="Times New Roman"/>
          <w:i/>
          <w:color w:val="000000" w:themeColor="text1"/>
          <w:sz w:val="24"/>
          <w:szCs w:val="24"/>
        </w:rPr>
      </w:pPr>
      <w:r w:rsidRPr="006B7331">
        <w:rPr>
          <w:rFonts w:ascii="Times New Roman" w:hAnsi="Times New Roman" w:cs="Times New Roman"/>
          <w:i/>
          <w:color w:val="000000" w:themeColor="text1"/>
          <w:sz w:val="24"/>
          <w:szCs w:val="24"/>
        </w:rPr>
        <w:t>The CDR has potential benefits</w:t>
      </w:r>
    </w:p>
    <w:p w14:paraId="031FF7F4" w14:textId="2A94F640" w:rsidR="00CA75DE" w:rsidRPr="006B7331" w:rsidRDefault="00B679D1" w:rsidP="004B7574">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CDR</w:t>
      </w:r>
      <w:r w:rsidR="00D25124" w:rsidRPr="006B7331">
        <w:rPr>
          <w:rFonts w:ascii="Times New Roman" w:hAnsi="Times New Roman" w:cs="Times New Roman"/>
          <w:color w:val="000000" w:themeColor="text1"/>
          <w:sz w:val="24"/>
          <w:szCs w:val="24"/>
        </w:rPr>
        <w:t xml:space="preserve"> has the potential to provide material benefits for consumers</w:t>
      </w:r>
      <w:r w:rsidR="00314B4C">
        <w:rPr>
          <w:rFonts w:ascii="Times New Roman" w:hAnsi="Times New Roman" w:cs="Times New Roman"/>
          <w:color w:val="000000" w:themeColor="text1"/>
          <w:sz w:val="24"/>
          <w:szCs w:val="24"/>
        </w:rPr>
        <w:t>. It can</w:t>
      </w:r>
      <w:r w:rsidR="00D25124" w:rsidRPr="006B7331">
        <w:rPr>
          <w:rFonts w:ascii="Times New Roman" w:hAnsi="Times New Roman" w:cs="Times New Roman"/>
          <w:color w:val="000000" w:themeColor="text1"/>
          <w:sz w:val="24"/>
          <w:szCs w:val="24"/>
        </w:rPr>
        <w:t xml:space="preserve"> empower the</w:t>
      </w:r>
      <w:r w:rsidR="002D1184" w:rsidRPr="006B7331">
        <w:rPr>
          <w:rFonts w:ascii="Times New Roman" w:hAnsi="Times New Roman" w:cs="Times New Roman"/>
          <w:color w:val="000000" w:themeColor="text1"/>
          <w:sz w:val="24"/>
          <w:szCs w:val="24"/>
        </w:rPr>
        <w:t xml:space="preserve">m to use their data to attain </w:t>
      </w:r>
      <w:r w:rsidR="004A7BA4" w:rsidRPr="006B7331">
        <w:rPr>
          <w:rFonts w:ascii="Times New Roman" w:hAnsi="Times New Roman" w:cs="Times New Roman"/>
          <w:color w:val="000000" w:themeColor="text1"/>
          <w:sz w:val="24"/>
          <w:szCs w:val="24"/>
        </w:rPr>
        <w:t xml:space="preserve">access to service at lower costs, or </w:t>
      </w:r>
      <w:r w:rsidR="00314B4C">
        <w:rPr>
          <w:rFonts w:ascii="Times New Roman" w:hAnsi="Times New Roman" w:cs="Times New Roman"/>
          <w:color w:val="000000" w:themeColor="text1"/>
          <w:sz w:val="24"/>
          <w:szCs w:val="24"/>
        </w:rPr>
        <w:t xml:space="preserve">obtain services </w:t>
      </w:r>
      <w:r w:rsidR="004A7BA4" w:rsidRPr="006B7331">
        <w:rPr>
          <w:rFonts w:ascii="Times New Roman" w:hAnsi="Times New Roman" w:cs="Times New Roman"/>
          <w:color w:val="000000" w:themeColor="text1"/>
          <w:sz w:val="24"/>
          <w:szCs w:val="24"/>
        </w:rPr>
        <w:t xml:space="preserve">that are more suited to their needs. </w:t>
      </w:r>
      <w:r w:rsidR="0072383F" w:rsidRPr="006B7331">
        <w:rPr>
          <w:rFonts w:ascii="Times New Roman" w:hAnsi="Times New Roman" w:cs="Times New Roman"/>
          <w:color w:val="000000" w:themeColor="text1"/>
          <w:sz w:val="24"/>
          <w:szCs w:val="24"/>
        </w:rPr>
        <w:t xml:space="preserve">For those consumers on low incomes, the potential benefits are </w:t>
      </w:r>
      <w:r w:rsidR="00517590" w:rsidRPr="006B7331">
        <w:rPr>
          <w:rFonts w:ascii="Times New Roman" w:hAnsi="Times New Roman" w:cs="Times New Roman"/>
          <w:color w:val="000000" w:themeColor="text1"/>
          <w:sz w:val="24"/>
          <w:szCs w:val="24"/>
        </w:rPr>
        <w:t>significant;</w:t>
      </w:r>
      <w:r w:rsidR="0072383F" w:rsidRPr="006B7331">
        <w:rPr>
          <w:rFonts w:ascii="Times New Roman" w:hAnsi="Times New Roman" w:cs="Times New Roman"/>
          <w:color w:val="000000" w:themeColor="text1"/>
          <w:sz w:val="24"/>
          <w:szCs w:val="24"/>
        </w:rPr>
        <w:t xml:space="preserve"> given these consumers typically spend a greater proportion of their income </w:t>
      </w:r>
      <w:r w:rsidR="00314B4C">
        <w:rPr>
          <w:rFonts w:ascii="Times New Roman" w:hAnsi="Times New Roman" w:cs="Times New Roman"/>
          <w:color w:val="000000" w:themeColor="text1"/>
          <w:sz w:val="24"/>
          <w:szCs w:val="24"/>
        </w:rPr>
        <w:t xml:space="preserve">on </w:t>
      </w:r>
      <w:r w:rsidR="0072383F" w:rsidRPr="006B7331">
        <w:rPr>
          <w:rFonts w:ascii="Times New Roman" w:hAnsi="Times New Roman" w:cs="Times New Roman"/>
          <w:color w:val="000000" w:themeColor="text1"/>
          <w:sz w:val="24"/>
          <w:szCs w:val="24"/>
        </w:rPr>
        <w:t>telecommunications service</w:t>
      </w:r>
      <w:r w:rsidR="00A41989" w:rsidRPr="006B7331">
        <w:rPr>
          <w:rFonts w:ascii="Times New Roman" w:hAnsi="Times New Roman" w:cs="Times New Roman"/>
          <w:color w:val="000000" w:themeColor="text1"/>
          <w:sz w:val="24"/>
          <w:szCs w:val="24"/>
        </w:rPr>
        <w:t>s</w:t>
      </w:r>
      <w:r w:rsidR="00314B4C">
        <w:rPr>
          <w:rFonts w:ascii="Times New Roman" w:hAnsi="Times New Roman" w:cs="Times New Roman"/>
          <w:color w:val="000000" w:themeColor="text1"/>
          <w:sz w:val="24"/>
          <w:szCs w:val="24"/>
        </w:rPr>
        <w:t>. H</w:t>
      </w:r>
      <w:r w:rsidR="00904275" w:rsidRPr="006B7331">
        <w:rPr>
          <w:rFonts w:ascii="Times New Roman" w:hAnsi="Times New Roman" w:cs="Times New Roman"/>
          <w:color w:val="000000" w:themeColor="text1"/>
          <w:sz w:val="24"/>
          <w:szCs w:val="24"/>
        </w:rPr>
        <w:t xml:space="preserve">ouseholds in the lowest 10% of income earners spend on average just under 10% of their disposable incomes on communications services </w:t>
      </w:r>
      <w:r w:rsidR="00314B4C">
        <w:rPr>
          <w:rFonts w:ascii="Times New Roman" w:hAnsi="Times New Roman" w:cs="Times New Roman"/>
          <w:color w:val="000000" w:themeColor="text1"/>
          <w:sz w:val="24"/>
          <w:szCs w:val="24"/>
        </w:rPr>
        <w:t xml:space="preserve">whereas the </w:t>
      </w:r>
      <w:r w:rsidR="00517590">
        <w:rPr>
          <w:rFonts w:ascii="Times New Roman" w:hAnsi="Times New Roman" w:cs="Times New Roman"/>
          <w:color w:val="000000" w:themeColor="text1"/>
          <w:sz w:val="24"/>
          <w:szCs w:val="24"/>
        </w:rPr>
        <w:t>average</w:t>
      </w:r>
      <w:r w:rsidR="00314B4C">
        <w:rPr>
          <w:rFonts w:ascii="Times New Roman" w:hAnsi="Times New Roman" w:cs="Times New Roman"/>
          <w:color w:val="000000" w:themeColor="text1"/>
          <w:sz w:val="24"/>
          <w:szCs w:val="24"/>
        </w:rPr>
        <w:t xml:space="preserve"> household spend</w:t>
      </w:r>
      <w:r w:rsidR="00517590">
        <w:rPr>
          <w:rFonts w:ascii="Times New Roman" w:hAnsi="Times New Roman" w:cs="Times New Roman"/>
          <w:color w:val="000000" w:themeColor="text1"/>
          <w:sz w:val="24"/>
          <w:szCs w:val="24"/>
        </w:rPr>
        <w:t>s</w:t>
      </w:r>
      <w:r w:rsidR="00314B4C">
        <w:rPr>
          <w:rFonts w:ascii="Times New Roman" w:hAnsi="Times New Roman" w:cs="Times New Roman"/>
          <w:color w:val="000000" w:themeColor="text1"/>
          <w:sz w:val="24"/>
          <w:szCs w:val="24"/>
        </w:rPr>
        <w:t xml:space="preserve"> </w:t>
      </w:r>
      <w:r w:rsidR="00517590">
        <w:rPr>
          <w:rFonts w:ascii="Times New Roman" w:hAnsi="Times New Roman" w:cs="Times New Roman"/>
          <w:color w:val="000000" w:themeColor="text1"/>
          <w:sz w:val="24"/>
          <w:szCs w:val="24"/>
        </w:rPr>
        <w:t>approximately 3.5%</w:t>
      </w:r>
      <w:r w:rsidR="00314B4C">
        <w:rPr>
          <w:rFonts w:ascii="Times New Roman" w:hAnsi="Times New Roman" w:cs="Times New Roman"/>
          <w:color w:val="000000" w:themeColor="text1"/>
          <w:sz w:val="24"/>
          <w:szCs w:val="24"/>
        </w:rPr>
        <w:t xml:space="preserve"> </w:t>
      </w:r>
      <w:r w:rsidR="00857421" w:rsidRPr="006B7331">
        <w:rPr>
          <w:rFonts w:ascii="Times New Roman" w:hAnsi="Times New Roman" w:cs="Times New Roman"/>
          <w:noProof/>
          <w:color w:val="000000" w:themeColor="text1"/>
          <w:sz w:val="24"/>
          <w:szCs w:val="24"/>
        </w:rPr>
        <w:t>(BCAR 2017, p. 27)</w:t>
      </w:r>
      <w:r w:rsidR="0072383F" w:rsidRPr="006B7331">
        <w:rPr>
          <w:rFonts w:ascii="Times New Roman" w:hAnsi="Times New Roman" w:cs="Times New Roman"/>
          <w:color w:val="000000" w:themeColor="text1"/>
          <w:sz w:val="24"/>
          <w:szCs w:val="24"/>
        </w:rPr>
        <w:t>.</w:t>
      </w:r>
      <w:r w:rsidR="0016748A" w:rsidRPr="006B7331">
        <w:rPr>
          <w:rStyle w:val="FootnoteReference"/>
          <w:rFonts w:ascii="Times New Roman" w:hAnsi="Times New Roman" w:cs="Times New Roman"/>
          <w:color w:val="000000" w:themeColor="text1"/>
          <w:sz w:val="24"/>
          <w:szCs w:val="24"/>
        </w:rPr>
        <w:footnoteReference w:id="1"/>
      </w:r>
      <w:r w:rsidR="0072383F" w:rsidRPr="006B7331">
        <w:rPr>
          <w:rFonts w:ascii="Times New Roman" w:hAnsi="Times New Roman" w:cs="Times New Roman"/>
          <w:color w:val="000000" w:themeColor="text1"/>
          <w:sz w:val="24"/>
          <w:szCs w:val="24"/>
        </w:rPr>
        <w:t xml:space="preserve"> </w:t>
      </w:r>
    </w:p>
    <w:p w14:paraId="403B725A" w14:textId="4D1A3D55" w:rsidR="00C926E7" w:rsidRDefault="00C926E7" w:rsidP="004B7574">
      <w:pPr>
        <w:spacing w:before="100" w:beforeAutospacing="1" w:after="100" w:afterAutospacing="1"/>
        <w:jc w:val="both"/>
        <w:rPr>
          <w:rFonts w:ascii="Times New Roman" w:hAnsi="Times New Roman" w:cs="Times New Roman"/>
          <w:i/>
          <w:sz w:val="24"/>
          <w:szCs w:val="24"/>
        </w:rPr>
      </w:pPr>
      <w:r>
        <w:rPr>
          <w:rFonts w:ascii="Times New Roman" w:hAnsi="Times New Roman" w:cs="Times New Roman"/>
          <w:i/>
          <w:sz w:val="24"/>
          <w:szCs w:val="24"/>
        </w:rPr>
        <w:t>Transaction costs and information asymmetries are not the same</w:t>
      </w:r>
    </w:p>
    <w:p w14:paraId="3953DEDD" w14:textId="580BC940" w:rsidR="004B7574" w:rsidRDefault="0031384D" w:rsidP="004B7574">
      <w:pPr>
        <w:jc w:val="both"/>
        <w:rPr>
          <w:rFonts w:ascii="Times New Roman" w:hAnsi="Times New Roman" w:cs="Times New Roman"/>
          <w:sz w:val="24"/>
          <w:szCs w:val="24"/>
        </w:rPr>
      </w:pPr>
      <w:r w:rsidRPr="006B7331">
        <w:rPr>
          <w:rFonts w:ascii="Times New Roman" w:hAnsi="Times New Roman" w:cs="Times New Roman"/>
          <w:color w:val="000000" w:themeColor="text1"/>
          <w:sz w:val="24"/>
          <w:szCs w:val="24"/>
        </w:rPr>
        <w:t xml:space="preserve">The proposed reforms benefit consumers by reducing the costs of communicating and transmitting data </w:t>
      </w:r>
      <w:r w:rsidR="00314B4C">
        <w:rPr>
          <w:rFonts w:ascii="Times New Roman" w:hAnsi="Times New Roman" w:cs="Times New Roman"/>
          <w:color w:val="000000" w:themeColor="text1"/>
          <w:sz w:val="24"/>
          <w:szCs w:val="24"/>
        </w:rPr>
        <w:t>associated</w:t>
      </w:r>
      <w:r w:rsidR="00517590">
        <w:rPr>
          <w:rFonts w:ascii="Times New Roman" w:hAnsi="Times New Roman" w:cs="Times New Roman"/>
          <w:color w:val="000000" w:themeColor="text1"/>
          <w:sz w:val="24"/>
          <w:szCs w:val="24"/>
        </w:rPr>
        <w:t xml:space="preserve"> </w:t>
      </w:r>
      <w:r w:rsidR="00314B4C">
        <w:rPr>
          <w:rFonts w:ascii="Times New Roman" w:hAnsi="Times New Roman" w:cs="Times New Roman"/>
          <w:color w:val="000000" w:themeColor="text1"/>
          <w:sz w:val="24"/>
          <w:szCs w:val="24"/>
        </w:rPr>
        <w:t>with</w:t>
      </w:r>
      <w:r w:rsidRPr="006B7331">
        <w:rPr>
          <w:rFonts w:ascii="Times New Roman" w:hAnsi="Times New Roman" w:cs="Times New Roman"/>
          <w:color w:val="000000" w:themeColor="text1"/>
          <w:sz w:val="24"/>
          <w:szCs w:val="24"/>
        </w:rPr>
        <w:t xml:space="preserve"> their commercial activities to different service providers</w:t>
      </w:r>
      <w:r w:rsidR="00314B4C">
        <w:rPr>
          <w:rFonts w:ascii="Times New Roman" w:hAnsi="Times New Roman" w:cs="Times New Roman"/>
          <w:color w:val="000000" w:themeColor="text1"/>
          <w:sz w:val="24"/>
          <w:szCs w:val="24"/>
        </w:rPr>
        <w:t>. I</w:t>
      </w:r>
      <w:r w:rsidRPr="006B7331">
        <w:rPr>
          <w:rFonts w:ascii="Times New Roman" w:hAnsi="Times New Roman" w:cs="Times New Roman"/>
          <w:color w:val="000000" w:themeColor="text1"/>
          <w:sz w:val="24"/>
          <w:szCs w:val="24"/>
        </w:rPr>
        <w:t>n technical terms</w:t>
      </w:r>
      <w:r w:rsidR="00314B4C">
        <w:rPr>
          <w:rFonts w:ascii="Times New Roman" w:hAnsi="Times New Roman" w:cs="Times New Roman"/>
          <w:color w:val="000000" w:themeColor="text1"/>
          <w:sz w:val="24"/>
          <w:szCs w:val="24"/>
        </w:rPr>
        <w:t>, this is</w:t>
      </w:r>
      <w:r w:rsidRPr="006B7331">
        <w:rPr>
          <w:rFonts w:ascii="Times New Roman" w:hAnsi="Times New Roman" w:cs="Times New Roman"/>
          <w:color w:val="000000" w:themeColor="text1"/>
          <w:sz w:val="24"/>
          <w:szCs w:val="24"/>
        </w:rPr>
        <w:t xml:space="preserve"> a reduction in </w:t>
      </w:r>
      <w:r w:rsidRPr="00627DCD">
        <w:rPr>
          <w:rFonts w:ascii="Times New Roman" w:hAnsi="Times New Roman" w:cs="Times New Roman"/>
          <w:i/>
          <w:color w:val="000000" w:themeColor="text1"/>
          <w:sz w:val="24"/>
          <w:szCs w:val="24"/>
        </w:rPr>
        <w:t>transaction costs</w:t>
      </w:r>
      <w:r w:rsidRPr="006B7331">
        <w:rPr>
          <w:rFonts w:ascii="Times New Roman" w:hAnsi="Times New Roman" w:cs="Times New Roman"/>
          <w:color w:val="000000" w:themeColor="text1"/>
          <w:sz w:val="24"/>
          <w:szCs w:val="24"/>
        </w:rPr>
        <w:t xml:space="preserve"> </w:t>
      </w:r>
      <w:r w:rsidRPr="006B7331">
        <w:rPr>
          <w:rFonts w:ascii="Times New Roman" w:hAnsi="Times New Roman" w:cs="Times New Roman"/>
          <w:noProof/>
          <w:color w:val="000000" w:themeColor="text1"/>
          <w:sz w:val="24"/>
          <w:szCs w:val="24"/>
        </w:rPr>
        <w:t>(Coase, 1937)</w:t>
      </w:r>
      <w:r w:rsidRPr="006B7331">
        <w:rPr>
          <w:rFonts w:ascii="Times New Roman" w:hAnsi="Times New Roman" w:cs="Times New Roman"/>
          <w:color w:val="000000" w:themeColor="text1"/>
          <w:sz w:val="24"/>
          <w:szCs w:val="24"/>
        </w:rPr>
        <w:t>. However, the CDR does not entail concrete measures to address entrenched information asymmetries that consumers face when seeking to purchase services</w:t>
      </w:r>
      <w:r w:rsidR="00314B4C">
        <w:rPr>
          <w:rFonts w:ascii="Times New Roman" w:hAnsi="Times New Roman" w:cs="Times New Roman"/>
          <w:color w:val="000000" w:themeColor="text1"/>
          <w:sz w:val="24"/>
          <w:szCs w:val="24"/>
        </w:rPr>
        <w:t xml:space="preserve">. That is, sending data to a different provider does not guarantee it will </w:t>
      </w:r>
      <w:r w:rsidRPr="006B7331">
        <w:rPr>
          <w:rFonts w:ascii="Times New Roman" w:hAnsi="Times New Roman" w:cs="Times New Roman"/>
          <w:color w:val="000000" w:themeColor="text1"/>
          <w:sz w:val="24"/>
          <w:szCs w:val="24"/>
        </w:rPr>
        <w:t xml:space="preserve">inform me of the best offer available to me) </w:t>
      </w:r>
      <w:r w:rsidRPr="006B7331">
        <w:rPr>
          <w:rFonts w:ascii="Times New Roman" w:hAnsi="Times New Roman" w:cs="Times New Roman"/>
          <w:noProof/>
          <w:color w:val="000000" w:themeColor="text1"/>
          <w:sz w:val="24"/>
          <w:szCs w:val="24"/>
        </w:rPr>
        <w:t>(Akerlof, 1970)</w:t>
      </w:r>
      <w:r w:rsidRPr="006B7331">
        <w:rPr>
          <w:rFonts w:ascii="Times New Roman" w:hAnsi="Times New Roman" w:cs="Times New Roman"/>
          <w:color w:val="000000" w:themeColor="text1"/>
          <w:sz w:val="24"/>
          <w:szCs w:val="24"/>
        </w:rPr>
        <w:t xml:space="preserve">. </w:t>
      </w:r>
      <w:r w:rsidR="00E94BDC">
        <w:rPr>
          <w:rFonts w:ascii="Times New Roman" w:hAnsi="Times New Roman" w:cs="Times New Roman"/>
          <w:sz w:val="24"/>
          <w:szCs w:val="24"/>
        </w:rPr>
        <w:t xml:space="preserve">Rather, it merely means that the cost of collecting or examining information has been reduced for the service provider. </w:t>
      </w:r>
      <w:r w:rsidRPr="006B7331">
        <w:rPr>
          <w:rFonts w:ascii="Times New Roman" w:hAnsi="Times New Roman" w:cs="Times New Roman"/>
          <w:color w:val="000000" w:themeColor="text1"/>
          <w:sz w:val="24"/>
          <w:szCs w:val="24"/>
        </w:rPr>
        <w:t xml:space="preserve">This is a particular problem in concentrated sectors such as </w:t>
      </w:r>
      <w:r w:rsidR="00314B4C">
        <w:rPr>
          <w:rFonts w:ascii="Times New Roman" w:hAnsi="Times New Roman" w:cs="Times New Roman"/>
          <w:color w:val="000000" w:themeColor="text1"/>
          <w:sz w:val="24"/>
          <w:szCs w:val="24"/>
        </w:rPr>
        <w:t>tele</w:t>
      </w:r>
      <w:r w:rsidRPr="006B7331">
        <w:rPr>
          <w:rFonts w:ascii="Times New Roman" w:hAnsi="Times New Roman" w:cs="Times New Roman"/>
          <w:color w:val="000000" w:themeColor="text1"/>
          <w:sz w:val="24"/>
          <w:szCs w:val="24"/>
        </w:rPr>
        <w:t xml:space="preserve">communications where </w:t>
      </w:r>
      <w:r>
        <w:rPr>
          <w:rFonts w:ascii="Times New Roman" w:hAnsi="Times New Roman" w:cs="Times New Roman"/>
          <w:color w:val="000000" w:themeColor="text1"/>
          <w:sz w:val="24"/>
          <w:szCs w:val="24"/>
        </w:rPr>
        <w:t>businesses</w:t>
      </w:r>
      <w:r w:rsidRPr="006B7331">
        <w:rPr>
          <w:rFonts w:ascii="Times New Roman" w:hAnsi="Times New Roman" w:cs="Times New Roman"/>
          <w:color w:val="000000" w:themeColor="text1"/>
          <w:sz w:val="24"/>
          <w:szCs w:val="24"/>
        </w:rPr>
        <w:t xml:space="preserve"> with market power </w:t>
      </w:r>
      <w:r w:rsidRPr="006B7331">
        <w:rPr>
          <w:rFonts w:ascii="Times New Roman" w:hAnsi="Times New Roman" w:cs="Times New Roman"/>
          <w:sz w:val="24"/>
          <w:szCs w:val="24"/>
        </w:rPr>
        <w:t xml:space="preserve">have the incentive to exploit or create information asymmetries </w:t>
      </w:r>
      <w:r w:rsidRPr="006B7331">
        <w:rPr>
          <w:rFonts w:ascii="Times New Roman" w:hAnsi="Times New Roman" w:cs="Times New Roman"/>
          <w:noProof/>
          <w:sz w:val="24"/>
          <w:szCs w:val="24"/>
        </w:rPr>
        <w:t>(Beales et al., 1981, p. 507)</w:t>
      </w:r>
      <w:r w:rsidRPr="006B7331">
        <w:rPr>
          <w:rFonts w:ascii="Times New Roman" w:hAnsi="Times New Roman" w:cs="Times New Roman"/>
          <w:sz w:val="24"/>
          <w:szCs w:val="24"/>
        </w:rPr>
        <w:t>.</w:t>
      </w:r>
    </w:p>
    <w:p w14:paraId="13F691EB" w14:textId="7DBBA508" w:rsidR="006805EF" w:rsidRPr="00627DCD" w:rsidRDefault="004B7574" w:rsidP="004B7574">
      <w:pPr>
        <w:jc w:val="both"/>
        <w:rPr>
          <w:rFonts w:ascii="Times New Roman" w:hAnsi="Times New Roman" w:cs="Times New Roman"/>
          <w:sz w:val="24"/>
          <w:szCs w:val="24"/>
        </w:rPr>
      </w:pPr>
      <w:r>
        <w:rPr>
          <w:rFonts w:ascii="Times New Roman" w:hAnsi="Times New Roman" w:cs="Times New Roman"/>
          <w:sz w:val="24"/>
          <w:szCs w:val="24"/>
        </w:rPr>
        <w:t xml:space="preserve">Although the reform is likely to be beneficial for consumers, it should not be assumed that the CDR will address the material information asymmetries consumers face. </w:t>
      </w:r>
      <w:r w:rsidR="006805EF">
        <w:rPr>
          <w:rFonts w:ascii="Times New Roman" w:eastAsia="Arial Unicode MS" w:hAnsi="Times New Roman" w:cs="Times New Roman"/>
          <w:color w:val="000000" w:themeColor="text1"/>
          <w:sz w:val="24"/>
          <w:szCs w:val="24"/>
          <w:lang w:val="en-IE" w:bidi="hi-IN"/>
        </w:rPr>
        <w:t>In the telecommunications context, recent measures have been implemented to address information asymmetries</w:t>
      </w:r>
      <w:r w:rsidR="00C73B6F">
        <w:rPr>
          <w:rFonts w:ascii="Times New Roman" w:eastAsia="Arial Unicode MS" w:hAnsi="Times New Roman" w:cs="Times New Roman"/>
          <w:color w:val="000000" w:themeColor="text1"/>
          <w:sz w:val="24"/>
          <w:szCs w:val="24"/>
          <w:lang w:val="en-IE" w:bidi="hi-IN"/>
        </w:rPr>
        <w:t xml:space="preserve"> that ha</w:t>
      </w:r>
      <w:r w:rsidR="00E94BDC">
        <w:rPr>
          <w:rFonts w:ascii="Times New Roman" w:eastAsia="Arial Unicode MS" w:hAnsi="Times New Roman" w:cs="Times New Roman"/>
          <w:color w:val="000000" w:themeColor="text1"/>
          <w:sz w:val="24"/>
          <w:szCs w:val="24"/>
          <w:lang w:val="en-IE" w:bidi="hi-IN"/>
        </w:rPr>
        <w:t>d historically</w:t>
      </w:r>
      <w:r w:rsidR="00C73B6F">
        <w:rPr>
          <w:rFonts w:ascii="Times New Roman" w:eastAsia="Arial Unicode MS" w:hAnsi="Times New Roman" w:cs="Times New Roman"/>
          <w:color w:val="000000" w:themeColor="text1"/>
          <w:sz w:val="24"/>
          <w:szCs w:val="24"/>
          <w:lang w:val="en-IE" w:bidi="hi-IN"/>
        </w:rPr>
        <w:t xml:space="preserve"> </w:t>
      </w:r>
      <w:r w:rsidR="00C73B6F" w:rsidRPr="008D22C7">
        <w:rPr>
          <w:rFonts w:ascii="Times New Roman" w:eastAsia="Arial Unicode MS" w:hAnsi="Times New Roman" w:cs="Times New Roman"/>
          <w:color w:val="000000" w:themeColor="text1"/>
          <w:sz w:val="24"/>
          <w:szCs w:val="24"/>
          <w:lang w:val="en-IE" w:bidi="hi-IN"/>
        </w:rPr>
        <w:t>resulted in significant consumer detriment</w:t>
      </w:r>
      <w:r w:rsidR="00E94BDC">
        <w:rPr>
          <w:rFonts w:ascii="Times New Roman" w:eastAsia="Arial Unicode MS" w:hAnsi="Times New Roman" w:cs="Times New Roman"/>
          <w:color w:val="000000" w:themeColor="text1"/>
          <w:sz w:val="24"/>
          <w:szCs w:val="24"/>
          <w:lang w:val="en-IE" w:bidi="hi-IN"/>
        </w:rPr>
        <w:t>. These measures</w:t>
      </w:r>
      <w:r w:rsidR="006805EF" w:rsidRPr="008D22C7">
        <w:rPr>
          <w:rFonts w:ascii="Times New Roman" w:eastAsia="Arial Unicode MS" w:hAnsi="Times New Roman" w:cs="Times New Roman"/>
          <w:color w:val="000000" w:themeColor="text1"/>
          <w:sz w:val="24"/>
          <w:szCs w:val="24"/>
          <w:lang w:val="en-IE" w:bidi="hi-IN"/>
        </w:rPr>
        <w:t xml:space="preserve"> includ</w:t>
      </w:r>
      <w:r w:rsidR="00E94BDC">
        <w:rPr>
          <w:rFonts w:ascii="Times New Roman" w:eastAsia="Arial Unicode MS" w:hAnsi="Times New Roman" w:cs="Times New Roman"/>
          <w:color w:val="000000" w:themeColor="text1"/>
          <w:sz w:val="24"/>
          <w:szCs w:val="24"/>
          <w:lang w:val="en-IE" w:bidi="hi-IN"/>
        </w:rPr>
        <w:t>e</w:t>
      </w:r>
      <w:r w:rsidR="006805EF" w:rsidRPr="008D22C7">
        <w:rPr>
          <w:rFonts w:ascii="Times New Roman" w:eastAsia="Arial Unicode MS" w:hAnsi="Times New Roman" w:cs="Times New Roman"/>
          <w:color w:val="000000" w:themeColor="text1"/>
          <w:sz w:val="24"/>
          <w:szCs w:val="24"/>
          <w:lang w:val="en-IE" w:bidi="hi-IN"/>
        </w:rPr>
        <w:t>:</w:t>
      </w:r>
    </w:p>
    <w:p w14:paraId="7548A063" w14:textId="77777777" w:rsidR="006805EF" w:rsidRPr="00627DCD" w:rsidRDefault="006805EF" w:rsidP="004B7574">
      <w:pPr>
        <w:pStyle w:val="ListParagraph"/>
        <w:numPr>
          <w:ilvl w:val="0"/>
          <w:numId w:val="5"/>
        </w:numPr>
        <w:spacing w:before="100" w:beforeAutospacing="1" w:after="100" w:afterAutospacing="1" w:line="276" w:lineRule="auto"/>
        <w:jc w:val="both"/>
        <w:rPr>
          <w:rFonts w:ascii="Times New Roman" w:eastAsia="Arial Unicode MS" w:hAnsi="Times New Roman" w:cs="Times New Roman"/>
          <w:color w:val="000000" w:themeColor="text1"/>
          <w:sz w:val="24"/>
          <w:szCs w:val="24"/>
          <w:lang w:val="en-IE" w:eastAsia="en-AU" w:bidi="hi-IN"/>
        </w:rPr>
      </w:pPr>
      <w:r w:rsidRPr="00627DCD">
        <w:rPr>
          <w:rFonts w:ascii="Times New Roman" w:eastAsia="Arial Unicode MS" w:hAnsi="Times New Roman" w:cs="Times New Roman"/>
          <w:i/>
          <w:color w:val="000000" w:themeColor="text1"/>
          <w:sz w:val="24"/>
          <w:szCs w:val="24"/>
          <w:lang w:val="en-IE" w:eastAsia="en-AU" w:bidi="hi-IN"/>
        </w:rPr>
        <w:t>Telecommunications (NBN Consumer Information) Industry Standard 2018</w:t>
      </w:r>
      <w:r w:rsidRPr="00627DCD">
        <w:rPr>
          <w:rFonts w:ascii="Times New Roman" w:eastAsia="Arial Unicode MS" w:hAnsi="Times New Roman" w:cs="Times New Roman"/>
          <w:color w:val="000000" w:themeColor="text1"/>
          <w:sz w:val="24"/>
          <w:szCs w:val="24"/>
          <w:lang w:val="en-IE" w:eastAsia="en-AU" w:bidi="hi-IN"/>
        </w:rPr>
        <w:t>;</w:t>
      </w:r>
    </w:p>
    <w:p w14:paraId="7E3DE2C2" w14:textId="49B4FEFA" w:rsidR="006805EF" w:rsidRPr="00627DCD" w:rsidRDefault="006805EF" w:rsidP="004B7574">
      <w:pPr>
        <w:pStyle w:val="ListParagraph"/>
        <w:numPr>
          <w:ilvl w:val="0"/>
          <w:numId w:val="5"/>
        </w:numPr>
        <w:spacing w:before="100" w:beforeAutospacing="1" w:after="100" w:afterAutospacing="1" w:line="276" w:lineRule="auto"/>
        <w:jc w:val="both"/>
        <w:rPr>
          <w:rFonts w:ascii="Times New Roman" w:eastAsia="Arial Unicode MS" w:hAnsi="Times New Roman" w:cs="Times New Roman"/>
          <w:color w:val="000000" w:themeColor="text1"/>
          <w:sz w:val="24"/>
          <w:szCs w:val="24"/>
          <w:lang w:val="en-IE" w:eastAsia="en-AU" w:bidi="hi-IN"/>
        </w:rPr>
      </w:pPr>
      <w:r w:rsidRPr="00627DCD">
        <w:rPr>
          <w:rFonts w:ascii="Times New Roman" w:eastAsia="Arial Unicode MS" w:hAnsi="Times New Roman" w:cs="Times New Roman"/>
          <w:i/>
          <w:color w:val="000000" w:themeColor="text1"/>
          <w:sz w:val="24"/>
          <w:szCs w:val="24"/>
          <w:lang w:val="en-IE" w:eastAsia="en-AU" w:bidi="hi-IN"/>
        </w:rPr>
        <w:t>Telecommunications Service Provider (NBN Service Migration) Determination 2018</w:t>
      </w:r>
      <w:r w:rsidRPr="00627DCD">
        <w:rPr>
          <w:rFonts w:ascii="Times New Roman" w:eastAsia="Arial Unicode MS" w:hAnsi="Times New Roman" w:cs="Times New Roman"/>
          <w:color w:val="000000" w:themeColor="text1"/>
          <w:sz w:val="24"/>
          <w:szCs w:val="24"/>
          <w:lang w:val="en-IE" w:eastAsia="en-AU" w:bidi="hi-IN"/>
        </w:rPr>
        <w:t>;</w:t>
      </w:r>
      <w:r w:rsidR="00E94BDC">
        <w:rPr>
          <w:rFonts w:ascii="Times New Roman" w:eastAsia="Arial Unicode MS" w:hAnsi="Times New Roman" w:cs="Times New Roman"/>
          <w:color w:val="000000" w:themeColor="text1"/>
          <w:sz w:val="24"/>
          <w:szCs w:val="24"/>
          <w:lang w:val="en-IE" w:eastAsia="en-AU" w:bidi="hi-IN"/>
        </w:rPr>
        <w:t xml:space="preserve"> and</w:t>
      </w:r>
    </w:p>
    <w:p w14:paraId="273122CA" w14:textId="77777777" w:rsidR="006805EF" w:rsidRPr="00627DCD" w:rsidRDefault="006805EF" w:rsidP="004B7574">
      <w:pPr>
        <w:pStyle w:val="ListParagraph"/>
        <w:numPr>
          <w:ilvl w:val="0"/>
          <w:numId w:val="5"/>
        </w:numPr>
        <w:spacing w:before="100" w:beforeAutospacing="1" w:after="100" w:afterAutospacing="1" w:line="276" w:lineRule="auto"/>
        <w:jc w:val="both"/>
        <w:rPr>
          <w:rFonts w:ascii="Times New Roman" w:eastAsia="Arial Unicode MS" w:hAnsi="Times New Roman" w:cs="Times New Roman"/>
          <w:color w:val="000000" w:themeColor="text1"/>
          <w:sz w:val="24"/>
          <w:szCs w:val="24"/>
          <w:lang w:val="en-IE" w:eastAsia="en-AU" w:bidi="hi-IN"/>
        </w:rPr>
      </w:pPr>
      <w:r w:rsidRPr="00627DCD">
        <w:rPr>
          <w:rFonts w:ascii="Times New Roman" w:eastAsia="Arial Unicode MS" w:hAnsi="Times New Roman" w:cs="Times New Roman"/>
          <w:color w:val="000000" w:themeColor="text1"/>
          <w:sz w:val="24"/>
          <w:szCs w:val="24"/>
          <w:lang w:val="en-IE" w:eastAsia="en-AU" w:bidi="hi-IN"/>
        </w:rPr>
        <w:t>Monitoring of broadband performance by the ACCC.</w:t>
      </w:r>
    </w:p>
    <w:p w14:paraId="3AC9317C" w14:textId="3FA6A858" w:rsidR="00A04E7B" w:rsidRDefault="004B7574" w:rsidP="004B7574">
      <w:pPr>
        <w:jc w:val="both"/>
        <w:rPr>
          <w:rFonts w:ascii="Times New Roman" w:hAnsi="Times New Roman" w:cs="Times New Roman"/>
          <w:sz w:val="24"/>
          <w:szCs w:val="24"/>
        </w:rPr>
      </w:pPr>
      <w:r>
        <w:rPr>
          <w:rFonts w:ascii="Times New Roman" w:hAnsi="Times New Roman" w:cs="Times New Roman"/>
          <w:sz w:val="24"/>
          <w:szCs w:val="24"/>
        </w:rPr>
        <w:t>Early indications are that these actions, which go to the source of addressing information asymmetries</w:t>
      </w:r>
      <w:r w:rsidR="00E94BDC">
        <w:rPr>
          <w:rFonts w:ascii="Times New Roman" w:hAnsi="Times New Roman" w:cs="Times New Roman"/>
          <w:sz w:val="24"/>
          <w:szCs w:val="24"/>
        </w:rPr>
        <w:t>,</w:t>
      </w:r>
      <w:r>
        <w:rPr>
          <w:rFonts w:ascii="Times New Roman" w:hAnsi="Times New Roman" w:cs="Times New Roman"/>
          <w:sz w:val="24"/>
          <w:szCs w:val="24"/>
        </w:rPr>
        <w:t xml:space="preserve"> are likely to protect consumers from detriment and result in better </w:t>
      </w:r>
      <w:r w:rsidR="00667452">
        <w:rPr>
          <w:rFonts w:ascii="Times New Roman" w:hAnsi="Times New Roman" w:cs="Times New Roman"/>
          <w:sz w:val="24"/>
          <w:szCs w:val="24"/>
        </w:rPr>
        <w:t xml:space="preserve">market outcomes. </w:t>
      </w:r>
      <w:r w:rsidR="00C73B6F">
        <w:rPr>
          <w:rFonts w:ascii="Times New Roman" w:hAnsi="Times New Roman" w:cs="Times New Roman"/>
          <w:sz w:val="24"/>
          <w:szCs w:val="24"/>
        </w:rPr>
        <w:t xml:space="preserve">Moreover, these measures are likely to address the emerging trust deficit with service providers that went to the </w:t>
      </w:r>
      <w:r w:rsidR="00D83A1F">
        <w:rPr>
          <w:rFonts w:ascii="Times New Roman" w:hAnsi="Times New Roman" w:cs="Times New Roman"/>
          <w:sz w:val="24"/>
          <w:szCs w:val="24"/>
        </w:rPr>
        <w:t xml:space="preserve">heart of the </w:t>
      </w:r>
      <w:r w:rsidR="00C73B6F">
        <w:rPr>
          <w:rFonts w:ascii="Times New Roman" w:hAnsi="Times New Roman" w:cs="Times New Roman"/>
          <w:sz w:val="24"/>
          <w:szCs w:val="24"/>
        </w:rPr>
        <w:t xml:space="preserve">ongoing stability and viability of the </w:t>
      </w:r>
      <w:proofErr w:type="spellStart"/>
      <w:r w:rsidR="00C73B6F">
        <w:rPr>
          <w:rFonts w:ascii="Times New Roman" w:hAnsi="Times New Roman" w:cs="Times New Roman"/>
          <w:sz w:val="24"/>
          <w:szCs w:val="24"/>
        </w:rPr>
        <w:t>nbn</w:t>
      </w:r>
      <w:proofErr w:type="spellEnd"/>
      <w:r w:rsidR="00C73B6F">
        <w:rPr>
          <w:rFonts w:ascii="Times New Roman" w:hAnsi="Times New Roman" w:cs="Times New Roman"/>
          <w:sz w:val="24"/>
          <w:szCs w:val="24"/>
        </w:rPr>
        <w:t xml:space="preserve"> service market. </w:t>
      </w:r>
    </w:p>
    <w:p w14:paraId="1640B863" w14:textId="6353934E" w:rsidR="00517590" w:rsidRDefault="00291DCA" w:rsidP="004B757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ACCAN is supportive of further refinements to the CDR legislation and accompanying rules to address material information asymmetries, and to preclude the use of consumer data by service providers to the detriment of consumers. </w:t>
      </w:r>
      <w:r w:rsidR="004153EB">
        <w:rPr>
          <w:rFonts w:ascii="Times New Roman" w:hAnsi="Times New Roman" w:cs="Times New Roman"/>
          <w:sz w:val="24"/>
          <w:szCs w:val="24"/>
        </w:rPr>
        <w:t>As part of this process consideration of the potential</w:t>
      </w:r>
      <w:r w:rsidR="00627DCD">
        <w:rPr>
          <w:rFonts w:ascii="Times New Roman" w:hAnsi="Times New Roman" w:cs="Times New Roman"/>
          <w:sz w:val="24"/>
          <w:szCs w:val="24"/>
        </w:rPr>
        <w:t xml:space="preserve"> for service</w:t>
      </w:r>
      <w:r w:rsidR="009539D3">
        <w:rPr>
          <w:rFonts w:ascii="Times New Roman" w:hAnsi="Times New Roman" w:cs="Times New Roman"/>
          <w:sz w:val="24"/>
          <w:szCs w:val="24"/>
        </w:rPr>
        <w:t xml:space="preserve"> </w:t>
      </w:r>
      <w:r w:rsidR="00433061">
        <w:rPr>
          <w:rFonts w:ascii="Times New Roman" w:hAnsi="Times New Roman" w:cs="Times New Roman"/>
          <w:sz w:val="24"/>
          <w:szCs w:val="24"/>
        </w:rPr>
        <w:t xml:space="preserve">providers to disclose information relevant to consumer decision making e.g. detailed network coverage and throughput data, in accessible formats should be considered. </w:t>
      </w:r>
      <w:r w:rsidR="004B1444">
        <w:rPr>
          <w:rFonts w:ascii="Times New Roman" w:hAnsi="Times New Roman" w:cs="Times New Roman"/>
          <w:sz w:val="24"/>
          <w:szCs w:val="24"/>
        </w:rPr>
        <w:t xml:space="preserve">The provision of </w:t>
      </w:r>
      <w:r w:rsidR="00AE5668">
        <w:rPr>
          <w:rFonts w:ascii="Times New Roman" w:hAnsi="Times New Roman" w:cs="Times New Roman"/>
          <w:sz w:val="24"/>
          <w:szCs w:val="24"/>
        </w:rPr>
        <w:t xml:space="preserve">relevant information to consumers, in conjunction with policies to constrain information asymmetries to maximise the benefits for consumers from the CDR system, </w:t>
      </w:r>
      <w:r w:rsidR="00E94BDC">
        <w:rPr>
          <w:rFonts w:ascii="Times New Roman" w:hAnsi="Times New Roman" w:cs="Times New Roman"/>
          <w:sz w:val="24"/>
          <w:szCs w:val="24"/>
        </w:rPr>
        <w:t xml:space="preserve">has the potential to </w:t>
      </w:r>
      <w:r w:rsidR="00AE5668">
        <w:rPr>
          <w:rFonts w:ascii="Times New Roman" w:hAnsi="Times New Roman" w:cs="Times New Roman"/>
          <w:sz w:val="24"/>
          <w:szCs w:val="24"/>
        </w:rPr>
        <w:t xml:space="preserve">enhance competition and increase economic efficiency. </w:t>
      </w:r>
    </w:p>
    <w:p w14:paraId="12C73782" w14:textId="4C68A8E1" w:rsidR="0092246E" w:rsidRPr="006B7331" w:rsidRDefault="004D2808" w:rsidP="004B7574">
      <w:pPr>
        <w:jc w:val="both"/>
        <w:rPr>
          <w:rFonts w:ascii="Times New Roman" w:hAnsi="Times New Roman" w:cs="Times New Roman"/>
          <w:color w:val="A6A6A6" w:themeColor="background1" w:themeShade="A6"/>
          <w:sz w:val="24"/>
          <w:szCs w:val="24"/>
        </w:rPr>
      </w:pPr>
      <w:r>
        <w:rPr>
          <w:rFonts w:ascii="Times New Roman" w:hAnsi="Times New Roman" w:cs="Times New Roman"/>
          <w:i/>
          <w:color w:val="000000" w:themeColor="text1"/>
          <w:sz w:val="24"/>
          <w:szCs w:val="24"/>
        </w:rPr>
        <w:t>The transfer of consumer data has risks</w:t>
      </w:r>
    </w:p>
    <w:p w14:paraId="47C08D38" w14:textId="78FE9888" w:rsidR="00A71F13" w:rsidRDefault="003C1713" w:rsidP="004B7574">
      <w:pPr>
        <w:spacing w:before="100" w:beforeAutospacing="1" w:after="100" w:afterAutospacing="1"/>
        <w:jc w:val="both"/>
        <w:rPr>
          <w:rFonts w:ascii="Times New Roman" w:hAnsi="Times New Roman" w:cs="Times New Roman"/>
          <w:sz w:val="24"/>
        </w:rPr>
      </w:pPr>
      <w:r w:rsidRPr="007408DF">
        <w:rPr>
          <w:rFonts w:ascii="Times New Roman" w:hAnsi="Times New Roman" w:cs="Times New Roman"/>
          <w:sz w:val="24"/>
        </w:rPr>
        <w:t xml:space="preserve">The </w:t>
      </w:r>
      <w:r w:rsidR="0087757E">
        <w:rPr>
          <w:rFonts w:ascii="Times New Roman" w:hAnsi="Times New Roman" w:cs="Times New Roman"/>
          <w:sz w:val="24"/>
        </w:rPr>
        <w:t>CDR</w:t>
      </w:r>
      <w:r w:rsidRPr="007408DF">
        <w:rPr>
          <w:rFonts w:ascii="Times New Roman" w:hAnsi="Times New Roman" w:cs="Times New Roman"/>
          <w:sz w:val="24"/>
        </w:rPr>
        <w:t xml:space="preserve"> creates a process for the frequent porting of detailed information</w:t>
      </w:r>
      <w:r w:rsidR="00E94BDC">
        <w:rPr>
          <w:rFonts w:ascii="Times New Roman" w:hAnsi="Times New Roman" w:cs="Times New Roman"/>
          <w:sz w:val="24"/>
        </w:rPr>
        <w:t xml:space="preserve">, </w:t>
      </w:r>
      <w:r w:rsidR="00E94BDC" w:rsidRPr="007408DF">
        <w:rPr>
          <w:rFonts w:ascii="Times New Roman" w:hAnsi="Times New Roman" w:cs="Times New Roman"/>
          <w:sz w:val="24"/>
        </w:rPr>
        <w:t>potentially on a real-time basis</w:t>
      </w:r>
      <w:r w:rsidR="00E94BDC">
        <w:rPr>
          <w:rFonts w:ascii="Times New Roman" w:hAnsi="Times New Roman" w:cs="Times New Roman"/>
          <w:sz w:val="24"/>
        </w:rPr>
        <w:t>,</w:t>
      </w:r>
      <w:r w:rsidRPr="007408DF">
        <w:rPr>
          <w:rFonts w:ascii="Times New Roman" w:hAnsi="Times New Roman" w:cs="Times New Roman"/>
          <w:sz w:val="24"/>
        </w:rPr>
        <w:t xml:space="preserve"> concerning individuals, transactions, locations, products, services and prices. Although likely to provide material benefits to consumers, the porting and communication of this data poses significant risks if </w:t>
      </w:r>
      <w:r w:rsidR="00E94BDC">
        <w:rPr>
          <w:rFonts w:ascii="Times New Roman" w:hAnsi="Times New Roman" w:cs="Times New Roman"/>
          <w:sz w:val="24"/>
        </w:rPr>
        <w:t>the data</w:t>
      </w:r>
      <w:r w:rsidRPr="007408DF">
        <w:rPr>
          <w:rFonts w:ascii="Times New Roman" w:hAnsi="Times New Roman" w:cs="Times New Roman"/>
          <w:sz w:val="24"/>
        </w:rPr>
        <w:t xml:space="preserve"> is misused, lost or stolen.</w:t>
      </w:r>
    </w:p>
    <w:p w14:paraId="7E784EAF" w14:textId="6DC629F1" w:rsidR="00775B6A" w:rsidRPr="004D2808" w:rsidRDefault="00775B6A" w:rsidP="004B7574">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sz w:val="24"/>
        </w:rPr>
        <w:t xml:space="preserve">The bill </w:t>
      </w:r>
      <w:r w:rsidRPr="004D2808">
        <w:rPr>
          <w:rFonts w:ascii="Times New Roman" w:hAnsi="Times New Roman" w:cs="Times New Roman"/>
          <w:color w:val="000000" w:themeColor="text1"/>
          <w:sz w:val="24"/>
        </w:rPr>
        <w:t>does not address the risk that consumer data may be used for anti-competitive purposes</w:t>
      </w:r>
      <w:r w:rsidRPr="004D2808">
        <w:rPr>
          <w:rFonts w:ascii="Times New Roman" w:hAnsi="Times New Roman" w:cs="Times New Roman"/>
          <w:color w:val="000000" w:themeColor="text1"/>
          <w:sz w:val="24"/>
          <w:szCs w:val="24"/>
        </w:rPr>
        <w:t xml:space="preserve"> </w:t>
      </w:r>
      <w:r w:rsidR="00C971CE" w:rsidRPr="004D2808">
        <w:rPr>
          <w:rFonts w:ascii="Times New Roman" w:hAnsi="Times New Roman" w:cs="Times New Roman"/>
          <w:color w:val="000000" w:themeColor="text1"/>
          <w:sz w:val="24"/>
          <w:lang w:val="en-US"/>
        </w:rPr>
        <w:t>(ACCAN, 2018, pp. 17–30)</w:t>
      </w:r>
      <w:r w:rsidR="00D41D2D" w:rsidRPr="004D2808">
        <w:rPr>
          <w:rFonts w:ascii="Times New Roman" w:hAnsi="Times New Roman" w:cs="Times New Roman"/>
          <w:color w:val="000000" w:themeColor="text1"/>
          <w:sz w:val="24"/>
          <w:szCs w:val="24"/>
        </w:rPr>
        <w:t xml:space="preserve">. </w:t>
      </w:r>
      <w:r w:rsidR="00226D8A" w:rsidRPr="004D2808">
        <w:rPr>
          <w:rFonts w:ascii="Times New Roman" w:hAnsi="Times New Roman" w:cs="Times New Roman"/>
          <w:color w:val="000000" w:themeColor="text1"/>
          <w:sz w:val="24"/>
          <w:szCs w:val="24"/>
        </w:rPr>
        <w:t>Although the risk that CDR data may be used for price discrimination or anti-competitive conduct to the detriment of consumers in the communications sector is low, the potential losses are significant.</w:t>
      </w:r>
      <w:r w:rsidR="007533DF" w:rsidRPr="004D2808">
        <w:rPr>
          <w:rFonts w:ascii="Times New Roman" w:hAnsi="Times New Roman" w:cs="Times New Roman"/>
          <w:color w:val="000000" w:themeColor="text1"/>
          <w:sz w:val="24"/>
          <w:szCs w:val="24"/>
        </w:rPr>
        <w:t xml:space="preserve"> The risk of such conduct in the banking sector is however very high </w:t>
      </w:r>
      <w:r w:rsidR="000F358C">
        <w:rPr>
          <w:rFonts w:ascii="Times New Roman" w:hAnsi="Times New Roman" w:cs="Times New Roman"/>
          <w:color w:val="000000" w:themeColor="text1"/>
          <w:sz w:val="24"/>
          <w:szCs w:val="24"/>
        </w:rPr>
        <w:t xml:space="preserve">and likely losses </w:t>
      </w:r>
      <w:r w:rsidR="00E94BDC">
        <w:rPr>
          <w:rFonts w:ascii="Times New Roman" w:hAnsi="Times New Roman" w:cs="Times New Roman"/>
          <w:color w:val="000000" w:themeColor="text1"/>
          <w:sz w:val="24"/>
          <w:szCs w:val="24"/>
        </w:rPr>
        <w:t xml:space="preserve">are </w:t>
      </w:r>
      <w:r w:rsidR="00DF0824">
        <w:rPr>
          <w:rFonts w:ascii="Times New Roman" w:hAnsi="Times New Roman" w:cs="Times New Roman"/>
          <w:color w:val="000000" w:themeColor="text1"/>
          <w:sz w:val="24"/>
          <w:szCs w:val="24"/>
        </w:rPr>
        <w:t>several orders of magnitude</w:t>
      </w:r>
      <w:r w:rsidR="000F358C">
        <w:rPr>
          <w:rFonts w:ascii="Times New Roman" w:hAnsi="Times New Roman" w:cs="Times New Roman"/>
          <w:color w:val="000000" w:themeColor="text1"/>
          <w:sz w:val="24"/>
          <w:szCs w:val="24"/>
        </w:rPr>
        <w:t xml:space="preserve"> greater.</w:t>
      </w:r>
      <w:r w:rsidR="00FA4A32">
        <w:rPr>
          <w:rStyle w:val="FootnoteReference"/>
          <w:rFonts w:ascii="Times New Roman" w:hAnsi="Times New Roman" w:cs="Times New Roman"/>
          <w:color w:val="000000" w:themeColor="text1"/>
          <w:sz w:val="24"/>
          <w:szCs w:val="24"/>
        </w:rPr>
        <w:footnoteReference w:id="2"/>
      </w:r>
      <w:r w:rsidR="000F358C">
        <w:rPr>
          <w:rFonts w:ascii="Times New Roman" w:hAnsi="Times New Roman" w:cs="Times New Roman"/>
          <w:color w:val="000000" w:themeColor="text1"/>
          <w:sz w:val="24"/>
          <w:szCs w:val="24"/>
        </w:rPr>
        <w:t xml:space="preserve"> </w:t>
      </w:r>
    </w:p>
    <w:p w14:paraId="091AC85E" w14:textId="5A8D4B4C" w:rsidR="004C74E0" w:rsidRDefault="004C74E0" w:rsidP="004B7574">
      <w:pPr>
        <w:spacing w:before="100" w:beforeAutospacing="1" w:after="100" w:afterAutospacing="1"/>
        <w:jc w:val="both"/>
        <w:rPr>
          <w:rFonts w:ascii="Times New Roman" w:hAnsi="Times New Roman" w:cs="Times New Roman"/>
          <w:color w:val="000000" w:themeColor="text1"/>
          <w:sz w:val="24"/>
          <w:szCs w:val="24"/>
        </w:rPr>
      </w:pPr>
      <w:r w:rsidRPr="004D2808">
        <w:rPr>
          <w:rFonts w:ascii="Times New Roman" w:hAnsi="Times New Roman" w:cs="Times New Roman"/>
          <w:color w:val="000000" w:themeColor="text1"/>
          <w:sz w:val="24"/>
          <w:szCs w:val="24"/>
        </w:rPr>
        <w:t xml:space="preserve">In order for consumers to suffer loss through anti-competitive conduct, businesses merely need to </w:t>
      </w:r>
      <w:r w:rsidR="007533DF" w:rsidRPr="004D2808">
        <w:rPr>
          <w:rFonts w:ascii="Times New Roman" w:hAnsi="Times New Roman" w:cs="Times New Roman"/>
          <w:color w:val="000000" w:themeColor="text1"/>
          <w:sz w:val="24"/>
          <w:szCs w:val="24"/>
        </w:rPr>
        <w:t xml:space="preserve">set prices at or near the same levels for specific markets or sub-groups of consumers, they do not need to explicitly collude. </w:t>
      </w:r>
      <w:r w:rsidR="0055482F">
        <w:rPr>
          <w:rFonts w:ascii="Times New Roman" w:hAnsi="Times New Roman" w:cs="Times New Roman"/>
          <w:color w:val="000000" w:themeColor="text1"/>
          <w:sz w:val="24"/>
          <w:szCs w:val="24"/>
        </w:rPr>
        <w:t xml:space="preserve">This ‘clustering’ </w:t>
      </w:r>
      <w:r w:rsidR="00623E85">
        <w:rPr>
          <w:rFonts w:ascii="Times New Roman" w:hAnsi="Times New Roman" w:cs="Times New Roman"/>
          <w:color w:val="000000" w:themeColor="text1"/>
          <w:sz w:val="24"/>
          <w:szCs w:val="24"/>
        </w:rPr>
        <w:t>can more easily occur</w:t>
      </w:r>
      <w:r w:rsidR="00CA32AE">
        <w:rPr>
          <w:rFonts w:ascii="Times New Roman" w:hAnsi="Times New Roman" w:cs="Times New Roman"/>
          <w:color w:val="000000" w:themeColor="text1"/>
          <w:sz w:val="24"/>
          <w:szCs w:val="24"/>
        </w:rPr>
        <w:t xml:space="preserve"> when service providers have access to detailed information concerning consumer characteristics, pricing and product information</w:t>
      </w:r>
      <w:r w:rsidR="0055482F">
        <w:rPr>
          <w:rFonts w:ascii="Times New Roman" w:hAnsi="Times New Roman" w:cs="Times New Roman"/>
          <w:color w:val="000000" w:themeColor="text1"/>
          <w:sz w:val="24"/>
          <w:szCs w:val="24"/>
        </w:rPr>
        <w:t xml:space="preserve"> that is frequently updated, and is a feature of the existing banking market </w:t>
      </w:r>
      <w:r w:rsidR="0009767D">
        <w:rPr>
          <w:rFonts w:ascii="Times New Roman" w:hAnsi="Times New Roman" w:cs="Times New Roman"/>
          <w:noProof/>
          <w:color w:val="000000" w:themeColor="text1"/>
          <w:sz w:val="24"/>
          <w:szCs w:val="24"/>
        </w:rPr>
        <w:t>(PC 2018, p. 8)</w:t>
      </w:r>
      <w:r w:rsidR="00E94BDC">
        <w:rPr>
          <w:rFonts w:ascii="Times New Roman" w:hAnsi="Times New Roman" w:cs="Times New Roman"/>
          <w:noProof/>
          <w:color w:val="000000" w:themeColor="text1"/>
          <w:sz w:val="24"/>
          <w:szCs w:val="24"/>
        </w:rPr>
        <w:t>.</w:t>
      </w:r>
    </w:p>
    <w:p w14:paraId="400CB26B" w14:textId="6644042D" w:rsidR="00DF0824" w:rsidRPr="004D2808" w:rsidRDefault="00DF0824" w:rsidP="004B7574">
      <w:pPr>
        <w:spacing w:before="100" w:beforeAutospacing="1" w:after="100" w:afterAutospacing="1"/>
        <w:jc w:val="both"/>
        <w:rPr>
          <w:rFonts w:ascii="Times New Roman" w:hAnsi="Times New Roman" w:cs="Times New Roman"/>
          <w:color w:val="000000" w:themeColor="text1"/>
          <w:sz w:val="24"/>
          <w:szCs w:val="24"/>
        </w:rPr>
      </w:pPr>
      <w:r w:rsidRPr="00094C6F">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incentives</w:t>
      </w:r>
      <w:r w:rsidRPr="00094C6F">
        <w:rPr>
          <w:rFonts w:ascii="Times New Roman" w:hAnsi="Times New Roman" w:cs="Times New Roman"/>
          <w:color w:val="000000" w:themeColor="text1"/>
          <w:sz w:val="24"/>
          <w:szCs w:val="24"/>
        </w:rPr>
        <w:t xml:space="preserve"> to </w:t>
      </w:r>
      <w:r>
        <w:rPr>
          <w:rFonts w:ascii="Times New Roman" w:hAnsi="Times New Roman" w:cs="Times New Roman"/>
          <w:color w:val="000000" w:themeColor="text1"/>
          <w:sz w:val="24"/>
          <w:szCs w:val="24"/>
        </w:rPr>
        <w:t>price discriminate</w:t>
      </w:r>
      <w:r w:rsidR="00E94BDC">
        <w:rPr>
          <w:rFonts w:ascii="Times New Roman" w:hAnsi="Times New Roman" w:cs="Times New Roman"/>
          <w:color w:val="000000" w:themeColor="text1"/>
          <w:sz w:val="24"/>
          <w:szCs w:val="24"/>
        </w:rPr>
        <w:t xml:space="preserve"> are material</w:t>
      </w:r>
      <w:r w:rsidRPr="00094C6F">
        <w:rPr>
          <w:rFonts w:ascii="Times New Roman" w:hAnsi="Times New Roman" w:cs="Times New Roman"/>
          <w:color w:val="000000" w:themeColor="text1"/>
          <w:sz w:val="24"/>
          <w:szCs w:val="24"/>
        </w:rPr>
        <w:t xml:space="preserve">, given the highly concentrated market structure and the capacity for service providers to exercise market power to achieve ‘extraordinarily high’ returns </w:t>
      </w:r>
      <w:r w:rsidRPr="00094C6F">
        <w:rPr>
          <w:rFonts w:ascii="Times New Roman" w:hAnsi="Times New Roman" w:cs="Times New Roman"/>
          <w:sz w:val="24"/>
          <w:szCs w:val="24"/>
        </w:rPr>
        <w:t>(Grattan Institute 2017, p. 31)</w:t>
      </w:r>
      <w:r>
        <w:rPr>
          <w:rFonts w:ascii="Times New Roman" w:hAnsi="Times New Roman" w:cs="Times New Roman"/>
          <w:color w:val="000000" w:themeColor="text1"/>
          <w:sz w:val="24"/>
          <w:szCs w:val="24"/>
        </w:rPr>
        <w:t xml:space="preserve">. The potential for consumer data to be used to provide the evidence base for price discrimination is significant, and ACCAN is concerned </w:t>
      </w:r>
      <w:r w:rsidRPr="004D2808">
        <w:rPr>
          <w:rFonts w:ascii="Times New Roman" w:hAnsi="Times New Roman" w:cs="Times New Roman"/>
          <w:color w:val="000000" w:themeColor="text1"/>
          <w:sz w:val="24"/>
          <w:szCs w:val="24"/>
        </w:rPr>
        <w:t>that this may result in material detriment to consumers through high prices for services.</w:t>
      </w:r>
    </w:p>
    <w:p w14:paraId="21486E2B" w14:textId="74B92060" w:rsidR="000D5C19" w:rsidRDefault="00DF0824" w:rsidP="004B7574">
      <w:pPr>
        <w:spacing w:before="100" w:beforeAutospacing="1" w:after="100" w:afterAutospacing="1"/>
        <w:jc w:val="both"/>
        <w:rPr>
          <w:rFonts w:ascii="Times New Roman" w:hAnsi="Times New Roman" w:cs="Times New Roman"/>
          <w:color w:val="000000" w:themeColor="text1"/>
          <w:sz w:val="24"/>
          <w:szCs w:val="24"/>
        </w:rPr>
      </w:pPr>
      <w:r w:rsidRPr="004D2808">
        <w:rPr>
          <w:rFonts w:ascii="Times New Roman" w:hAnsi="Times New Roman" w:cs="Times New Roman"/>
          <w:color w:val="000000" w:themeColor="text1"/>
          <w:sz w:val="24"/>
          <w:szCs w:val="24"/>
        </w:rPr>
        <w:t xml:space="preserve">However, in principle price discrimination may benefit consumers if, </w:t>
      </w:r>
      <w:r w:rsidR="000D5C19" w:rsidRPr="004D2808">
        <w:rPr>
          <w:rFonts w:ascii="Times New Roman" w:hAnsi="Times New Roman" w:cs="Times New Roman"/>
          <w:color w:val="000000" w:themeColor="text1"/>
          <w:sz w:val="24"/>
          <w:szCs w:val="24"/>
        </w:rPr>
        <w:t>and only if</w:t>
      </w:r>
      <w:r w:rsidR="00745EA7">
        <w:rPr>
          <w:rFonts w:ascii="Times New Roman" w:hAnsi="Times New Roman" w:cs="Times New Roman"/>
          <w:color w:val="000000" w:themeColor="text1"/>
          <w:sz w:val="24"/>
          <w:szCs w:val="24"/>
        </w:rPr>
        <w:t>,</w:t>
      </w:r>
      <w:r w:rsidR="000D5C19" w:rsidRPr="004D2808">
        <w:rPr>
          <w:rFonts w:ascii="Times New Roman" w:hAnsi="Times New Roman" w:cs="Times New Roman"/>
          <w:color w:val="000000" w:themeColor="text1"/>
          <w:sz w:val="24"/>
          <w:szCs w:val="24"/>
        </w:rPr>
        <w:t xml:space="preserve"> it increases total output – that is, services are offered that match the needs of underserved </w:t>
      </w:r>
      <w:r w:rsidR="000D5C19" w:rsidRPr="006B7331">
        <w:rPr>
          <w:rFonts w:ascii="Times New Roman" w:hAnsi="Times New Roman" w:cs="Times New Roman"/>
          <w:color w:val="000000" w:themeColor="text1"/>
          <w:sz w:val="24"/>
          <w:szCs w:val="24"/>
        </w:rPr>
        <w:t xml:space="preserve">groups </w:t>
      </w:r>
      <w:r w:rsidR="00DC53B9" w:rsidRPr="006B7331">
        <w:rPr>
          <w:rFonts w:ascii="Times New Roman" w:hAnsi="Times New Roman" w:cs="Times New Roman"/>
          <w:noProof/>
          <w:color w:val="000000" w:themeColor="text1"/>
          <w:sz w:val="24"/>
          <w:szCs w:val="24"/>
        </w:rPr>
        <w:t>(Schmalensee, 1981; Varian, 1985, p. 2)</w:t>
      </w:r>
      <w:r w:rsidR="00DC53B9" w:rsidRPr="006B7331">
        <w:rPr>
          <w:rFonts w:ascii="Times New Roman" w:hAnsi="Times New Roman" w:cs="Times New Roman"/>
          <w:color w:val="000000" w:themeColor="text1"/>
          <w:sz w:val="24"/>
          <w:szCs w:val="24"/>
        </w:rPr>
        <w:t xml:space="preserve">. </w:t>
      </w:r>
      <w:r w:rsidR="000D5C19" w:rsidRPr="006B7331">
        <w:rPr>
          <w:rFonts w:ascii="Times New Roman" w:hAnsi="Times New Roman" w:cs="Times New Roman"/>
          <w:color w:val="000000" w:themeColor="text1"/>
          <w:sz w:val="24"/>
          <w:szCs w:val="24"/>
        </w:rPr>
        <w:t xml:space="preserve">ACCAN has concerns, however, that models of price discrimination may be developed, not with a view to providing services to underserved </w:t>
      </w:r>
      <w:r w:rsidR="000D5C19" w:rsidRPr="006B7331">
        <w:rPr>
          <w:rFonts w:ascii="Times New Roman" w:hAnsi="Times New Roman" w:cs="Times New Roman"/>
          <w:color w:val="000000" w:themeColor="text1"/>
          <w:sz w:val="24"/>
          <w:szCs w:val="24"/>
        </w:rPr>
        <w:lastRenderedPageBreak/>
        <w:t>consumers (that is the marginal consumer) but rather to extract maximum rents from all consumers.</w:t>
      </w:r>
    </w:p>
    <w:p w14:paraId="57348E37" w14:textId="1846F825" w:rsidR="00517590" w:rsidRDefault="00DF0824" w:rsidP="004B7574">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Although this condition is more likely to be met in the </w:t>
      </w:r>
      <w:r w:rsidR="00745EA7">
        <w:rPr>
          <w:rFonts w:ascii="Times New Roman" w:hAnsi="Times New Roman" w:cs="Times New Roman"/>
          <w:color w:val="000000" w:themeColor="text1"/>
          <w:sz w:val="24"/>
          <w:szCs w:val="24"/>
        </w:rPr>
        <w:t>tele</w:t>
      </w:r>
      <w:r>
        <w:rPr>
          <w:rFonts w:ascii="Times New Roman" w:hAnsi="Times New Roman" w:cs="Times New Roman"/>
          <w:color w:val="000000" w:themeColor="text1"/>
          <w:sz w:val="24"/>
          <w:szCs w:val="24"/>
        </w:rPr>
        <w:t xml:space="preserve">communications sector, it may entail considerable losses by the rest of the consumer population through higher prices. Recent analysis undertaken by the Productivity Commission </w:t>
      </w:r>
      <w:r w:rsidR="0009767D">
        <w:rPr>
          <w:rFonts w:ascii="Times New Roman" w:hAnsi="Times New Roman" w:cs="Times New Roman"/>
          <w:color w:val="000000" w:themeColor="text1"/>
          <w:sz w:val="24"/>
          <w:szCs w:val="24"/>
        </w:rPr>
        <w:t xml:space="preserve">(2018, p. 12) indicates that this </w:t>
      </w:r>
      <w:r w:rsidR="004D2808">
        <w:rPr>
          <w:rFonts w:ascii="Times New Roman" w:hAnsi="Times New Roman" w:cs="Times New Roman"/>
          <w:color w:val="000000" w:themeColor="text1"/>
          <w:sz w:val="24"/>
          <w:szCs w:val="24"/>
        </w:rPr>
        <w:t>criteria cannot be met within the banking sector without a material increase in the total quantity of loans on offers.</w:t>
      </w:r>
    </w:p>
    <w:p w14:paraId="73CEBC18" w14:textId="4896EC14" w:rsidR="00CE3FAE" w:rsidRDefault="007402DC" w:rsidP="004B7574">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order to address</w:t>
      </w:r>
      <w:r w:rsidR="00CE3FAE">
        <w:rPr>
          <w:rFonts w:ascii="Times New Roman" w:hAnsi="Times New Roman" w:cs="Times New Roman"/>
          <w:color w:val="000000" w:themeColor="text1"/>
          <w:sz w:val="24"/>
          <w:szCs w:val="24"/>
        </w:rPr>
        <w:t xml:space="preserve"> th</w:t>
      </w:r>
      <w:r w:rsidR="00C8281A">
        <w:rPr>
          <w:rFonts w:ascii="Times New Roman" w:hAnsi="Times New Roman" w:cs="Times New Roman"/>
          <w:color w:val="000000" w:themeColor="text1"/>
          <w:sz w:val="24"/>
          <w:szCs w:val="24"/>
        </w:rPr>
        <w:t>e</w:t>
      </w:r>
      <w:r w:rsidR="00CE3FAE">
        <w:rPr>
          <w:rFonts w:ascii="Times New Roman" w:hAnsi="Times New Roman" w:cs="Times New Roman"/>
          <w:color w:val="000000" w:themeColor="text1"/>
          <w:sz w:val="24"/>
          <w:szCs w:val="24"/>
        </w:rPr>
        <w:t xml:space="preserve"> risk</w:t>
      </w:r>
      <w:r w:rsidR="00C8281A">
        <w:rPr>
          <w:rFonts w:ascii="Times New Roman" w:hAnsi="Times New Roman" w:cs="Times New Roman"/>
          <w:color w:val="000000" w:themeColor="text1"/>
          <w:sz w:val="24"/>
          <w:szCs w:val="24"/>
        </w:rPr>
        <w:t xml:space="preserve"> that CDR data is misused</w:t>
      </w:r>
      <w:r w:rsidR="00CE3FAE">
        <w:rPr>
          <w:rFonts w:ascii="Times New Roman" w:hAnsi="Times New Roman" w:cs="Times New Roman"/>
          <w:color w:val="000000" w:themeColor="text1"/>
          <w:sz w:val="24"/>
          <w:szCs w:val="24"/>
        </w:rPr>
        <w:t xml:space="preserve">, </w:t>
      </w:r>
      <w:r w:rsidR="00C8281A">
        <w:rPr>
          <w:rFonts w:ascii="Times New Roman" w:hAnsi="Times New Roman" w:cs="Times New Roman"/>
          <w:color w:val="000000" w:themeColor="text1"/>
          <w:sz w:val="24"/>
          <w:szCs w:val="24"/>
        </w:rPr>
        <w:t>ACCAN supports the creation of a framework of exemplary penalties to be included within the legislation that bar the use of CDR data for anti-competitive purposes. In the absence of strong financial incentives for CDR participants to act competitively, there is the potential for consumers to face worse outcomes in terms of price and service offerings under the CDR than are available in the marketplace now.</w:t>
      </w:r>
    </w:p>
    <w:p w14:paraId="4A2CE1F2" w14:textId="31794E70" w:rsidR="002D245C" w:rsidRPr="006B7331" w:rsidRDefault="002D245C" w:rsidP="004B7574">
      <w:pPr>
        <w:spacing w:before="100" w:beforeAutospacing="1" w:after="100" w:afterAutospacing="1"/>
        <w:jc w:val="both"/>
        <w:rPr>
          <w:rFonts w:ascii="Times New Roman" w:hAnsi="Times New Roman" w:cs="Times New Roman"/>
          <w:i/>
          <w:color w:val="000000" w:themeColor="text1"/>
          <w:sz w:val="24"/>
          <w:szCs w:val="24"/>
        </w:rPr>
      </w:pPr>
      <w:r w:rsidRPr="006B7331">
        <w:rPr>
          <w:rFonts w:ascii="Times New Roman" w:hAnsi="Times New Roman" w:cs="Times New Roman"/>
          <w:i/>
          <w:color w:val="000000" w:themeColor="text1"/>
          <w:sz w:val="24"/>
          <w:szCs w:val="24"/>
        </w:rPr>
        <w:t xml:space="preserve">Privacy </w:t>
      </w:r>
      <w:r w:rsidR="000F5DA0" w:rsidRPr="006B7331">
        <w:rPr>
          <w:rFonts w:ascii="Times New Roman" w:hAnsi="Times New Roman" w:cs="Times New Roman"/>
          <w:i/>
          <w:color w:val="000000" w:themeColor="text1"/>
          <w:sz w:val="24"/>
          <w:szCs w:val="24"/>
        </w:rPr>
        <w:t>safeguards</w:t>
      </w:r>
      <w:r w:rsidRPr="006B7331">
        <w:rPr>
          <w:rFonts w:ascii="Times New Roman" w:hAnsi="Times New Roman" w:cs="Times New Roman"/>
          <w:i/>
          <w:color w:val="000000" w:themeColor="text1"/>
          <w:sz w:val="24"/>
          <w:szCs w:val="24"/>
        </w:rPr>
        <w:t xml:space="preserve"> </w:t>
      </w:r>
      <w:r w:rsidR="00A71A53" w:rsidRPr="006B7331">
        <w:rPr>
          <w:rFonts w:ascii="Times New Roman" w:hAnsi="Times New Roman" w:cs="Times New Roman"/>
          <w:i/>
          <w:color w:val="000000" w:themeColor="text1"/>
          <w:sz w:val="24"/>
          <w:szCs w:val="24"/>
        </w:rPr>
        <w:t>– the weakest link</w:t>
      </w:r>
    </w:p>
    <w:p w14:paraId="3AB75814" w14:textId="1388DC0A" w:rsidR="007328D6" w:rsidRPr="006B7331" w:rsidRDefault="002D245C" w:rsidP="004B7574">
      <w:pPr>
        <w:spacing w:before="100" w:beforeAutospacing="1" w:after="100" w:afterAutospacing="1"/>
        <w:jc w:val="both"/>
        <w:rPr>
          <w:rFonts w:ascii="Times New Roman" w:hAnsi="Times New Roman" w:cs="Times New Roman"/>
          <w:color w:val="000000" w:themeColor="text1"/>
          <w:sz w:val="24"/>
          <w:szCs w:val="24"/>
        </w:rPr>
      </w:pPr>
      <w:r w:rsidRPr="006B7331">
        <w:rPr>
          <w:rFonts w:ascii="Times New Roman" w:hAnsi="Times New Roman" w:cs="Times New Roman"/>
          <w:color w:val="000000" w:themeColor="text1"/>
          <w:sz w:val="24"/>
          <w:szCs w:val="24"/>
        </w:rPr>
        <w:t>ACCAN welcomes revisions to the legislation that clearly set out the applicabili</w:t>
      </w:r>
      <w:r w:rsidR="00E4556E" w:rsidRPr="006B7331">
        <w:rPr>
          <w:rFonts w:ascii="Times New Roman" w:hAnsi="Times New Roman" w:cs="Times New Roman"/>
          <w:color w:val="000000" w:themeColor="text1"/>
          <w:sz w:val="24"/>
          <w:szCs w:val="24"/>
        </w:rPr>
        <w:t>ty of the privacy safeguards to each type of CDR participant.</w:t>
      </w:r>
      <w:r w:rsidR="00001A7E" w:rsidRPr="006B7331">
        <w:rPr>
          <w:rFonts w:ascii="Times New Roman" w:hAnsi="Times New Roman" w:cs="Times New Roman"/>
          <w:color w:val="000000" w:themeColor="text1"/>
          <w:sz w:val="24"/>
          <w:szCs w:val="24"/>
        </w:rPr>
        <w:t xml:space="preserve"> However, </w:t>
      </w:r>
      <w:r w:rsidR="00D32205" w:rsidRPr="006B7331">
        <w:rPr>
          <w:rFonts w:ascii="Times New Roman" w:eastAsia="Arial Unicode MS" w:hAnsi="Times New Roman" w:cs="Times New Roman"/>
          <w:color w:val="000000" w:themeColor="text1"/>
          <w:sz w:val="24"/>
          <w:szCs w:val="24"/>
          <w:lang w:val="en-IE" w:bidi="hi-IN"/>
        </w:rPr>
        <w:t>t</w:t>
      </w:r>
      <w:r w:rsidR="007328D6" w:rsidRPr="006B7331">
        <w:rPr>
          <w:rFonts w:ascii="Times New Roman" w:eastAsia="Arial Unicode MS" w:hAnsi="Times New Roman" w:cs="Times New Roman"/>
          <w:color w:val="000000" w:themeColor="text1"/>
          <w:sz w:val="24"/>
          <w:szCs w:val="24"/>
          <w:lang w:val="en-IE" w:bidi="hi-IN"/>
        </w:rPr>
        <w:t xml:space="preserve">he current form of the legislation does not provide a comprehensive framework to address the privacy concerns of consumers. </w:t>
      </w:r>
      <w:r w:rsidR="00054554" w:rsidRPr="006B7331">
        <w:rPr>
          <w:rFonts w:ascii="Times New Roman" w:eastAsia="Arial Unicode MS" w:hAnsi="Times New Roman" w:cs="Times New Roman"/>
          <w:color w:val="000000" w:themeColor="text1"/>
          <w:sz w:val="24"/>
          <w:szCs w:val="24"/>
          <w:lang w:val="en-IE" w:bidi="hi-IN"/>
        </w:rPr>
        <w:t>In particular:</w:t>
      </w:r>
    </w:p>
    <w:p w14:paraId="26BACD5C" w14:textId="77777777" w:rsidR="007328D6" w:rsidRPr="006B7331" w:rsidRDefault="007328D6" w:rsidP="00627DCD">
      <w:pPr>
        <w:pStyle w:val="ListParagraph"/>
        <w:numPr>
          <w:ilvl w:val="0"/>
          <w:numId w:val="4"/>
        </w:numPr>
        <w:spacing w:before="100" w:beforeAutospacing="1" w:after="100" w:afterAutospacing="1" w:line="276" w:lineRule="auto"/>
        <w:jc w:val="both"/>
        <w:rPr>
          <w:rFonts w:ascii="Times New Roman" w:eastAsia="Arial Unicode MS" w:hAnsi="Times New Roman" w:cs="Times New Roman"/>
          <w:color w:val="000000" w:themeColor="text1"/>
          <w:sz w:val="24"/>
          <w:szCs w:val="24"/>
          <w:lang w:val="en-IE" w:eastAsia="en-AU" w:bidi="hi-IN"/>
        </w:rPr>
      </w:pPr>
      <w:r w:rsidRPr="006B7331">
        <w:rPr>
          <w:rFonts w:ascii="Times New Roman" w:eastAsia="Arial Unicode MS" w:hAnsi="Times New Roman" w:cs="Times New Roman"/>
          <w:color w:val="000000" w:themeColor="text1"/>
          <w:sz w:val="24"/>
          <w:szCs w:val="24"/>
          <w:lang w:val="en-IE" w:eastAsia="en-AU" w:bidi="hi-IN"/>
        </w:rPr>
        <w:t>the current framework of protections only apply when data is transferred;</w:t>
      </w:r>
    </w:p>
    <w:p w14:paraId="676510F2" w14:textId="77777777" w:rsidR="007328D6" w:rsidRPr="006B7331" w:rsidRDefault="007328D6" w:rsidP="00627DCD">
      <w:pPr>
        <w:pStyle w:val="ListParagraph"/>
        <w:numPr>
          <w:ilvl w:val="0"/>
          <w:numId w:val="4"/>
        </w:numPr>
        <w:spacing w:before="100" w:beforeAutospacing="1" w:after="100" w:afterAutospacing="1" w:line="276" w:lineRule="auto"/>
        <w:jc w:val="both"/>
        <w:rPr>
          <w:rFonts w:ascii="Times New Roman" w:eastAsia="Arial Unicode MS" w:hAnsi="Times New Roman" w:cs="Times New Roman"/>
          <w:color w:val="000000" w:themeColor="text1"/>
          <w:sz w:val="24"/>
          <w:szCs w:val="24"/>
          <w:lang w:val="en-IE" w:eastAsia="en-AU" w:bidi="hi-IN"/>
        </w:rPr>
      </w:pPr>
      <w:r w:rsidRPr="006B7331">
        <w:rPr>
          <w:rFonts w:ascii="Times New Roman" w:eastAsia="Arial Unicode MS" w:hAnsi="Times New Roman" w:cs="Times New Roman"/>
          <w:color w:val="000000" w:themeColor="text1"/>
          <w:sz w:val="24"/>
          <w:szCs w:val="24"/>
          <w:lang w:val="en-IE" w:eastAsia="en-AU" w:bidi="hi-IN"/>
        </w:rPr>
        <w:t>the framework provides for limited protections of consumer data once it is transferred out of the system to non-accredited entities;</w:t>
      </w:r>
    </w:p>
    <w:p w14:paraId="2B47FB8B" w14:textId="5DEDEFCB" w:rsidR="007328D6" w:rsidRPr="006B7331" w:rsidRDefault="007328D6" w:rsidP="00627DCD">
      <w:pPr>
        <w:pStyle w:val="ListParagraph"/>
        <w:numPr>
          <w:ilvl w:val="0"/>
          <w:numId w:val="4"/>
        </w:numPr>
        <w:spacing w:before="100" w:beforeAutospacing="1" w:after="100" w:afterAutospacing="1" w:line="276" w:lineRule="auto"/>
        <w:jc w:val="both"/>
        <w:rPr>
          <w:rFonts w:ascii="Times New Roman" w:eastAsia="Arial Unicode MS" w:hAnsi="Times New Roman" w:cs="Times New Roman"/>
          <w:color w:val="000000" w:themeColor="text1"/>
          <w:sz w:val="24"/>
          <w:szCs w:val="24"/>
          <w:lang w:val="en-IE" w:eastAsia="en-AU" w:bidi="hi-IN"/>
        </w:rPr>
      </w:pPr>
      <w:r w:rsidRPr="006B7331">
        <w:rPr>
          <w:rFonts w:ascii="Times New Roman" w:eastAsia="Arial Unicode MS" w:hAnsi="Times New Roman" w:cs="Times New Roman"/>
          <w:color w:val="000000" w:themeColor="text1"/>
          <w:sz w:val="24"/>
          <w:szCs w:val="24"/>
          <w:lang w:val="en-IE" w:eastAsia="en-AU" w:bidi="hi-IN"/>
        </w:rPr>
        <w:t xml:space="preserve">the framework does not provide for any penalties for seeking to re-identify consumers; </w:t>
      </w:r>
      <w:r w:rsidR="007E5BB4">
        <w:rPr>
          <w:rFonts w:ascii="Times New Roman" w:eastAsia="Arial Unicode MS" w:hAnsi="Times New Roman" w:cs="Times New Roman"/>
          <w:color w:val="000000" w:themeColor="text1"/>
          <w:sz w:val="24"/>
          <w:szCs w:val="24"/>
          <w:lang w:val="en-IE" w:eastAsia="en-AU" w:bidi="hi-IN"/>
        </w:rPr>
        <w:t>and</w:t>
      </w:r>
    </w:p>
    <w:p w14:paraId="0389BEFE" w14:textId="5A611554" w:rsidR="007328D6" w:rsidRPr="006B7331" w:rsidRDefault="007328D6" w:rsidP="00627DCD">
      <w:pPr>
        <w:pStyle w:val="ListParagraph"/>
        <w:numPr>
          <w:ilvl w:val="0"/>
          <w:numId w:val="4"/>
        </w:numPr>
        <w:spacing w:before="100" w:beforeAutospacing="1" w:after="100" w:afterAutospacing="1" w:line="276" w:lineRule="auto"/>
        <w:jc w:val="both"/>
        <w:rPr>
          <w:rFonts w:ascii="Times New Roman" w:eastAsia="Arial Unicode MS" w:hAnsi="Times New Roman" w:cs="Times New Roman"/>
          <w:color w:val="000000" w:themeColor="text1"/>
          <w:sz w:val="24"/>
          <w:szCs w:val="24"/>
          <w:lang w:val="en-IE" w:eastAsia="en-AU" w:bidi="hi-IN"/>
        </w:rPr>
      </w:pPr>
      <w:proofErr w:type="gramStart"/>
      <w:r w:rsidRPr="006B7331">
        <w:rPr>
          <w:rFonts w:ascii="Times New Roman" w:eastAsia="Arial Unicode MS" w:hAnsi="Times New Roman" w:cs="Times New Roman"/>
          <w:color w:val="000000" w:themeColor="text1"/>
          <w:sz w:val="24"/>
          <w:szCs w:val="24"/>
          <w:lang w:val="en-IE" w:eastAsia="en-AU" w:bidi="hi-IN"/>
        </w:rPr>
        <w:t>the</w:t>
      </w:r>
      <w:proofErr w:type="gramEnd"/>
      <w:r w:rsidRPr="006B7331">
        <w:rPr>
          <w:rFonts w:ascii="Times New Roman" w:eastAsia="Arial Unicode MS" w:hAnsi="Times New Roman" w:cs="Times New Roman"/>
          <w:color w:val="000000" w:themeColor="text1"/>
          <w:sz w:val="24"/>
          <w:szCs w:val="24"/>
          <w:lang w:val="en-IE" w:eastAsia="en-AU" w:bidi="hi-IN"/>
        </w:rPr>
        <w:t xml:space="preserve"> framework</w:t>
      </w:r>
      <w:r w:rsidR="007E5BB4">
        <w:rPr>
          <w:rFonts w:ascii="Times New Roman" w:eastAsia="Arial Unicode MS" w:hAnsi="Times New Roman" w:cs="Times New Roman"/>
          <w:color w:val="000000" w:themeColor="text1"/>
          <w:sz w:val="24"/>
          <w:szCs w:val="24"/>
          <w:lang w:val="en-IE" w:eastAsia="en-AU" w:bidi="hi-IN"/>
        </w:rPr>
        <w:t>, in effect,</w:t>
      </w:r>
      <w:r w:rsidRPr="006B7331">
        <w:rPr>
          <w:rFonts w:ascii="Times New Roman" w:eastAsia="Arial Unicode MS" w:hAnsi="Times New Roman" w:cs="Times New Roman"/>
          <w:color w:val="000000" w:themeColor="text1"/>
          <w:sz w:val="24"/>
          <w:szCs w:val="24"/>
          <w:lang w:val="en-IE" w:eastAsia="en-AU" w:bidi="hi-IN"/>
        </w:rPr>
        <w:t xml:space="preserve"> creates a two-tiered or possibly three-tiered system of privacy protection.</w:t>
      </w:r>
    </w:p>
    <w:p w14:paraId="36E0AE76" w14:textId="5E34FC52" w:rsidR="0041747D" w:rsidRPr="006B7331" w:rsidRDefault="00A7736C" w:rsidP="004B7574">
      <w:pPr>
        <w:spacing w:before="100" w:beforeAutospacing="1" w:after="100" w:afterAutospacing="1"/>
        <w:jc w:val="both"/>
        <w:rPr>
          <w:rFonts w:ascii="Times New Roman" w:eastAsia="Arial Unicode MS" w:hAnsi="Times New Roman" w:cs="Times New Roman"/>
          <w:color w:val="000000" w:themeColor="text1"/>
          <w:sz w:val="24"/>
          <w:szCs w:val="24"/>
          <w:lang w:val="en-IE" w:bidi="hi-IN"/>
        </w:rPr>
      </w:pPr>
      <w:r w:rsidRPr="006B7331">
        <w:rPr>
          <w:rFonts w:ascii="Times New Roman" w:eastAsia="Arial Unicode MS" w:hAnsi="Times New Roman" w:cs="Times New Roman"/>
          <w:color w:val="000000" w:themeColor="text1"/>
          <w:sz w:val="24"/>
          <w:szCs w:val="24"/>
          <w:lang w:val="en-IE" w:bidi="hi-IN"/>
        </w:rPr>
        <w:t xml:space="preserve">Although providing materially better privacy protections for consumer data within the system, once data leaves the system consumers face the prospect of losing the enhanced protections that they have been provided. </w:t>
      </w:r>
      <w:r w:rsidR="0041747D" w:rsidRPr="006B7331">
        <w:rPr>
          <w:rFonts w:ascii="Times New Roman" w:eastAsia="Arial Unicode MS" w:hAnsi="Times New Roman" w:cs="Times New Roman"/>
          <w:color w:val="000000" w:themeColor="text1"/>
          <w:sz w:val="24"/>
          <w:szCs w:val="24"/>
          <w:lang w:val="en-IE" w:bidi="hi-IN"/>
        </w:rPr>
        <w:t xml:space="preserve">This is concerning as the absence of </w:t>
      </w:r>
      <w:r w:rsidR="00202C3E" w:rsidRPr="006B7331">
        <w:rPr>
          <w:rFonts w:ascii="Times New Roman" w:eastAsia="Arial Unicode MS" w:hAnsi="Times New Roman" w:cs="Times New Roman"/>
          <w:color w:val="000000" w:themeColor="text1"/>
          <w:sz w:val="24"/>
          <w:szCs w:val="24"/>
          <w:lang w:val="en-IE" w:bidi="hi-IN"/>
        </w:rPr>
        <w:t xml:space="preserve">clear and comprehensive privacy obligations for third party recipients will reduce or eliminate </w:t>
      </w:r>
      <w:r w:rsidR="00570811" w:rsidRPr="006B7331">
        <w:rPr>
          <w:rFonts w:ascii="Times New Roman" w:eastAsia="Arial Unicode MS" w:hAnsi="Times New Roman" w:cs="Times New Roman"/>
          <w:color w:val="000000" w:themeColor="text1"/>
          <w:sz w:val="24"/>
          <w:szCs w:val="24"/>
          <w:lang w:val="en-IE" w:bidi="hi-IN"/>
        </w:rPr>
        <w:t>recipients’</w:t>
      </w:r>
      <w:r w:rsidR="00202C3E" w:rsidRPr="006B7331">
        <w:rPr>
          <w:rFonts w:ascii="Times New Roman" w:eastAsia="Arial Unicode MS" w:hAnsi="Times New Roman" w:cs="Times New Roman"/>
          <w:color w:val="000000" w:themeColor="text1"/>
          <w:sz w:val="24"/>
          <w:szCs w:val="24"/>
          <w:lang w:val="en-IE" w:bidi="hi-IN"/>
        </w:rPr>
        <w:t xml:space="preserve"> incentives to take appropriate measures to protect consumer data. </w:t>
      </w:r>
    </w:p>
    <w:p w14:paraId="5E34FACA" w14:textId="49863146" w:rsidR="00666D6A" w:rsidRDefault="00F801D2" w:rsidP="004B7574">
      <w:pPr>
        <w:spacing w:before="100" w:beforeAutospacing="1" w:after="100" w:afterAutospacing="1"/>
        <w:jc w:val="both"/>
        <w:rPr>
          <w:rFonts w:ascii="Times New Roman" w:hAnsi="Times New Roman" w:cs="Times New Roman"/>
          <w:color w:val="000000" w:themeColor="text1"/>
          <w:sz w:val="24"/>
          <w:szCs w:val="24"/>
        </w:rPr>
      </w:pPr>
      <w:r w:rsidRPr="006B7331">
        <w:rPr>
          <w:rFonts w:ascii="Times New Roman" w:hAnsi="Times New Roman" w:cs="Times New Roman"/>
          <w:color w:val="000000" w:themeColor="text1"/>
          <w:sz w:val="24"/>
          <w:szCs w:val="24"/>
        </w:rPr>
        <w:t xml:space="preserve">In the absence of </w:t>
      </w:r>
      <w:r w:rsidR="00C9640F">
        <w:rPr>
          <w:rFonts w:ascii="Times New Roman" w:hAnsi="Times New Roman" w:cs="Times New Roman"/>
          <w:color w:val="000000" w:themeColor="text1"/>
          <w:sz w:val="24"/>
          <w:szCs w:val="24"/>
        </w:rPr>
        <w:t>the comprehensive application of the Privacy Safeguards</w:t>
      </w:r>
      <w:r w:rsidRPr="006B7331">
        <w:rPr>
          <w:rFonts w:ascii="Times New Roman" w:hAnsi="Times New Roman" w:cs="Times New Roman"/>
          <w:color w:val="000000" w:themeColor="text1"/>
          <w:sz w:val="24"/>
          <w:szCs w:val="24"/>
        </w:rPr>
        <w:t xml:space="preserve">, there are genuine risks that malicious individuals and organisations will target the weakest link in the privacy framework – third </w:t>
      </w:r>
      <w:r w:rsidR="003E468E" w:rsidRPr="006B7331">
        <w:rPr>
          <w:rFonts w:ascii="Times New Roman" w:hAnsi="Times New Roman" w:cs="Times New Roman"/>
          <w:color w:val="000000" w:themeColor="text1"/>
          <w:sz w:val="24"/>
          <w:szCs w:val="24"/>
        </w:rPr>
        <w:t>parties covered by the Australian Privacy Principle</w:t>
      </w:r>
      <w:r w:rsidRPr="006B7331">
        <w:rPr>
          <w:rFonts w:ascii="Times New Roman" w:hAnsi="Times New Roman" w:cs="Times New Roman"/>
          <w:color w:val="000000" w:themeColor="text1"/>
          <w:sz w:val="24"/>
          <w:szCs w:val="24"/>
        </w:rPr>
        <w:t xml:space="preserve">s. </w:t>
      </w:r>
      <w:r w:rsidR="00426E28" w:rsidRPr="006B7331">
        <w:rPr>
          <w:rFonts w:ascii="Times New Roman" w:hAnsi="Times New Roman" w:cs="Times New Roman"/>
          <w:color w:val="000000" w:themeColor="text1"/>
          <w:sz w:val="24"/>
          <w:szCs w:val="24"/>
        </w:rPr>
        <w:t xml:space="preserve">For consumers this has the potential to result in material loss as they may transfer significant volumes of their data to otherwise trusted third parties (e.g. accountants or tax agents) and subsequently find that </w:t>
      </w:r>
      <w:r w:rsidR="00A61113" w:rsidRPr="006B7331">
        <w:rPr>
          <w:rFonts w:ascii="Times New Roman" w:hAnsi="Times New Roman" w:cs="Times New Roman"/>
          <w:color w:val="000000" w:themeColor="text1"/>
          <w:sz w:val="24"/>
          <w:szCs w:val="24"/>
        </w:rPr>
        <w:t xml:space="preserve">their data has been stolen, lost or otherwise compromised. </w:t>
      </w:r>
      <w:r w:rsidR="002F3783">
        <w:rPr>
          <w:rFonts w:ascii="Times New Roman" w:hAnsi="Times New Roman" w:cs="Times New Roman"/>
          <w:color w:val="000000" w:themeColor="text1"/>
          <w:sz w:val="24"/>
          <w:szCs w:val="24"/>
        </w:rPr>
        <w:t xml:space="preserve">This risk was identified by </w:t>
      </w:r>
      <w:r w:rsidR="002F3783">
        <w:rPr>
          <w:rFonts w:ascii="Times New Roman" w:hAnsi="Times New Roman" w:cs="Times New Roman"/>
          <w:color w:val="000000" w:themeColor="text1"/>
          <w:sz w:val="24"/>
          <w:szCs w:val="24"/>
        </w:rPr>
        <w:lastRenderedPageBreak/>
        <w:t xml:space="preserve">Treasury as part of its </w:t>
      </w:r>
      <w:r w:rsidR="00666D6A">
        <w:rPr>
          <w:rFonts w:ascii="Times New Roman" w:hAnsi="Times New Roman" w:cs="Times New Roman"/>
          <w:i/>
          <w:color w:val="000000" w:themeColor="text1"/>
          <w:sz w:val="24"/>
          <w:szCs w:val="24"/>
        </w:rPr>
        <w:t>Review into Open Banking</w:t>
      </w:r>
      <w:r w:rsidR="00666D6A">
        <w:rPr>
          <w:rFonts w:ascii="Times New Roman" w:hAnsi="Times New Roman" w:cs="Times New Roman"/>
          <w:color w:val="000000" w:themeColor="text1"/>
          <w:sz w:val="24"/>
          <w:szCs w:val="24"/>
        </w:rPr>
        <w:t xml:space="preserve"> </w:t>
      </w:r>
      <w:r w:rsidR="00666D6A">
        <w:rPr>
          <w:rFonts w:ascii="Times New Roman" w:hAnsi="Times New Roman" w:cs="Times New Roman"/>
          <w:noProof/>
          <w:color w:val="000000" w:themeColor="text1"/>
          <w:sz w:val="24"/>
          <w:szCs w:val="24"/>
        </w:rPr>
        <w:t>(Treasury, 2017, p. 22)</w:t>
      </w:r>
      <w:r w:rsidR="002F3783">
        <w:rPr>
          <w:rFonts w:ascii="Times New Roman" w:hAnsi="Times New Roman" w:cs="Times New Roman"/>
          <w:color w:val="000000" w:themeColor="text1"/>
          <w:sz w:val="24"/>
          <w:szCs w:val="24"/>
        </w:rPr>
        <w:t>, and continues to be a</w:t>
      </w:r>
      <w:r w:rsidR="007A4421">
        <w:rPr>
          <w:rFonts w:ascii="Times New Roman" w:hAnsi="Times New Roman" w:cs="Times New Roman"/>
          <w:color w:val="000000" w:themeColor="text1"/>
          <w:sz w:val="24"/>
          <w:szCs w:val="24"/>
        </w:rPr>
        <w:t xml:space="preserve"> weakness</w:t>
      </w:r>
      <w:r w:rsidR="002F3783">
        <w:rPr>
          <w:rFonts w:ascii="Times New Roman" w:hAnsi="Times New Roman" w:cs="Times New Roman"/>
          <w:color w:val="000000" w:themeColor="text1"/>
          <w:sz w:val="24"/>
          <w:szCs w:val="24"/>
        </w:rPr>
        <w:t xml:space="preserve"> </w:t>
      </w:r>
      <w:r w:rsidR="007A4421">
        <w:rPr>
          <w:rFonts w:ascii="Times New Roman" w:hAnsi="Times New Roman" w:cs="Times New Roman"/>
          <w:color w:val="000000" w:themeColor="text1"/>
          <w:sz w:val="24"/>
          <w:szCs w:val="24"/>
        </w:rPr>
        <w:t>in</w:t>
      </w:r>
      <w:r w:rsidR="002F3783">
        <w:rPr>
          <w:rFonts w:ascii="Times New Roman" w:hAnsi="Times New Roman" w:cs="Times New Roman"/>
          <w:color w:val="000000" w:themeColor="text1"/>
          <w:sz w:val="24"/>
          <w:szCs w:val="24"/>
        </w:rPr>
        <w:t xml:space="preserve"> the legislation. </w:t>
      </w:r>
    </w:p>
    <w:p w14:paraId="460919D6" w14:textId="77777777" w:rsidR="00666D6A" w:rsidRDefault="00820A44" w:rsidP="004B7574">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Although the draft legislation does empower the ACCC to </w:t>
      </w:r>
      <w:r w:rsidR="00DF0D22">
        <w:rPr>
          <w:rFonts w:ascii="Times New Roman" w:hAnsi="Times New Roman" w:cs="Times New Roman"/>
          <w:color w:val="000000" w:themeColor="text1"/>
          <w:sz w:val="24"/>
          <w:szCs w:val="24"/>
        </w:rPr>
        <w:t>create rules to impose additional privacy obligations on third party recipients of consumer data, it has not committed to doing so at this point.</w:t>
      </w:r>
      <w:r w:rsidR="004E424B">
        <w:rPr>
          <w:rFonts w:ascii="Times New Roman" w:hAnsi="Times New Roman" w:cs="Times New Roman"/>
          <w:color w:val="000000" w:themeColor="text1"/>
          <w:sz w:val="24"/>
          <w:szCs w:val="24"/>
        </w:rPr>
        <w:t xml:space="preserve"> </w:t>
      </w:r>
      <w:r w:rsidR="002F0366">
        <w:rPr>
          <w:rFonts w:ascii="Times New Roman" w:hAnsi="Times New Roman" w:cs="Times New Roman"/>
          <w:color w:val="000000" w:themeColor="text1"/>
          <w:sz w:val="24"/>
          <w:szCs w:val="24"/>
        </w:rPr>
        <w:t xml:space="preserve">As the initial rules framework has focused on accredited entities commencing with the four major banks </w:t>
      </w:r>
      <w:r w:rsidR="00682598">
        <w:rPr>
          <w:rFonts w:ascii="Times New Roman" w:hAnsi="Times New Roman" w:cs="Times New Roman"/>
          <w:color w:val="000000" w:themeColor="text1"/>
          <w:sz w:val="24"/>
          <w:szCs w:val="24"/>
        </w:rPr>
        <w:t xml:space="preserve">there is little guidance as to how non-accredited third parties may interact with the system or receive consumer data. </w:t>
      </w:r>
    </w:p>
    <w:p w14:paraId="4A88208A" w14:textId="63553DD9" w:rsidR="002C729D" w:rsidRPr="008A6A71" w:rsidRDefault="002C729D" w:rsidP="004B7574">
      <w:pPr>
        <w:spacing w:before="100" w:beforeAutospacing="1" w:after="100" w:afterAutospacing="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 ban on re-identification of individuals is an essential privacy measure</w:t>
      </w:r>
    </w:p>
    <w:p w14:paraId="159CFA6F" w14:textId="553E4DDE" w:rsidR="002C729D" w:rsidRDefault="00F8306F" w:rsidP="004B7574">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data to be transferred under the CDR is an exceptionally rich source of information, and would allow for individuals to be identified based on their patterns of expenditure, personal inform</w:t>
      </w:r>
      <w:r w:rsidR="004E0BFF">
        <w:rPr>
          <w:rFonts w:ascii="Times New Roman" w:hAnsi="Times New Roman" w:cs="Times New Roman"/>
          <w:color w:val="000000" w:themeColor="text1"/>
          <w:sz w:val="24"/>
          <w:szCs w:val="24"/>
        </w:rPr>
        <w:t>ation, services that they use and</w:t>
      </w:r>
      <w:r>
        <w:rPr>
          <w:rFonts w:ascii="Times New Roman" w:hAnsi="Times New Roman" w:cs="Times New Roman"/>
          <w:color w:val="000000" w:themeColor="text1"/>
          <w:sz w:val="24"/>
          <w:szCs w:val="24"/>
        </w:rPr>
        <w:t xml:space="preserve"> </w:t>
      </w:r>
      <w:r w:rsidR="001C513C">
        <w:rPr>
          <w:rFonts w:ascii="Times New Roman" w:hAnsi="Times New Roman" w:cs="Times New Roman"/>
          <w:color w:val="000000" w:themeColor="text1"/>
          <w:sz w:val="24"/>
          <w:szCs w:val="24"/>
        </w:rPr>
        <w:t>geographic data.</w:t>
      </w:r>
      <w:r w:rsidR="002C729D">
        <w:rPr>
          <w:rFonts w:ascii="Times New Roman" w:hAnsi="Times New Roman" w:cs="Times New Roman"/>
          <w:color w:val="000000" w:themeColor="text1"/>
          <w:sz w:val="24"/>
          <w:szCs w:val="24"/>
        </w:rPr>
        <w:t xml:space="preserve"> This data may be used to identify behavioural patterns or identify where and when a consumer is likely to be based on transactional or geographic data, enabling malicious parties to target vulnerable individuals. Accordingly ACCAN supports a ban on the use of CDR data for re-identification of consumers and would support exemplary penalties being imposed to dissuade the use of CDR data for this purpose. </w:t>
      </w:r>
    </w:p>
    <w:p w14:paraId="71DEC76D" w14:textId="2A0D0139" w:rsidR="008A6A71" w:rsidRDefault="008A6A71" w:rsidP="004B7574">
      <w:pPr>
        <w:spacing w:before="100" w:beforeAutospacing="1"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imposition of civil and criminal penalties for attempting to or successfully re-identifying individuals is an important measure to protect individuals from loss of privacy and potential harm. ACCAN supports an explicit ban on the use of CDR data to re-identify individuals, and considers that there are significant risks to individual privacy and welfare should the legislation fail to ban such conduct. </w:t>
      </w:r>
    </w:p>
    <w:p w14:paraId="0A8137E1" w14:textId="424021A8" w:rsidR="004E424B" w:rsidRPr="00E24D02" w:rsidRDefault="00E24D02" w:rsidP="004B7574">
      <w:pPr>
        <w:spacing w:before="100" w:beforeAutospacing="1" w:after="100" w:afterAutospacing="1"/>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Privacy breaches are </w:t>
      </w:r>
      <w:r w:rsidR="001C1E3A">
        <w:rPr>
          <w:rFonts w:ascii="Times New Roman" w:hAnsi="Times New Roman" w:cs="Times New Roman"/>
          <w:i/>
          <w:color w:val="000000" w:themeColor="text1"/>
          <w:sz w:val="24"/>
          <w:szCs w:val="24"/>
        </w:rPr>
        <w:t>a risk to the CDR framework</w:t>
      </w:r>
    </w:p>
    <w:p w14:paraId="3BE5271D" w14:textId="7CF7241A" w:rsidR="008E181F" w:rsidRDefault="0083057D" w:rsidP="004B7574">
      <w:pPr>
        <w:spacing w:before="100" w:beforeAutospacing="1" w:after="100" w:afterAutospacing="1"/>
        <w:jc w:val="both"/>
        <w:rPr>
          <w:rFonts w:ascii="Times New Roman" w:hAnsi="Times New Roman" w:cs="Times New Roman"/>
          <w:color w:val="000000" w:themeColor="text1"/>
          <w:sz w:val="24"/>
          <w:szCs w:val="24"/>
        </w:rPr>
      </w:pPr>
      <w:r w:rsidRPr="00175DAB">
        <w:rPr>
          <w:rFonts w:ascii="Times New Roman" w:hAnsi="Times New Roman" w:cs="Times New Roman"/>
          <w:color w:val="000000" w:themeColor="text1"/>
          <w:sz w:val="24"/>
          <w:szCs w:val="24"/>
        </w:rPr>
        <w:t>P</w:t>
      </w:r>
      <w:r w:rsidR="00130904">
        <w:rPr>
          <w:rFonts w:ascii="Times New Roman" w:hAnsi="Times New Roman" w:cs="Times New Roman"/>
          <w:color w:val="000000" w:themeColor="text1"/>
          <w:sz w:val="24"/>
          <w:szCs w:val="24"/>
        </w:rPr>
        <w:t xml:space="preserve">rivacy is an essential human right, and how consumers’ data is managed, protected and used shapes how they interact with service </w:t>
      </w:r>
      <w:r w:rsidR="00130904" w:rsidRPr="00130904">
        <w:rPr>
          <w:rFonts w:ascii="Times New Roman" w:hAnsi="Times New Roman" w:cs="Times New Roman"/>
          <w:color w:val="000000" w:themeColor="text1"/>
          <w:sz w:val="24"/>
          <w:szCs w:val="24"/>
        </w:rPr>
        <w:t xml:space="preserve">providers and the digital world. </w:t>
      </w:r>
      <w:r w:rsidR="00FA1B99" w:rsidRPr="00935B8C">
        <w:rPr>
          <w:rFonts w:ascii="Times New Roman" w:hAnsi="Times New Roman" w:cs="Times New Roman"/>
          <w:color w:val="000000" w:themeColor="text1"/>
          <w:sz w:val="24"/>
          <w:szCs w:val="24"/>
        </w:rPr>
        <w:t xml:space="preserve">A breach of privacy is a significant issue for consumers, and when breaches occur consumers face material detriment, through loss at a personal and economic level </w:t>
      </w:r>
      <w:r w:rsidR="00FA1B99" w:rsidRPr="00935B8C">
        <w:rPr>
          <w:rFonts w:ascii="Times New Roman" w:hAnsi="Times New Roman" w:cs="Times New Roman"/>
          <w:noProof/>
          <w:color w:val="000000" w:themeColor="text1"/>
          <w:sz w:val="24"/>
          <w:szCs w:val="24"/>
        </w:rPr>
        <w:t>(Acquisti et al., 2013)</w:t>
      </w:r>
      <w:r w:rsidR="00FA1B99" w:rsidRPr="00935B8C">
        <w:rPr>
          <w:rFonts w:ascii="Times New Roman" w:hAnsi="Times New Roman" w:cs="Times New Roman"/>
          <w:color w:val="000000" w:themeColor="text1"/>
          <w:sz w:val="24"/>
          <w:szCs w:val="24"/>
        </w:rPr>
        <w:t xml:space="preserve">. </w:t>
      </w:r>
      <w:r w:rsidR="00130904" w:rsidRPr="00130904">
        <w:rPr>
          <w:rFonts w:ascii="Times New Roman" w:hAnsi="Times New Roman" w:cs="Times New Roman"/>
          <w:color w:val="000000" w:themeColor="text1"/>
          <w:sz w:val="24"/>
          <w:szCs w:val="24"/>
        </w:rPr>
        <w:t xml:space="preserve">A loss of privacy also diminishes consumer confidence and trust in service </w:t>
      </w:r>
      <w:r w:rsidR="00CF1C96" w:rsidRPr="00130904">
        <w:rPr>
          <w:rFonts w:ascii="Times New Roman" w:hAnsi="Times New Roman" w:cs="Times New Roman"/>
          <w:color w:val="000000" w:themeColor="text1"/>
          <w:sz w:val="24"/>
          <w:szCs w:val="24"/>
        </w:rPr>
        <w:t>providers and</w:t>
      </w:r>
      <w:r w:rsidR="00130904" w:rsidRPr="00130904">
        <w:rPr>
          <w:rFonts w:ascii="Times New Roman" w:hAnsi="Times New Roman" w:cs="Times New Roman"/>
          <w:color w:val="000000" w:themeColor="text1"/>
          <w:sz w:val="24"/>
          <w:szCs w:val="24"/>
        </w:rPr>
        <w:t xml:space="preserve"> is a material barrier to digital engagement </w:t>
      </w:r>
      <w:r w:rsidR="00130904" w:rsidRPr="00130904">
        <w:rPr>
          <w:rFonts w:ascii="Times New Roman" w:hAnsi="Times New Roman" w:cs="Times New Roman"/>
          <w:noProof/>
          <w:color w:val="000000" w:themeColor="text1"/>
          <w:sz w:val="24"/>
          <w:szCs w:val="24"/>
        </w:rPr>
        <w:t>(OECD 2018, p. 45)</w:t>
      </w:r>
      <w:r w:rsidR="00130904" w:rsidRPr="00130904">
        <w:rPr>
          <w:rFonts w:ascii="Times New Roman" w:hAnsi="Times New Roman" w:cs="Times New Roman"/>
          <w:color w:val="000000" w:themeColor="text1"/>
          <w:sz w:val="24"/>
          <w:szCs w:val="24"/>
        </w:rPr>
        <w:t>.</w:t>
      </w:r>
    </w:p>
    <w:p w14:paraId="277A38BA" w14:textId="7FE9801F" w:rsidR="00012F6A" w:rsidRDefault="00935B8C" w:rsidP="004B7574">
      <w:pPr>
        <w:spacing w:before="100" w:beforeAutospacing="1" w:after="100" w:afterAutospacing="1"/>
        <w:jc w:val="both"/>
        <w:rPr>
          <w:rFonts w:ascii="Times New Roman" w:hAnsi="Times New Roman" w:cs="Times New Roman"/>
          <w:color w:val="000000" w:themeColor="text1"/>
          <w:sz w:val="24"/>
          <w:szCs w:val="24"/>
        </w:rPr>
      </w:pPr>
      <w:r w:rsidRPr="004368B0">
        <w:rPr>
          <w:rFonts w:ascii="Times New Roman" w:hAnsi="Times New Roman" w:cs="Times New Roman"/>
          <w:color w:val="000000" w:themeColor="text1"/>
          <w:sz w:val="24"/>
          <w:szCs w:val="24"/>
        </w:rPr>
        <w:t xml:space="preserve">The development of comprehensive privacy obligations is essential as the CDR is rolled out across industry sectors and third parties are allowed to access and receive consumer data. In the absence of comprehensive privacy protections, the prospect of data theft or loss is </w:t>
      </w:r>
      <w:r w:rsidR="008E181F" w:rsidRPr="004368B0">
        <w:rPr>
          <w:rFonts w:ascii="Times New Roman" w:hAnsi="Times New Roman" w:cs="Times New Roman"/>
          <w:color w:val="000000" w:themeColor="text1"/>
          <w:sz w:val="24"/>
          <w:szCs w:val="24"/>
        </w:rPr>
        <w:t>material,</w:t>
      </w:r>
      <w:r>
        <w:rPr>
          <w:rFonts w:ascii="Times New Roman" w:hAnsi="Times New Roman" w:cs="Times New Roman"/>
          <w:color w:val="000000" w:themeColor="text1"/>
          <w:sz w:val="24"/>
          <w:szCs w:val="24"/>
        </w:rPr>
        <w:t xml:space="preserve"> and should such events occur confidence in the CDR scheme may be lost and</w:t>
      </w:r>
      <w:r w:rsidR="00012F6A">
        <w:rPr>
          <w:rFonts w:ascii="Times New Roman" w:hAnsi="Times New Roman" w:cs="Times New Roman"/>
          <w:color w:val="000000" w:themeColor="text1"/>
          <w:sz w:val="24"/>
          <w:szCs w:val="24"/>
        </w:rPr>
        <w:t xml:space="preserve"> the benefits of reform forgone. </w:t>
      </w:r>
    </w:p>
    <w:p w14:paraId="67DE6755" w14:textId="77777777" w:rsidR="008A6A71" w:rsidRDefault="008A6A71" w:rsidP="004B7574">
      <w:pPr>
        <w:spacing w:before="100" w:beforeAutospacing="1" w:after="100" w:afterAutospacing="1"/>
        <w:jc w:val="both"/>
        <w:rPr>
          <w:rFonts w:ascii="Times New Roman" w:hAnsi="Times New Roman" w:cs="Times New Roman"/>
          <w:i/>
          <w:color w:val="000000" w:themeColor="text1"/>
          <w:sz w:val="24"/>
          <w:szCs w:val="24"/>
        </w:rPr>
      </w:pPr>
    </w:p>
    <w:p w14:paraId="2FB7CF04" w14:textId="77777777" w:rsidR="00B679D1" w:rsidRDefault="00B679D1" w:rsidP="004B7574">
      <w:pPr>
        <w:spacing w:before="100" w:beforeAutospacing="1" w:after="100" w:afterAutospacing="1"/>
        <w:jc w:val="both"/>
        <w:rPr>
          <w:rFonts w:ascii="Times New Roman" w:hAnsi="Times New Roman" w:cs="Times New Roman"/>
          <w:i/>
          <w:color w:val="000000" w:themeColor="text1"/>
          <w:sz w:val="24"/>
          <w:szCs w:val="24"/>
        </w:rPr>
      </w:pPr>
    </w:p>
    <w:p w14:paraId="78C5B9C3" w14:textId="3E775F17" w:rsidR="006B7890" w:rsidRPr="006B7331" w:rsidRDefault="006B7890" w:rsidP="004B7574">
      <w:pPr>
        <w:spacing w:before="100" w:beforeAutospacing="1" w:after="100" w:afterAutospacing="1"/>
        <w:jc w:val="both"/>
        <w:rPr>
          <w:rFonts w:ascii="Times New Roman" w:hAnsi="Times New Roman" w:cs="Times New Roman"/>
          <w:i/>
          <w:color w:val="000000" w:themeColor="text1"/>
          <w:sz w:val="24"/>
          <w:szCs w:val="24"/>
        </w:rPr>
      </w:pPr>
      <w:r w:rsidRPr="006B7331">
        <w:rPr>
          <w:rFonts w:ascii="Times New Roman" w:hAnsi="Times New Roman" w:cs="Times New Roman"/>
          <w:i/>
          <w:color w:val="000000" w:themeColor="text1"/>
          <w:sz w:val="24"/>
          <w:szCs w:val="24"/>
        </w:rPr>
        <w:lastRenderedPageBreak/>
        <w:t xml:space="preserve">Consent </w:t>
      </w:r>
    </w:p>
    <w:p w14:paraId="244DFEED" w14:textId="23317587" w:rsidR="002C729D" w:rsidRDefault="0004313B" w:rsidP="004B7574">
      <w:pPr>
        <w:spacing w:before="100" w:beforeAutospacing="1" w:after="100" w:afterAutospacing="1"/>
        <w:jc w:val="both"/>
        <w:rPr>
          <w:rFonts w:ascii="Times New Roman" w:hAnsi="Times New Roman" w:cs="Times New Roman"/>
          <w:color w:val="000000" w:themeColor="text1"/>
          <w:sz w:val="24"/>
          <w:szCs w:val="24"/>
        </w:rPr>
      </w:pPr>
      <w:r w:rsidRPr="006B7331">
        <w:rPr>
          <w:rFonts w:ascii="Times New Roman" w:hAnsi="Times New Roman" w:cs="Times New Roman"/>
          <w:color w:val="000000" w:themeColor="text1"/>
          <w:sz w:val="24"/>
          <w:szCs w:val="24"/>
        </w:rPr>
        <w:t xml:space="preserve">In our initial submission ACCAN articulated concerns that the bill did not set out material obligations for system participants to genuinely engage with consumers when seeking their consent to collect or transfer their data. </w:t>
      </w:r>
      <w:r w:rsidR="003E17D5" w:rsidRPr="006B7331">
        <w:rPr>
          <w:rFonts w:ascii="Times New Roman" w:hAnsi="Times New Roman" w:cs="Times New Roman"/>
          <w:color w:val="000000" w:themeColor="text1"/>
          <w:sz w:val="24"/>
          <w:szCs w:val="24"/>
        </w:rPr>
        <w:t xml:space="preserve">Following the release of the </w:t>
      </w:r>
      <w:r w:rsidR="003E17D5" w:rsidRPr="006B7331">
        <w:rPr>
          <w:rFonts w:ascii="Times New Roman" w:hAnsi="Times New Roman" w:cs="Times New Roman"/>
          <w:i/>
          <w:color w:val="000000" w:themeColor="text1"/>
          <w:sz w:val="24"/>
          <w:szCs w:val="24"/>
        </w:rPr>
        <w:t xml:space="preserve">Consumer Data Right Rules Framework </w:t>
      </w:r>
      <w:r w:rsidR="003E17D5" w:rsidRPr="006B7331">
        <w:rPr>
          <w:rFonts w:ascii="Times New Roman" w:hAnsi="Times New Roman" w:cs="Times New Roman"/>
          <w:color w:val="000000" w:themeColor="text1"/>
          <w:sz w:val="24"/>
          <w:szCs w:val="24"/>
        </w:rPr>
        <w:t>ACCAN is pleased to see that many of the substantive principles raised concerning consent will be reflected in the forthcoming draft rules</w:t>
      </w:r>
      <w:r w:rsidR="002C729D">
        <w:rPr>
          <w:rFonts w:ascii="Times New Roman" w:hAnsi="Times New Roman" w:cs="Times New Roman"/>
          <w:color w:val="000000" w:themeColor="text1"/>
          <w:sz w:val="24"/>
          <w:szCs w:val="24"/>
        </w:rPr>
        <w:t>.</w:t>
      </w:r>
    </w:p>
    <w:p w14:paraId="343C752B" w14:textId="77777777" w:rsidR="00C32DD1" w:rsidRPr="006B7331" w:rsidRDefault="006620D9" w:rsidP="004B7574">
      <w:pPr>
        <w:pStyle w:val="BodyText1"/>
        <w:rPr>
          <w:rFonts w:ascii="Times New Roman" w:hAnsi="Times New Roman" w:cs="Times New Roman"/>
          <w:color w:val="auto"/>
          <w:sz w:val="24"/>
          <w:szCs w:val="24"/>
        </w:rPr>
      </w:pPr>
      <w:r w:rsidRPr="006B7331">
        <w:rPr>
          <w:rFonts w:ascii="Times New Roman" w:hAnsi="Times New Roman" w:cs="Times New Roman"/>
          <w:i/>
          <w:color w:val="auto"/>
          <w:sz w:val="24"/>
          <w:szCs w:val="24"/>
        </w:rPr>
        <w:t>Further redrafting should be undertaken</w:t>
      </w:r>
    </w:p>
    <w:p w14:paraId="13EA7749" w14:textId="70A1FB63" w:rsidR="005E4B33" w:rsidRPr="006B7331" w:rsidRDefault="00EB49C6" w:rsidP="004B7574">
      <w:pPr>
        <w:pStyle w:val="BodyText1"/>
        <w:jc w:val="both"/>
        <w:rPr>
          <w:rFonts w:ascii="Times New Roman" w:hAnsi="Times New Roman" w:cs="Times New Roman"/>
          <w:color w:val="auto"/>
          <w:sz w:val="24"/>
          <w:szCs w:val="24"/>
        </w:rPr>
      </w:pPr>
      <w:r w:rsidRPr="006B7331">
        <w:rPr>
          <w:rFonts w:ascii="Times New Roman" w:hAnsi="Times New Roman" w:cs="Times New Roman"/>
          <w:color w:val="auto"/>
          <w:sz w:val="24"/>
          <w:szCs w:val="24"/>
        </w:rPr>
        <w:t xml:space="preserve">ACCAN commends the Treasury for redrafting several provisions of the </w:t>
      </w:r>
      <w:r w:rsidR="00122F01" w:rsidRPr="006B7331">
        <w:rPr>
          <w:rFonts w:ascii="Times New Roman" w:hAnsi="Times New Roman" w:cs="Times New Roman"/>
          <w:color w:val="auto"/>
          <w:sz w:val="24"/>
          <w:szCs w:val="24"/>
        </w:rPr>
        <w:t>draft legislation to address technical drafting problems that emerged in the course of consultation</w:t>
      </w:r>
      <w:r w:rsidR="00E23412" w:rsidRPr="006B7331">
        <w:rPr>
          <w:rFonts w:ascii="Times New Roman" w:hAnsi="Times New Roman" w:cs="Times New Roman"/>
          <w:color w:val="auto"/>
          <w:sz w:val="24"/>
          <w:szCs w:val="24"/>
        </w:rPr>
        <w:t>, including those outlined in our earlier submission.</w:t>
      </w:r>
      <w:r w:rsidR="00B7277D" w:rsidRPr="006B7331">
        <w:rPr>
          <w:rStyle w:val="FootnoteReference"/>
          <w:rFonts w:ascii="Times New Roman" w:hAnsi="Times New Roman" w:cs="Times New Roman"/>
          <w:color w:val="auto"/>
          <w:sz w:val="24"/>
          <w:szCs w:val="24"/>
        </w:rPr>
        <w:footnoteReference w:id="3"/>
      </w:r>
      <w:r w:rsidR="00E23412" w:rsidRPr="006B7331">
        <w:rPr>
          <w:rFonts w:ascii="Times New Roman" w:hAnsi="Times New Roman" w:cs="Times New Roman"/>
          <w:color w:val="auto"/>
          <w:sz w:val="24"/>
          <w:szCs w:val="24"/>
        </w:rPr>
        <w:t xml:space="preserve"> </w:t>
      </w:r>
      <w:r w:rsidR="00B7277D" w:rsidRPr="006B7331">
        <w:rPr>
          <w:rFonts w:ascii="Times New Roman" w:hAnsi="Times New Roman" w:cs="Times New Roman"/>
          <w:color w:val="auto"/>
          <w:sz w:val="24"/>
          <w:szCs w:val="24"/>
        </w:rPr>
        <w:t>However,</w:t>
      </w:r>
      <w:r w:rsidR="00C64C1A" w:rsidRPr="006B7331">
        <w:rPr>
          <w:rFonts w:ascii="Times New Roman" w:hAnsi="Times New Roman" w:cs="Times New Roman"/>
          <w:color w:val="auto"/>
          <w:sz w:val="24"/>
          <w:szCs w:val="24"/>
        </w:rPr>
        <w:t xml:space="preserve"> on </w:t>
      </w:r>
      <w:r w:rsidR="00115574" w:rsidRPr="006B7331">
        <w:rPr>
          <w:rFonts w:ascii="Times New Roman" w:hAnsi="Times New Roman" w:cs="Times New Roman"/>
          <w:color w:val="auto"/>
          <w:sz w:val="24"/>
          <w:szCs w:val="24"/>
        </w:rPr>
        <w:t xml:space="preserve">broader </w:t>
      </w:r>
      <w:r w:rsidR="00475C24" w:rsidRPr="006B7331">
        <w:rPr>
          <w:rFonts w:ascii="Times New Roman" w:hAnsi="Times New Roman" w:cs="Times New Roman"/>
          <w:color w:val="auto"/>
          <w:sz w:val="24"/>
          <w:szCs w:val="24"/>
        </w:rPr>
        <w:t>amendments</w:t>
      </w:r>
      <w:r w:rsidR="00115574" w:rsidRPr="006B7331">
        <w:rPr>
          <w:rFonts w:ascii="Times New Roman" w:hAnsi="Times New Roman" w:cs="Times New Roman"/>
          <w:color w:val="auto"/>
          <w:sz w:val="24"/>
          <w:szCs w:val="24"/>
        </w:rPr>
        <w:t xml:space="preserve"> to the bill to address material policy issues, </w:t>
      </w:r>
      <w:r w:rsidR="005D2995" w:rsidRPr="006B7331">
        <w:rPr>
          <w:rFonts w:ascii="Times New Roman" w:hAnsi="Times New Roman" w:cs="Times New Roman"/>
          <w:color w:val="auto"/>
          <w:sz w:val="24"/>
          <w:szCs w:val="24"/>
        </w:rPr>
        <w:t>we note</w:t>
      </w:r>
      <w:r w:rsidR="00475C24" w:rsidRPr="006B7331">
        <w:rPr>
          <w:rFonts w:ascii="Times New Roman" w:hAnsi="Times New Roman" w:cs="Times New Roman"/>
          <w:color w:val="auto"/>
          <w:sz w:val="24"/>
          <w:szCs w:val="24"/>
        </w:rPr>
        <w:t xml:space="preserve"> that there has been less revision.</w:t>
      </w:r>
      <w:r w:rsidR="00E71A00" w:rsidRPr="006B7331">
        <w:rPr>
          <w:rFonts w:ascii="Times New Roman" w:hAnsi="Times New Roman" w:cs="Times New Roman"/>
          <w:color w:val="auto"/>
          <w:sz w:val="24"/>
          <w:szCs w:val="24"/>
        </w:rPr>
        <w:t xml:space="preserve"> </w:t>
      </w:r>
    </w:p>
    <w:p w14:paraId="6AB29134" w14:textId="668EB989" w:rsidR="002F5CBD" w:rsidRPr="0069583B" w:rsidRDefault="003F1D4A" w:rsidP="004B7574">
      <w:pPr>
        <w:pStyle w:val="BodyText1"/>
        <w:jc w:val="both"/>
        <w:rPr>
          <w:rFonts w:ascii="Times New Roman" w:hAnsi="Times New Roman" w:cs="Times New Roman"/>
          <w:color w:val="auto"/>
          <w:sz w:val="24"/>
          <w:szCs w:val="24"/>
        </w:rPr>
      </w:pPr>
      <w:r w:rsidRPr="006B7331">
        <w:rPr>
          <w:rFonts w:ascii="Times New Roman" w:hAnsi="Times New Roman" w:cs="Times New Roman"/>
          <w:color w:val="auto"/>
          <w:sz w:val="24"/>
          <w:szCs w:val="24"/>
        </w:rPr>
        <w:t xml:space="preserve">Further redrafting should be undertaken to address the significant gaps in the </w:t>
      </w:r>
      <w:r w:rsidR="00844D61">
        <w:rPr>
          <w:rFonts w:ascii="Times New Roman" w:hAnsi="Times New Roman" w:cs="Times New Roman"/>
          <w:color w:val="auto"/>
          <w:sz w:val="24"/>
          <w:szCs w:val="24"/>
        </w:rPr>
        <w:t xml:space="preserve">applicability of the </w:t>
      </w:r>
      <w:r w:rsidRPr="006B7331">
        <w:rPr>
          <w:rFonts w:ascii="Times New Roman" w:hAnsi="Times New Roman" w:cs="Times New Roman"/>
          <w:color w:val="auto"/>
          <w:sz w:val="24"/>
          <w:szCs w:val="24"/>
        </w:rPr>
        <w:t>privacy safeguards</w:t>
      </w:r>
      <w:r w:rsidR="00844D61">
        <w:rPr>
          <w:rFonts w:ascii="Times New Roman" w:hAnsi="Times New Roman" w:cs="Times New Roman"/>
          <w:color w:val="auto"/>
          <w:sz w:val="24"/>
          <w:szCs w:val="24"/>
        </w:rPr>
        <w:t xml:space="preserve"> and to ensure that consumers have comprehensive privacy protections. </w:t>
      </w:r>
      <w:r w:rsidR="0067279A">
        <w:rPr>
          <w:rFonts w:ascii="Times New Roman" w:hAnsi="Times New Roman" w:cs="Times New Roman"/>
          <w:color w:val="auto"/>
          <w:sz w:val="24"/>
          <w:szCs w:val="24"/>
        </w:rPr>
        <w:t xml:space="preserve">In the absence of these protections, it is likely that consumers will be adversely affected through theft, loss or misuse of data and that as a consequence confidence and trust in the CDR system will be diminished. This may result in the potentially significant benefits of the CDR being forgone for a prolonged period of time until these </w:t>
      </w:r>
      <w:r w:rsidR="0068798C">
        <w:rPr>
          <w:rFonts w:ascii="Times New Roman" w:hAnsi="Times New Roman" w:cs="Times New Roman"/>
          <w:color w:val="auto"/>
          <w:sz w:val="24"/>
          <w:szCs w:val="24"/>
        </w:rPr>
        <w:t>privacy issues are addressed,</w:t>
      </w:r>
      <w:r w:rsidR="0067279A">
        <w:rPr>
          <w:rFonts w:ascii="Times New Roman" w:hAnsi="Times New Roman" w:cs="Times New Roman"/>
          <w:color w:val="auto"/>
          <w:sz w:val="24"/>
          <w:szCs w:val="24"/>
        </w:rPr>
        <w:t xml:space="preserve"> and confidence </w:t>
      </w:r>
      <w:r w:rsidR="0067279A" w:rsidRPr="0069583B">
        <w:rPr>
          <w:rFonts w:ascii="Times New Roman" w:hAnsi="Times New Roman" w:cs="Times New Roman"/>
          <w:color w:val="auto"/>
          <w:sz w:val="24"/>
          <w:szCs w:val="24"/>
        </w:rPr>
        <w:t>is re-established.</w:t>
      </w:r>
    </w:p>
    <w:p w14:paraId="3DBFDD8D" w14:textId="70057889" w:rsidR="00C32DD1" w:rsidRPr="006B7331" w:rsidRDefault="009C1B3C" w:rsidP="008E181F">
      <w:pPr>
        <w:pStyle w:val="BodyText1"/>
        <w:jc w:val="both"/>
        <w:rPr>
          <w:rFonts w:ascii="Times New Roman" w:hAnsi="Times New Roman" w:cs="Times New Roman"/>
          <w:color w:val="auto"/>
          <w:sz w:val="24"/>
          <w:szCs w:val="24"/>
        </w:rPr>
      </w:pPr>
      <w:r w:rsidRPr="0069583B">
        <w:rPr>
          <w:rFonts w:ascii="Times New Roman" w:hAnsi="Times New Roman" w:cs="Times New Roman"/>
          <w:color w:val="auto"/>
          <w:sz w:val="24"/>
          <w:szCs w:val="24"/>
        </w:rPr>
        <w:t>ACCAN thanks the Treasury for the opportunity to commen</w:t>
      </w:r>
      <w:r w:rsidR="008E181F">
        <w:rPr>
          <w:rFonts w:ascii="Times New Roman" w:hAnsi="Times New Roman" w:cs="Times New Roman"/>
          <w:color w:val="auto"/>
          <w:sz w:val="24"/>
          <w:szCs w:val="24"/>
        </w:rPr>
        <w:t xml:space="preserve">t on the draft exposure bill. </w:t>
      </w:r>
      <w:r w:rsidR="00C0535C" w:rsidRPr="0069583B">
        <w:rPr>
          <w:rFonts w:ascii="Times New Roman" w:hAnsi="Times New Roman" w:cs="Times New Roman"/>
          <w:color w:val="auto"/>
          <w:sz w:val="24"/>
          <w:szCs w:val="24"/>
        </w:rPr>
        <w:t xml:space="preserve">Should you wish to discuss this submission further please do not hesitate to get in contact.  </w:t>
      </w:r>
    </w:p>
    <w:p w14:paraId="71B5BA2C" w14:textId="77777777" w:rsidR="008E181F" w:rsidRDefault="008E181F" w:rsidP="004B7574">
      <w:pPr>
        <w:pStyle w:val="BodyText1"/>
        <w:rPr>
          <w:rFonts w:ascii="Times New Roman" w:hAnsi="Times New Roman" w:cs="Times New Roman"/>
          <w:color w:val="auto"/>
          <w:sz w:val="24"/>
          <w:szCs w:val="24"/>
        </w:rPr>
      </w:pPr>
    </w:p>
    <w:p w14:paraId="057CCB5B" w14:textId="1CEE0154" w:rsidR="00B76517" w:rsidRDefault="004A0E23" w:rsidP="004B7574">
      <w:pPr>
        <w:pStyle w:val="BodyText1"/>
        <w:rPr>
          <w:rFonts w:ascii="Times New Roman" w:hAnsi="Times New Roman" w:cs="Times New Roman"/>
          <w:color w:val="auto"/>
          <w:sz w:val="24"/>
          <w:szCs w:val="24"/>
        </w:rPr>
      </w:pPr>
      <w:r w:rsidRPr="006B7331">
        <w:rPr>
          <w:rFonts w:ascii="Times New Roman" w:hAnsi="Times New Roman" w:cs="Times New Roman"/>
          <w:color w:val="auto"/>
          <w:sz w:val="24"/>
          <w:szCs w:val="24"/>
        </w:rPr>
        <w:t xml:space="preserve">Yours Sincerely, </w:t>
      </w:r>
    </w:p>
    <w:p w14:paraId="5AA6272B" w14:textId="77777777" w:rsidR="008E181F" w:rsidRDefault="008E181F" w:rsidP="004B7574">
      <w:pPr>
        <w:pStyle w:val="BodyText1"/>
        <w:rPr>
          <w:rFonts w:ascii="Times New Roman" w:hAnsi="Times New Roman" w:cs="Times New Roman"/>
          <w:color w:val="auto"/>
          <w:sz w:val="24"/>
          <w:szCs w:val="24"/>
        </w:rPr>
      </w:pPr>
    </w:p>
    <w:p w14:paraId="4A8FF3C1" w14:textId="054F9F7D" w:rsidR="00B76517" w:rsidRPr="006B7331" w:rsidRDefault="004A0E23" w:rsidP="004B7574">
      <w:pPr>
        <w:pStyle w:val="BodyText1"/>
        <w:rPr>
          <w:rFonts w:ascii="Times New Roman" w:hAnsi="Times New Roman" w:cs="Times New Roman"/>
          <w:color w:val="auto"/>
          <w:sz w:val="24"/>
          <w:szCs w:val="24"/>
        </w:rPr>
      </w:pPr>
      <w:r w:rsidRPr="006B7331">
        <w:rPr>
          <w:rFonts w:ascii="Times New Roman" w:hAnsi="Times New Roman" w:cs="Times New Roman"/>
          <w:color w:val="auto"/>
          <w:sz w:val="24"/>
          <w:szCs w:val="24"/>
        </w:rPr>
        <w:t xml:space="preserve">Gareth Downing </w:t>
      </w:r>
    </w:p>
    <w:p w14:paraId="72D7F18E" w14:textId="0DAA1477" w:rsidR="00850674" w:rsidRDefault="004A0E23" w:rsidP="004B7574">
      <w:pPr>
        <w:pStyle w:val="BodyText1"/>
        <w:rPr>
          <w:rFonts w:ascii="Times New Roman" w:hAnsi="Times New Roman" w:cs="Times New Roman"/>
          <w:color w:val="auto"/>
          <w:sz w:val="24"/>
          <w:szCs w:val="24"/>
        </w:rPr>
      </w:pPr>
      <w:r w:rsidRPr="006B7331">
        <w:rPr>
          <w:rFonts w:ascii="Times New Roman" w:hAnsi="Times New Roman" w:cs="Times New Roman"/>
          <w:color w:val="auto"/>
          <w:sz w:val="24"/>
          <w:szCs w:val="24"/>
        </w:rPr>
        <w:t>Senior Policy Analyst</w:t>
      </w:r>
    </w:p>
    <w:p w14:paraId="3B76797C" w14:textId="77777777" w:rsidR="008A6A71" w:rsidRDefault="008A6A71" w:rsidP="004B7574">
      <w:pPr>
        <w:pStyle w:val="BodyText1"/>
        <w:rPr>
          <w:rFonts w:ascii="Times New Roman" w:hAnsi="Times New Roman" w:cs="Times New Roman"/>
          <w:color w:val="auto"/>
          <w:sz w:val="24"/>
          <w:szCs w:val="24"/>
        </w:rPr>
      </w:pPr>
    </w:p>
    <w:p w14:paraId="4B1F61CA" w14:textId="77777777" w:rsidR="008A6A71" w:rsidRDefault="008A6A71" w:rsidP="004B7574">
      <w:pPr>
        <w:pStyle w:val="BodyText1"/>
        <w:rPr>
          <w:rFonts w:ascii="Times New Roman" w:hAnsi="Times New Roman" w:cs="Times New Roman"/>
          <w:color w:val="auto"/>
          <w:sz w:val="24"/>
          <w:szCs w:val="24"/>
        </w:rPr>
      </w:pPr>
    </w:p>
    <w:p w14:paraId="0DF750C3" w14:textId="77777777" w:rsidR="008A6A71" w:rsidRDefault="008A6A71" w:rsidP="004B7574">
      <w:pPr>
        <w:pStyle w:val="BodyText1"/>
        <w:rPr>
          <w:rFonts w:ascii="Times New Roman" w:hAnsi="Times New Roman" w:cs="Times New Roman"/>
          <w:color w:val="auto"/>
          <w:sz w:val="24"/>
          <w:szCs w:val="24"/>
        </w:rPr>
      </w:pPr>
    </w:p>
    <w:p w14:paraId="63E1FC2A" w14:textId="77777777" w:rsidR="008A6A71" w:rsidRDefault="008A6A71" w:rsidP="004B7574">
      <w:pPr>
        <w:pStyle w:val="BodyText1"/>
        <w:rPr>
          <w:rFonts w:ascii="Times New Roman" w:hAnsi="Times New Roman" w:cs="Times New Roman"/>
          <w:color w:val="auto"/>
          <w:sz w:val="24"/>
          <w:szCs w:val="24"/>
        </w:rPr>
      </w:pPr>
    </w:p>
    <w:p w14:paraId="6F93C15B" w14:textId="77777777" w:rsidR="008A6A71" w:rsidRDefault="008A6A71" w:rsidP="004B7574">
      <w:pPr>
        <w:pStyle w:val="BodyText1"/>
        <w:rPr>
          <w:rFonts w:ascii="Times New Roman" w:hAnsi="Times New Roman" w:cs="Times New Roman"/>
          <w:color w:val="auto"/>
          <w:sz w:val="24"/>
          <w:szCs w:val="24"/>
        </w:rPr>
      </w:pPr>
    </w:p>
    <w:p w14:paraId="5A585C92" w14:textId="77777777" w:rsidR="008A6A71" w:rsidRPr="006B7331" w:rsidRDefault="008A6A71" w:rsidP="004B7574">
      <w:pPr>
        <w:pStyle w:val="BodyText1"/>
        <w:rPr>
          <w:rFonts w:ascii="Times New Roman" w:hAnsi="Times New Roman" w:cs="Times New Roman"/>
          <w:color w:val="auto"/>
          <w:sz w:val="24"/>
          <w:szCs w:val="24"/>
        </w:rPr>
      </w:pPr>
    </w:p>
    <w:p w14:paraId="3900F9F2" w14:textId="4A35CC48" w:rsidR="00493FBB" w:rsidRPr="006B7331" w:rsidRDefault="00493FBB" w:rsidP="004B7574">
      <w:pPr>
        <w:pStyle w:val="BodyText1"/>
        <w:rPr>
          <w:rFonts w:ascii="Times New Roman" w:hAnsi="Times New Roman" w:cs="Times New Roman"/>
          <w:b/>
          <w:color w:val="auto"/>
          <w:sz w:val="24"/>
          <w:szCs w:val="24"/>
        </w:rPr>
      </w:pPr>
      <w:r w:rsidRPr="006B7331">
        <w:rPr>
          <w:rFonts w:ascii="Times New Roman" w:hAnsi="Times New Roman" w:cs="Times New Roman"/>
          <w:b/>
          <w:color w:val="auto"/>
          <w:sz w:val="24"/>
          <w:szCs w:val="24"/>
        </w:rPr>
        <w:lastRenderedPageBreak/>
        <w:t xml:space="preserve">Reference List </w:t>
      </w:r>
    </w:p>
    <w:p w14:paraId="3D73B154" w14:textId="794D2DAF" w:rsidR="00184029" w:rsidRDefault="00184029" w:rsidP="007F64AF">
      <w:pPr>
        <w:pStyle w:val="Bibliography"/>
        <w:spacing w:line="276" w:lineRule="auto"/>
        <w:jc w:val="both"/>
        <w:rPr>
          <w:rFonts w:ascii="Times New Roman" w:hAnsi="Times New Roman" w:cs="Times New Roman"/>
          <w:sz w:val="24"/>
          <w:lang w:val="en-US"/>
        </w:rPr>
      </w:pPr>
      <w:r>
        <w:rPr>
          <w:rFonts w:ascii="Times New Roman" w:hAnsi="Times New Roman" w:cs="Times New Roman"/>
          <w:sz w:val="24"/>
          <w:lang w:val="en-US"/>
        </w:rPr>
        <w:t>ACCAN (Australian Communications Consumer Action Network), 2018,</w:t>
      </w:r>
      <w:r w:rsidRPr="00184029">
        <w:rPr>
          <w:rFonts w:ascii="Times New Roman" w:hAnsi="Times New Roman" w:cs="Times New Roman"/>
          <w:sz w:val="24"/>
          <w:lang w:val="en-US"/>
        </w:rPr>
        <w:t xml:space="preserve"> ACCAN submission to the Treasury Laws Amendment (Consumer Data Right) Bill 2018.</w:t>
      </w:r>
    </w:p>
    <w:p w14:paraId="70D490BD" w14:textId="6FE38606" w:rsidR="00184029" w:rsidRDefault="00184029" w:rsidP="007F64AF">
      <w:pPr>
        <w:pStyle w:val="Bibliography"/>
        <w:spacing w:line="276" w:lineRule="auto"/>
        <w:jc w:val="both"/>
        <w:rPr>
          <w:rFonts w:ascii="Times New Roman" w:hAnsi="Times New Roman" w:cs="Times New Roman"/>
          <w:sz w:val="24"/>
          <w:lang w:val="en-US"/>
        </w:rPr>
      </w:pPr>
      <w:proofErr w:type="spellStart"/>
      <w:r w:rsidRPr="00184029">
        <w:rPr>
          <w:rFonts w:ascii="Times New Roman" w:hAnsi="Times New Roman" w:cs="Times New Roman"/>
          <w:sz w:val="24"/>
          <w:lang w:val="en-US"/>
        </w:rPr>
        <w:t>Acquisti</w:t>
      </w:r>
      <w:proofErr w:type="spellEnd"/>
      <w:r w:rsidRPr="00184029">
        <w:rPr>
          <w:rFonts w:ascii="Times New Roman" w:hAnsi="Times New Roman" w:cs="Times New Roman"/>
          <w:sz w:val="24"/>
          <w:lang w:val="en-US"/>
        </w:rPr>
        <w:t>, A., John, L.K., Loewenstein, G., 2013. What is privacy worth</w:t>
      </w:r>
      <w:proofErr w:type="gramStart"/>
      <w:r w:rsidRPr="00184029">
        <w:rPr>
          <w:rFonts w:ascii="Times New Roman" w:hAnsi="Times New Roman" w:cs="Times New Roman"/>
          <w:sz w:val="24"/>
          <w:lang w:val="en-US"/>
        </w:rPr>
        <w:t>?</w:t>
      </w:r>
      <w:r>
        <w:rPr>
          <w:rFonts w:ascii="Times New Roman" w:hAnsi="Times New Roman" w:cs="Times New Roman"/>
          <w:sz w:val="24"/>
          <w:lang w:val="en-US"/>
        </w:rPr>
        <w:t>,</w:t>
      </w:r>
      <w:proofErr w:type="gramEnd"/>
      <w:r>
        <w:rPr>
          <w:rFonts w:ascii="Times New Roman" w:hAnsi="Times New Roman" w:cs="Times New Roman"/>
          <w:sz w:val="24"/>
          <w:lang w:val="en-US"/>
        </w:rPr>
        <w:t xml:space="preserve"> </w:t>
      </w:r>
      <w:r w:rsidRPr="00184029">
        <w:rPr>
          <w:rFonts w:ascii="Times New Roman" w:hAnsi="Times New Roman" w:cs="Times New Roman"/>
          <w:i/>
          <w:sz w:val="24"/>
          <w:lang w:val="en-US"/>
        </w:rPr>
        <w:t>Journal of Legal Studies,</w:t>
      </w:r>
      <w:r>
        <w:rPr>
          <w:rFonts w:ascii="Times New Roman" w:hAnsi="Times New Roman" w:cs="Times New Roman"/>
          <w:sz w:val="24"/>
          <w:lang w:val="en-US"/>
        </w:rPr>
        <w:t xml:space="preserve"> vol.</w:t>
      </w:r>
      <w:r w:rsidRPr="00184029">
        <w:rPr>
          <w:rFonts w:ascii="Times New Roman" w:hAnsi="Times New Roman" w:cs="Times New Roman"/>
          <w:sz w:val="24"/>
          <w:lang w:val="en-US"/>
        </w:rPr>
        <w:t xml:space="preserve"> 42,</w:t>
      </w:r>
      <w:r>
        <w:rPr>
          <w:rFonts w:ascii="Times New Roman" w:hAnsi="Times New Roman" w:cs="Times New Roman"/>
          <w:sz w:val="24"/>
          <w:lang w:val="en-US"/>
        </w:rPr>
        <w:t xml:space="preserve"> pp.</w:t>
      </w:r>
      <w:r w:rsidRPr="00184029">
        <w:rPr>
          <w:rFonts w:ascii="Times New Roman" w:hAnsi="Times New Roman" w:cs="Times New Roman"/>
          <w:sz w:val="24"/>
          <w:lang w:val="en-US"/>
        </w:rPr>
        <w:t xml:space="preserve"> 249–274.</w:t>
      </w:r>
    </w:p>
    <w:p w14:paraId="688CE5E9" w14:textId="77777777" w:rsidR="00184029" w:rsidRDefault="00184029" w:rsidP="007F64AF">
      <w:pPr>
        <w:pStyle w:val="Bibliography"/>
        <w:spacing w:line="276" w:lineRule="auto"/>
        <w:jc w:val="both"/>
        <w:rPr>
          <w:rFonts w:ascii="Times New Roman" w:hAnsi="Times New Roman" w:cs="Times New Roman"/>
          <w:sz w:val="24"/>
        </w:rPr>
      </w:pPr>
      <w:proofErr w:type="spellStart"/>
      <w:r w:rsidRPr="00FA0857">
        <w:rPr>
          <w:rFonts w:ascii="Times New Roman" w:hAnsi="Times New Roman" w:cs="Times New Roman"/>
          <w:sz w:val="24"/>
        </w:rPr>
        <w:t>Akerlof</w:t>
      </w:r>
      <w:proofErr w:type="spellEnd"/>
      <w:r w:rsidRPr="00FA0857">
        <w:rPr>
          <w:rFonts w:ascii="Times New Roman" w:hAnsi="Times New Roman" w:cs="Times New Roman"/>
          <w:sz w:val="24"/>
        </w:rPr>
        <w:t xml:space="preserve">, G. 1970, ‘The Market for “Lemons” Quality Uncertainty and the Market Mechanism’, </w:t>
      </w:r>
      <w:r w:rsidRPr="00FA0857">
        <w:rPr>
          <w:rFonts w:ascii="Times New Roman" w:hAnsi="Times New Roman" w:cs="Times New Roman"/>
          <w:i/>
          <w:iCs/>
          <w:sz w:val="24"/>
        </w:rPr>
        <w:t>Quarterly Journal of Economics</w:t>
      </w:r>
      <w:r w:rsidRPr="00FA0857">
        <w:rPr>
          <w:rFonts w:ascii="Times New Roman" w:hAnsi="Times New Roman" w:cs="Times New Roman"/>
          <w:sz w:val="24"/>
        </w:rPr>
        <w:t>, vol. 84, no. 3, pp. 488–500.</w:t>
      </w:r>
    </w:p>
    <w:p w14:paraId="5A367EC9" w14:textId="5CEF6F47" w:rsidR="00184029" w:rsidRPr="00184029" w:rsidRDefault="00184029" w:rsidP="007F64AF">
      <w:pPr>
        <w:pStyle w:val="Bibliography"/>
        <w:spacing w:line="276" w:lineRule="auto"/>
        <w:jc w:val="both"/>
        <w:rPr>
          <w:rFonts w:ascii="Times New Roman" w:hAnsi="Times New Roman" w:cs="Times New Roman"/>
          <w:sz w:val="24"/>
        </w:rPr>
      </w:pPr>
      <w:proofErr w:type="spellStart"/>
      <w:r w:rsidRPr="00184029">
        <w:rPr>
          <w:rFonts w:ascii="Times New Roman" w:hAnsi="Times New Roman" w:cs="Times New Roman"/>
          <w:sz w:val="24"/>
          <w:lang w:val="en-US"/>
        </w:rPr>
        <w:t>Beales</w:t>
      </w:r>
      <w:proofErr w:type="spellEnd"/>
      <w:r w:rsidRPr="00184029">
        <w:rPr>
          <w:rFonts w:ascii="Times New Roman" w:hAnsi="Times New Roman" w:cs="Times New Roman"/>
          <w:sz w:val="24"/>
          <w:lang w:val="en-US"/>
        </w:rPr>
        <w:t xml:space="preserve">, H., </w:t>
      </w:r>
      <w:proofErr w:type="spellStart"/>
      <w:r w:rsidRPr="00184029">
        <w:rPr>
          <w:rFonts w:ascii="Times New Roman" w:hAnsi="Times New Roman" w:cs="Times New Roman"/>
          <w:sz w:val="24"/>
          <w:lang w:val="en-US"/>
        </w:rPr>
        <w:t>Craswell</w:t>
      </w:r>
      <w:proofErr w:type="spellEnd"/>
      <w:r w:rsidRPr="00184029">
        <w:rPr>
          <w:rFonts w:ascii="Times New Roman" w:hAnsi="Times New Roman" w:cs="Times New Roman"/>
          <w:sz w:val="24"/>
          <w:lang w:val="en-US"/>
        </w:rPr>
        <w:t>, R., Salop, S.C., 1981. The efficient regulat</w:t>
      </w:r>
      <w:r>
        <w:rPr>
          <w:rFonts w:ascii="Times New Roman" w:hAnsi="Times New Roman" w:cs="Times New Roman"/>
          <w:sz w:val="24"/>
          <w:lang w:val="en-US"/>
        </w:rPr>
        <w:t xml:space="preserve">ion of consumer information. </w:t>
      </w:r>
      <w:r w:rsidRPr="00184029">
        <w:rPr>
          <w:rFonts w:ascii="Times New Roman" w:hAnsi="Times New Roman" w:cs="Times New Roman"/>
          <w:i/>
          <w:sz w:val="24"/>
          <w:lang w:val="en-US"/>
        </w:rPr>
        <w:t>Journal of Law and Economics</w:t>
      </w:r>
      <w:r>
        <w:rPr>
          <w:rFonts w:ascii="Times New Roman" w:hAnsi="Times New Roman" w:cs="Times New Roman"/>
          <w:sz w:val="24"/>
          <w:lang w:val="en-US"/>
        </w:rPr>
        <w:t>, vol.</w:t>
      </w:r>
      <w:r w:rsidRPr="00184029">
        <w:rPr>
          <w:rFonts w:ascii="Times New Roman" w:hAnsi="Times New Roman" w:cs="Times New Roman"/>
          <w:sz w:val="24"/>
          <w:lang w:val="en-US"/>
        </w:rPr>
        <w:t xml:space="preserve"> 24, 491–539.</w:t>
      </w:r>
    </w:p>
    <w:p w14:paraId="5A3A349B" w14:textId="180A444F" w:rsidR="00184029" w:rsidRDefault="00184029" w:rsidP="007F64AF">
      <w:pPr>
        <w:pStyle w:val="Bibliography"/>
        <w:spacing w:line="276" w:lineRule="auto"/>
        <w:jc w:val="both"/>
        <w:rPr>
          <w:rFonts w:ascii="Times New Roman" w:hAnsi="Times New Roman" w:cs="Times New Roman"/>
          <w:sz w:val="24"/>
          <w:lang w:val="en-US"/>
        </w:rPr>
      </w:pPr>
      <w:r>
        <w:rPr>
          <w:rFonts w:ascii="Times New Roman" w:hAnsi="Times New Roman" w:cs="Times New Roman"/>
          <w:sz w:val="24"/>
          <w:lang w:val="en-US"/>
        </w:rPr>
        <w:t>BCAR (</w:t>
      </w:r>
      <w:r w:rsidRPr="00184029">
        <w:rPr>
          <w:rFonts w:ascii="Times New Roman" w:hAnsi="Times New Roman" w:cs="Times New Roman"/>
          <w:sz w:val="24"/>
          <w:lang w:val="en-US"/>
        </w:rPr>
        <w:t>Bureau of Communications and Arts Research</w:t>
      </w:r>
      <w:r>
        <w:rPr>
          <w:rFonts w:ascii="Times New Roman" w:hAnsi="Times New Roman" w:cs="Times New Roman"/>
          <w:sz w:val="24"/>
          <w:lang w:val="en-US"/>
        </w:rPr>
        <w:t>), 2017,</w:t>
      </w:r>
      <w:r w:rsidRPr="00184029">
        <w:rPr>
          <w:rFonts w:ascii="Times New Roman" w:hAnsi="Times New Roman" w:cs="Times New Roman"/>
          <w:sz w:val="24"/>
          <w:lang w:val="en-US"/>
        </w:rPr>
        <w:t xml:space="preserve"> </w:t>
      </w:r>
      <w:r w:rsidRPr="00184029">
        <w:rPr>
          <w:rFonts w:ascii="Times New Roman" w:hAnsi="Times New Roman" w:cs="Times New Roman"/>
          <w:i/>
          <w:sz w:val="24"/>
          <w:lang w:val="en-US"/>
        </w:rPr>
        <w:t>Trends and drivers in the affordability of communications services for Austr</w:t>
      </w:r>
      <w:r>
        <w:rPr>
          <w:rFonts w:ascii="Times New Roman" w:hAnsi="Times New Roman" w:cs="Times New Roman"/>
          <w:i/>
          <w:sz w:val="24"/>
          <w:lang w:val="en-US"/>
        </w:rPr>
        <w:t>alian Households,</w:t>
      </w:r>
      <w:r w:rsidRPr="00184029">
        <w:rPr>
          <w:rFonts w:ascii="Times New Roman" w:hAnsi="Times New Roman" w:cs="Times New Roman"/>
          <w:sz w:val="24"/>
          <w:lang w:val="en-US"/>
        </w:rPr>
        <w:t xml:space="preserve"> Canberra.</w:t>
      </w:r>
    </w:p>
    <w:p w14:paraId="71B1F3A4" w14:textId="598B0703" w:rsidR="00184029" w:rsidRDefault="00184029" w:rsidP="007F64AF">
      <w:pPr>
        <w:pStyle w:val="Bibliography"/>
        <w:spacing w:line="276" w:lineRule="auto"/>
        <w:jc w:val="both"/>
        <w:rPr>
          <w:rFonts w:ascii="Times New Roman" w:hAnsi="Times New Roman" w:cs="Times New Roman"/>
          <w:sz w:val="24"/>
          <w:lang w:val="en-US"/>
        </w:rPr>
      </w:pPr>
      <w:r w:rsidRPr="00184029">
        <w:rPr>
          <w:rFonts w:ascii="Times New Roman" w:hAnsi="Times New Roman" w:cs="Times New Roman"/>
          <w:sz w:val="24"/>
          <w:lang w:val="en-US"/>
        </w:rPr>
        <w:t xml:space="preserve">Coase, R., 1937. The Nature of the Firm. </w:t>
      </w:r>
      <w:proofErr w:type="spellStart"/>
      <w:r w:rsidRPr="00184029">
        <w:rPr>
          <w:rFonts w:ascii="Times New Roman" w:hAnsi="Times New Roman" w:cs="Times New Roman"/>
          <w:i/>
          <w:sz w:val="24"/>
          <w:lang w:val="en-US"/>
        </w:rPr>
        <w:t>Economica</w:t>
      </w:r>
      <w:proofErr w:type="spellEnd"/>
      <w:r>
        <w:rPr>
          <w:rFonts w:ascii="Times New Roman" w:hAnsi="Times New Roman" w:cs="Times New Roman"/>
          <w:sz w:val="24"/>
          <w:lang w:val="en-US"/>
        </w:rPr>
        <w:t xml:space="preserve">, vol. </w:t>
      </w:r>
      <w:r w:rsidRPr="00184029">
        <w:rPr>
          <w:rFonts w:ascii="Times New Roman" w:hAnsi="Times New Roman" w:cs="Times New Roman"/>
          <w:sz w:val="24"/>
          <w:lang w:val="en-US"/>
        </w:rPr>
        <w:t>4, 386–405.</w:t>
      </w:r>
    </w:p>
    <w:p w14:paraId="50C57255" w14:textId="4B80CFA4" w:rsidR="00184029" w:rsidRDefault="00184029" w:rsidP="007F64AF">
      <w:pPr>
        <w:pStyle w:val="Bibliography"/>
        <w:spacing w:line="276" w:lineRule="auto"/>
        <w:jc w:val="both"/>
        <w:rPr>
          <w:rFonts w:ascii="Times New Roman" w:hAnsi="Times New Roman" w:cs="Times New Roman"/>
          <w:sz w:val="24"/>
          <w:lang w:val="en-US"/>
        </w:rPr>
      </w:pPr>
      <w:proofErr w:type="spellStart"/>
      <w:r w:rsidRPr="00184029">
        <w:rPr>
          <w:rFonts w:ascii="Times New Roman" w:hAnsi="Times New Roman" w:cs="Times New Roman"/>
          <w:sz w:val="24"/>
          <w:lang w:val="en-US"/>
        </w:rPr>
        <w:t>Minifie</w:t>
      </w:r>
      <w:proofErr w:type="spellEnd"/>
      <w:r w:rsidRPr="00184029">
        <w:rPr>
          <w:rFonts w:ascii="Times New Roman" w:hAnsi="Times New Roman" w:cs="Times New Roman"/>
          <w:sz w:val="24"/>
          <w:lang w:val="en-US"/>
        </w:rPr>
        <w:t xml:space="preserve">, J., </w:t>
      </w:r>
      <w:proofErr w:type="spellStart"/>
      <w:r w:rsidRPr="00184029">
        <w:rPr>
          <w:rFonts w:ascii="Times New Roman" w:hAnsi="Times New Roman" w:cs="Times New Roman"/>
          <w:sz w:val="24"/>
          <w:lang w:val="en-US"/>
        </w:rPr>
        <w:t>Chr</w:t>
      </w:r>
      <w:r>
        <w:rPr>
          <w:rFonts w:ascii="Times New Roman" w:hAnsi="Times New Roman" w:cs="Times New Roman"/>
          <w:sz w:val="24"/>
          <w:lang w:val="en-US"/>
        </w:rPr>
        <w:t>isholm</w:t>
      </w:r>
      <w:proofErr w:type="spellEnd"/>
      <w:r>
        <w:rPr>
          <w:rFonts w:ascii="Times New Roman" w:hAnsi="Times New Roman" w:cs="Times New Roman"/>
          <w:sz w:val="24"/>
          <w:lang w:val="en-US"/>
        </w:rPr>
        <w:t xml:space="preserve">, C., Percival, L., 2017, </w:t>
      </w:r>
      <w:r w:rsidRPr="00184029">
        <w:rPr>
          <w:rFonts w:ascii="Times New Roman" w:hAnsi="Times New Roman" w:cs="Times New Roman"/>
          <w:i/>
          <w:sz w:val="24"/>
          <w:lang w:val="en-US"/>
        </w:rPr>
        <w:t>Competition in Australia: too little of a good thing?</w:t>
      </w:r>
      <w:r>
        <w:rPr>
          <w:rFonts w:ascii="Times New Roman" w:hAnsi="Times New Roman" w:cs="Times New Roman"/>
          <w:sz w:val="24"/>
          <w:lang w:val="en-US"/>
        </w:rPr>
        <w:t>,</w:t>
      </w:r>
      <w:r w:rsidRPr="00184029">
        <w:rPr>
          <w:rFonts w:ascii="Times New Roman" w:hAnsi="Times New Roman" w:cs="Times New Roman"/>
          <w:sz w:val="24"/>
          <w:lang w:val="en-US"/>
        </w:rPr>
        <w:t xml:space="preserve"> Grattan Institute.</w:t>
      </w:r>
    </w:p>
    <w:p w14:paraId="7D17D99E" w14:textId="36DF55F8" w:rsidR="00184029" w:rsidRDefault="00184029" w:rsidP="007F64AF">
      <w:pPr>
        <w:pStyle w:val="Bibliography"/>
        <w:spacing w:line="276" w:lineRule="auto"/>
        <w:jc w:val="both"/>
        <w:rPr>
          <w:rFonts w:ascii="Times New Roman" w:hAnsi="Times New Roman" w:cs="Times New Roman"/>
          <w:sz w:val="24"/>
          <w:lang w:val="en-US"/>
        </w:rPr>
      </w:pPr>
      <w:r>
        <w:rPr>
          <w:rFonts w:ascii="Times New Roman" w:hAnsi="Times New Roman" w:cs="Times New Roman"/>
          <w:sz w:val="24"/>
          <w:lang w:val="en-US"/>
        </w:rPr>
        <w:t>OECD (</w:t>
      </w:r>
      <w:proofErr w:type="spellStart"/>
      <w:r w:rsidRPr="00184029">
        <w:rPr>
          <w:rFonts w:ascii="Times New Roman" w:hAnsi="Times New Roman" w:cs="Times New Roman"/>
          <w:sz w:val="24"/>
          <w:lang w:val="en-US"/>
        </w:rPr>
        <w:t>Organisation</w:t>
      </w:r>
      <w:proofErr w:type="spellEnd"/>
      <w:r w:rsidRPr="00184029">
        <w:rPr>
          <w:rFonts w:ascii="Times New Roman" w:hAnsi="Times New Roman" w:cs="Times New Roman"/>
          <w:sz w:val="24"/>
          <w:lang w:val="en-US"/>
        </w:rPr>
        <w:t xml:space="preserve"> for Economic Co-operation and Development</w:t>
      </w:r>
      <w:r>
        <w:rPr>
          <w:rFonts w:ascii="Times New Roman" w:hAnsi="Times New Roman" w:cs="Times New Roman"/>
          <w:sz w:val="24"/>
          <w:lang w:val="en-US"/>
        </w:rPr>
        <w:t xml:space="preserve">), 2018, </w:t>
      </w:r>
      <w:r w:rsidRPr="00184029">
        <w:rPr>
          <w:rFonts w:ascii="Times New Roman" w:hAnsi="Times New Roman" w:cs="Times New Roman"/>
          <w:i/>
          <w:sz w:val="24"/>
          <w:lang w:val="en-US"/>
        </w:rPr>
        <w:t>Bridging the Rural Digital Divide</w:t>
      </w:r>
      <w:r>
        <w:rPr>
          <w:rFonts w:ascii="Times New Roman" w:hAnsi="Times New Roman" w:cs="Times New Roman"/>
          <w:sz w:val="24"/>
          <w:lang w:val="en-US"/>
        </w:rPr>
        <w:t>,</w:t>
      </w:r>
      <w:r w:rsidRPr="00184029">
        <w:rPr>
          <w:rFonts w:ascii="Times New Roman" w:hAnsi="Times New Roman" w:cs="Times New Roman"/>
          <w:sz w:val="24"/>
          <w:lang w:val="en-US"/>
        </w:rPr>
        <w:t xml:space="preserve"> (OECD </w:t>
      </w:r>
      <w:r>
        <w:rPr>
          <w:rFonts w:ascii="Times New Roman" w:hAnsi="Times New Roman" w:cs="Times New Roman"/>
          <w:sz w:val="24"/>
          <w:lang w:val="en-US"/>
        </w:rPr>
        <w:t>Digital Economy Papers No. 265),</w:t>
      </w:r>
      <w:r w:rsidRPr="00184029">
        <w:rPr>
          <w:rFonts w:ascii="Times New Roman" w:hAnsi="Times New Roman" w:cs="Times New Roman"/>
          <w:sz w:val="24"/>
          <w:lang w:val="en-US"/>
        </w:rPr>
        <w:t xml:space="preserve"> Paris.</w:t>
      </w:r>
    </w:p>
    <w:p w14:paraId="1FA66737" w14:textId="34CE1C69" w:rsidR="00184029" w:rsidRDefault="00184029" w:rsidP="007F64AF">
      <w:pPr>
        <w:pStyle w:val="Bibliography"/>
        <w:spacing w:line="276" w:lineRule="auto"/>
        <w:jc w:val="both"/>
        <w:rPr>
          <w:rFonts w:ascii="Times New Roman" w:hAnsi="Times New Roman" w:cs="Times New Roman"/>
          <w:sz w:val="24"/>
          <w:lang w:val="en-US"/>
        </w:rPr>
      </w:pPr>
      <w:r>
        <w:rPr>
          <w:rFonts w:ascii="Times New Roman" w:hAnsi="Times New Roman" w:cs="Times New Roman"/>
          <w:sz w:val="24"/>
          <w:lang w:val="en-US"/>
        </w:rPr>
        <w:t>PC (</w:t>
      </w:r>
      <w:r w:rsidRPr="00184029">
        <w:rPr>
          <w:rFonts w:ascii="Times New Roman" w:hAnsi="Times New Roman" w:cs="Times New Roman"/>
          <w:sz w:val="24"/>
          <w:lang w:val="en-US"/>
        </w:rPr>
        <w:t>Productivity Commission</w:t>
      </w:r>
      <w:r>
        <w:rPr>
          <w:rFonts w:ascii="Times New Roman" w:hAnsi="Times New Roman" w:cs="Times New Roman"/>
          <w:sz w:val="24"/>
          <w:lang w:val="en-US"/>
        </w:rPr>
        <w:t>), 2018,</w:t>
      </w:r>
      <w:r w:rsidRPr="00184029">
        <w:rPr>
          <w:rFonts w:ascii="Times New Roman" w:hAnsi="Times New Roman" w:cs="Times New Roman"/>
          <w:sz w:val="24"/>
          <w:lang w:val="en-US"/>
        </w:rPr>
        <w:t xml:space="preserve"> </w:t>
      </w:r>
      <w:r w:rsidRPr="00184029">
        <w:rPr>
          <w:rFonts w:ascii="Times New Roman" w:hAnsi="Times New Roman" w:cs="Times New Roman"/>
          <w:i/>
          <w:sz w:val="24"/>
          <w:lang w:val="en-US"/>
        </w:rPr>
        <w:t>Competition in the Australian Financial System</w:t>
      </w:r>
      <w:r>
        <w:rPr>
          <w:rFonts w:ascii="Times New Roman" w:hAnsi="Times New Roman" w:cs="Times New Roman"/>
          <w:sz w:val="24"/>
          <w:lang w:val="en-US"/>
        </w:rPr>
        <w:t xml:space="preserve">, </w:t>
      </w:r>
      <w:r w:rsidRPr="00184029">
        <w:rPr>
          <w:rFonts w:ascii="Times New Roman" w:hAnsi="Times New Roman" w:cs="Times New Roman"/>
          <w:sz w:val="24"/>
          <w:lang w:val="en-US"/>
        </w:rPr>
        <w:t>Canberra.</w:t>
      </w:r>
    </w:p>
    <w:p w14:paraId="32D7F893" w14:textId="0830C3F4" w:rsidR="00184029" w:rsidRPr="00184029" w:rsidRDefault="00184029" w:rsidP="007F64AF">
      <w:pPr>
        <w:pStyle w:val="Bibliography"/>
        <w:spacing w:line="276" w:lineRule="auto"/>
        <w:jc w:val="both"/>
        <w:rPr>
          <w:rFonts w:ascii="Times New Roman" w:hAnsi="Times New Roman" w:cs="Times New Roman"/>
          <w:sz w:val="24"/>
          <w:lang w:val="en-US"/>
        </w:rPr>
      </w:pPr>
      <w:proofErr w:type="spellStart"/>
      <w:r w:rsidRPr="00184029">
        <w:rPr>
          <w:rFonts w:ascii="Times New Roman" w:hAnsi="Times New Roman" w:cs="Times New Roman"/>
          <w:sz w:val="24"/>
          <w:lang w:val="en-US"/>
        </w:rPr>
        <w:t>Schmalensee</w:t>
      </w:r>
      <w:proofErr w:type="spellEnd"/>
      <w:r w:rsidRPr="00184029">
        <w:rPr>
          <w:rFonts w:ascii="Times New Roman" w:hAnsi="Times New Roman" w:cs="Times New Roman"/>
          <w:sz w:val="24"/>
          <w:lang w:val="en-US"/>
        </w:rPr>
        <w:t>, R., 1981. Output and welfare implications of monopolistic third-d</w:t>
      </w:r>
      <w:r>
        <w:rPr>
          <w:rFonts w:ascii="Times New Roman" w:hAnsi="Times New Roman" w:cs="Times New Roman"/>
          <w:sz w:val="24"/>
          <w:lang w:val="en-US"/>
        </w:rPr>
        <w:t xml:space="preserve">egree price discrimination. </w:t>
      </w:r>
      <w:r w:rsidRPr="00184029">
        <w:rPr>
          <w:rFonts w:ascii="Times New Roman" w:hAnsi="Times New Roman" w:cs="Times New Roman"/>
          <w:i/>
          <w:sz w:val="24"/>
          <w:lang w:val="en-US"/>
        </w:rPr>
        <w:t>American Economic Review</w:t>
      </w:r>
      <w:r>
        <w:rPr>
          <w:rFonts w:ascii="Times New Roman" w:hAnsi="Times New Roman" w:cs="Times New Roman"/>
          <w:sz w:val="24"/>
          <w:lang w:val="en-US"/>
        </w:rPr>
        <w:t>, vol.</w:t>
      </w:r>
      <w:r w:rsidRPr="00184029">
        <w:rPr>
          <w:rFonts w:ascii="Times New Roman" w:hAnsi="Times New Roman" w:cs="Times New Roman"/>
          <w:sz w:val="24"/>
          <w:lang w:val="en-US"/>
        </w:rPr>
        <w:t xml:space="preserve"> 71, </w:t>
      </w:r>
      <w:r>
        <w:rPr>
          <w:rFonts w:ascii="Times New Roman" w:hAnsi="Times New Roman" w:cs="Times New Roman"/>
          <w:sz w:val="24"/>
          <w:lang w:val="en-US"/>
        </w:rPr>
        <w:t xml:space="preserve">pp. </w:t>
      </w:r>
      <w:r w:rsidRPr="00184029">
        <w:rPr>
          <w:rFonts w:ascii="Times New Roman" w:hAnsi="Times New Roman" w:cs="Times New Roman"/>
          <w:sz w:val="24"/>
          <w:lang w:val="en-US"/>
        </w:rPr>
        <w:t>242–247.</w:t>
      </w:r>
    </w:p>
    <w:p w14:paraId="332EF604" w14:textId="68C7CB10" w:rsidR="00184029" w:rsidRPr="00184029" w:rsidRDefault="00184029" w:rsidP="007F64AF">
      <w:pPr>
        <w:pStyle w:val="Bibliography"/>
        <w:spacing w:line="276" w:lineRule="auto"/>
        <w:jc w:val="both"/>
        <w:rPr>
          <w:rFonts w:ascii="Times New Roman" w:hAnsi="Times New Roman" w:cs="Times New Roman"/>
          <w:sz w:val="24"/>
          <w:lang w:val="en-US"/>
        </w:rPr>
      </w:pPr>
      <w:r w:rsidRPr="00184029">
        <w:rPr>
          <w:rFonts w:ascii="Times New Roman" w:hAnsi="Times New Roman" w:cs="Times New Roman"/>
          <w:sz w:val="24"/>
          <w:lang w:val="en-US"/>
        </w:rPr>
        <w:t xml:space="preserve">Treasury, 2017. </w:t>
      </w:r>
      <w:r w:rsidRPr="00184029">
        <w:rPr>
          <w:rFonts w:ascii="Times New Roman" w:hAnsi="Times New Roman" w:cs="Times New Roman"/>
          <w:i/>
          <w:sz w:val="24"/>
          <w:lang w:val="en-US"/>
        </w:rPr>
        <w:t>Review into open banking: giving customers choice, convenience and confidence</w:t>
      </w:r>
      <w:r>
        <w:rPr>
          <w:rFonts w:ascii="Times New Roman" w:hAnsi="Times New Roman" w:cs="Times New Roman"/>
          <w:sz w:val="24"/>
          <w:lang w:val="en-US"/>
        </w:rPr>
        <w:t>,</w:t>
      </w:r>
      <w:r w:rsidRPr="00184029">
        <w:rPr>
          <w:rFonts w:ascii="Times New Roman" w:hAnsi="Times New Roman" w:cs="Times New Roman"/>
          <w:sz w:val="24"/>
          <w:lang w:val="en-US"/>
        </w:rPr>
        <w:t xml:space="preserve"> Canberra.</w:t>
      </w:r>
    </w:p>
    <w:p w14:paraId="2BA0B51F" w14:textId="05A7A639" w:rsidR="00184029" w:rsidRPr="00184029" w:rsidRDefault="00184029" w:rsidP="007F64AF">
      <w:pPr>
        <w:pStyle w:val="Bibliography"/>
        <w:spacing w:line="276" w:lineRule="auto"/>
        <w:jc w:val="both"/>
        <w:rPr>
          <w:rFonts w:ascii="Times New Roman" w:hAnsi="Times New Roman" w:cs="Times New Roman"/>
          <w:sz w:val="24"/>
          <w:lang w:val="en-US"/>
        </w:rPr>
      </w:pPr>
      <w:r w:rsidRPr="00184029">
        <w:rPr>
          <w:rFonts w:ascii="Times New Roman" w:hAnsi="Times New Roman" w:cs="Times New Roman"/>
          <w:sz w:val="24"/>
          <w:lang w:val="en-US"/>
        </w:rPr>
        <w:t>Varian, H.R., 1985. Price discri</w:t>
      </w:r>
      <w:r>
        <w:rPr>
          <w:rFonts w:ascii="Times New Roman" w:hAnsi="Times New Roman" w:cs="Times New Roman"/>
          <w:sz w:val="24"/>
          <w:lang w:val="en-US"/>
        </w:rPr>
        <w:t xml:space="preserve">mination and social welfare. </w:t>
      </w:r>
      <w:r w:rsidRPr="00184029">
        <w:rPr>
          <w:rFonts w:ascii="Times New Roman" w:hAnsi="Times New Roman" w:cs="Times New Roman"/>
          <w:i/>
          <w:sz w:val="24"/>
          <w:lang w:val="en-US"/>
        </w:rPr>
        <w:t>American Economic Review</w:t>
      </w:r>
      <w:r>
        <w:rPr>
          <w:rFonts w:ascii="Times New Roman" w:hAnsi="Times New Roman" w:cs="Times New Roman"/>
          <w:sz w:val="24"/>
          <w:lang w:val="en-US"/>
        </w:rPr>
        <w:t xml:space="preserve">, vol. </w:t>
      </w:r>
      <w:r w:rsidRPr="00184029">
        <w:rPr>
          <w:rFonts w:ascii="Times New Roman" w:hAnsi="Times New Roman" w:cs="Times New Roman"/>
          <w:sz w:val="24"/>
          <w:lang w:val="en-US"/>
        </w:rPr>
        <w:t xml:space="preserve">75, </w:t>
      </w:r>
      <w:r>
        <w:rPr>
          <w:rFonts w:ascii="Times New Roman" w:hAnsi="Times New Roman" w:cs="Times New Roman"/>
          <w:sz w:val="24"/>
          <w:lang w:val="en-US"/>
        </w:rPr>
        <w:t xml:space="preserve">pp. </w:t>
      </w:r>
      <w:r w:rsidRPr="00184029">
        <w:rPr>
          <w:rFonts w:ascii="Times New Roman" w:hAnsi="Times New Roman" w:cs="Times New Roman"/>
          <w:sz w:val="24"/>
          <w:lang w:val="en-US"/>
        </w:rPr>
        <w:t>870–875.</w:t>
      </w:r>
    </w:p>
    <w:p w14:paraId="0CEAD222" w14:textId="6BCBC16A" w:rsidR="00493FBB" w:rsidRPr="006B7331" w:rsidRDefault="00493FBB" w:rsidP="003E6446">
      <w:pPr>
        <w:pStyle w:val="Bibliography"/>
        <w:spacing w:line="276" w:lineRule="auto"/>
        <w:jc w:val="both"/>
        <w:rPr>
          <w:b/>
          <w:sz w:val="24"/>
          <w:szCs w:val="24"/>
        </w:rPr>
      </w:pPr>
    </w:p>
    <w:p w14:paraId="42B5A8A1" w14:textId="77777777" w:rsidR="00493FBB" w:rsidRPr="006B7331" w:rsidRDefault="00493FBB" w:rsidP="003E6446">
      <w:pPr>
        <w:pStyle w:val="BodyText1"/>
        <w:jc w:val="both"/>
        <w:rPr>
          <w:rFonts w:ascii="Times New Roman" w:hAnsi="Times New Roman" w:cs="Times New Roman"/>
          <w:b/>
          <w:color w:val="auto"/>
          <w:sz w:val="24"/>
          <w:szCs w:val="24"/>
        </w:rPr>
      </w:pPr>
    </w:p>
    <w:sectPr w:rsidR="00493FBB" w:rsidRPr="006B7331" w:rsidSect="00084A5B">
      <w:headerReference w:type="default" r:id="rId12"/>
      <w:footerReference w:type="default" r:id="rId13"/>
      <w:type w:val="continuous"/>
      <w:pgSz w:w="11906" w:h="16838" w:code="9"/>
      <w:pgMar w:top="1440" w:right="1440" w:bottom="1440" w:left="1440" w:header="850"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2F3E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2F3E9F" w16cid:durableId="1F685C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8999F" w14:textId="77777777" w:rsidR="00B5748C" w:rsidRDefault="00B5748C" w:rsidP="005820C9">
      <w:pPr>
        <w:spacing w:after="0" w:line="240" w:lineRule="auto"/>
      </w:pPr>
      <w:r>
        <w:separator/>
      </w:r>
    </w:p>
  </w:endnote>
  <w:endnote w:type="continuationSeparator" w:id="0">
    <w:p w14:paraId="5431F33F" w14:textId="77777777" w:rsidR="00B5748C" w:rsidRDefault="00B5748C"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4E3BB" w14:textId="77777777" w:rsidR="00002D94" w:rsidRDefault="00084A5B" w:rsidP="00002D94">
    <w:pPr>
      <w:pStyle w:val="Footer"/>
    </w:pPr>
    <w:r>
      <w:rPr>
        <w:noProof/>
        <w:lang w:val="en-US"/>
      </w:rPr>
      <mc:AlternateContent>
        <mc:Choice Requires="wpg">
          <w:drawing>
            <wp:anchor distT="0" distB="0" distL="114300" distR="114300" simplePos="0" relativeHeight="251659264" behindDoc="1" locked="0" layoutInCell="1" allowOverlap="1" wp14:anchorId="19408AAB" wp14:editId="5C1488A1">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14:paraId="392BD8F7" w14:textId="77777777" w:rsidR="00002D94" w:rsidRDefault="00002D94" w:rsidP="001C28E7">
                            <w:pPr>
                              <w:spacing w:after="0" w:line="240" w:lineRule="auto"/>
                              <w:rPr>
                                <w:color w:val="23B0E6"/>
                                <w:sz w:val="20"/>
                                <w:szCs w:val="20"/>
                              </w:rPr>
                            </w:pPr>
                          </w:p>
                          <w:p w14:paraId="622F4695" w14:textId="77777777"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14:paraId="4AB3AD93" w14:textId="77777777"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14:paraId="6A16CC5F" w14:textId="77777777" w:rsidR="00084A5B" w:rsidRPr="00002D94" w:rsidRDefault="00084A5B" w:rsidP="007D3F16">
                            <w:pPr>
                              <w:spacing w:after="0" w:line="240" w:lineRule="auto"/>
                              <w:rPr>
                                <w:sz w:val="20"/>
                                <w:szCs w:val="20"/>
                              </w:rPr>
                            </w:pPr>
                            <w:r w:rsidRPr="00002D94">
                              <w:rPr>
                                <w:sz w:val="20"/>
                                <w:szCs w:val="20"/>
                              </w:rPr>
                              <w:t>Suite 4.02, 55 Mountain St, Ultimo NSW 2007</w:t>
                            </w:r>
                          </w:p>
                          <w:p w14:paraId="07AB4EE7" w14:textId="77777777" w:rsidR="00084A5B" w:rsidRPr="00002D94" w:rsidRDefault="00084A5B" w:rsidP="007D3F16">
                            <w:pPr>
                              <w:spacing w:after="0" w:line="240" w:lineRule="auto"/>
                              <w:rPr>
                                <w:sz w:val="20"/>
                                <w:szCs w:val="20"/>
                              </w:rPr>
                            </w:pPr>
                            <w:r w:rsidRPr="00002D94">
                              <w:rPr>
                                <w:sz w:val="20"/>
                                <w:szCs w:val="20"/>
                              </w:rPr>
                              <w:t>Tel: (02) 9288 4000 | TTY: (02) 9281 5322 | Fax: (02) 9288 4019</w:t>
                            </w:r>
                          </w:p>
                          <w:p w14:paraId="51FEA718" w14:textId="77777777"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408AAB"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" filled="f" stroked="f">
                <v:textbox>
                  <w:txbxContent>
                    <w:p w14:paraId="392BD8F7" w14:textId="77777777" w:rsidR="00002D94" w:rsidRDefault="00002D94" w:rsidP="001C28E7">
                      <w:pPr>
                        <w:spacing w:after="0" w:line="240" w:lineRule="auto"/>
                        <w:rPr>
                          <w:color w:val="23B0E6"/>
                          <w:sz w:val="20"/>
                          <w:szCs w:val="20"/>
                        </w:rPr>
                      </w:pPr>
                    </w:p>
                    <w:p w14:paraId="622F4695" w14:textId="77777777"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14:paraId="4AB3AD93" w14:textId="77777777"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14:paraId="6A16CC5F" w14:textId="77777777" w:rsidR="00084A5B" w:rsidRPr="00002D94" w:rsidRDefault="00084A5B" w:rsidP="007D3F16">
                      <w:pPr>
                        <w:spacing w:after="0" w:line="240" w:lineRule="auto"/>
                        <w:rPr>
                          <w:sz w:val="20"/>
                          <w:szCs w:val="20"/>
                        </w:rPr>
                      </w:pPr>
                      <w:r w:rsidRPr="00002D94">
                        <w:rPr>
                          <w:sz w:val="20"/>
                          <w:szCs w:val="20"/>
                        </w:rPr>
                        <w:t>Suite 4.02, 55 Mountain St, Ultimo NSW 2007</w:t>
                      </w:r>
                    </w:p>
                    <w:p w14:paraId="07AB4EE7" w14:textId="77777777" w:rsidR="00084A5B" w:rsidRPr="00002D94" w:rsidRDefault="00084A5B" w:rsidP="007D3F16">
                      <w:pPr>
                        <w:spacing w:after="0" w:line="240" w:lineRule="auto"/>
                        <w:rPr>
                          <w:sz w:val="20"/>
                          <w:szCs w:val="20"/>
                        </w:rPr>
                      </w:pPr>
                      <w:r w:rsidRPr="00002D94">
                        <w:rPr>
                          <w:sz w:val="20"/>
                          <w:szCs w:val="20"/>
                        </w:rPr>
                        <w:t>Tel: (02) 9288 4000 | TTY: (02) 9281 5322 | Fax: (02) 9288 4019</w:t>
                      </w:r>
                    </w:p>
                    <w:p w14:paraId="51FEA718" w14:textId="77777777"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807D9" w14:textId="77777777" w:rsidR="00084A5B" w:rsidRPr="00664A52" w:rsidRDefault="00084A5B" w:rsidP="00C4251E">
    <w:pPr>
      <w:spacing w:after="0" w:line="240" w:lineRule="auto"/>
      <w:rPr>
        <w:rFonts w:ascii="Times New Roman" w:hAnsi="Times New Roman" w:cs="Times New Roman"/>
        <w:color w:val="23B0E6"/>
      </w:rPr>
    </w:pPr>
    <w:r w:rsidRPr="00664A52">
      <w:rPr>
        <w:rFonts w:ascii="Times New Roman" w:hAnsi="Times New Roman" w:cs="Times New Roman"/>
        <w:color w:val="23B0E6"/>
      </w:rPr>
      <w:t>www.accan.org.au | info@accan.org.au | twitter: @ACCAN_AU</w:t>
    </w:r>
    <w:r w:rsidRPr="00664A52">
      <w:rPr>
        <w:rFonts w:ascii="Times New Roman" w:hAnsi="Times New Roman" w:cs="Times New Roman"/>
        <w:color w:val="23B0E6"/>
      </w:rPr>
      <w:tab/>
    </w:r>
    <w:r w:rsidRPr="00664A52">
      <w:rPr>
        <w:rFonts w:ascii="Times New Roman" w:hAnsi="Times New Roman" w:cs="Times New Roman"/>
        <w:color w:val="23B0E6"/>
      </w:rPr>
      <w:tab/>
    </w:r>
    <w:r w:rsidRPr="00664A52">
      <w:rPr>
        <w:rFonts w:ascii="Times New Roman" w:hAnsi="Times New Roman" w:cs="Times New Roman"/>
        <w:color w:val="23B0E6"/>
      </w:rPr>
      <w:tab/>
    </w:r>
    <w:r w:rsidRPr="00664A52">
      <w:rPr>
        <w:rFonts w:ascii="Times New Roman" w:hAnsi="Times New Roman" w:cs="Times New Roman"/>
        <w:color w:val="23B0E6"/>
      </w:rPr>
      <w:tab/>
    </w:r>
    <w:r w:rsidRPr="00664A52">
      <w:rPr>
        <w:rFonts w:ascii="Times New Roman" w:hAnsi="Times New Roman" w:cs="Times New Roman"/>
        <w:color w:val="23B0E6"/>
      </w:rPr>
      <w:tab/>
    </w:r>
    <w:r w:rsidRPr="00664A52">
      <w:rPr>
        <w:rFonts w:ascii="Times New Roman" w:hAnsi="Times New Roman" w:cs="Times New Roman"/>
      </w:rPr>
      <w:fldChar w:fldCharType="begin"/>
    </w:r>
    <w:r w:rsidRPr="00664A52">
      <w:rPr>
        <w:rFonts w:ascii="Times New Roman" w:hAnsi="Times New Roman" w:cs="Times New Roman"/>
      </w:rPr>
      <w:instrText xml:space="preserve"> PAGE   \* MERGEFORMAT </w:instrText>
    </w:r>
    <w:r w:rsidRPr="00664A52">
      <w:rPr>
        <w:rFonts w:ascii="Times New Roman" w:hAnsi="Times New Roman" w:cs="Times New Roman"/>
      </w:rPr>
      <w:fldChar w:fldCharType="separate"/>
    </w:r>
    <w:r w:rsidR="0087757E">
      <w:rPr>
        <w:rFonts w:ascii="Times New Roman" w:hAnsi="Times New Roman" w:cs="Times New Roman"/>
        <w:noProof/>
      </w:rPr>
      <w:t>2</w:t>
    </w:r>
    <w:r w:rsidRPr="00664A52">
      <w:rPr>
        <w:rFonts w:ascii="Times New Roman" w:hAnsi="Times New Roman" w:cs="Times New Roman"/>
        <w:noProof/>
      </w:rPr>
      <w:fldChar w:fldCharType="end"/>
    </w:r>
  </w:p>
  <w:p w14:paraId="7691EF4A" w14:textId="77777777" w:rsidR="00084A5B" w:rsidRPr="00664A52" w:rsidRDefault="00084A5B">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A8462" w14:textId="77777777" w:rsidR="00B5748C" w:rsidRDefault="00B5748C" w:rsidP="005820C9">
      <w:pPr>
        <w:spacing w:after="0" w:line="240" w:lineRule="auto"/>
      </w:pPr>
      <w:r>
        <w:separator/>
      </w:r>
    </w:p>
  </w:footnote>
  <w:footnote w:type="continuationSeparator" w:id="0">
    <w:p w14:paraId="1EAE0CD5" w14:textId="77777777" w:rsidR="00B5748C" w:rsidRDefault="00B5748C" w:rsidP="005820C9">
      <w:pPr>
        <w:spacing w:after="0" w:line="240" w:lineRule="auto"/>
      </w:pPr>
      <w:r>
        <w:continuationSeparator/>
      </w:r>
    </w:p>
  </w:footnote>
  <w:footnote w:id="1">
    <w:p w14:paraId="7F91BFF3" w14:textId="7C303BB0" w:rsidR="0016748A" w:rsidRPr="00FA4A32" w:rsidRDefault="0016748A" w:rsidP="00FA4A32">
      <w:pPr>
        <w:pStyle w:val="FootnoteText"/>
        <w:jc w:val="both"/>
        <w:rPr>
          <w:rFonts w:ascii="Times New Roman" w:hAnsi="Times New Roman" w:cs="Times New Roman"/>
          <w:color w:val="000000" w:themeColor="text1"/>
          <w:sz w:val="16"/>
          <w:szCs w:val="16"/>
          <w:lang w:val="en-AU"/>
        </w:rPr>
      </w:pPr>
      <w:r w:rsidRPr="00FA4A32">
        <w:rPr>
          <w:rStyle w:val="FootnoteReference"/>
          <w:rFonts w:ascii="Times New Roman" w:hAnsi="Times New Roman" w:cs="Times New Roman"/>
          <w:color w:val="000000" w:themeColor="text1"/>
          <w:sz w:val="16"/>
          <w:szCs w:val="16"/>
        </w:rPr>
        <w:footnoteRef/>
      </w:r>
      <w:r w:rsidRPr="00FA4A32">
        <w:rPr>
          <w:rFonts w:ascii="Times New Roman" w:hAnsi="Times New Roman" w:cs="Times New Roman"/>
          <w:color w:val="000000" w:themeColor="text1"/>
          <w:sz w:val="16"/>
          <w:szCs w:val="16"/>
          <w:lang w:val="en-AU"/>
        </w:rPr>
        <w:t xml:space="preserve">. The second lowest decile of income earners similarly spend above the household average of 3.5% </w:t>
      </w:r>
      <w:r w:rsidRPr="00FA4A32">
        <w:rPr>
          <w:rFonts w:ascii="Times New Roman" w:hAnsi="Times New Roman" w:cs="Times New Roman"/>
          <w:color w:val="000000" w:themeColor="text1"/>
          <w:sz w:val="16"/>
          <w:szCs w:val="16"/>
        </w:rPr>
        <w:t>and typically spend around 6% of their disposable income on communication services</w:t>
      </w:r>
    </w:p>
  </w:footnote>
  <w:footnote w:id="2">
    <w:p w14:paraId="77636C36" w14:textId="341F52C7" w:rsidR="00FA4A32" w:rsidRPr="00FA4A32" w:rsidRDefault="00FA4A32" w:rsidP="00FA4A32">
      <w:pPr>
        <w:pStyle w:val="FootnoteText"/>
        <w:jc w:val="both"/>
        <w:rPr>
          <w:rFonts w:ascii="Times New Roman" w:hAnsi="Times New Roman" w:cs="Times New Roman"/>
          <w:sz w:val="16"/>
          <w:szCs w:val="16"/>
          <w:lang w:val="en-AU"/>
        </w:rPr>
      </w:pPr>
      <w:r w:rsidRPr="00FA4A32">
        <w:rPr>
          <w:rStyle w:val="FootnoteReference"/>
          <w:rFonts w:ascii="Times New Roman" w:hAnsi="Times New Roman" w:cs="Times New Roman"/>
          <w:sz w:val="16"/>
          <w:szCs w:val="16"/>
        </w:rPr>
        <w:footnoteRef/>
      </w:r>
      <w:r w:rsidRPr="00FA4A32">
        <w:rPr>
          <w:rFonts w:ascii="Times New Roman" w:hAnsi="Times New Roman" w:cs="Times New Roman"/>
          <w:sz w:val="16"/>
          <w:szCs w:val="16"/>
        </w:rPr>
        <w:t>. In our initial submission ACCAN (2018 p. 29-30) estimates the potential losses for consumers in the telecommunications sector as a result of price discrimination or cartel behaviour, and outlines the continued risks in the finance sector in light of recent enforcement action by ASIC for interest rate fixing.</w:t>
      </w:r>
    </w:p>
  </w:footnote>
  <w:footnote w:id="3">
    <w:p w14:paraId="0B6DBE26" w14:textId="1905CA6E" w:rsidR="00B7277D" w:rsidRPr="00FA4A32" w:rsidRDefault="00B7277D" w:rsidP="00FA4A32">
      <w:pPr>
        <w:pStyle w:val="FootnoteText"/>
        <w:jc w:val="both"/>
        <w:rPr>
          <w:rFonts w:ascii="Times New Roman" w:hAnsi="Times New Roman" w:cs="Times New Roman"/>
          <w:sz w:val="16"/>
          <w:szCs w:val="16"/>
          <w:lang w:val="en-AU"/>
        </w:rPr>
      </w:pPr>
      <w:r w:rsidRPr="00FA4A32">
        <w:rPr>
          <w:rStyle w:val="FootnoteReference"/>
          <w:rFonts w:ascii="Times New Roman" w:hAnsi="Times New Roman" w:cs="Times New Roman"/>
          <w:sz w:val="16"/>
          <w:szCs w:val="16"/>
        </w:rPr>
        <w:footnoteRef/>
      </w:r>
      <w:r w:rsidRPr="00FA4A32">
        <w:rPr>
          <w:rFonts w:ascii="Times New Roman" w:hAnsi="Times New Roman" w:cs="Times New Roman"/>
          <w:sz w:val="16"/>
          <w:szCs w:val="16"/>
        </w:rPr>
        <w:t>. Notably recommendation 7 concerning the operation of s 56EF and its potential to ban data collection</w:t>
      </w:r>
      <w:r w:rsidR="00D44E7B" w:rsidRPr="00FA4A32">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C7EA0" w14:textId="77777777" w:rsidR="00084A5B" w:rsidRDefault="00084A5B" w:rsidP="00DD7C1C">
    <w:pPr>
      <w:pStyle w:val="Header"/>
      <w:tabs>
        <w:tab w:val="clear" w:pos="4513"/>
        <w:tab w:val="clear" w:pos="9026"/>
      </w:tabs>
      <w:ind w:right="-1"/>
      <w:jc w:val="right"/>
    </w:pPr>
    <w:r>
      <w:rPr>
        <w:noProof/>
        <w:lang w:val="en-US"/>
      </w:rPr>
      <w:drawing>
        <wp:anchor distT="0" distB="0" distL="114300" distR="114300" simplePos="0" relativeHeight="251660288" behindDoc="1" locked="0" layoutInCell="1" allowOverlap="1" wp14:anchorId="6BE2B253" wp14:editId="72E012DD">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9E20D" w14:textId="77777777" w:rsidR="00084A5B" w:rsidRDefault="00084A5B"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38B"/>
    <w:multiLevelType w:val="hybridMultilevel"/>
    <w:tmpl w:val="3904C8A8"/>
    <w:lvl w:ilvl="0" w:tplc="8C447C7C">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F4A40"/>
    <w:multiLevelType w:val="hybridMultilevel"/>
    <w:tmpl w:val="612E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B0B46"/>
    <w:multiLevelType w:val="hybridMultilevel"/>
    <w:tmpl w:val="6B54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2C347E"/>
    <w:multiLevelType w:val="hybridMultilevel"/>
    <w:tmpl w:val="1F207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07A96"/>
    <w:multiLevelType w:val="hybridMultilevel"/>
    <w:tmpl w:val="3208C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24"/>
    <w:rsid w:val="00001A7E"/>
    <w:rsid w:val="00002D94"/>
    <w:rsid w:val="00012F6A"/>
    <w:rsid w:val="00015BC4"/>
    <w:rsid w:val="00016E51"/>
    <w:rsid w:val="00027253"/>
    <w:rsid w:val="0004313B"/>
    <w:rsid w:val="00054554"/>
    <w:rsid w:val="00063507"/>
    <w:rsid w:val="000658FD"/>
    <w:rsid w:val="00071782"/>
    <w:rsid w:val="00084A5B"/>
    <w:rsid w:val="00094C6F"/>
    <w:rsid w:val="0009767D"/>
    <w:rsid w:val="000A25E1"/>
    <w:rsid w:val="000B0942"/>
    <w:rsid w:val="000B720F"/>
    <w:rsid w:val="000D5C19"/>
    <w:rsid w:val="000E20C3"/>
    <w:rsid w:val="000F27A8"/>
    <w:rsid w:val="000F358C"/>
    <w:rsid w:val="000F5DA0"/>
    <w:rsid w:val="001004CA"/>
    <w:rsid w:val="00103654"/>
    <w:rsid w:val="00115574"/>
    <w:rsid w:val="0012147B"/>
    <w:rsid w:val="001227A9"/>
    <w:rsid w:val="00122F01"/>
    <w:rsid w:val="00123A88"/>
    <w:rsid w:val="00130904"/>
    <w:rsid w:val="0013775D"/>
    <w:rsid w:val="00141120"/>
    <w:rsid w:val="00145056"/>
    <w:rsid w:val="00146791"/>
    <w:rsid w:val="001468B7"/>
    <w:rsid w:val="0015073A"/>
    <w:rsid w:val="00155A49"/>
    <w:rsid w:val="00161096"/>
    <w:rsid w:val="001627E8"/>
    <w:rsid w:val="0016748A"/>
    <w:rsid w:val="00175DAB"/>
    <w:rsid w:val="00184029"/>
    <w:rsid w:val="00193E18"/>
    <w:rsid w:val="001A3164"/>
    <w:rsid w:val="001B5728"/>
    <w:rsid w:val="001B5A0B"/>
    <w:rsid w:val="001C1E3A"/>
    <w:rsid w:val="001C28E7"/>
    <w:rsid w:val="001C513C"/>
    <w:rsid w:val="001C6621"/>
    <w:rsid w:val="001D3DB3"/>
    <w:rsid w:val="001E11EC"/>
    <w:rsid w:val="001E369D"/>
    <w:rsid w:val="00202C3E"/>
    <w:rsid w:val="00226D8A"/>
    <w:rsid w:val="00234042"/>
    <w:rsid w:val="0024623C"/>
    <w:rsid w:val="002574B9"/>
    <w:rsid w:val="002711AE"/>
    <w:rsid w:val="00273509"/>
    <w:rsid w:val="00277684"/>
    <w:rsid w:val="00291DCA"/>
    <w:rsid w:val="002A36C1"/>
    <w:rsid w:val="002A65BA"/>
    <w:rsid w:val="002B301C"/>
    <w:rsid w:val="002B3181"/>
    <w:rsid w:val="002C729D"/>
    <w:rsid w:val="002D0BC1"/>
    <w:rsid w:val="002D1184"/>
    <w:rsid w:val="002D245C"/>
    <w:rsid w:val="002F0366"/>
    <w:rsid w:val="002F3783"/>
    <w:rsid w:val="002F5CBD"/>
    <w:rsid w:val="00301948"/>
    <w:rsid w:val="00303707"/>
    <w:rsid w:val="00307295"/>
    <w:rsid w:val="0031384D"/>
    <w:rsid w:val="00314B4C"/>
    <w:rsid w:val="00314DAF"/>
    <w:rsid w:val="003213B8"/>
    <w:rsid w:val="00321497"/>
    <w:rsid w:val="003243A8"/>
    <w:rsid w:val="00353C27"/>
    <w:rsid w:val="0037054E"/>
    <w:rsid w:val="00377601"/>
    <w:rsid w:val="0038300A"/>
    <w:rsid w:val="00383DD6"/>
    <w:rsid w:val="003A6257"/>
    <w:rsid w:val="003B1499"/>
    <w:rsid w:val="003C1713"/>
    <w:rsid w:val="003C20E9"/>
    <w:rsid w:val="003D72CB"/>
    <w:rsid w:val="003E17D5"/>
    <w:rsid w:val="003E468E"/>
    <w:rsid w:val="003E6446"/>
    <w:rsid w:val="003E6503"/>
    <w:rsid w:val="003F1D4A"/>
    <w:rsid w:val="0040588F"/>
    <w:rsid w:val="004153EB"/>
    <w:rsid w:val="0041747D"/>
    <w:rsid w:val="00422752"/>
    <w:rsid w:val="00426E28"/>
    <w:rsid w:val="0043144B"/>
    <w:rsid w:val="00431ADB"/>
    <w:rsid w:val="00433061"/>
    <w:rsid w:val="004368B0"/>
    <w:rsid w:val="00440456"/>
    <w:rsid w:val="004519BB"/>
    <w:rsid w:val="004526C9"/>
    <w:rsid w:val="004552EA"/>
    <w:rsid w:val="00457211"/>
    <w:rsid w:val="00461A65"/>
    <w:rsid w:val="00472C7E"/>
    <w:rsid w:val="00475C24"/>
    <w:rsid w:val="00481342"/>
    <w:rsid w:val="004850E4"/>
    <w:rsid w:val="00493FBB"/>
    <w:rsid w:val="004A01EB"/>
    <w:rsid w:val="004A0E23"/>
    <w:rsid w:val="004A7BA4"/>
    <w:rsid w:val="004B1444"/>
    <w:rsid w:val="004B5F63"/>
    <w:rsid w:val="004B6F6A"/>
    <w:rsid w:val="004B7574"/>
    <w:rsid w:val="004C3886"/>
    <w:rsid w:val="004C74E0"/>
    <w:rsid w:val="004D2808"/>
    <w:rsid w:val="004D67F7"/>
    <w:rsid w:val="004E016B"/>
    <w:rsid w:val="004E0BFF"/>
    <w:rsid w:val="004E424B"/>
    <w:rsid w:val="004F4BF3"/>
    <w:rsid w:val="004F7303"/>
    <w:rsid w:val="004F7BC6"/>
    <w:rsid w:val="00512C5F"/>
    <w:rsid w:val="00517590"/>
    <w:rsid w:val="005349FC"/>
    <w:rsid w:val="00536C94"/>
    <w:rsid w:val="00543FAB"/>
    <w:rsid w:val="00545754"/>
    <w:rsid w:val="0055482F"/>
    <w:rsid w:val="005611E6"/>
    <w:rsid w:val="00567045"/>
    <w:rsid w:val="00567C3D"/>
    <w:rsid w:val="00570811"/>
    <w:rsid w:val="00571D8B"/>
    <w:rsid w:val="005820C9"/>
    <w:rsid w:val="00585FB1"/>
    <w:rsid w:val="005A4558"/>
    <w:rsid w:val="005A5263"/>
    <w:rsid w:val="005A673E"/>
    <w:rsid w:val="005D2995"/>
    <w:rsid w:val="005D2BDD"/>
    <w:rsid w:val="005E4B33"/>
    <w:rsid w:val="005E72D1"/>
    <w:rsid w:val="005F57BE"/>
    <w:rsid w:val="00601819"/>
    <w:rsid w:val="00604D63"/>
    <w:rsid w:val="00604D69"/>
    <w:rsid w:val="00622D52"/>
    <w:rsid w:val="00623E85"/>
    <w:rsid w:val="00624B52"/>
    <w:rsid w:val="00627DCD"/>
    <w:rsid w:val="00641B1E"/>
    <w:rsid w:val="00646C86"/>
    <w:rsid w:val="00646E3D"/>
    <w:rsid w:val="006502BF"/>
    <w:rsid w:val="006609EB"/>
    <w:rsid w:val="006620D9"/>
    <w:rsid w:val="00662343"/>
    <w:rsid w:val="00663DCC"/>
    <w:rsid w:val="00664A52"/>
    <w:rsid w:val="00666D6A"/>
    <w:rsid w:val="00667452"/>
    <w:rsid w:val="0067279A"/>
    <w:rsid w:val="006749FB"/>
    <w:rsid w:val="006805EF"/>
    <w:rsid w:val="00682598"/>
    <w:rsid w:val="00687344"/>
    <w:rsid w:val="0068798C"/>
    <w:rsid w:val="0069583B"/>
    <w:rsid w:val="006A19DC"/>
    <w:rsid w:val="006A5EBA"/>
    <w:rsid w:val="006B429B"/>
    <w:rsid w:val="006B7331"/>
    <w:rsid w:val="006B777F"/>
    <w:rsid w:val="006B7890"/>
    <w:rsid w:val="006C650E"/>
    <w:rsid w:val="006D44D0"/>
    <w:rsid w:val="006E1E6D"/>
    <w:rsid w:val="006E27A5"/>
    <w:rsid w:val="006E42F7"/>
    <w:rsid w:val="006E796D"/>
    <w:rsid w:val="006F7509"/>
    <w:rsid w:val="0070666F"/>
    <w:rsid w:val="0072282A"/>
    <w:rsid w:val="0072383F"/>
    <w:rsid w:val="00726B07"/>
    <w:rsid w:val="00730242"/>
    <w:rsid w:val="007328D6"/>
    <w:rsid w:val="007402DC"/>
    <w:rsid w:val="007408DF"/>
    <w:rsid w:val="00745EA7"/>
    <w:rsid w:val="007472D6"/>
    <w:rsid w:val="007506AE"/>
    <w:rsid w:val="007509AD"/>
    <w:rsid w:val="007533DF"/>
    <w:rsid w:val="007709E5"/>
    <w:rsid w:val="007717C0"/>
    <w:rsid w:val="00775B6A"/>
    <w:rsid w:val="00777096"/>
    <w:rsid w:val="007A3E1A"/>
    <w:rsid w:val="007A4421"/>
    <w:rsid w:val="007A61B8"/>
    <w:rsid w:val="007C25C1"/>
    <w:rsid w:val="007C3F32"/>
    <w:rsid w:val="007C7D81"/>
    <w:rsid w:val="007D3F16"/>
    <w:rsid w:val="007D40D8"/>
    <w:rsid w:val="007D549C"/>
    <w:rsid w:val="007D7D13"/>
    <w:rsid w:val="007E33C0"/>
    <w:rsid w:val="007E5BB4"/>
    <w:rsid w:val="007F11C3"/>
    <w:rsid w:val="007F64AF"/>
    <w:rsid w:val="0080012E"/>
    <w:rsid w:val="00803392"/>
    <w:rsid w:val="00806737"/>
    <w:rsid w:val="008165EB"/>
    <w:rsid w:val="00820A44"/>
    <w:rsid w:val="00820E60"/>
    <w:rsid w:val="00821511"/>
    <w:rsid w:val="00823C8A"/>
    <w:rsid w:val="0083057D"/>
    <w:rsid w:val="00844D61"/>
    <w:rsid w:val="00850674"/>
    <w:rsid w:val="00857421"/>
    <w:rsid w:val="0086355D"/>
    <w:rsid w:val="00874727"/>
    <w:rsid w:val="0087757E"/>
    <w:rsid w:val="0088682F"/>
    <w:rsid w:val="008A17AA"/>
    <w:rsid w:val="008A19E7"/>
    <w:rsid w:val="008A27DD"/>
    <w:rsid w:val="008A6A71"/>
    <w:rsid w:val="008B7948"/>
    <w:rsid w:val="008C28DD"/>
    <w:rsid w:val="008C53BE"/>
    <w:rsid w:val="008D22C7"/>
    <w:rsid w:val="008E181F"/>
    <w:rsid w:val="008E2441"/>
    <w:rsid w:val="008E412F"/>
    <w:rsid w:val="008F0BF6"/>
    <w:rsid w:val="008F72FD"/>
    <w:rsid w:val="008F7E90"/>
    <w:rsid w:val="00904275"/>
    <w:rsid w:val="0092246E"/>
    <w:rsid w:val="00922F05"/>
    <w:rsid w:val="00923C3B"/>
    <w:rsid w:val="00935B8C"/>
    <w:rsid w:val="00953171"/>
    <w:rsid w:val="009539D3"/>
    <w:rsid w:val="00967C1F"/>
    <w:rsid w:val="00982127"/>
    <w:rsid w:val="00983344"/>
    <w:rsid w:val="00983F38"/>
    <w:rsid w:val="00994B35"/>
    <w:rsid w:val="009A227B"/>
    <w:rsid w:val="009A3B32"/>
    <w:rsid w:val="009A3F44"/>
    <w:rsid w:val="009B4B9E"/>
    <w:rsid w:val="009C1B3C"/>
    <w:rsid w:val="009D0AA1"/>
    <w:rsid w:val="009D2D8F"/>
    <w:rsid w:val="009E297B"/>
    <w:rsid w:val="009F1CEB"/>
    <w:rsid w:val="00A04E7B"/>
    <w:rsid w:val="00A1372D"/>
    <w:rsid w:val="00A1474F"/>
    <w:rsid w:val="00A24A46"/>
    <w:rsid w:val="00A27D53"/>
    <w:rsid w:val="00A27F66"/>
    <w:rsid w:val="00A311AB"/>
    <w:rsid w:val="00A36C54"/>
    <w:rsid w:val="00A41989"/>
    <w:rsid w:val="00A43D65"/>
    <w:rsid w:val="00A4447D"/>
    <w:rsid w:val="00A61113"/>
    <w:rsid w:val="00A6707C"/>
    <w:rsid w:val="00A71A53"/>
    <w:rsid w:val="00A71F13"/>
    <w:rsid w:val="00A7736C"/>
    <w:rsid w:val="00A8620A"/>
    <w:rsid w:val="00AA686C"/>
    <w:rsid w:val="00AB38CB"/>
    <w:rsid w:val="00AB5AAA"/>
    <w:rsid w:val="00AD0B7F"/>
    <w:rsid w:val="00AD0DE5"/>
    <w:rsid w:val="00AD2C13"/>
    <w:rsid w:val="00AD7C03"/>
    <w:rsid w:val="00AE2840"/>
    <w:rsid w:val="00AE4CCC"/>
    <w:rsid w:val="00AE5668"/>
    <w:rsid w:val="00AF7358"/>
    <w:rsid w:val="00B0014B"/>
    <w:rsid w:val="00B13F2C"/>
    <w:rsid w:val="00B272CA"/>
    <w:rsid w:val="00B35EDD"/>
    <w:rsid w:val="00B4140A"/>
    <w:rsid w:val="00B418A0"/>
    <w:rsid w:val="00B42002"/>
    <w:rsid w:val="00B56E19"/>
    <w:rsid w:val="00B5748C"/>
    <w:rsid w:val="00B64458"/>
    <w:rsid w:val="00B679D1"/>
    <w:rsid w:val="00B7277D"/>
    <w:rsid w:val="00B76517"/>
    <w:rsid w:val="00B8285C"/>
    <w:rsid w:val="00B87233"/>
    <w:rsid w:val="00B87D26"/>
    <w:rsid w:val="00B93F19"/>
    <w:rsid w:val="00B94449"/>
    <w:rsid w:val="00BA0FDD"/>
    <w:rsid w:val="00BA4CE9"/>
    <w:rsid w:val="00BA5549"/>
    <w:rsid w:val="00BD1FC3"/>
    <w:rsid w:val="00BE580F"/>
    <w:rsid w:val="00BF0E2E"/>
    <w:rsid w:val="00C013D9"/>
    <w:rsid w:val="00C03068"/>
    <w:rsid w:val="00C0535C"/>
    <w:rsid w:val="00C15C5E"/>
    <w:rsid w:val="00C20720"/>
    <w:rsid w:val="00C32DD1"/>
    <w:rsid w:val="00C4251E"/>
    <w:rsid w:val="00C613FC"/>
    <w:rsid w:val="00C62FF6"/>
    <w:rsid w:val="00C64C1A"/>
    <w:rsid w:val="00C71B79"/>
    <w:rsid w:val="00C725F9"/>
    <w:rsid w:val="00C73B6F"/>
    <w:rsid w:val="00C8281A"/>
    <w:rsid w:val="00C8675B"/>
    <w:rsid w:val="00C926E7"/>
    <w:rsid w:val="00C92AF4"/>
    <w:rsid w:val="00C9640F"/>
    <w:rsid w:val="00C971CE"/>
    <w:rsid w:val="00CA08DF"/>
    <w:rsid w:val="00CA2C14"/>
    <w:rsid w:val="00CA32AE"/>
    <w:rsid w:val="00CA75DE"/>
    <w:rsid w:val="00CB160D"/>
    <w:rsid w:val="00CB3666"/>
    <w:rsid w:val="00CC0A2E"/>
    <w:rsid w:val="00CC75C5"/>
    <w:rsid w:val="00CD00FD"/>
    <w:rsid w:val="00CE3FAE"/>
    <w:rsid w:val="00CF1C96"/>
    <w:rsid w:val="00CF5B31"/>
    <w:rsid w:val="00CF5B98"/>
    <w:rsid w:val="00D25124"/>
    <w:rsid w:val="00D32205"/>
    <w:rsid w:val="00D3636E"/>
    <w:rsid w:val="00D40797"/>
    <w:rsid w:val="00D41D2D"/>
    <w:rsid w:val="00D44E7B"/>
    <w:rsid w:val="00D66D95"/>
    <w:rsid w:val="00D73059"/>
    <w:rsid w:val="00D83A1F"/>
    <w:rsid w:val="00D93F20"/>
    <w:rsid w:val="00DA4C30"/>
    <w:rsid w:val="00DB04B5"/>
    <w:rsid w:val="00DC0F5F"/>
    <w:rsid w:val="00DC0F85"/>
    <w:rsid w:val="00DC2278"/>
    <w:rsid w:val="00DC2C41"/>
    <w:rsid w:val="00DC53B9"/>
    <w:rsid w:val="00DD1B6E"/>
    <w:rsid w:val="00DD7C1C"/>
    <w:rsid w:val="00DE073D"/>
    <w:rsid w:val="00DE4FD0"/>
    <w:rsid w:val="00DF0824"/>
    <w:rsid w:val="00DF0D22"/>
    <w:rsid w:val="00DF5B9C"/>
    <w:rsid w:val="00DF7F38"/>
    <w:rsid w:val="00E022F7"/>
    <w:rsid w:val="00E05115"/>
    <w:rsid w:val="00E23412"/>
    <w:rsid w:val="00E23948"/>
    <w:rsid w:val="00E24D02"/>
    <w:rsid w:val="00E31945"/>
    <w:rsid w:val="00E32047"/>
    <w:rsid w:val="00E41A29"/>
    <w:rsid w:val="00E4556E"/>
    <w:rsid w:val="00E53572"/>
    <w:rsid w:val="00E54047"/>
    <w:rsid w:val="00E653DC"/>
    <w:rsid w:val="00E70F0C"/>
    <w:rsid w:val="00E71A00"/>
    <w:rsid w:val="00E73CDB"/>
    <w:rsid w:val="00E75308"/>
    <w:rsid w:val="00E81ECD"/>
    <w:rsid w:val="00E83828"/>
    <w:rsid w:val="00E94BDC"/>
    <w:rsid w:val="00EA0AFB"/>
    <w:rsid w:val="00EA79AD"/>
    <w:rsid w:val="00EB2D07"/>
    <w:rsid w:val="00EB49C6"/>
    <w:rsid w:val="00EB77F6"/>
    <w:rsid w:val="00EC2083"/>
    <w:rsid w:val="00EC6386"/>
    <w:rsid w:val="00ED4FFA"/>
    <w:rsid w:val="00EF369D"/>
    <w:rsid w:val="00EF540C"/>
    <w:rsid w:val="00EF589C"/>
    <w:rsid w:val="00F12045"/>
    <w:rsid w:val="00F17038"/>
    <w:rsid w:val="00F25535"/>
    <w:rsid w:val="00F3247A"/>
    <w:rsid w:val="00F349C0"/>
    <w:rsid w:val="00F43577"/>
    <w:rsid w:val="00F47C64"/>
    <w:rsid w:val="00F61950"/>
    <w:rsid w:val="00F76853"/>
    <w:rsid w:val="00F801D2"/>
    <w:rsid w:val="00F8306F"/>
    <w:rsid w:val="00F860D4"/>
    <w:rsid w:val="00F93507"/>
    <w:rsid w:val="00F94BD8"/>
    <w:rsid w:val="00F959E9"/>
    <w:rsid w:val="00FA1B99"/>
    <w:rsid w:val="00FA4A32"/>
    <w:rsid w:val="00FB5DAD"/>
    <w:rsid w:val="00FD72A0"/>
    <w:rsid w:val="00FE06B8"/>
    <w:rsid w:val="00FF132D"/>
    <w:rsid w:val="00FF5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8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 w:type="paragraph" w:customStyle="1" w:styleId="subsection">
    <w:name w:val="subsection"/>
    <w:aliases w:val="ss"/>
    <w:basedOn w:val="Normal"/>
    <w:link w:val="subsectionChar"/>
    <w:rsid w:val="00D25124"/>
    <w:pPr>
      <w:tabs>
        <w:tab w:val="right" w:pos="1021"/>
      </w:tabs>
      <w:spacing w:before="180" w:after="0" w:line="240" w:lineRule="auto"/>
      <w:ind w:left="1134" w:hanging="1134"/>
    </w:pPr>
    <w:rPr>
      <w:rFonts w:ascii="Times New Roman" w:eastAsia="Times New Roman" w:hAnsi="Times New Roman" w:cs="Times New Roman"/>
      <w:szCs w:val="20"/>
    </w:rPr>
  </w:style>
  <w:style w:type="paragraph" w:customStyle="1" w:styleId="paragraph">
    <w:name w:val="paragraph"/>
    <w:aliases w:val="a"/>
    <w:basedOn w:val="Normal"/>
    <w:link w:val="paragraphChar"/>
    <w:rsid w:val="00D25124"/>
    <w:pPr>
      <w:tabs>
        <w:tab w:val="right" w:pos="1531"/>
      </w:tabs>
      <w:spacing w:before="40" w:after="0" w:line="240" w:lineRule="auto"/>
      <w:ind w:left="1644" w:hanging="1644"/>
    </w:pPr>
    <w:rPr>
      <w:rFonts w:ascii="Times New Roman" w:eastAsia="Times New Roman" w:hAnsi="Times New Roman" w:cs="Times New Roman"/>
      <w:szCs w:val="20"/>
    </w:rPr>
  </w:style>
  <w:style w:type="paragraph" w:customStyle="1" w:styleId="SubsectionHead">
    <w:name w:val="SubsectionHead"/>
    <w:aliases w:val="ssh"/>
    <w:basedOn w:val="Normal"/>
    <w:next w:val="subsection"/>
    <w:rsid w:val="00D25124"/>
    <w:pPr>
      <w:keepNext/>
      <w:keepLines/>
      <w:spacing w:before="240" w:after="0" w:line="240" w:lineRule="auto"/>
      <w:ind w:left="1134"/>
    </w:pPr>
    <w:rPr>
      <w:rFonts w:ascii="Times New Roman" w:eastAsia="Times New Roman" w:hAnsi="Times New Roman" w:cs="Times New Roman"/>
      <w:i/>
      <w:szCs w:val="20"/>
    </w:rPr>
  </w:style>
  <w:style w:type="character" w:customStyle="1" w:styleId="subsectionChar">
    <w:name w:val="subsection Char"/>
    <w:aliases w:val="ss Char"/>
    <w:link w:val="subsection"/>
    <w:locked/>
    <w:rsid w:val="00D25124"/>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D25124"/>
    <w:rPr>
      <w:rFonts w:ascii="Times New Roman" w:eastAsia="Times New Roman" w:hAnsi="Times New Roman" w:cs="Times New Roman"/>
      <w:szCs w:val="20"/>
      <w:lang w:eastAsia="en-AU"/>
    </w:rPr>
  </w:style>
  <w:style w:type="paragraph" w:customStyle="1" w:styleId="ActHead5">
    <w:name w:val="ActHead 5"/>
    <w:aliases w:val="s"/>
    <w:basedOn w:val="Normal"/>
    <w:next w:val="subsection"/>
    <w:link w:val="ActHead5Char"/>
    <w:qFormat/>
    <w:rsid w:val="00D25124"/>
    <w:pPr>
      <w:keepNext/>
      <w:keepLines/>
      <w:spacing w:before="280" w:after="0" w:line="240" w:lineRule="auto"/>
      <w:ind w:left="1134" w:hanging="1134"/>
      <w:outlineLvl w:val="4"/>
    </w:pPr>
    <w:rPr>
      <w:rFonts w:ascii="Times New Roman" w:eastAsia="Times New Roman" w:hAnsi="Times New Roman" w:cs="Times New Roman"/>
      <w:b/>
      <w:kern w:val="28"/>
      <w:sz w:val="24"/>
      <w:szCs w:val="20"/>
    </w:rPr>
  </w:style>
  <w:style w:type="character" w:customStyle="1" w:styleId="CharSectno">
    <w:name w:val="CharSectno"/>
    <w:basedOn w:val="DefaultParagraphFont"/>
    <w:qFormat/>
    <w:rsid w:val="00D25124"/>
  </w:style>
  <w:style w:type="character" w:customStyle="1" w:styleId="ActHead5Char">
    <w:name w:val="ActHead 5 Char"/>
    <w:aliases w:val="s Char"/>
    <w:link w:val="ActHead5"/>
    <w:rsid w:val="00D25124"/>
    <w:rPr>
      <w:rFonts w:ascii="Times New Roman" w:eastAsia="Times New Roman" w:hAnsi="Times New Roman" w:cs="Times New Roman"/>
      <w:b/>
      <w:kern w:val="28"/>
      <w:sz w:val="24"/>
      <w:szCs w:val="20"/>
      <w:lang w:eastAsia="en-AU"/>
    </w:rPr>
  </w:style>
  <w:style w:type="character" w:customStyle="1" w:styleId="UnresolvedMention">
    <w:name w:val="Unresolved Mention"/>
    <w:basedOn w:val="DefaultParagraphFont"/>
    <w:uiPriority w:val="99"/>
    <w:semiHidden/>
    <w:unhideWhenUsed/>
    <w:rsid w:val="005A5263"/>
    <w:rPr>
      <w:color w:val="605E5C"/>
      <w:shd w:val="clear" w:color="auto" w:fill="E1DFDD"/>
    </w:rPr>
  </w:style>
  <w:style w:type="paragraph" w:styleId="Revision">
    <w:name w:val="Revision"/>
    <w:hidden/>
    <w:uiPriority w:val="99"/>
    <w:semiHidden/>
    <w:rsid w:val="006620D9"/>
    <w:rPr>
      <w:rFonts w:eastAsiaTheme="minorEastAsia"/>
      <w:lang w:eastAsia="en-AU"/>
    </w:rPr>
  </w:style>
  <w:style w:type="paragraph" w:styleId="Bibliography">
    <w:name w:val="Bibliography"/>
    <w:basedOn w:val="Normal"/>
    <w:next w:val="Normal"/>
    <w:uiPriority w:val="37"/>
    <w:unhideWhenUsed/>
    <w:rsid w:val="004A0E23"/>
    <w:pPr>
      <w:spacing w:after="0" w:line="24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 w:type="paragraph" w:customStyle="1" w:styleId="subsection">
    <w:name w:val="subsection"/>
    <w:aliases w:val="ss"/>
    <w:basedOn w:val="Normal"/>
    <w:link w:val="subsectionChar"/>
    <w:rsid w:val="00D25124"/>
    <w:pPr>
      <w:tabs>
        <w:tab w:val="right" w:pos="1021"/>
      </w:tabs>
      <w:spacing w:before="180" w:after="0" w:line="240" w:lineRule="auto"/>
      <w:ind w:left="1134" w:hanging="1134"/>
    </w:pPr>
    <w:rPr>
      <w:rFonts w:ascii="Times New Roman" w:eastAsia="Times New Roman" w:hAnsi="Times New Roman" w:cs="Times New Roman"/>
      <w:szCs w:val="20"/>
    </w:rPr>
  </w:style>
  <w:style w:type="paragraph" w:customStyle="1" w:styleId="paragraph">
    <w:name w:val="paragraph"/>
    <w:aliases w:val="a"/>
    <w:basedOn w:val="Normal"/>
    <w:link w:val="paragraphChar"/>
    <w:rsid w:val="00D25124"/>
    <w:pPr>
      <w:tabs>
        <w:tab w:val="right" w:pos="1531"/>
      </w:tabs>
      <w:spacing w:before="40" w:after="0" w:line="240" w:lineRule="auto"/>
      <w:ind w:left="1644" w:hanging="1644"/>
    </w:pPr>
    <w:rPr>
      <w:rFonts w:ascii="Times New Roman" w:eastAsia="Times New Roman" w:hAnsi="Times New Roman" w:cs="Times New Roman"/>
      <w:szCs w:val="20"/>
    </w:rPr>
  </w:style>
  <w:style w:type="paragraph" w:customStyle="1" w:styleId="SubsectionHead">
    <w:name w:val="SubsectionHead"/>
    <w:aliases w:val="ssh"/>
    <w:basedOn w:val="Normal"/>
    <w:next w:val="subsection"/>
    <w:rsid w:val="00D25124"/>
    <w:pPr>
      <w:keepNext/>
      <w:keepLines/>
      <w:spacing w:before="240" w:after="0" w:line="240" w:lineRule="auto"/>
      <w:ind w:left="1134"/>
    </w:pPr>
    <w:rPr>
      <w:rFonts w:ascii="Times New Roman" w:eastAsia="Times New Roman" w:hAnsi="Times New Roman" w:cs="Times New Roman"/>
      <w:i/>
      <w:szCs w:val="20"/>
    </w:rPr>
  </w:style>
  <w:style w:type="character" w:customStyle="1" w:styleId="subsectionChar">
    <w:name w:val="subsection Char"/>
    <w:aliases w:val="ss Char"/>
    <w:link w:val="subsection"/>
    <w:locked/>
    <w:rsid w:val="00D25124"/>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D25124"/>
    <w:rPr>
      <w:rFonts w:ascii="Times New Roman" w:eastAsia="Times New Roman" w:hAnsi="Times New Roman" w:cs="Times New Roman"/>
      <w:szCs w:val="20"/>
      <w:lang w:eastAsia="en-AU"/>
    </w:rPr>
  </w:style>
  <w:style w:type="paragraph" w:customStyle="1" w:styleId="ActHead5">
    <w:name w:val="ActHead 5"/>
    <w:aliases w:val="s"/>
    <w:basedOn w:val="Normal"/>
    <w:next w:val="subsection"/>
    <w:link w:val="ActHead5Char"/>
    <w:qFormat/>
    <w:rsid w:val="00D25124"/>
    <w:pPr>
      <w:keepNext/>
      <w:keepLines/>
      <w:spacing w:before="280" w:after="0" w:line="240" w:lineRule="auto"/>
      <w:ind w:left="1134" w:hanging="1134"/>
      <w:outlineLvl w:val="4"/>
    </w:pPr>
    <w:rPr>
      <w:rFonts w:ascii="Times New Roman" w:eastAsia="Times New Roman" w:hAnsi="Times New Roman" w:cs="Times New Roman"/>
      <w:b/>
      <w:kern w:val="28"/>
      <w:sz w:val="24"/>
      <w:szCs w:val="20"/>
    </w:rPr>
  </w:style>
  <w:style w:type="character" w:customStyle="1" w:styleId="CharSectno">
    <w:name w:val="CharSectno"/>
    <w:basedOn w:val="DefaultParagraphFont"/>
    <w:qFormat/>
    <w:rsid w:val="00D25124"/>
  </w:style>
  <w:style w:type="character" w:customStyle="1" w:styleId="ActHead5Char">
    <w:name w:val="ActHead 5 Char"/>
    <w:aliases w:val="s Char"/>
    <w:link w:val="ActHead5"/>
    <w:rsid w:val="00D25124"/>
    <w:rPr>
      <w:rFonts w:ascii="Times New Roman" w:eastAsia="Times New Roman" w:hAnsi="Times New Roman" w:cs="Times New Roman"/>
      <w:b/>
      <w:kern w:val="28"/>
      <w:sz w:val="24"/>
      <w:szCs w:val="20"/>
      <w:lang w:eastAsia="en-AU"/>
    </w:rPr>
  </w:style>
  <w:style w:type="character" w:customStyle="1" w:styleId="UnresolvedMention">
    <w:name w:val="Unresolved Mention"/>
    <w:basedOn w:val="DefaultParagraphFont"/>
    <w:uiPriority w:val="99"/>
    <w:semiHidden/>
    <w:unhideWhenUsed/>
    <w:rsid w:val="005A5263"/>
    <w:rPr>
      <w:color w:val="605E5C"/>
      <w:shd w:val="clear" w:color="auto" w:fill="E1DFDD"/>
    </w:rPr>
  </w:style>
  <w:style w:type="paragraph" w:styleId="Revision">
    <w:name w:val="Revision"/>
    <w:hidden/>
    <w:uiPriority w:val="99"/>
    <w:semiHidden/>
    <w:rsid w:val="006620D9"/>
    <w:rPr>
      <w:rFonts w:eastAsiaTheme="minorEastAsia"/>
      <w:lang w:eastAsia="en-AU"/>
    </w:rPr>
  </w:style>
  <w:style w:type="paragraph" w:styleId="Bibliography">
    <w:name w:val="Bibliography"/>
    <w:basedOn w:val="Normal"/>
    <w:next w:val="Normal"/>
    <w:uiPriority w:val="37"/>
    <w:unhideWhenUsed/>
    <w:rsid w:val="004A0E23"/>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treasury.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CCDC5-FDFF-431B-AD95-2532E51B1C26}">
  <ds:schemaRefs>
    <ds:schemaRef ds:uri="http://schemas.openxmlformats.org/officeDocument/2006/bibliography"/>
  </ds:schemaRefs>
</ds:datastoreItem>
</file>

<file path=customXml/itemProps2.xml><?xml version="1.0" encoding="utf-8"?>
<ds:datastoreItem xmlns:ds="http://schemas.openxmlformats.org/officeDocument/2006/customXml" ds:itemID="{24AD91D7-C7B9-4BBD-9922-9D422250776C}"/>
</file>

<file path=customXml/itemProps3.xml><?xml version="1.0" encoding="utf-8"?>
<ds:datastoreItem xmlns:ds="http://schemas.openxmlformats.org/officeDocument/2006/customXml" ds:itemID="{9B4A16E2-3DFB-4D9A-8673-CBF062036D17}"/>
</file>

<file path=customXml/itemProps4.xml><?xml version="1.0" encoding="utf-8"?>
<ds:datastoreItem xmlns:ds="http://schemas.openxmlformats.org/officeDocument/2006/customXml" ds:itemID="{1CF9A69B-5F62-496C-B341-30E3E2FA684D}"/>
</file>

<file path=docProps/app.xml><?xml version="1.0" encoding="utf-8"?>
<Properties xmlns="http://schemas.openxmlformats.org/officeDocument/2006/extended-properties" xmlns:vt="http://schemas.openxmlformats.org/officeDocument/2006/docPropsVTypes">
  <Template>Normal</Template>
  <TotalTime>4</TotalTime>
  <Pages>7</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Gareth Downing</cp:lastModifiedBy>
  <cp:revision>10</cp:revision>
  <cp:lastPrinted>2012-12-11T06:08:00Z</cp:lastPrinted>
  <dcterms:created xsi:type="dcterms:W3CDTF">2018-10-11T04:17:00Z</dcterms:created>
  <dcterms:modified xsi:type="dcterms:W3CDTF">2018-10-11T22:49:00Z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zotero-version="5.0.55.1"&gt;&lt;session id="rI1JfqJA"/&gt;&lt;style id="http://www.zotero.org/styles/elsevier-harvard"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0x01010065CB11904FCB124BB6ADC686B50405ED</vt:lpwstr>
  </property>
</Properties>
</file>