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EA" w:rsidRPr="00DD0AEA" w:rsidRDefault="006F6338" w:rsidP="00DD0AEA">
      <w:pPr>
        <w:spacing w:before="2040" w:after="120" w:line="240" w:lineRule="auto"/>
        <w:contextualSpacing/>
        <w:jc w:val="center"/>
        <w:rPr>
          <w:rFonts w:ascii="Calibri" w:eastAsiaTheme="majorEastAsia" w:hAnsi="Calibri" w:cstheme="majorBidi"/>
          <w:b/>
          <w:spacing w:val="5"/>
          <w:kern w:val="28"/>
          <w:sz w:val="52"/>
          <w:szCs w:val="52"/>
          <w:lang w:val="en-AU"/>
        </w:rPr>
      </w:pPr>
      <w:r>
        <w:rPr>
          <w:rFonts w:ascii="Calibri" w:eastAsiaTheme="majorEastAsia" w:hAnsi="Calibri" w:cstheme="majorBidi"/>
          <w:b/>
          <w:spacing w:val="5"/>
          <w:kern w:val="28"/>
          <w:sz w:val="52"/>
          <w:szCs w:val="52"/>
          <w:lang w:val="en-AU"/>
        </w:rPr>
        <w:t xml:space="preserve">Variation to the NBN Co Special Access Undertaking – expiring non-price provisions consultation </w:t>
      </w:r>
    </w:p>
    <w:p w:rsidR="00DD0AEA" w:rsidRPr="00DD0AEA" w:rsidRDefault="00DD0AEA" w:rsidP="00DD0AEA">
      <w:pPr>
        <w:spacing w:before="360" w:after="360" w:line="240" w:lineRule="auto"/>
        <w:jc w:val="center"/>
        <w:rPr>
          <w:rFonts w:ascii="Calibri" w:eastAsiaTheme="minorEastAsia" w:hAnsi="Calibri"/>
          <w:sz w:val="32"/>
          <w:szCs w:val="32"/>
          <w:lang w:val="en-AU"/>
        </w:rPr>
      </w:pPr>
      <w:r w:rsidRPr="00DD0AEA">
        <w:rPr>
          <w:rFonts w:ascii="Calibri" w:eastAsiaTheme="minorEastAsia" w:hAnsi="Calibri"/>
          <w:sz w:val="32"/>
          <w:szCs w:val="32"/>
          <w:lang w:val="en-AU"/>
        </w:rPr>
        <w:t>Submission by the Australian Communications Consumer Action Network</w:t>
      </w:r>
    </w:p>
    <w:p w:rsidR="00DD0AEA" w:rsidRPr="00DD0AEA" w:rsidRDefault="006F6338" w:rsidP="00DD0AEA">
      <w:pPr>
        <w:spacing w:before="360" w:after="360" w:line="240" w:lineRule="auto"/>
        <w:jc w:val="center"/>
        <w:rPr>
          <w:rFonts w:ascii="Calibri" w:eastAsiaTheme="minorEastAsia" w:hAnsi="Calibri"/>
          <w:sz w:val="32"/>
          <w:szCs w:val="32"/>
          <w:lang w:val="en-AU"/>
        </w:rPr>
      </w:pPr>
      <w:r>
        <w:rPr>
          <w:rFonts w:ascii="Calibri" w:eastAsiaTheme="minorEastAsia" w:hAnsi="Calibri"/>
          <w:sz w:val="32"/>
          <w:szCs w:val="32"/>
          <w:lang w:val="en-AU"/>
        </w:rPr>
        <w:t>10 June 2019</w:t>
      </w:r>
    </w:p>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rPr>
      </w:pPr>
      <w:r w:rsidRPr="00DD0AEA">
        <w:rPr>
          <w:rFonts w:eastAsiaTheme="minorEastAsia" w:cstheme="minorHAnsi"/>
          <w:sz w:val="24"/>
          <w:szCs w:val="24"/>
          <w:lang w:val="en-AU"/>
        </w:rPr>
        <w:br w:type="page"/>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lastRenderedPageBreak/>
        <w:t xml:space="preserve">About ACCAN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The Australian Communications Consumer Action Network (ACCAN) is the peak body that represents all consumers on communications issues including telecommunications, broadband and emerging new services. ACCAN provides a strong unified voice to industry and government as consumers work towards availability, accessibility and affordability of communications services for all Australians.</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Consumers need ACCAN to promote better consumer protection outcomes ensuring speedy responses to complaints and issues. ACCAN aims to empower consumers so that they are well informed and can make good choices about products and services. As a peak body, ACCAN will represent the views of its broad and diverse membership base to policy makers, government and industry to get better outcomes for all communications consumers. </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b/>
          <w:sz w:val="24"/>
          <w:lang w:val="en-AU" w:eastAsia="en-AU"/>
        </w:rPr>
      </w:pPr>
      <w:r w:rsidRPr="00DD0AEA">
        <w:rPr>
          <w:rFonts w:ascii="Times New Roman" w:eastAsiaTheme="minorEastAsia" w:hAnsi="Times New Roman" w:cs="Times New Roman"/>
          <w:b/>
          <w:sz w:val="24"/>
          <w:lang w:val="en-AU" w:eastAsia="en-AU"/>
        </w:rPr>
        <w:t>Contact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 xml:space="preserve">Gareth Downing </w:t>
      </w:r>
      <w:r w:rsidRPr="00DD0AEA">
        <w:rPr>
          <w:rFonts w:ascii="Times New Roman" w:eastAsiaTheme="minorEastAsia" w:hAnsi="Times New Roman" w:cs="Times New Roman"/>
          <w:sz w:val="24"/>
          <w:szCs w:val="24"/>
          <w:lang w:val="en-AU" w:eastAsia="en-AU"/>
        </w:rPr>
        <w:br/>
        <w:t>Senior Policy Analyst</w:t>
      </w:r>
    </w:p>
    <w:p w:rsidR="00DD0AEA" w:rsidRPr="00DD0AEA" w:rsidRDefault="00DD0AEA" w:rsidP="00DD0AEA">
      <w:pPr>
        <w:spacing w:before="100" w:beforeAutospacing="1" w:after="100" w:afterAutospacing="1" w:line="240" w:lineRule="auto"/>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Suite 402, Level 4</w:t>
      </w:r>
      <w:r w:rsidRPr="00DD0AEA">
        <w:rPr>
          <w:rFonts w:ascii="Times New Roman" w:eastAsiaTheme="minorEastAsia" w:hAnsi="Times New Roman" w:cs="Times New Roman"/>
          <w:sz w:val="24"/>
          <w:szCs w:val="24"/>
          <w:lang w:val="en-AU" w:eastAsia="en-AU"/>
        </w:rPr>
        <w:br/>
        <w:t>55 Mountain Street</w:t>
      </w:r>
      <w:r w:rsidRPr="00DD0AEA">
        <w:rPr>
          <w:rFonts w:ascii="Times New Roman" w:eastAsiaTheme="minorEastAsia" w:hAnsi="Times New Roman" w:cs="Times New Roman"/>
          <w:sz w:val="24"/>
          <w:szCs w:val="24"/>
          <w:lang w:val="en-AU" w:eastAsia="en-AU"/>
        </w:rPr>
        <w:br/>
        <w:t>Ultimo NSW, 2007</w:t>
      </w:r>
      <w:r w:rsidRPr="00DD0AEA">
        <w:rPr>
          <w:rFonts w:ascii="Times New Roman" w:eastAsiaTheme="minorEastAsia" w:hAnsi="Times New Roman" w:cs="Times New Roman"/>
          <w:sz w:val="24"/>
          <w:szCs w:val="24"/>
          <w:lang w:val="en-AU" w:eastAsia="en-AU"/>
        </w:rPr>
        <w:br/>
        <w:t xml:space="preserve">Email: </w:t>
      </w:r>
      <w:hyperlink r:id="rId9" w:history="1">
        <w:r w:rsidRPr="00DD0AEA">
          <w:rPr>
            <w:rFonts w:ascii="Times New Roman" w:eastAsiaTheme="minorEastAsia" w:hAnsi="Times New Roman" w:cs="Times New Roman"/>
            <w:color w:val="0000FF" w:themeColor="hyperlink"/>
            <w:sz w:val="24"/>
            <w:szCs w:val="24"/>
            <w:u w:val="single"/>
            <w:lang w:val="en-AU" w:eastAsia="en-AU"/>
          </w:rPr>
          <w:t>info@accan.org.au</w:t>
        </w:r>
      </w:hyperlink>
      <w:r w:rsidRPr="00DD0AEA">
        <w:rPr>
          <w:rFonts w:ascii="Times New Roman" w:eastAsiaTheme="minorEastAsia" w:hAnsi="Times New Roman" w:cs="Times New Roman"/>
          <w:color w:val="0000FF" w:themeColor="hyperlink"/>
          <w:sz w:val="24"/>
          <w:szCs w:val="24"/>
          <w:u w:val="single"/>
          <w:lang w:val="en-AU" w:eastAsia="en-AU"/>
        </w:rPr>
        <w:br/>
      </w:r>
      <w:r w:rsidRPr="00DD0AEA">
        <w:rPr>
          <w:rFonts w:ascii="Times New Roman" w:eastAsiaTheme="minorEastAsia" w:hAnsi="Times New Roman" w:cs="Times New Roman"/>
          <w:sz w:val="24"/>
          <w:szCs w:val="24"/>
          <w:lang w:val="en-AU" w:eastAsia="en-AU"/>
        </w:rPr>
        <w:t>Phone: (02) 9288 4000</w:t>
      </w:r>
      <w:r w:rsidRPr="00DD0AEA">
        <w:rPr>
          <w:rFonts w:ascii="Times New Roman" w:eastAsiaTheme="minorEastAsia" w:hAnsi="Times New Roman" w:cs="Times New Roman"/>
          <w:sz w:val="24"/>
          <w:szCs w:val="24"/>
          <w:lang w:val="en-AU" w:eastAsia="en-AU"/>
        </w:rPr>
        <w:br/>
        <w:t>Fax: (02) 9288 4019</w:t>
      </w:r>
      <w:r w:rsidRPr="00DD0AEA">
        <w:rPr>
          <w:rFonts w:ascii="Times New Roman" w:eastAsiaTheme="minorEastAsia" w:hAnsi="Times New Roman" w:cs="Times New Roman"/>
          <w:sz w:val="24"/>
          <w:szCs w:val="24"/>
          <w:lang w:val="en-AU" w:eastAsia="en-AU"/>
        </w:rPr>
        <w:br/>
        <w:t>TTY: 9281 5322</w:t>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tabs>
          <w:tab w:val="left" w:pos="3686"/>
        </w:tabs>
        <w:spacing w:before="100" w:beforeAutospacing="1" w:after="100" w:afterAutospacing="1" w:line="240" w:lineRule="auto"/>
        <w:jc w:val="both"/>
        <w:rPr>
          <w:rFonts w:ascii="Times New Roman" w:eastAsiaTheme="minorEastAsia" w:hAnsi="Times New Roman" w:cs="Times New Roman"/>
          <w:sz w:val="24"/>
          <w:szCs w:val="24"/>
          <w:lang w:val="en-AU" w:eastAsia="en-AU"/>
        </w:rPr>
      </w:pPr>
      <w:r w:rsidRPr="00DD0AEA">
        <w:rPr>
          <w:rFonts w:ascii="Times New Roman" w:eastAsiaTheme="minorEastAsia" w:hAnsi="Times New Roman" w:cs="Times New Roman"/>
          <w:sz w:val="24"/>
          <w:szCs w:val="24"/>
          <w:lang w:val="en-AU" w:eastAsia="en-AU"/>
        </w:rPr>
        <w:tab/>
      </w: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p w:rsidR="00DD0AEA" w:rsidRPr="00DD0AEA" w:rsidRDefault="00DD0AEA" w:rsidP="00DD0AEA">
      <w:pPr>
        <w:spacing w:before="100" w:beforeAutospacing="1" w:after="100" w:afterAutospacing="1" w:line="240" w:lineRule="auto"/>
        <w:jc w:val="both"/>
        <w:rPr>
          <w:rFonts w:ascii="Times New Roman" w:eastAsiaTheme="minorEastAsia" w:hAnsi="Times New Roman" w:cs="Times New Roman"/>
          <w:sz w:val="24"/>
          <w:szCs w:val="24"/>
          <w:lang w:val="en-AU" w:eastAsia="en-AU"/>
        </w:rPr>
      </w:pPr>
    </w:p>
    <w:sdt>
      <w:sdtPr>
        <w:rPr>
          <w:rFonts w:ascii="Calibri" w:eastAsiaTheme="minorEastAsia" w:hAnsi="Calibri"/>
          <w:sz w:val="24"/>
          <w:lang w:val="en-AU" w:eastAsia="en-AU"/>
        </w:rPr>
        <w:id w:val="-332999839"/>
        <w:docPartObj>
          <w:docPartGallery w:val="Table of Contents"/>
          <w:docPartUnique/>
        </w:docPartObj>
      </w:sdtPr>
      <w:sdtEndPr>
        <w:rPr>
          <w:b/>
          <w:noProof/>
        </w:rPr>
      </w:sdtEndPr>
      <w:sdtContent>
        <w:p w:rsidR="00DD0AEA" w:rsidRPr="00DD0AEA" w:rsidRDefault="00DD0AEA" w:rsidP="00DD0AEA">
          <w:pPr>
            <w:keepNext/>
            <w:keepLines/>
            <w:pageBreakBefore/>
            <w:spacing w:before="100" w:beforeAutospacing="1" w:after="240"/>
            <w:rPr>
              <w:rFonts w:ascii="Calibri" w:eastAsiaTheme="majorEastAsia" w:hAnsi="Calibri" w:cstheme="majorBidi"/>
              <w:bCs/>
              <w:sz w:val="48"/>
              <w:szCs w:val="28"/>
              <w:lang w:val="en-AU"/>
            </w:rPr>
          </w:pPr>
          <w:r w:rsidRPr="00DD0AEA">
            <w:rPr>
              <w:rFonts w:ascii="Calibri" w:eastAsiaTheme="majorEastAsia" w:hAnsi="Calibri" w:cstheme="majorBidi"/>
              <w:bCs/>
              <w:sz w:val="48"/>
              <w:szCs w:val="28"/>
              <w:lang w:val="en-AU"/>
            </w:rPr>
            <w:t>Contents</w:t>
          </w:r>
        </w:p>
        <w:p w:rsidR="003A0BC8" w:rsidRDefault="00DD0AEA">
          <w:pPr>
            <w:pStyle w:val="TOC1"/>
            <w:rPr>
              <w:rFonts w:asciiTheme="minorHAnsi" w:hAnsiTheme="minorHAnsi"/>
              <w:noProof/>
              <w:sz w:val="22"/>
              <w:lang w:val="en-US" w:eastAsia="en-US"/>
            </w:rPr>
          </w:pPr>
          <w:r w:rsidRPr="00DD0AEA">
            <w:fldChar w:fldCharType="begin"/>
          </w:r>
          <w:r w:rsidRPr="00DD0AEA">
            <w:instrText xml:space="preserve"> TOC \o "1-3" \h \z \u </w:instrText>
          </w:r>
          <w:r w:rsidRPr="00DD0AEA">
            <w:fldChar w:fldCharType="separate"/>
          </w:r>
          <w:hyperlink w:anchor="_Toc10822494" w:history="1">
            <w:r w:rsidR="003A0BC8" w:rsidRPr="00F27FAB">
              <w:rPr>
                <w:rStyle w:val="Hyperlink"/>
                <w:rFonts w:eastAsia="Arial Unicode MS" w:cs="font331"/>
                <w:bCs/>
                <w:noProof/>
                <w:kern w:val="1"/>
                <w:lang w:val="en-IE" w:eastAsia="hi-IN" w:bidi="hi-IN"/>
              </w:rPr>
              <w:t>Executive Summary and Recommendations</w:t>
            </w:r>
            <w:r w:rsidR="003A0BC8">
              <w:rPr>
                <w:noProof/>
                <w:webHidden/>
              </w:rPr>
              <w:tab/>
            </w:r>
            <w:r w:rsidR="003A0BC8">
              <w:rPr>
                <w:noProof/>
                <w:webHidden/>
              </w:rPr>
              <w:fldChar w:fldCharType="begin"/>
            </w:r>
            <w:r w:rsidR="003A0BC8">
              <w:rPr>
                <w:noProof/>
                <w:webHidden/>
              </w:rPr>
              <w:instrText xml:space="preserve"> PAGEREF _Toc10822494 \h </w:instrText>
            </w:r>
            <w:r w:rsidR="003A0BC8">
              <w:rPr>
                <w:noProof/>
                <w:webHidden/>
              </w:rPr>
            </w:r>
            <w:r w:rsidR="003A0BC8">
              <w:rPr>
                <w:noProof/>
                <w:webHidden/>
              </w:rPr>
              <w:fldChar w:fldCharType="separate"/>
            </w:r>
            <w:r w:rsidR="003A0BC8">
              <w:rPr>
                <w:noProof/>
                <w:webHidden/>
              </w:rPr>
              <w:t>4</w:t>
            </w:r>
            <w:r w:rsidR="003A0BC8">
              <w:rPr>
                <w:noProof/>
                <w:webHidden/>
              </w:rPr>
              <w:fldChar w:fldCharType="end"/>
            </w:r>
          </w:hyperlink>
        </w:p>
        <w:p w:rsidR="003A0BC8" w:rsidRDefault="003A0BC8">
          <w:pPr>
            <w:pStyle w:val="TOC1"/>
            <w:rPr>
              <w:rFonts w:asciiTheme="minorHAnsi" w:hAnsiTheme="minorHAnsi"/>
              <w:noProof/>
              <w:sz w:val="22"/>
              <w:lang w:val="en-US" w:eastAsia="en-US"/>
            </w:rPr>
          </w:pPr>
          <w:hyperlink w:anchor="_Toc10822495" w:history="1">
            <w:r w:rsidRPr="00F27FAB">
              <w:rPr>
                <w:rStyle w:val="Hyperlink"/>
                <w:rFonts w:eastAsia="Arial Unicode MS" w:cs="font331"/>
                <w:bCs/>
                <w:noProof/>
                <w:kern w:val="1"/>
                <w:lang w:val="en-IE" w:eastAsia="hi-IN" w:bidi="hi-IN"/>
              </w:rPr>
              <w:t>Endorsed network change provisions</w:t>
            </w:r>
            <w:r>
              <w:rPr>
                <w:noProof/>
                <w:webHidden/>
              </w:rPr>
              <w:tab/>
            </w:r>
            <w:r>
              <w:rPr>
                <w:noProof/>
                <w:webHidden/>
              </w:rPr>
              <w:fldChar w:fldCharType="begin"/>
            </w:r>
            <w:r>
              <w:rPr>
                <w:noProof/>
                <w:webHidden/>
              </w:rPr>
              <w:instrText xml:space="preserve"> PAGEREF _Toc10822495 \h </w:instrText>
            </w:r>
            <w:r>
              <w:rPr>
                <w:noProof/>
                <w:webHidden/>
              </w:rPr>
            </w:r>
            <w:r>
              <w:rPr>
                <w:noProof/>
                <w:webHidden/>
              </w:rPr>
              <w:fldChar w:fldCharType="separate"/>
            </w:r>
            <w:r>
              <w:rPr>
                <w:noProof/>
                <w:webHidden/>
              </w:rPr>
              <w:t>6</w:t>
            </w:r>
            <w:r>
              <w:rPr>
                <w:noProof/>
                <w:webHidden/>
              </w:rPr>
              <w:fldChar w:fldCharType="end"/>
            </w:r>
          </w:hyperlink>
        </w:p>
        <w:p w:rsidR="003A0BC8" w:rsidRDefault="003A0BC8">
          <w:pPr>
            <w:pStyle w:val="TOC1"/>
            <w:rPr>
              <w:rFonts w:asciiTheme="minorHAnsi" w:hAnsiTheme="minorHAnsi"/>
              <w:noProof/>
              <w:sz w:val="22"/>
              <w:lang w:val="en-US" w:eastAsia="en-US"/>
            </w:rPr>
          </w:pPr>
          <w:hyperlink w:anchor="_Toc10822496" w:history="1">
            <w:r w:rsidRPr="00F27FAB">
              <w:rPr>
                <w:rStyle w:val="Hyperlink"/>
                <w:rFonts w:eastAsia="Arial Unicode MS" w:cs="font331"/>
                <w:bCs/>
                <w:noProof/>
                <w:kern w:val="1"/>
                <w:lang w:val="en-IE" w:eastAsia="hi-IN" w:bidi="hi-IN"/>
              </w:rPr>
              <w:t>Dispute resolution provisions</w:t>
            </w:r>
            <w:r>
              <w:rPr>
                <w:noProof/>
                <w:webHidden/>
              </w:rPr>
              <w:tab/>
            </w:r>
            <w:r>
              <w:rPr>
                <w:noProof/>
                <w:webHidden/>
              </w:rPr>
              <w:fldChar w:fldCharType="begin"/>
            </w:r>
            <w:r>
              <w:rPr>
                <w:noProof/>
                <w:webHidden/>
              </w:rPr>
              <w:instrText xml:space="preserve"> PAGEREF _Toc10822496 \h </w:instrText>
            </w:r>
            <w:r>
              <w:rPr>
                <w:noProof/>
                <w:webHidden/>
              </w:rPr>
            </w:r>
            <w:r>
              <w:rPr>
                <w:noProof/>
                <w:webHidden/>
              </w:rPr>
              <w:fldChar w:fldCharType="separate"/>
            </w:r>
            <w:r>
              <w:rPr>
                <w:noProof/>
                <w:webHidden/>
              </w:rPr>
              <w:t>7</w:t>
            </w:r>
            <w:r>
              <w:rPr>
                <w:noProof/>
                <w:webHidden/>
              </w:rPr>
              <w:fldChar w:fldCharType="end"/>
            </w:r>
          </w:hyperlink>
        </w:p>
        <w:p w:rsidR="003A0BC8" w:rsidRDefault="003A0BC8">
          <w:pPr>
            <w:pStyle w:val="TOC1"/>
            <w:rPr>
              <w:rFonts w:asciiTheme="minorHAnsi" w:hAnsiTheme="minorHAnsi"/>
              <w:noProof/>
              <w:sz w:val="22"/>
              <w:lang w:val="en-US" w:eastAsia="en-US"/>
            </w:rPr>
          </w:pPr>
          <w:hyperlink w:anchor="_Toc10822497" w:history="1">
            <w:r w:rsidRPr="00F27FAB">
              <w:rPr>
                <w:rStyle w:val="Hyperlink"/>
                <w:rFonts w:eastAsia="Arial Unicode MS" w:cs="font331"/>
                <w:bCs/>
                <w:noProof/>
                <w:kern w:val="1"/>
                <w:lang w:val="en-IE" w:eastAsia="hi-IN" w:bidi="hi-IN"/>
              </w:rPr>
              <w:t>Product Development Forum provisions</w:t>
            </w:r>
            <w:r>
              <w:rPr>
                <w:noProof/>
                <w:webHidden/>
              </w:rPr>
              <w:tab/>
            </w:r>
            <w:r>
              <w:rPr>
                <w:noProof/>
                <w:webHidden/>
              </w:rPr>
              <w:fldChar w:fldCharType="begin"/>
            </w:r>
            <w:r>
              <w:rPr>
                <w:noProof/>
                <w:webHidden/>
              </w:rPr>
              <w:instrText xml:space="preserve"> PAGEREF _Toc10822497 \h </w:instrText>
            </w:r>
            <w:r>
              <w:rPr>
                <w:noProof/>
                <w:webHidden/>
              </w:rPr>
            </w:r>
            <w:r>
              <w:rPr>
                <w:noProof/>
                <w:webHidden/>
              </w:rPr>
              <w:fldChar w:fldCharType="separate"/>
            </w:r>
            <w:r>
              <w:rPr>
                <w:noProof/>
                <w:webHidden/>
              </w:rPr>
              <w:t>8</w:t>
            </w:r>
            <w:r>
              <w:rPr>
                <w:noProof/>
                <w:webHidden/>
              </w:rPr>
              <w:fldChar w:fldCharType="end"/>
            </w:r>
          </w:hyperlink>
        </w:p>
        <w:p w:rsidR="00DD0AEA" w:rsidRPr="00DD0AEA" w:rsidRDefault="00DD0AEA" w:rsidP="00DD0AEA">
          <w:pPr>
            <w:spacing w:before="100" w:beforeAutospacing="1" w:after="100" w:afterAutospacing="1" w:line="240" w:lineRule="auto"/>
            <w:jc w:val="both"/>
            <w:rPr>
              <w:rFonts w:ascii="Calibri" w:eastAsiaTheme="minorEastAsia" w:hAnsi="Calibri"/>
              <w:sz w:val="24"/>
              <w:lang w:val="en-AU" w:eastAsia="en-AU"/>
            </w:rPr>
          </w:pPr>
          <w:r w:rsidRPr="00DD0AEA">
            <w:rPr>
              <w:rFonts w:ascii="Calibri" w:eastAsiaTheme="minorEastAsia" w:hAnsi="Calibri"/>
              <w:b/>
              <w:bCs/>
              <w:noProof/>
              <w:sz w:val="24"/>
              <w:lang w:val="en-AU" w:eastAsia="en-AU"/>
            </w:rPr>
            <w:fldChar w:fldCharType="end"/>
          </w:r>
        </w:p>
      </w:sdtContent>
    </w:sdt>
    <w:p w:rsidR="00DD0AEA" w:rsidRPr="00DD0AEA" w:rsidRDefault="00DD0AEA" w:rsidP="00DD0AEA">
      <w:pPr>
        <w:spacing w:before="100" w:beforeAutospacing="1" w:after="100" w:afterAutospacing="1" w:line="240" w:lineRule="auto"/>
        <w:jc w:val="both"/>
        <w:rPr>
          <w:rFonts w:eastAsiaTheme="minorEastAsia" w:cstheme="minorHAnsi"/>
          <w:sz w:val="24"/>
          <w:szCs w:val="24"/>
          <w:lang w:val="en-AU" w:eastAsia="en-AU"/>
        </w:rPr>
      </w:pPr>
    </w:p>
    <w:p w:rsidR="00DD0AEA" w:rsidRPr="007E7F5C" w:rsidRDefault="00DD0AEA" w:rsidP="00E64524">
      <w:pPr>
        <w:keepNext/>
        <w:keepLines/>
        <w:pageBreakBefore/>
        <w:suppressAutoHyphens/>
        <w:spacing w:before="28" w:after="120" w:line="240" w:lineRule="auto"/>
        <w:ind w:left="850" w:hanging="850"/>
        <w:jc w:val="both"/>
        <w:outlineLvl w:val="0"/>
        <w:rPr>
          <w:rFonts w:ascii="Calibri" w:eastAsia="Arial Unicode MS" w:hAnsi="Calibri" w:cs="font331"/>
          <w:bCs/>
          <w:kern w:val="1"/>
          <w:sz w:val="44"/>
          <w:szCs w:val="28"/>
          <w:lang w:val="en-IE" w:eastAsia="hi-IN" w:bidi="hi-IN"/>
        </w:rPr>
      </w:pPr>
      <w:bookmarkStart w:id="0" w:name="_Toc424112265"/>
      <w:bookmarkStart w:id="1" w:name="_Toc10822494"/>
      <w:r w:rsidRPr="00DD0AEA">
        <w:rPr>
          <w:rFonts w:ascii="Calibri" w:eastAsia="Arial Unicode MS" w:hAnsi="Calibri" w:cs="font331"/>
          <w:bCs/>
          <w:kern w:val="1"/>
          <w:sz w:val="44"/>
          <w:szCs w:val="28"/>
          <w:lang w:val="en-IE" w:eastAsia="hi-IN" w:bidi="hi-IN"/>
        </w:rPr>
        <w:lastRenderedPageBreak/>
        <w:t xml:space="preserve">Executive Summary </w:t>
      </w:r>
      <w:bookmarkEnd w:id="0"/>
      <w:r w:rsidRPr="00DD0AEA">
        <w:rPr>
          <w:rFonts w:ascii="Calibri" w:eastAsia="Arial Unicode MS" w:hAnsi="Calibri" w:cs="font331"/>
          <w:bCs/>
          <w:kern w:val="1"/>
          <w:sz w:val="44"/>
          <w:szCs w:val="28"/>
          <w:lang w:val="en-IE" w:eastAsia="hi-IN" w:bidi="hi-IN"/>
        </w:rPr>
        <w:t>and Recommendations</w:t>
      </w:r>
      <w:bookmarkEnd w:id="1"/>
    </w:p>
    <w:p w:rsidR="00C65D89" w:rsidRDefault="00C65D89" w:rsidP="00E64524">
      <w:pPr>
        <w:pStyle w:val="BodyText1"/>
        <w:spacing w:after="120"/>
        <w:jc w:val="both"/>
        <w:rPr>
          <w:rFonts w:ascii="Times New Roman" w:hAnsi="Times New Roman" w:cs="Times New Roman"/>
          <w:sz w:val="24"/>
          <w:szCs w:val="20"/>
        </w:rPr>
      </w:pPr>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 xml:space="preserve">ACCAN thanks the Australian Competition and Consumer Commission for the opportunity to contribute to its consultation concerning the proposed variation to the NBN Special Access Undertaking (SAU) and extension of the expiring non-price provisions. The expiring non-price provisions concern:  </w:t>
      </w:r>
    </w:p>
    <w:p w:rsidR="007E7F5C" w:rsidRPr="005F036B" w:rsidRDefault="007E7F5C" w:rsidP="00E64524">
      <w:pPr>
        <w:pStyle w:val="BodyText1"/>
        <w:numPr>
          <w:ilvl w:val="0"/>
          <w:numId w:val="44"/>
        </w:numPr>
        <w:spacing w:after="120"/>
        <w:jc w:val="both"/>
        <w:rPr>
          <w:rFonts w:ascii="Times New Roman" w:hAnsi="Times New Roman" w:cs="Times New Roman"/>
          <w:sz w:val="24"/>
          <w:szCs w:val="20"/>
        </w:rPr>
      </w:pPr>
      <w:r w:rsidRPr="005F036B">
        <w:rPr>
          <w:rFonts w:ascii="Times New Roman" w:hAnsi="Times New Roman" w:cs="Times New Roman"/>
          <w:sz w:val="24"/>
          <w:szCs w:val="20"/>
        </w:rPr>
        <w:t>The endorsed network change provisions;</w:t>
      </w:r>
    </w:p>
    <w:p w:rsidR="007E7F5C" w:rsidRPr="005F036B" w:rsidRDefault="007E7F5C" w:rsidP="00E64524">
      <w:pPr>
        <w:pStyle w:val="BodyText1"/>
        <w:numPr>
          <w:ilvl w:val="0"/>
          <w:numId w:val="44"/>
        </w:numPr>
        <w:spacing w:after="120"/>
        <w:jc w:val="both"/>
        <w:rPr>
          <w:rFonts w:ascii="Times New Roman" w:hAnsi="Times New Roman" w:cs="Times New Roman"/>
          <w:sz w:val="24"/>
          <w:szCs w:val="20"/>
        </w:rPr>
      </w:pPr>
      <w:r w:rsidRPr="005F036B">
        <w:rPr>
          <w:rFonts w:ascii="Times New Roman" w:hAnsi="Times New Roman" w:cs="Times New Roman"/>
          <w:sz w:val="24"/>
          <w:szCs w:val="20"/>
        </w:rPr>
        <w:t>The dispute resolution provisions; and</w:t>
      </w:r>
    </w:p>
    <w:p w:rsidR="007E7F5C" w:rsidRPr="005F036B" w:rsidRDefault="007E7F5C" w:rsidP="00E64524">
      <w:pPr>
        <w:pStyle w:val="BodyText1"/>
        <w:numPr>
          <w:ilvl w:val="0"/>
          <w:numId w:val="44"/>
        </w:numPr>
        <w:spacing w:after="120"/>
        <w:jc w:val="both"/>
        <w:rPr>
          <w:rFonts w:ascii="Times New Roman" w:hAnsi="Times New Roman" w:cs="Times New Roman"/>
          <w:sz w:val="24"/>
          <w:szCs w:val="20"/>
        </w:rPr>
      </w:pPr>
      <w:r w:rsidRPr="005F036B">
        <w:rPr>
          <w:rFonts w:ascii="Times New Roman" w:hAnsi="Times New Roman" w:cs="Times New Roman"/>
          <w:sz w:val="24"/>
          <w:szCs w:val="20"/>
        </w:rPr>
        <w:t>The detailed Product Development Forum processes.</w:t>
      </w:r>
    </w:p>
    <w:p w:rsidR="007E7F5C" w:rsidRPr="00B961E2" w:rsidRDefault="007E7F5C" w:rsidP="00E64524">
      <w:pPr>
        <w:pStyle w:val="BodyText1"/>
        <w:spacing w:after="120"/>
        <w:jc w:val="both"/>
        <w:rPr>
          <w:rFonts w:ascii="Times New Roman" w:hAnsi="Times New Roman" w:cs="Times New Roman"/>
          <w:color w:val="auto"/>
          <w:sz w:val="24"/>
          <w:szCs w:val="20"/>
        </w:rPr>
      </w:pPr>
      <w:r w:rsidRPr="00B961E2">
        <w:rPr>
          <w:rFonts w:ascii="Times New Roman" w:hAnsi="Times New Roman" w:cs="Times New Roman"/>
          <w:color w:val="auto"/>
          <w:sz w:val="24"/>
          <w:szCs w:val="20"/>
        </w:rPr>
        <w:t xml:space="preserve">These processes should be refined in order to support stronger service outcomes for consumers. In particular ACCAN believes that there need to be significant reforms to the Product Development Forum provisions to support best practice </w:t>
      </w:r>
      <w:r w:rsidR="00D17CDA">
        <w:rPr>
          <w:rFonts w:ascii="Times New Roman" w:hAnsi="Times New Roman" w:cs="Times New Roman"/>
          <w:color w:val="auto"/>
          <w:sz w:val="24"/>
          <w:szCs w:val="20"/>
        </w:rPr>
        <w:t>price setting</w:t>
      </w:r>
      <w:r w:rsidRPr="00B961E2">
        <w:rPr>
          <w:rFonts w:ascii="Times New Roman" w:hAnsi="Times New Roman" w:cs="Times New Roman"/>
          <w:color w:val="auto"/>
          <w:sz w:val="24"/>
          <w:szCs w:val="20"/>
        </w:rPr>
        <w:t xml:space="preserve">.  </w:t>
      </w:r>
    </w:p>
    <w:p w:rsidR="007E7F5C" w:rsidRDefault="007E7F5C" w:rsidP="00E64524">
      <w:pPr>
        <w:pStyle w:val="BodyText1"/>
        <w:spacing w:after="120"/>
        <w:jc w:val="both"/>
        <w:rPr>
          <w:rFonts w:ascii="Times New Roman" w:hAnsi="Times New Roman" w:cs="Times New Roman"/>
          <w:color w:val="auto"/>
          <w:sz w:val="24"/>
          <w:szCs w:val="20"/>
        </w:rPr>
      </w:pPr>
      <w:r w:rsidRPr="002A64BC">
        <w:rPr>
          <w:rFonts w:ascii="Times New Roman" w:hAnsi="Times New Roman" w:cs="Times New Roman"/>
          <w:color w:val="auto"/>
          <w:sz w:val="24"/>
          <w:szCs w:val="20"/>
        </w:rPr>
        <w:t>ACCAN does not believe that an extension of the expiring provisions would be reasonable</w:t>
      </w:r>
      <w:r>
        <w:rPr>
          <w:rFonts w:ascii="Times New Roman" w:hAnsi="Times New Roman" w:cs="Times New Roman"/>
          <w:color w:val="auto"/>
          <w:sz w:val="24"/>
          <w:szCs w:val="20"/>
        </w:rPr>
        <w:t xml:space="preserve">, insofar that it does not promote </w:t>
      </w:r>
      <w:r w:rsidRPr="002A64BC">
        <w:rPr>
          <w:rFonts w:ascii="Times New Roman" w:hAnsi="Times New Roman" w:cs="Times New Roman"/>
          <w:color w:val="auto"/>
          <w:sz w:val="24"/>
          <w:szCs w:val="20"/>
        </w:rPr>
        <w:t>the long term interests of end-users</w:t>
      </w:r>
      <w:r>
        <w:rPr>
          <w:rFonts w:ascii="Times New Roman" w:hAnsi="Times New Roman" w:cs="Times New Roman"/>
          <w:color w:val="auto"/>
          <w:sz w:val="24"/>
          <w:szCs w:val="20"/>
        </w:rPr>
        <w:t xml:space="preserve"> or the economically efficient operation a carriage service</w:t>
      </w:r>
      <w:r w:rsidRPr="002A64BC">
        <w:rPr>
          <w:rFonts w:ascii="Times New Roman" w:hAnsi="Times New Roman" w:cs="Times New Roman"/>
          <w:color w:val="auto"/>
          <w:sz w:val="24"/>
          <w:szCs w:val="20"/>
        </w:rPr>
        <w:t>.</w:t>
      </w:r>
      <w:r>
        <w:rPr>
          <w:rStyle w:val="FootnoteReference"/>
          <w:rFonts w:ascii="Times New Roman" w:hAnsi="Times New Roman" w:cs="Times New Roman"/>
          <w:color w:val="auto"/>
          <w:sz w:val="24"/>
        </w:rPr>
        <w:footnoteReference w:id="1"/>
      </w:r>
      <w:r w:rsidRPr="002A64BC">
        <w:rPr>
          <w:rFonts w:ascii="Times New Roman" w:hAnsi="Times New Roman" w:cs="Times New Roman"/>
          <w:color w:val="auto"/>
          <w:sz w:val="24"/>
          <w:szCs w:val="20"/>
        </w:rPr>
        <w:t xml:space="preserve"> Accordingly there are grounds for rejecting the proposed extension, on the basis that it does not meet the statutory criteria set out in the </w:t>
      </w:r>
      <w:r w:rsidRPr="002A64BC">
        <w:rPr>
          <w:rFonts w:ascii="Times New Roman" w:hAnsi="Times New Roman" w:cs="Times New Roman"/>
          <w:i/>
          <w:color w:val="auto"/>
          <w:sz w:val="24"/>
          <w:szCs w:val="20"/>
        </w:rPr>
        <w:t xml:space="preserve">Competition and Consumer Act 2010 </w:t>
      </w:r>
      <w:r w:rsidRPr="002A64BC">
        <w:rPr>
          <w:rFonts w:ascii="Times New Roman" w:hAnsi="Times New Roman" w:cs="Times New Roman"/>
          <w:color w:val="auto"/>
          <w:sz w:val="24"/>
          <w:szCs w:val="20"/>
        </w:rPr>
        <w:t>(</w:t>
      </w:r>
      <w:proofErr w:type="spellStart"/>
      <w:r w:rsidRPr="002A64BC">
        <w:rPr>
          <w:rFonts w:ascii="Times New Roman" w:hAnsi="Times New Roman" w:cs="Times New Roman"/>
          <w:color w:val="auto"/>
          <w:sz w:val="24"/>
          <w:szCs w:val="20"/>
        </w:rPr>
        <w:t>Cth</w:t>
      </w:r>
      <w:proofErr w:type="spellEnd"/>
      <w:r w:rsidRPr="002A64BC">
        <w:rPr>
          <w:rFonts w:ascii="Times New Roman" w:hAnsi="Times New Roman" w:cs="Times New Roman"/>
          <w:color w:val="auto"/>
          <w:sz w:val="24"/>
          <w:szCs w:val="20"/>
        </w:rPr>
        <w:t>).</w:t>
      </w:r>
      <w:r w:rsidRPr="002A64BC">
        <w:rPr>
          <w:rStyle w:val="FootnoteReference"/>
          <w:rFonts w:ascii="Times New Roman" w:hAnsi="Times New Roman" w:cs="Times New Roman"/>
          <w:color w:val="auto"/>
          <w:sz w:val="24"/>
        </w:rPr>
        <w:footnoteReference w:id="2"/>
      </w:r>
    </w:p>
    <w:p w:rsidR="00270E79" w:rsidRDefault="00270E79" w:rsidP="00E64524">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The ACCC is required under the </w:t>
      </w:r>
      <w:r>
        <w:rPr>
          <w:rFonts w:ascii="Times New Roman" w:hAnsi="Times New Roman" w:cs="Times New Roman"/>
          <w:i/>
          <w:color w:val="auto"/>
          <w:sz w:val="24"/>
          <w:szCs w:val="20"/>
        </w:rPr>
        <w:t xml:space="preserve">Competition and Consumer Act 2010 </w:t>
      </w:r>
      <w:r>
        <w:rPr>
          <w:rFonts w:ascii="Times New Roman" w:hAnsi="Times New Roman" w:cs="Times New Roman"/>
          <w:color w:val="auto"/>
          <w:sz w:val="24"/>
          <w:szCs w:val="20"/>
        </w:rPr>
        <w:t>(</w:t>
      </w:r>
      <w:proofErr w:type="spellStart"/>
      <w:r>
        <w:rPr>
          <w:rFonts w:ascii="Times New Roman" w:hAnsi="Times New Roman" w:cs="Times New Roman"/>
          <w:color w:val="auto"/>
          <w:sz w:val="24"/>
          <w:szCs w:val="20"/>
        </w:rPr>
        <w:t>Cth</w:t>
      </w:r>
      <w:proofErr w:type="spellEnd"/>
      <w:r>
        <w:rPr>
          <w:rFonts w:ascii="Times New Roman" w:hAnsi="Times New Roman" w:cs="Times New Roman"/>
          <w:color w:val="auto"/>
          <w:sz w:val="24"/>
          <w:szCs w:val="20"/>
        </w:rPr>
        <w:t>) to consider whether the proposed variation is reasonable within the meaning of the Act, as well as the counterfactual to accepting the SAU. In the submission of the NBN Co. it has been put forward that the ACCC is not required to assess alternative proposals, options or provisions that may meet the test of reasonableness.</w:t>
      </w:r>
      <w:r>
        <w:rPr>
          <w:rStyle w:val="FootnoteReference"/>
          <w:rFonts w:ascii="Times New Roman" w:hAnsi="Times New Roman" w:cs="Times New Roman"/>
          <w:color w:val="auto"/>
          <w:sz w:val="24"/>
          <w:szCs w:val="20"/>
        </w:rPr>
        <w:footnoteReference w:id="3"/>
      </w:r>
      <w:r>
        <w:rPr>
          <w:rFonts w:ascii="Times New Roman" w:hAnsi="Times New Roman" w:cs="Times New Roman"/>
          <w:color w:val="auto"/>
          <w:sz w:val="24"/>
          <w:szCs w:val="20"/>
        </w:rPr>
        <w:t xml:space="preserve"> </w:t>
      </w:r>
    </w:p>
    <w:p w:rsidR="00270E79" w:rsidRPr="00270E79" w:rsidRDefault="00270E79" w:rsidP="00E64524">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ACCAN does not dispute this characterisation of the Act, but notes that the submission of the NBN Co. turns upon the argument that the operation of the current provisions has been reasonable, insofar that they have promoted the long-term interests of end-users and efficient use of infrastructure. It is ACCAN’s submission that they have not and therefore the application for extension of the provisions should be rejected. </w:t>
      </w:r>
    </w:p>
    <w:p w:rsidR="00C65D89" w:rsidRDefault="007E7F5C" w:rsidP="00C65D89">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The processes set out in the expiring provisions have not supported the economically efficient use of NBN’s infrastructure. This is perhaps best reflected in the adoption of a flat tariff structure for NBN services, with the entry level price being set well in excess of the capacity to pay of </w:t>
      </w:r>
      <w:r w:rsidR="00E10059">
        <w:rPr>
          <w:rFonts w:ascii="Times New Roman" w:hAnsi="Times New Roman" w:cs="Times New Roman"/>
          <w:color w:val="auto"/>
          <w:sz w:val="24"/>
          <w:szCs w:val="20"/>
        </w:rPr>
        <w:t>a significant number of households.</w:t>
      </w:r>
    </w:p>
    <w:p w:rsidR="00E10059" w:rsidRDefault="00FD59EF" w:rsidP="00E10059">
      <w:pPr>
        <w:pStyle w:val="BodyText1"/>
        <w:jc w:val="both"/>
        <w:rPr>
          <w:rFonts w:ascii="Times New Roman" w:hAnsi="Times New Roman" w:cs="Times New Roman"/>
          <w:color w:val="auto"/>
          <w:sz w:val="24"/>
          <w:szCs w:val="20"/>
        </w:rPr>
      </w:pPr>
      <w:r>
        <w:rPr>
          <w:rFonts w:ascii="Times New Roman" w:hAnsi="Times New Roman" w:cs="Times New Roman"/>
          <w:color w:val="auto"/>
          <w:sz w:val="24"/>
          <w:szCs w:val="20"/>
        </w:rPr>
        <w:t>The</w:t>
      </w:r>
      <w:r w:rsidR="00E10059" w:rsidRPr="00E10059">
        <w:rPr>
          <w:rFonts w:ascii="Times New Roman" w:hAnsi="Times New Roman" w:cs="Times New Roman"/>
          <w:color w:val="auto"/>
          <w:sz w:val="24"/>
          <w:szCs w:val="20"/>
        </w:rPr>
        <w:t xml:space="preserve"> consequence is that NBN Co. has exposed itself to a reduced take-up that ACCAN estimates to be</w:t>
      </w:r>
      <w:r w:rsidR="00354CD9">
        <w:rPr>
          <w:rFonts w:ascii="Times New Roman" w:hAnsi="Times New Roman" w:cs="Times New Roman"/>
          <w:color w:val="auto"/>
          <w:sz w:val="24"/>
          <w:szCs w:val="20"/>
        </w:rPr>
        <w:t xml:space="preserve"> in the order of approximately a</w:t>
      </w:r>
      <w:r w:rsidR="00E10059" w:rsidRPr="00E10059">
        <w:rPr>
          <w:rFonts w:ascii="Times New Roman" w:hAnsi="Times New Roman" w:cs="Times New Roman"/>
          <w:color w:val="auto"/>
          <w:sz w:val="24"/>
          <w:szCs w:val="20"/>
        </w:rPr>
        <w:t xml:space="preserve"> million households. A reduction in take-up of this magnitude would represent a loss in annual revenue in the vicinity of $540 million per annum, and represent a considerable blow to the financial viability of NBN Co. </w:t>
      </w:r>
    </w:p>
    <w:p w:rsidR="00D674B1" w:rsidRPr="00D674B1" w:rsidRDefault="00D674B1" w:rsidP="00D674B1">
      <w:pPr>
        <w:spacing w:before="100" w:beforeAutospacing="1" w:after="120"/>
        <w:jc w:val="both"/>
        <w:rPr>
          <w:rFonts w:ascii="Times New Roman" w:hAnsi="Times New Roman" w:cs="Times New Roman"/>
          <w:color w:val="000000" w:themeColor="text1"/>
          <w:sz w:val="24"/>
          <w:szCs w:val="24"/>
          <w:lang w:val="en-AU"/>
        </w:rPr>
      </w:pPr>
      <w:r>
        <w:rPr>
          <w:rFonts w:ascii="Times New Roman" w:hAnsi="Times New Roman" w:cs="Times New Roman"/>
          <w:color w:val="000000" w:themeColor="text1"/>
          <w:sz w:val="24"/>
          <w:szCs w:val="24"/>
          <w:lang w:val="en-AU"/>
        </w:rPr>
        <w:lastRenderedPageBreak/>
        <w:t xml:space="preserve">A poor process has the potential to lead to poor pricing outcomes, and at this stage appears to have done so. Although in the short term the implications of poor pricing will borne by consumers who will either face financial stress in trying to kept their service, fail to switch to the NBN or cease their service, in the medium term it is NBN Co. that will bear the brunt of pricing failures. Consumers who lack the capacity or willingness to pay for a service will not purchase it, which for NBN Co. will likely mean a material reduction in the revenues that it expects to recover, a failure to meet financial obligations and inevitably insolvency. </w:t>
      </w:r>
    </w:p>
    <w:p w:rsidR="007D0CBE" w:rsidRDefault="00C65D89" w:rsidP="00C65D89">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The adoption of a tariff structure with a high price floor</w:t>
      </w:r>
      <w:r w:rsidR="00E10059">
        <w:rPr>
          <w:rFonts w:ascii="Times New Roman" w:hAnsi="Times New Roman" w:cs="Times New Roman"/>
          <w:color w:val="auto"/>
          <w:sz w:val="24"/>
          <w:szCs w:val="20"/>
        </w:rPr>
        <w:t xml:space="preserve"> is also a decision that is in direct defiance of basic economic principles about the pricing of network services.</w:t>
      </w:r>
      <w:r w:rsidR="002D790E">
        <w:rPr>
          <w:rFonts w:ascii="Times New Roman" w:hAnsi="Times New Roman" w:cs="Times New Roman"/>
          <w:color w:val="auto"/>
          <w:sz w:val="24"/>
          <w:szCs w:val="20"/>
        </w:rPr>
        <w:t xml:space="preserve"> This is problematic not merely at a theoretical level, but because </w:t>
      </w:r>
      <w:r w:rsidR="00300E0A">
        <w:rPr>
          <w:rFonts w:ascii="Times New Roman" w:hAnsi="Times New Roman" w:cs="Times New Roman"/>
          <w:color w:val="auto"/>
          <w:sz w:val="24"/>
          <w:szCs w:val="20"/>
        </w:rPr>
        <w:t xml:space="preserve">of </w:t>
      </w:r>
      <w:r w:rsidR="002D790E">
        <w:rPr>
          <w:rFonts w:ascii="Times New Roman" w:hAnsi="Times New Roman" w:cs="Times New Roman"/>
          <w:color w:val="auto"/>
          <w:sz w:val="24"/>
          <w:szCs w:val="20"/>
        </w:rPr>
        <w:t xml:space="preserve">the material </w:t>
      </w:r>
      <w:r w:rsidR="00354CD9">
        <w:rPr>
          <w:rFonts w:ascii="Times New Roman" w:hAnsi="Times New Roman" w:cs="Times New Roman"/>
          <w:color w:val="auto"/>
          <w:sz w:val="24"/>
          <w:szCs w:val="20"/>
        </w:rPr>
        <w:t>adverse effect</w:t>
      </w:r>
      <w:r w:rsidR="002D790E">
        <w:rPr>
          <w:rFonts w:ascii="Times New Roman" w:hAnsi="Times New Roman" w:cs="Times New Roman"/>
          <w:color w:val="auto"/>
          <w:sz w:val="24"/>
          <w:szCs w:val="20"/>
        </w:rPr>
        <w:t xml:space="preserve"> that it has on consumers and the NBN.</w:t>
      </w:r>
    </w:p>
    <w:p w:rsidR="00270E79" w:rsidRDefault="00270E79" w:rsidP="00C65D89">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The Product Development Forum provisions and process have supported the adoption of a flat tariff pricing construct. This pricing construct provides disincentives for consumers and users to take up and use NBN infrastructure services and is accordingly inconsistent with principles of allocative efficiency. As these provisions have supported the adoption of inefficient pricing constructs and precluded the efficient use of telecommunications services there are grounds for rejecting the </w:t>
      </w:r>
      <w:r w:rsidR="00D674B1">
        <w:rPr>
          <w:rFonts w:ascii="Times New Roman" w:hAnsi="Times New Roman" w:cs="Times New Roman"/>
          <w:color w:val="auto"/>
          <w:sz w:val="24"/>
          <w:szCs w:val="20"/>
        </w:rPr>
        <w:t>application to extend the variation.</w:t>
      </w:r>
    </w:p>
    <w:p w:rsidR="003A0BC8" w:rsidRDefault="00D674B1" w:rsidP="00C65D89">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The provisions concerning endorsed network changes have not promoted prudent or efficient investment in novel forms of network architecture through co-contributions from community groups or consumers. </w:t>
      </w:r>
      <w:r w:rsidR="003A0BC8">
        <w:rPr>
          <w:rFonts w:ascii="Times New Roman" w:hAnsi="Times New Roman" w:cs="Times New Roman"/>
          <w:color w:val="auto"/>
          <w:sz w:val="24"/>
          <w:szCs w:val="20"/>
        </w:rPr>
        <w:t xml:space="preserve">The complexity of the endorsed network change process appears to have prevented consumers and communities from accessing the services that they seek through novel </w:t>
      </w:r>
      <w:r w:rsidR="003A0BC8" w:rsidRPr="003A0BC8">
        <w:rPr>
          <w:rFonts w:ascii="Times New Roman" w:hAnsi="Times New Roman" w:cs="Times New Roman"/>
          <w:color w:val="auto"/>
          <w:sz w:val="24"/>
          <w:szCs w:val="20"/>
        </w:rPr>
        <w:t>delivery options</w:t>
      </w:r>
      <w:r w:rsidR="003A0BC8">
        <w:rPr>
          <w:rFonts w:ascii="Times New Roman" w:hAnsi="Times New Roman" w:cs="Times New Roman"/>
          <w:color w:val="auto"/>
          <w:sz w:val="24"/>
          <w:szCs w:val="20"/>
        </w:rPr>
        <w:t>, despite willingness to pay in order to support a change</w:t>
      </w:r>
      <w:r w:rsidR="003A0BC8" w:rsidRPr="003A0BC8">
        <w:rPr>
          <w:rFonts w:ascii="Times New Roman" w:hAnsi="Times New Roman" w:cs="Times New Roman"/>
          <w:color w:val="auto"/>
          <w:sz w:val="24"/>
          <w:szCs w:val="20"/>
        </w:rPr>
        <w:t xml:space="preserve">. </w:t>
      </w:r>
      <w:bookmarkStart w:id="2" w:name="_GoBack"/>
      <w:bookmarkEnd w:id="2"/>
    </w:p>
    <w:p w:rsidR="00D674B1" w:rsidRDefault="003A0BC8" w:rsidP="00C65D89">
      <w:pPr>
        <w:pStyle w:val="BodyText1"/>
        <w:spacing w:after="120"/>
        <w:jc w:val="both"/>
        <w:rPr>
          <w:rFonts w:ascii="Times New Roman" w:hAnsi="Times New Roman" w:cs="Times New Roman"/>
          <w:color w:val="auto"/>
          <w:sz w:val="24"/>
          <w:szCs w:val="20"/>
        </w:rPr>
      </w:pPr>
      <w:r w:rsidRPr="003A0BC8">
        <w:rPr>
          <w:rFonts w:ascii="Times New Roman" w:hAnsi="Times New Roman" w:cs="Times New Roman"/>
          <w:color w:val="auto"/>
          <w:sz w:val="24"/>
          <w:szCs w:val="20"/>
        </w:rPr>
        <w:t>T</w:t>
      </w:r>
      <w:r w:rsidR="00D674B1" w:rsidRPr="003A0BC8">
        <w:rPr>
          <w:rFonts w:ascii="Times New Roman" w:hAnsi="Times New Roman" w:cs="Times New Roman"/>
          <w:color w:val="auto"/>
          <w:sz w:val="24"/>
          <w:szCs w:val="20"/>
        </w:rPr>
        <w:t>he provisions are not operating in the long term interest of end users, nor promoting the efficient use of infrastructure. Accordingly there are sound legal grounds for rejecting the application for the extension of the endorsed network change provisions as they fail to meet the legal test required under the Act.</w:t>
      </w:r>
    </w:p>
    <w:p w:rsidR="00D674B1" w:rsidRDefault="00D674B1" w:rsidP="00C65D89">
      <w:pPr>
        <w:pStyle w:val="BodyText1"/>
        <w:spacing w:after="120"/>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With respect to the dispute resolution provisions ACCAN considers that the provisions have failed to promote the long term interests of end-users as they have not supported resolution of conflicts between service providers and NBN Co, nor service improvements through better processes. Accordingly, ACCAN considers that there is a legal basis to reject the request to extend the operation of the dispute resolution provisions.  </w:t>
      </w:r>
    </w:p>
    <w:p w:rsidR="00DD0AEA" w:rsidRPr="00DD0AEA" w:rsidRDefault="007E7F5C" w:rsidP="00E64524">
      <w:pPr>
        <w:keepNext/>
        <w:keepLines/>
        <w:pageBreakBefore/>
        <w:suppressAutoHyphens/>
        <w:spacing w:after="120" w:line="240" w:lineRule="auto"/>
        <w:jc w:val="both"/>
        <w:outlineLvl w:val="0"/>
        <w:rPr>
          <w:rFonts w:ascii="Calibri" w:eastAsia="Arial Unicode MS" w:hAnsi="Calibri" w:cs="font331"/>
          <w:bCs/>
          <w:kern w:val="1"/>
          <w:sz w:val="44"/>
          <w:szCs w:val="28"/>
          <w:lang w:val="en-IE" w:eastAsia="hi-IN" w:bidi="hi-IN"/>
        </w:rPr>
      </w:pPr>
      <w:bookmarkStart w:id="3" w:name="_Toc10822495"/>
      <w:r>
        <w:rPr>
          <w:rFonts w:ascii="Calibri" w:eastAsia="Arial Unicode MS" w:hAnsi="Calibri" w:cs="font331"/>
          <w:bCs/>
          <w:kern w:val="1"/>
          <w:sz w:val="44"/>
          <w:szCs w:val="28"/>
          <w:lang w:val="en-IE" w:eastAsia="hi-IN" w:bidi="hi-IN"/>
        </w:rPr>
        <w:lastRenderedPageBreak/>
        <w:t>Endorsed network change provisions</w:t>
      </w:r>
      <w:bookmarkEnd w:id="3"/>
    </w:p>
    <w:p w:rsidR="007E7F5C" w:rsidRPr="005F036B" w:rsidRDefault="003A0BC8" w:rsidP="00E64524">
      <w:pPr>
        <w:pStyle w:val="BodyText1"/>
        <w:spacing w:after="120"/>
        <w:jc w:val="both"/>
        <w:rPr>
          <w:rFonts w:ascii="Times New Roman" w:hAnsi="Times New Roman" w:cs="Times New Roman"/>
          <w:sz w:val="24"/>
          <w:szCs w:val="20"/>
        </w:rPr>
      </w:pPr>
      <w:r>
        <w:rPr>
          <w:rFonts w:ascii="Times New Roman" w:hAnsi="Times New Roman" w:cs="Times New Roman"/>
          <w:sz w:val="24"/>
          <w:szCs w:val="20"/>
        </w:rPr>
        <w:t xml:space="preserve">The endorsed network change provisions provide a </w:t>
      </w:r>
      <w:r>
        <w:rPr>
          <w:rFonts w:ascii="Times New Roman" w:hAnsi="Times New Roman" w:cs="Times New Roman"/>
          <w:sz w:val="24"/>
          <w:szCs w:val="20"/>
        </w:rPr>
        <w:t xml:space="preserve">process for the modification of network design features. </w:t>
      </w:r>
      <w:r w:rsidR="007E7F5C" w:rsidRPr="005F036B">
        <w:rPr>
          <w:rFonts w:ascii="Times New Roman" w:hAnsi="Times New Roman" w:cs="Times New Roman"/>
          <w:sz w:val="24"/>
          <w:szCs w:val="20"/>
        </w:rPr>
        <w:t xml:space="preserve">ACCAN notes that the endorsed network change provisions have not been utilised since their drafting in 2013. Although supportive in principle of the provisions as a mechanism to allow consumer groups and retail service providers to inform NBN about the potential for changes to the design and delivery of services, ACCAN considers that the provisions have been ineffective. </w:t>
      </w:r>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 xml:space="preserve">In principle a framework that supports greater consultation and input on the potential for different delivery technologies and designs could promote prudent and efficient investment in infrastructure, where end-users expressed a willingness to pay for design changes. However, in practice the information and technical knowledge required of end-users to engage with this process is </w:t>
      </w:r>
      <w:r w:rsidR="00300E0A">
        <w:rPr>
          <w:rFonts w:ascii="Times New Roman" w:hAnsi="Times New Roman" w:cs="Times New Roman"/>
          <w:sz w:val="24"/>
          <w:szCs w:val="20"/>
        </w:rPr>
        <w:t xml:space="preserve">beyond the </w:t>
      </w:r>
      <w:r w:rsidR="003A0BC8">
        <w:rPr>
          <w:rFonts w:ascii="Times New Roman" w:hAnsi="Times New Roman" w:cs="Times New Roman"/>
          <w:sz w:val="24"/>
          <w:szCs w:val="20"/>
        </w:rPr>
        <w:t xml:space="preserve">capacity </w:t>
      </w:r>
      <w:r w:rsidR="003A0BC8" w:rsidRPr="005F036B">
        <w:rPr>
          <w:rFonts w:ascii="Times New Roman" w:hAnsi="Times New Roman" w:cs="Times New Roman"/>
          <w:sz w:val="24"/>
          <w:szCs w:val="20"/>
        </w:rPr>
        <w:t>of</w:t>
      </w:r>
      <w:r w:rsidRPr="005F036B">
        <w:rPr>
          <w:rFonts w:ascii="Times New Roman" w:hAnsi="Times New Roman" w:cs="Times New Roman"/>
          <w:sz w:val="24"/>
          <w:szCs w:val="20"/>
        </w:rPr>
        <w:t xml:space="preserve"> end-users.  </w:t>
      </w:r>
    </w:p>
    <w:p w:rsidR="007E7F5C" w:rsidRPr="005F036B" w:rsidRDefault="007E7F5C" w:rsidP="00E64524">
      <w:pPr>
        <w:pStyle w:val="BodyText1"/>
        <w:tabs>
          <w:tab w:val="left" w:pos="3948"/>
        </w:tabs>
        <w:spacing w:after="120"/>
        <w:jc w:val="both"/>
        <w:rPr>
          <w:rFonts w:ascii="Times New Roman" w:hAnsi="Times New Roman" w:cs="Times New Roman"/>
          <w:sz w:val="24"/>
          <w:szCs w:val="20"/>
        </w:rPr>
      </w:pPr>
      <w:r w:rsidRPr="005F036B">
        <w:rPr>
          <w:rFonts w:ascii="Times New Roman" w:hAnsi="Times New Roman" w:cs="Times New Roman"/>
          <w:sz w:val="24"/>
          <w:szCs w:val="24"/>
        </w:rPr>
        <w:t xml:space="preserve">ACCAN is supportive of provisions being embedded in the SAU that support efficient long term investments. </w:t>
      </w:r>
      <w:r w:rsidRPr="005F036B">
        <w:rPr>
          <w:rFonts w:ascii="Times New Roman" w:hAnsi="Times New Roman" w:cs="Times New Roman"/>
          <w:sz w:val="24"/>
          <w:szCs w:val="20"/>
        </w:rPr>
        <w:t xml:space="preserve">The contention that the endorsed network design process has promoted efficient investment in and operation of the NBN is difficult to maintain, in the absence of any indication that the provisions have supported investment decisions. </w:t>
      </w:r>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The failure of the process to be used over a period of five years is indicative that the current process is unduly complex and is of limited use to either retail service providers or end-users. This view has been echoed in ACCAN’s consultation with service providers who indicated that the complexity of the provisions acted as a deterrent to their use.</w:t>
      </w:r>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 xml:space="preserve">The usefulness of the network design provisions in their current format should be contrasted with the prevalent use of permitted variation processes to change network design features. In the course of ACCAN’s consultation on the expiring provisions we were advised that the almost all design changes had been processed via the permitted variation process and that this had become the default process for design changes. </w:t>
      </w:r>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In some instances the validity of adopting network design changes in this way was questioned by those consulted, and concerns were raised as to whether permitted variations were the appropriate avenue through which to endorse network changes. ACCAN has not been advised of any adverse outcomes arising as a result of the usage of permitted variations processes</w:t>
      </w:r>
      <w:r w:rsidR="00300E0A">
        <w:rPr>
          <w:rFonts w:ascii="Times New Roman" w:hAnsi="Times New Roman" w:cs="Times New Roman"/>
          <w:sz w:val="24"/>
          <w:szCs w:val="20"/>
        </w:rPr>
        <w:t>. However,</w:t>
      </w:r>
      <w:r w:rsidRPr="005F036B">
        <w:rPr>
          <w:rFonts w:ascii="Times New Roman" w:hAnsi="Times New Roman" w:cs="Times New Roman"/>
          <w:sz w:val="24"/>
          <w:szCs w:val="20"/>
        </w:rPr>
        <w:t xml:space="preserve"> it is concerning that this mechanism has potentially been preferred due to its simplicity rather than legitimacy.</w:t>
      </w:r>
    </w:p>
    <w:p w:rsidR="007E7F5C"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The revision of the endorse</w:t>
      </w:r>
      <w:r>
        <w:rPr>
          <w:rFonts w:ascii="Times New Roman" w:hAnsi="Times New Roman" w:cs="Times New Roman"/>
          <w:sz w:val="24"/>
          <w:szCs w:val="20"/>
        </w:rPr>
        <w:t>d</w:t>
      </w:r>
      <w:r w:rsidRPr="005F036B">
        <w:rPr>
          <w:rFonts w:ascii="Times New Roman" w:hAnsi="Times New Roman" w:cs="Times New Roman"/>
          <w:sz w:val="24"/>
          <w:szCs w:val="20"/>
        </w:rPr>
        <w:t xml:space="preserve"> network change provisions is strongly supported by ACCAN. A careful and considered refinement of the provisions to simplify and clarify procedures would support the use of this process to </w:t>
      </w:r>
      <w:r w:rsidR="00300E0A">
        <w:rPr>
          <w:rFonts w:ascii="Times New Roman" w:hAnsi="Times New Roman" w:cs="Times New Roman"/>
          <w:sz w:val="24"/>
          <w:szCs w:val="20"/>
        </w:rPr>
        <w:t>encourage</w:t>
      </w:r>
      <w:r w:rsidRPr="005F036B">
        <w:rPr>
          <w:rFonts w:ascii="Times New Roman" w:hAnsi="Times New Roman" w:cs="Times New Roman"/>
          <w:sz w:val="24"/>
          <w:szCs w:val="20"/>
        </w:rPr>
        <w:t xml:space="preserve"> prudent and efficient investments and the long-term interests of end-users. In the absence of any change ACCAN considers it unlikely that the provisions will provide a framework for efficient investment going forward. </w:t>
      </w:r>
    </w:p>
    <w:p w:rsidR="007E7F5C" w:rsidRPr="005F036B" w:rsidRDefault="00836740" w:rsidP="00E64524">
      <w:pPr>
        <w:pStyle w:val="BodyText1"/>
        <w:spacing w:after="120"/>
        <w:jc w:val="both"/>
        <w:rPr>
          <w:rFonts w:ascii="Times New Roman" w:hAnsi="Times New Roman" w:cs="Times New Roman"/>
          <w:sz w:val="24"/>
          <w:szCs w:val="20"/>
        </w:rPr>
      </w:pPr>
      <w:r>
        <w:rPr>
          <w:rFonts w:ascii="Times New Roman" w:hAnsi="Times New Roman" w:cs="Times New Roman"/>
          <w:sz w:val="24"/>
          <w:szCs w:val="20"/>
        </w:rPr>
        <w:t>In summary, t</w:t>
      </w:r>
      <w:r w:rsidR="007E7F5C">
        <w:rPr>
          <w:rFonts w:ascii="Times New Roman" w:hAnsi="Times New Roman" w:cs="Times New Roman"/>
          <w:sz w:val="24"/>
          <w:szCs w:val="20"/>
        </w:rPr>
        <w:t xml:space="preserve">he provisions do not appear to be supporting dynamic efficiency through prudent and efficient investments, nor the long-term interests of end-users who may benefit from investment. </w:t>
      </w:r>
      <w:r w:rsidR="007E7F5C" w:rsidRPr="00BC62A2">
        <w:rPr>
          <w:rFonts w:ascii="Times New Roman" w:hAnsi="Times New Roman" w:cs="Times New Roman"/>
          <w:sz w:val="24"/>
          <w:szCs w:val="20"/>
        </w:rPr>
        <w:t>Accordingly ACCAN does not consider that the endorsed network change provisions would meet the s</w:t>
      </w:r>
      <w:r w:rsidR="007E7F5C">
        <w:rPr>
          <w:rFonts w:ascii="Times New Roman" w:hAnsi="Times New Roman" w:cs="Times New Roman"/>
          <w:sz w:val="24"/>
          <w:szCs w:val="20"/>
        </w:rPr>
        <w:t xml:space="preserve">tatutory criteria for extension. </w:t>
      </w:r>
    </w:p>
    <w:p w:rsidR="00DD0AEA" w:rsidRPr="00DD0AEA" w:rsidRDefault="007E7F5C" w:rsidP="00E64524">
      <w:pPr>
        <w:keepNext/>
        <w:keepLines/>
        <w:pageBreakBefore/>
        <w:suppressAutoHyphens/>
        <w:spacing w:after="120" w:line="240" w:lineRule="auto"/>
        <w:jc w:val="both"/>
        <w:outlineLvl w:val="0"/>
        <w:rPr>
          <w:rFonts w:ascii="Calibri" w:eastAsia="Arial Unicode MS" w:hAnsi="Calibri" w:cs="font331"/>
          <w:bCs/>
          <w:kern w:val="1"/>
          <w:sz w:val="44"/>
          <w:szCs w:val="28"/>
          <w:lang w:val="en-IE" w:eastAsia="hi-IN" w:bidi="hi-IN"/>
        </w:rPr>
      </w:pPr>
      <w:bookmarkStart w:id="4" w:name="_Toc10822496"/>
      <w:r>
        <w:rPr>
          <w:rFonts w:ascii="Calibri" w:eastAsia="Arial Unicode MS" w:hAnsi="Calibri" w:cs="font331"/>
          <w:bCs/>
          <w:kern w:val="1"/>
          <w:sz w:val="44"/>
          <w:szCs w:val="28"/>
          <w:lang w:val="en-IE" w:eastAsia="hi-IN" w:bidi="hi-IN"/>
        </w:rPr>
        <w:lastRenderedPageBreak/>
        <w:t>Dispute resolution provisions</w:t>
      </w:r>
      <w:bookmarkEnd w:id="4"/>
    </w:p>
    <w:p w:rsidR="007E7F5C" w:rsidRPr="005F036B"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 xml:space="preserve">As noted by the ACCC there have so far been no disputes that have led to the use of the dispute resolution provisions set out within the SAU. These provisions provide for an independent process of mediation and arbitration of a dispute between an access seeker and NBN Co. </w:t>
      </w:r>
    </w:p>
    <w:p w:rsidR="007E7F5C" w:rsidRDefault="007E7F5C" w:rsidP="00E64524">
      <w:pPr>
        <w:pStyle w:val="BodyText1"/>
        <w:spacing w:after="120"/>
        <w:jc w:val="both"/>
        <w:rPr>
          <w:rFonts w:ascii="Times New Roman" w:hAnsi="Times New Roman" w:cs="Times New Roman"/>
          <w:sz w:val="24"/>
          <w:szCs w:val="20"/>
        </w:rPr>
      </w:pPr>
      <w:r w:rsidRPr="005F036B">
        <w:rPr>
          <w:rFonts w:ascii="Times New Roman" w:hAnsi="Times New Roman" w:cs="Times New Roman"/>
          <w:sz w:val="24"/>
          <w:szCs w:val="20"/>
        </w:rPr>
        <w:t>ACCAN has been advised that there are several reasons driving service providers’ reluctance to use the mechanism. These range from the availability of more efficient alternatives through staff and senior management engagement, to concerns over the potential for a formal dispute to result in NBN Co. using its market power t</w:t>
      </w:r>
      <w:r>
        <w:rPr>
          <w:rFonts w:ascii="Times New Roman" w:hAnsi="Times New Roman" w:cs="Times New Roman"/>
          <w:sz w:val="24"/>
          <w:szCs w:val="20"/>
        </w:rPr>
        <w:t>o engage in retaliatory conduct.</w:t>
      </w:r>
    </w:p>
    <w:p w:rsidR="007E7F5C" w:rsidRPr="00C143C3" w:rsidRDefault="007E7F5C" w:rsidP="00E64524">
      <w:pPr>
        <w:pStyle w:val="BodyText1"/>
        <w:spacing w:after="120"/>
        <w:jc w:val="both"/>
        <w:rPr>
          <w:rFonts w:ascii="Times New Roman" w:hAnsi="Times New Roman" w:cs="Times New Roman"/>
          <w:sz w:val="24"/>
          <w:szCs w:val="20"/>
        </w:rPr>
      </w:pPr>
      <w:r w:rsidRPr="00C143C3">
        <w:rPr>
          <w:rFonts w:ascii="Times New Roman" w:hAnsi="Times New Roman" w:cs="Times New Roman"/>
          <w:sz w:val="24"/>
          <w:szCs w:val="20"/>
        </w:rPr>
        <w:t>The failure of access seekers to use the formal process set out in the SAU in light of the material volume of consumer complaints concerning the migration process is indicative that there are limitations to the formal mechanism. It would seem improbable that in the preceding five years that there have been no matters or disputes between a single access seeker and NBN Co. on a matter that warranted mediation or arbitration. This is noting that over this period there have been just fewer than 100,000 complaints made concerning NBN services to the Telecommunications Industry Ombudsman since the 2012/13 financial year.</w:t>
      </w:r>
      <w:r w:rsidRPr="00C143C3">
        <w:rPr>
          <w:rStyle w:val="FootnoteReference"/>
          <w:rFonts w:ascii="Times New Roman" w:hAnsi="Times New Roman" w:cs="Times New Roman"/>
          <w:sz w:val="24"/>
        </w:rPr>
        <w:footnoteReference w:id="4"/>
      </w:r>
      <w:r w:rsidRPr="00C143C3">
        <w:rPr>
          <w:rFonts w:ascii="Times New Roman" w:hAnsi="Times New Roman" w:cs="Times New Roman"/>
          <w:sz w:val="24"/>
          <w:szCs w:val="20"/>
        </w:rPr>
        <w:t xml:space="preserve"> </w:t>
      </w:r>
    </w:p>
    <w:p w:rsidR="007E7F5C" w:rsidRPr="00C143C3" w:rsidRDefault="007E7F5C" w:rsidP="00E64524">
      <w:pPr>
        <w:pStyle w:val="BodyText1"/>
        <w:spacing w:after="120"/>
        <w:jc w:val="both"/>
        <w:rPr>
          <w:rFonts w:ascii="Times New Roman" w:hAnsi="Times New Roman" w:cs="Times New Roman"/>
          <w:sz w:val="24"/>
          <w:szCs w:val="20"/>
        </w:rPr>
      </w:pPr>
      <w:r w:rsidRPr="00C143C3">
        <w:rPr>
          <w:rFonts w:ascii="Times New Roman" w:hAnsi="Times New Roman" w:cs="Times New Roman"/>
          <w:sz w:val="24"/>
          <w:szCs w:val="20"/>
        </w:rPr>
        <w:t>Rather, it appears that access seekers are weighing the relative merits of using the formal process and engaging in mediation or arbitration and finding them lacking. As a consequence retailers are opting to attempt to resolve disputes with NBN Co. through private negotiations or alternatively engaging with media in order to place pressure on NBN Co.</w:t>
      </w:r>
    </w:p>
    <w:p w:rsidR="007E7F5C" w:rsidRDefault="007E7F5C" w:rsidP="00E64524">
      <w:pPr>
        <w:pStyle w:val="BodyText1"/>
        <w:spacing w:after="120"/>
        <w:jc w:val="both"/>
        <w:rPr>
          <w:rFonts w:ascii="Times New Roman" w:hAnsi="Times New Roman" w:cs="Times New Roman"/>
          <w:sz w:val="24"/>
          <w:szCs w:val="20"/>
        </w:rPr>
      </w:pPr>
      <w:r>
        <w:rPr>
          <w:rFonts w:ascii="Times New Roman" w:hAnsi="Times New Roman" w:cs="Times New Roman"/>
          <w:sz w:val="24"/>
          <w:szCs w:val="20"/>
        </w:rPr>
        <w:t>In light of the information provided to ACCAN, the core weakness of the dispute resolution processes is that they</w:t>
      </w:r>
      <w:r w:rsidR="00186E10">
        <w:rPr>
          <w:rFonts w:ascii="Times New Roman" w:hAnsi="Times New Roman" w:cs="Times New Roman"/>
          <w:sz w:val="24"/>
          <w:szCs w:val="20"/>
        </w:rPr>
        <w:t xml:space="preserve"> are</w:t>
      </w:r>
      <w:r>
        <w:rPr>
          <w:rFonts w:ascii="Times New Roman" w:hAnsi="Times New Roman" w:cs="Times New Roman"/>
          <w:sz w:val="24"/>
          <w:szCs w:val="20"/>
        </w:rPr>
        <w:t xml:space="preserve"> concerned with matters of minor operational significance. The dispute resolution provisions do not concern matters of material interest to service providers, including pricing and product design. The incentive to use these processes is therefore weak.</w:t>
      </w:r>
    </w:p>
    <w:p w:rsidR="007E7F5C" w:rsidRDefault="007E7F5C" w:rsidP="00E64524">
      <w:pPr>
        <w:pStyle w:val="BodyText1"/>
        <w:spacing w:after="120"/>
        <w:jc w:val="both"/>
        <w:rPr>
          <w:rFonts w:ascii="Times New Roman" w:hAnsi="Times New Roman" w:cs="Times New Roman"/>
          <w:sz w:val="24"/>
          <w:szCs w:val="20"/>
        </w:rPr>
      </w:pPr>
      <w:r>
        <w:rPr>
          <w:rFonts w:ascii="Times New Roman" w:hAnsi="Times New Roman" w:cs="Times New Roman"/>
          <w:sz w:val="24"/>
          <w:szCs w:val="20"/>
        </w:rPr>
        <w:t>ACCAN has also been advised that the dispute resolution provisions appear to be framed as applying to bilateral contracts or agreements, which are simultaneously banned under the terms of the SAU non-discrimination clauses. Accordingly some service providers questioned the relevance of the processes to the substance of the</w:t>
      </w:r>
      <w:r w:rsidR="00186E10">
        <w:rPr>
          <w:rFonts w:ascii="Times New Roman" w:hAnsi="Times New Roman" w:cs="Times New Roman"/>
          <w:sz w:val="24"/>
          <w:szCs w:val="20"/>
        </w:rPr>
        <w:t>ir</w:t>
      </w:r>
      <w:r>
        <w:rPr>
          <w:rFonts w:ascii="Times New Roman" w:hAnsi="Times New Roman" w:cs="Times New Roman"/>
          <w:sz w:val="24"/>
          <w:szCs w:val="20"/>
        </w:rPr>
        <w:t xml:space="preserve"> disputes</w:t>
      </w:r>
      <w:r w:rsidR="00186E10">
        <w:rPr>
          <w:rFonts w:ascii="Times New Roman" w:hAnsi="Times New Roman" w:cs="Times New Roman"/>
          <w:sz w:val="24"/>
          <w:szCs w:val="20"/>
        </w:rPr>
        <w:t xml:space="preserve">. </w:t>
      </w:r>
      <w:r>
        <w:rPr>
          <w:rFonts w:ascii="Times New Roman" w:hAnsi="Times New Roman" w:cs="Times New Roman"/>
          <w:sz w:val="24"/>
          <w:szCs w:val="20"/>
        </w:rPr>
        <w:t xml:space="preserve">  </w:t>
      </w:r>
    </w:p>
    <w:p w:rsidR="007E7F5C" w:rsidRPr="00C143C3" w:rsidRDefault="007E7F5C" w:rsidP="00E64524">
      <w:pPr>
        <w:pStyle w:val="BodyText1"/>
        <w:spacing w:after="120"/>
        <w:jc w:val="both"/>
        <w:rPr>
          <w:rFonts w:ascii="Times New Roman" w:hAnsi="Times New Roman" w:cs="Times New Roman"/>
          <w:sz w:val="24"/>
          <w:szCs w:val="20"/>
        </w:rPr>
      </w:pPr>
      <w:r>
        <w:rPr>
          <w:rFonts w:ascii="Times New Roman" w:hAnsi="Times New Roman" w:cs="Times New Roman"/>
          <w:sz w:val="24"/>
          <w:szCs w:val="20"/>
        </w:rPr>
        <w:t>In the course of ACCAN’s consultation it was suggested that a standardised or default contract could be created with service provider and NBN input in order to address service gaps. Where issues emerged service providers would be able to request a revision of the standard terms, with ACCC oversight and arbitration as a regulatory backstop, as a potential alternative to the current arrangements under the SAU.</w:t>
      </w:r>
    </w:p>
    <w:p w:rsidR="00DD0AEA" w:rsidRPr="007E7F5C" w:rsidRDefault="007E7F5C" w:rsidP="00E64524">
      <w:pPr>
        <w:pStyle w:val="BodyText1"/>
        <w:spacing w:after="120"/>
        <w:rPr>
          <w:rFonts w:ascii="Times New Roman" w:hAnsi="Times New Roman" w:cs="Times New Roman"/>
          <w:sz w:val="24"/>
          <w:szCs w:val="20"/>
        </w:rPr>
      </w:pPr>
      <w:r>
        <w:rPr>
          <w:rFonts w:ascii="Times New Roman" w:hAnsi="Times New Roman" w:cs="Times New Roman"/>
          <w:sz w:val="24"/>
          <w:szCs w:val="20"/>
        </w:rPr>
        <w:t xml:space="preserve">ACCAN supports the consideration of such a mechanism as a potential method for resolving many of the impasses and gaps that arise in the delivery of services to consumers. As part of this process ACCAN believes that there is a considerably stronger role for the ACCC to play in dispute resolution between NBN Co. and industry through the variation of the SAU. </w:t>
      </w:r>
    </w:p>
    <w:p w:rsidR="00DD0AEA" w:rsidRPr="00DD0AEA" w:rsidRDefault="007E7F5C" w:rsidP="00DD0AEA">
      <w:pPr>
        <w:keepNext/>
        <w:keepLines/>
        <w:pageBreakBefore/>
        <w:suppressAutoHyphens/>
        <w:spacing w:before="28" w:after="240" w:line="240" w:lineRule="auto"/>
        <w:jc w:val="both"/>
        <w:outlineLvl w:val="0"/>
        <w:rPr>
          <w:rFonts w:ascii="Calibri" w:eastAsia="Arial Unicode MS" w:hAnsi="Calibri" w:cs="font331"/>
          <w:bCs/>
          <w:kern w:val="1"/>
          <w:sz w:val="44"/>
          <w:szCs w:val="28"/>
          <w:lang w:val="en-IE" w:eastAsia="hi-IN" w:bidi="hi-IN"/>
        </w:rPr>
      </w:pPr>
      <w:bookmarkStart w:id="5" w:name="_Toc10822497"/>
      <w:r>
        <w:rPr>
          <w:rFonts w:ascii="Calibri" w:eastAsia="Arial Unicode MS" w:hAnsi="Calibri" w:cs="font331"/>
          <w:bCs/>
          <w:kern w:val="1"/>
          <w:sz w:val="44"/>
          <w:szCs w:val="28"/>
          <w:lang w:val="en-IE" w:eastAsia="hi-IN" w:bidi="hi-IN"/>
        </w:rPr>
        <w:lastRenderedPageBreak/>
        <w:t>Product Development Forum provisions</w:t>
      </w:r>
      <w:bookmarkEnd w:id="5"/>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ACCAN is a member of the </w:t>
      </w:r>
      <w:r w:rsidR="00186E10">
        <w:rPr>
          <w:rFonts w:ascii="Times New Roman" w:hAnsi="Times New Roman" w:cs="Times New Roman"/>
          <w:sz w:val="24"/>
          <w:szCs w:val="20"/>
        </w:rPr>
        <w:t>P</w:t>
      </w:r>
      <w:r w:rsidRPr="005F036B">
        <w:rPr>
          <w:rFonts w:ascii="Times New Roman" w:hAnsi="Times New Roman" w:cs="Times New Roman"/>
          <w:sz w:val="24"/>
          <w:szCs w:val="20"/>
        </w:rPr>
        <w:t xml:space="preserve">roduct </w:t>
      </w:r>
      <w:r w:rsidR="00186E10">
        <w:rPr>
          <w:rFonts w:ascii="Times New Roman" w:hAnsi="Times New Roman" w:cs="Times New Roman"/>
          <w:sz w:val="24"/>
          <w:szCs w:val="20"/>
        </w:rPr>
        <w:t>D</w:t>
      </w:r>
      <w:r w:rsidRPr="005F036B">
        <w:rPr>
          <w:rFonts w:ascii="Times New Roman" w:hAnsi="Times New Roman" w:cs="Times New Roman"/>
          <w:sz w:val="24"/>
          <w:szCs w:val="20"/>
        </w:rPr>
        <w:t xml:space="preserve">evelopment </w:t>
      </w:r>
      <w:r w:rsidR="00186E10">
        <w:rPr>
          <w:rFonts w:ascii="Times New Roman" w:hAnsi="Times New Roman" w:cs="Times New Roman"/>
          <w:sz w:val="24"/>
          <w:szCs w:val="20"/>
        </w:rPr>
        <w:t>F</w:t>
      </w:r>
      <w:r w:rsidRPr="005F036B">
        <w:rPr>
          <w:rFonts w:ascii="Times New Roman" w:hAnsi="Times New Roman" w:cs="Times New Roman"/>
          <w:sz w:val="24"/>
          <w:szCs w:val="20"/>
        </w:rPr>
        <w:t>orum</w:t>
      </w:r>
      <w:r w:rsidR="00186E10">
        <w:rPr>
          <w:rFonts w:ascii="Times New Roman" w:hAnsi="Times New Roman" w:cs="Times New Roman"/>
          <w:sz w:val="24"/>
          <w:szCs w:val="20"/>
        </w:rPr>
        <w:t xml:space="preserve"> (PDF)</w:t>
      </w:r>
      <w:r w:rsidRPr="005F036B">
        <w:rPr>
          <w:rFonts w:ascii="Times New Roman" w:hAnsi="Times New Roman" w:cs="Times New Roman"/>
          <w:sz w:val="24"/>
          <w:szCs w:val="20"/>
        </w:rPr>
        <w:t xml:space="preserve">, which aims to promote innovation in NBN </w:t>
      </w:r>
      <w:proofErr w:type="spellStart"/>
      <w:r w:rsidRPr="005F036B">
        <w:rPr>
          <w:rFonts w:ascii="Times New Roman" w:hAnsi="Times New Roman" w:cs="Times New Roman"/>
          <w:sz w:val="24"/>
          <w:szCs w:val="20"/>
        </w:rPr>
        <w:t>Co’s</w:t>
      </w:r>
      <w:proofErr w:type="spellEnd"/>
      <w:r w:rsidRPr="005F036B">
        <w:rPr>
          <w:rFonts w:ascii="Times New Roman" w:hAnsi="Times New Roman" w:cs="Times New Roman"/>
          <w:sz w:val="24"/>
          <w:szCs w:val="20"/>
        </w:rPr>
        <w:t xml:space="preserve"> development of products. </w:t>
      </w:r>
      <w:r w:rsidR="00A545BE">
        <w:rPr>
          <w:rFonts w:ascii="Times New Roman" w:hAnsi="Times New Roman" w:cs="Times New Roman"/>
          <w:sz w:val="24"/>
          <w:szCs w:val="20"/>
        </w:rPr>
        <w:t>While we appreciate the opportunity to represent consumer interests, we consider t</w:t>
      </w:r>
      <w:r w:rsidRPr="005F036B">
        <w:rPr>
          <w:rFonts w:ascii="Times New Roman" w:hAnsi="Times New Roman" w:cs="Times New Roman"/>
          <w:sz w:val="24"/>
          <w:szCs w:val="20"/>
        </w:rPr>
        <w:t xml:space="preserve">he </w:t>
      </w:r>
      <w:r w:rsidR="00186E10">
        <w:rPr>
          <w:rFonts w:ascii="Times New Roman" w:hAnsi="Times New Roman" w:cs="Times New Roman"/>
          <w:sz w:val="24"/>
          <w:szCs w:val="20"/>
        </w:rPr>
        <w:t>F</w:t>
      </w:r>
      <w:r w:rsidRPr="005F036B">
        <w:rPr>
          <w:rFonts w:ascii="Times New Roman" w:hAnsi="Times New Roman" w:cs="Times New Roman"/>
          <w:sz w:val="24"/>
          <w:szCs w:val="20"/>
        </w:rPr>
        <w:t xml:space="preserve">orum has significant limitations and is in need of revisions to its processes in order to continue to </w:t>
      </w:r>
      <w:r w:rsidR="00A545BE">
        <w:rPr>
          <w:rFonts w:ascii="Times New Roman" w:hAnsi="Times New Roman" w:cs="Times New Roman"/>
          <w:sz w:val="24"/>
          <w:szCs w:val="20"/>
        </w:rPr>
        <w:t xml:space="preserve">maximise its </w:t>
      </w:r>
      <w:r w:rsidRPr="005F036B">
        <w:rPr>
          <w:rFonts w:ascii="Times New Roman" w:hAnsi="Times New Roman" w:cs="Times New Roman"/>
          <w:sz w:val="24"/>
          <w:szCs w:val="20"/>
        </w:rPr>
        <w:t>useful</w:t>
      </w:r>
      <w:r w:rsidR="00610687">
        <w:rPr>
          <w:rFonts w:ascii="Times New Roman" w:hAnsi="Times New Roman" w:cs="Times New Roman"/>
          <w:sz w:val="24"/>
          <w:szCs w:val="20"/>
        </w:rPr>
        <w:t xml:space="preserve">ness. </w:t>
      </w:r>
      <w:r w:rsidRPr="005F036B">
        <w:rPr>
          <w:rFonts w:ascii="Times New Roman" w:hAnsi="Times New Roman" w:cs="Times New Roman"/>
          <w:sz w:val="24"/>
          <w:szCs w:val="20"/>
        </w:rPr>
        <w:t xml:space="preserve">  </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The problems associated with the PDF stem from both its process for developing pricing and product constructs, and its rules which preclude oversight by key regulators including the ACCC and external consultation through confidentiality requirements. The PDF process is approximately as follows: </w:t>
      </w:r>
    </w:p>
    <w:p w:rsidR="007E7F5C" w:rsidRPr="005F036B" w:rsidRDefault="007E7F5C" w:rsidP="007E7F5C">
      <w:pPr>
        <w:pStyle w:val="BodyText1"/>
        <w:numPr>
          <w:ilvl w:val="0"/>
          <w:numId w:val="46"/>
        </w:numPr>
        <w:jc w:val="both"/>
        <w:rPr>
          <w:rFonts w:ascii="Times New Roman" w:hAnsi="Times New Roman" w:cs="Times New Roman"/>
          <w:sz w:val="24"/>
          <w:szCs w:val="20"/>
        </w:rPr>
      </w:pPr>
      <w:r w:rsidRPr="005F036B">
        <w:rPr>
          <w:rFonts w:ascii="Times New Roman" w:hAnsi="Times New Roman" w:cs="Times New Roman"/>
          <w:sz w:val="24"/>
          <w:szCs w:val="20"/>
        </w:rPr>
        <w:t>NBN develops a pricing or product construct;</w:t>
      </w:r>
    </w:p>
    <w:p w:rsidR="007E7F5C" w:rsidRPr="005F036B" w:rsidRDefault="007E7F5C" w:rsidP="007E7F5C">
      <w:pPr>
        <w:pStyle w:val="BodyText1"/>
        <w:numPr>
          <w:ilvl w:val="0"/>
          <w:numId w:val="46"/>
        </w:numPr>
        <w:jc w:val="both"/>
        <w:rPr>
          <w:rFonts w:ascii="Times New Roman" w:hAnsi="Times New Roman" w:cs="Times New Roman"/>
          <w:sz w:val="24"/>
          <w:szCs w:val="20"/>
        </w:rPr>
      </w:pPr>
      <w:r w:rsidRPr="005F036B">
        <w:rPr>
          <w:rFonts w:ascii="Times New Roman" w:hAnsi="Times New Roman" w:cs="Times New Roman"/>
          <w:sz w:val="24"/>
          <w:szCs w:val="20"/>
        </w:rPr>
        <w:t xml:space="preserve">This product is put out for </w:t>
      </w:r>
      <w:r w:rsidR="00186E10">
        <w:rPr>
          <w:rFonts w:ascii="Times New Roman" w:hAnsi="Times New Roman" w:cs="Times New Roman"/>
          <w:sz w:val="24"/>
          <w:szCs w:val="20"/>
        </w:rPr>
        <w:t xml:space="preserve">closed </w:t>
      </w:r>
      <w:r w:rsidRPr="005F036B">
        <w:rPr>
          <w:rFonts w:ascii="Times New Roman" w:hAnsi="Times New Roman" w:cs="Times New Roman"/>
          <w:sz w:val="24"/>
          <w:szCs w:val="20"/>
        </w:rPr>
        <w:t>comment via a consultation paper</w:t>
      </w:r>
      <w:r w:rsidR="00186E10">
        <w:rPr>
          <w:rFonts w:ascii="Times New Roman" w:hAnsi="Times New Roman" w:cs="Times New Roman"/>
          <w:sz w:val="24"/>
          <w:szCs w:val="20"/>
        </w:rPr>
        <w:t xml:space="preserve"> to members of the PDF</w:t>
      </w:r>
      <w:r w:rsidRPr="005F036B">
        <w:rPr>
          <w:rFonts w:ascii="Times New Roman" w:hAnsi="Times New Roman" w:cs="Times New Roman"/>
          <w:sz w:val="24"/>
          <w:szCs w:val="20"/>
        </w:rPr>
        <w:t>;</w:t>
      </w:r>
    </w:p>
    <w:p w:rsidR="007E7F5C" w:rsidRPr="005F036B" w:rsidRDefault="007E7F5C" w:rsidP="007E7F5C">
      <w:pPr>
        <w:pStyle w:val="BodyText1"/>
        <w:numPr>
          <w:ilvl w:val="0"/>
          <w:numId w:val="46"/>
        </w:numPr>
        <w:jc w:val="both"/>
        <w:rPr>
          <w:rFonts w:ascii="Times New Roman" w:hAnsi="Times New Roman" w:cs="Times New Roman"/>
          <w:sz w:val="24"/>
          <w:szCs w:val="20"/>
        </w:rPr>
      </w:pPr>
      <w:r w:rsidRPr="005F036B">
        <w:rPr>
          <w:rFonts w:ascii="Times New Roman" w:hAnsi="Times New Roman" w:cs="Times New Roman"/>
          <w:sz w:val="24"/>
          <w:szCs w:val="20"/>
        </w:rPr>
        <w:t>Minor refinements may be made by NBN</w:t>
      </w:r>
      <w:r w:rsidR="00610687">
        <w:rPr>
          <w:rFonts w:ascii="Times New Roman" w:hAnsi="Times New Roman" w:cs="Times New Roman"/>
          <w:sz w:val="24"/>
          <w:szCs w:val="20"/>
        </w:rPr>
        <w:t xml:space="preserve"> after reviewing feedback</w:t>
      </w:r>
      <w:r w:rsidRPr="005F036B">
        <w:rPr>
          <w:rFonts w:ascii="Times New Roman" w:hAnsi="Times New Roman" w:cs="Times New Roman"/>
          <w:sz w:val="24"/>
          <w:szCs w:val="20"/>
        </w:rPr>
        <w:t>;</w:t>
      </w:r>
    </w:p>
    <w:p w:rsidR="007E7F5C" w:rsidRPr="005F036B" w:rsidRDefault="007E7F5C" w:rsidP="007E7F5C">
      <w:pPr>
        <w:pStyle w:val="BodyText1"/>
        <w:numPr>
          <w:ilvl w:val="0"/>
          <w:numId w:val="46"/>
        </w:numPr>
        <w:jc w:val="both"/>
        <w:rPr>
          <w:rFonts w:ascii="Times New Roman" w:hAnsi="Times New Roman" w:cs="Times New Roman"/>
          <w:sz w:val="24"/>
          <w:szCs w:val="20"/>
        </w:rPr>
      </w:pPr>
      <w:r w:rsidRPr="005F036B">
        <w:rPr>
          <w:rFonts w:ascii="Times New Roman" w:hAnsi="Times New Roman" w:cs="Times New Roman"/>
          <w:sz w:val="24"/>
          <w:szCs w:val="20"/>
        </w:rPr>
        <w:t>A follow up informal consultation occurs;</w:t>
      </w:r>
    </w:p>
    <w:p w:rsidR="007E7F5C" w:rsidRPr="005F036B" w:rsidRDefault="007E7F5C" w:rsidP="007E7F5C">
      <w:pPr>
        <w:pStyle w:val="BodyText1"/>
        <w:numPr>
          <w:ilvl w:val="0"/>
          <w:numId w:val="46"/>
        </w:numPr>
        <w:jc w:val="both"/>
        <w:rPr>
          <w:rFonts w:ascii="Times New Roman" w:hAnsi="Times New Roman" w:cs="Times New Roman"/>
          <w:sz w:val="24"/>
          <w:szCs w:val="20"/>
        </w:rPr>
      </w:pPr>
      <w:r w:rsidRPr="005F036B">
        <w:rPr>
          <w:rFonts w:ascii="Times New Roman" w:hAnsi="Times New Roman" w:cs="Times New Roman"/>
          <w:sz w:val="24"/>
          <w:szCs w:val="20"/>
        </w:rPr>
        <w:t xml:space="preserve">A final product construct is released by NBN Co. reflecting largely the position outlined in the original paper with no reasons given for the adoption of the construct. </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The </w:t>
      </w:r>
      <w:r w:rsidR="00186E10">
        <w:rPr>
          <w:rFonts w:ascii="Times New Roman" w:hAnsi="Times New Roman" w:cs="Times New Roman"/>
          <w:sz w:val="24"/>
          <w:szCs w:val="20"/>
        </w:rPr>
        <w:t>PDF</w:t>
      </w:r>
      <w:r w:rsidRPr="005F036B">
        <w:rPr>
          <w:rFonts w:ascii="Times New Roman" w:hAnsi="Times New Roman" w:cs="Times New Roman"/>
          <w:sz w:val="24"/>
          <w:szCs w:val="20"/>
        </w:rPr>
        <w:t xml:space="preserve"> process creates several issues, including limited accountability for the pricing and product decisions reached by NBN Co. In addition to the lack of accountability, the rules of the </w:t>
      </w:r>
      <w:r w:rsidR="00186E10">
        <w:rPr>
          <w:rFonts w:ascii="Times New Roman" w:hAnsi="Times New Roman" w:cs="Times New Roman"/>
          <w:sz w:val="24"/>
          <w:szCs w:val="20"/>
        </w:rPr>
        <w:t>PDF</w:t>
      </w:r>
      <w:r w:rsidRPr="005F036B">
        <w:rPr>
          <w:rFonts w:ascii="Times New Roman" w:hAnsi="Times New Roman" w:cs="Times New Roman"/>
          <w:sz w:val="24"/>
          <w:szCs w:val="20"/>
        </w:rPr>
        <w:t xml:space="preserve"> preclude regulatory oversight and input in pricing decisions and impose strict confidentiality</w:t>
      </w:r>
      <w:r>
        <w:rPr>
          <w:rFonts w:ascii="Times New Roman" w:hAnsi="Times New Roman" w:cs="Times New Roman"/>
          <w:sz w:val="24"/>
          <w:szCs w:val="20"/>
        </w:rPr>
        <w:t xml:space="preserve"> requirements on participants. </w:t>
      </w:r>
      <w:r w:rsidRPr="005F036B">
        <w:rPr>
          <w:rFonts w:ascii="Times New Roman" w:hAnsi="Times New Roman" w:cs="Times New Roman"/>
          <w:sz w:val="24"/>
          <w:szCs w:val="20"/>
        </w:rPr>
        <w:t xml:space="preserve">ACCAN believes that there are several issues with the </w:t>
      </w:r>
      <w:r w:rsidR="00186E10">
        <w:rPr>
          <w:rFonts w:ascii="Times New Roman" w:hAnsi="Times New Roman" w:cs="Times New Roman"/>
          <w:sz w:val="24"/>
          <w:szCs w:val="20"/>
        </w:rPr>
        <w:t>process</w:t>
      </w:r>
      <w:r w:rsidRPr="005F036B">
        <w:rPr>
          <w:rFonts w:ascii="Times New Roman" w:hAnsi="Times New Roman" w:cs="Times New Roman"/>
          <w:sz w:val="24"/>
          <w:szCs w:val="20"/>
        </w:rPr>
        <w:t xml:space="preserve"> including: </w:t>
      </w:r>
    </w:p>
    <w:p w:rsidR="007E7F5C" w:rsidRDefault="007E7F5C" w:rsidP="007E7F5C">
      <w:pPr>
        <w:pStyle w:val="BodyText1"/>
        <w:numPr>
          <w:ilvl w:val="0"/>
          <w:numId w:val="45"/>
        </w:numPr>
        <w:rPr>
          <w:rFonts w:ascii="Times New Roman" w:hAnsi="Times New Roman" w:cs="Times New Roman"/>
          <w:sz w:val="24"/>
          <w:szCs w:val="20"/>
        </w:rPr>
      </w:pPr>
      <w:r w:rsidRPr="005F036B">
        <w:rPr>
          <w:rFonts w:ascii="Times New Roman" w:hAnsi="Times New Roman" w:cs="Times New Roman"/>
          <w:sz w:val="24"/>
          <w:szCs w:val="20"/>
        </w:rPr>
        <w:t xml:space="preserve">A lack of accountability as to the basis of the decisions reached concerning pricing and product design; </w:t>
      </w:r>
    </w:p>
    <w:p w:rsidR="007E7F5C" w:rsidRPr="005F036B" w:rsidRDefault="007E7F5C" w:rsidP="007E7F5C">
      <w:pPr>
        <w:pStyle w:val="BodyText1"/>
        <w:numPr>
          <w:ilvl w:val="0"/>
          <w:numId w:val="45"/>
        </w:numPr>
        <w:rPr>
          <w:rFonts w:ascii="Times New Roman" w:hAnsi="Times New Roman" w:cs="Times New Roman"/>
          <w:sz w:val="24"/>
          <w:szCs w:val="20"/>
        </w:rPr>
      </w:pPr>
      <w:r>
        <w:rPr>
          <w:rFonts w:ascii="Times New Roman" w:hAnsi="Times New Roman" w:cs="Times New Roman"/>
          <w:sz w:val="24"/>
          <w:szCs w:val="20"/>
        </w:rPr>
        <w:t xml:space="preserve">A lack of transparency; </w:t>
      </w:r>
    </w:p>
    <w:p w:rsidR="00ED24AD" w:rsidRPr="00ED24AD" w:rsidRDefault="007E7F5C" w:rsidP="00ED24AD">
      <w:pPr>
        <w:pStyle w:val="BodyText1"/>
        <w:numPr>
          <w:ilvl w:val="0"/>
          <w:numId w:val="45"/>
        </w:numPr>
        <w:rPr>
          <w:rFonts w:ascii="Times New Roman" w:hAnsi="Times New Roman" w:cs="Times New Roman"/>
          <w:sz w:val="24"/>
          <w:szCs w:val="20"/>
        </w:rPr>
      </w:pPr>
      <w:r w:rsidRPr="005F036B">
        <w:rPr>
          <w:rFonts w:ascii="Times New Roman" w:hAnsi="Times New Roman" w:cs="Times New Roman"/>
          <w:sz w:val="24"/>
          <w:szCs w:val="20"/>
        </w:rPr>
        <w:t>Failure to articulat</w:t>
      </w:r>
      <w:r w:rsidR="00ED24AD">
        <w:rPr>
          <w:rFonts w:ascii="Times New Roman" w:hAnsi="Times New Roman" w:cs="Times New Roman"/>
          <w:sz w:val="24"/>
          <w:szCs w:val="20"/>
        </w:rPr>
        <w:t>e the constraints NBN Co. faces.</w:t>
      </w:r>
    </w:p>
    <w:p w:rsidR="00ED24AD"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Consultation processes in place in other utility and network infrastructure industries are considerably more robust than those in place under the PDF provisions. </w:t>
      </w:r>
    </w:p>
    <w:p w:rsidR="007E7F5C" w:rsidRDefault="007E7F5C" w:rsidP="007E7F5C">
      <w:pPr>
        <w:pStyle w:val="BodyText1"/>
        <w:rPr>
          <w:rFonts w:ascii="Times New Roman" w:hAnsi="Times New Roman" w:cs="Times New Roman"/>
          <w:sz w:val="24"/>
          <w:szCs w:val="20"/>
        </w:rPr>
      </w:pPr>
    </w:p>
    <w:p w:rsidR="003A0BC8" w:rsidRDefault="003A0BC8" w:rsidP="007E7F5C">
      <w:pPr>
        <w:pStyle w:val="BodyText1"/>
        <w:rPr>
          <w:rFonts w:ascii="Times New Roman" w:hAnsi="Times New Roman" w:cs="Times New Roman"/>
          <w:sz w:val="24"/>
          <w:szCs w:val="20"/>
        </w:rPr>
      </w:pPr>
    </w:p>
    <w:p w:rsidR="003A0BC8" w:rsidRDefault="003A0BC8" w:rsidP="007E7F5C">
      <w:pPr>
        <w:pStyle w:val="BodyText1"/>
        <w:rPr>
          <w:rFonts w:ascii="Times New Roman" w:hAnsi="Times New Roman" w:cs="Times New Roman"/>
          <w:sz w:val="24"/>
          <w:szCs w:val="20"/>
        </w:rPr>
      </w:pPr>
    </w:p>
    <w:p w:rsidR="003A0BC8" w:rsidRPr="005F036B" w:rsidRDefault="003A0BC8" w:rsidP="007E7F5C">
      <w:pPr>
        <w:pStyle w:val="BodyText1"/>
        <w:rPr>
          <w:rFonts w:ascii="Times New Roman" w:hAnsi="Times New Roman" w:cs="Times New Roman"/>
          <w:sz w:val="24"/>
          <w:szCs w:val="20"/>
        </w:rPr>
      </w:pPr>
    </w:p>
    <w:p w:rsidR="007E7F5C" w:rsidRPr="007E7F5C" w:rsidRDefault="007E7F5C" w:rsidP="007E7F5C">
      <w:pPr>
        <w:pStyle w:val="BodyText1"/>
        <w:rPr>
          <w:b/>
          <w:sz w:val="32"/>
          <w:szCs w:val="20"/>
        </w:rPr>
      </w:pPr>
      <w:r w:rsidRPr="007E7F5C">
        <w:rPr>
          <w:b/>
          <w:sz w:val="32"/>
          <w:szCs w:val="20"/>
        </w:rPr>
        <w:lastRenderedPageBreak/>
        <w:t>Best practice processes</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At a fundamental level sound process is defined by reference to how it supports the resolution of problems</w:t>
      </w:r>
      <w:r w:rsidR="007D569A">
        <w:rPr>
          <w:rFonts w:ascii="Times New Roman" w:hAnsi="Times New Roman" w:cs="Times New Roman"/>
          <w:sz w:val="24"/>
          <w:szCs w:val="20"/>
        </w:rPr>
        <w:t xml:space="preserve"> and issues</w:t>
      </w:r>
      <w:r w:rsidRPr="005F036B">
        <w:rPr>
          <w:rFonts w:ascii="Times New Roman" w:hAnsi="Times New Roman" w:cs="Times New Roman"/>
          <w:sz w:val="24"/>
          <w:szCs w:val="20"/>
        </w:rPr>
        <w:t xml:space="preserve">, achievement of objectives and consideration of alternatives and options in pursuit of these objectives. </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The core problem to be resolved in the PDF process is how to design prices and product features that promote the efficient delivery of services and meet NBN’s financial obligations. The objective of the process is to meet these revenue requirements in a way that maximises the benefit of the NBN to the Australian public. </w:t>
      </w:r>
    </w:p>
    <w:p w:rsidR="007E7F5C" w:rsidRDefault="003A0BC8" w:rsidP="007E7F5C">
      <w:pPr>
        <w:pStyle w:val="BodyText1"/>
        <w:jc w:val="both"/>
        <w:rPr>
          <w:rFonts w:ascii="Times New Roman" w:hAnsi="Times New Roman" w:cs="Times New Roman"/>
          <w:sz w:val="24"/>
          <w:szCs w:val="20"/>
        </w:rPr>
      </w:pPr>
      <w:r>
        <w:rPr>
          <w:rFonts w:ascii="Times New Roman" w:hAnsi="Times New Roman" w:cs="Times New Roman"/>
          <w:sz w:val="24"/>
          <w:szCs w:val="20"/>
        </w:rPr>
        <w:t>The design of the</w:t>
      </w:r>
      <w:r w:rsidR="007E7F5C" w:rsidRPr="005F036B">
        <w:rPr>
          <w:rFonts w:ascii="Times New Roman" w:hAnsi="Times New Roman" w:cs="Times New Roman"/>
          <w:sz w:val="24"/>
          <w:szCs w:val="20"/>
        </w:rPr>
        <w:t xml:space="preserve"> process should therefore be focused on potential options for resolving this problem. The current approach </w:t>
      </w:r>
      <w:r w:rsidR="002B0785">
        <w:rPr>
          <w:rFonts w:ascii="Times New Roman" w:hAnsi="Times New Roman" w:cs="Times New Roman"/>
          <w:sz w:val="24"/>
          <w:szCs w:val="20"/>
        </w:rPr>
        <w:t>is to</w:t>
      </w:r>
      <w:r w:rsidR="007E7F5C" w:rsidRPr="005F036B">
        <w:rPr>
          <w:rFonts w:ascii="Times New Roman" w:hAnsi="Times New Roman" w:cs="Times New Roman"/>
          <w:sz w:val="24"/>
          <w:szCs w:val="20"/>
        </w:rPr>
        <w:t xml:space="preserve"> </w:t>
      </w:r>
      <w:r w:rsidR="002B0785">
        <w:rPr>
          <w:rFonts w:ascii="Times New Roman" w:hAnsi="Times New Roman" w:cs="Times New Roman"/>
          <w:sz w:val="24"/>
          <w:szCs w:val="20"/>
        </w:rPr>
        <w:t xml:space="preserve">consult on </w:t>
      </w:r>
      <w:r w:rsidR="007E7F5C" w:rsidRPr="005F036B">
        <w:rPr>
          <w:rFonts w:ascii="Times New Roman" w:hAnsi="Times New Roman" w:cs="Times New Roman"/>
          <w:sz w:val="24"/>
          <w:szCs w:val="20"/>
        </w:rPr>
        <w:t xml:space="preserve"> a given option or solution  that may or may not be effective in resolving either the fundamental financial problem that NBN Co. faces or achieving the objective of efficient service delivery. </w:t>
      </w:r>
    </w:p>
    <w:p w:rsidR="007E7F5C"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The adoption of an open forum approach to pricing and product development is reflective of best practice</w:t>
      </w:r>
      <w:r w:rsidR="002B0785">
        <w:rPr>
          <w:rFonts w:ascii="Times New Roman" w:hAnsi="Times New Roman" w:cs="Times New Roman"/>
          <w:sz w:val="24"/>
          <w:szCs w:val="20"/>
        </w:rPr>
        <w:t>. This model is used</w:t>
      </w:r>
      <w:r>
        <w:rPr>
          <w:rFonts w:ascii="Times New Roman" w:hAnsi="Times New Roman" w:cs="Times New Roman"/>
          <w:sz w:val="24"/>
          <w:szCs w:val="20"/>
        </w:rPr>
        <w:t xml:space="preserve"> by the Independent P</w:t>
      </w:r>
      <w:r w:rsidR="002B0785">
        <w:rPr>
          <w:rFonts w:ascii="Times New Roman" w:hAnsi="Times New Roman" w:cs="Times New Roman"/>
          <w:sz w:val="24"/>
          <w:szCs w:val="20"/>
        </w:rPr>
        <w:t>ricing</w:t>
      </w:r>
      <w:r>
        <w:rPr>
          <w:rFonts w:ascii="Times New Roman" w:hAnsi="Times New Roman" w:cs="Times New Roman"/>
          <w:sz w:val="24"/>
          <w:szCs w:val="20"/>
        </w:rPr>
        <w:t xml:space="preserve"> and Regulatory Tribunal, Essential Services Commission of Victoria and the Australian Energy Market Commission.</w:t>
      </w:r>
      <w:r>
        <w:rPr>
          <w:rStyle w:val="FootnoteReference"/>
          <w:rFonts w:ascii="Times New Roman" w:hAnsi="Times New Roman" w:cs="Times New Roman"/>
          <w:sz w:val="24"/>
        </w:rPr>
        <w:footnoteReference w:id="5"/>
      </w:r>
      <w:r w:rsidR="0024484B">
        <w:rPr>
          <w:rFonts w:ascii="Times New Roman" w:hAnsi="Times New Roman" w:cs="Times New Roman"/>
          <w:sz w:val="24"/>
          <w:szCs w:val="20"/>
        </w:rPr>
        <w:t xml:space="preserve"> </w:t>
      </w:r>
      <w:r>
        <w:rPr>
          <w:rFonts w:ascii="Times New Roman" w:hAnsi="Times New Roman" w:cs="Times New Roman"/>
          <w:sz w:val="24"/>
          <w:szCs w:val="20"/>
        </w:rPr>
        <w:t>These pricing processes involve:</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Public release of consultation papers including detailed guidance provided concerning the substance of the revenue constraints ;</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 xml:space="preserve">Receipt of public submissions; </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 xml:space="preserve">Public hearings;  </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 xml:space="preserve">Publication of a draft report; </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 xml:space="preserve">Further submissions; </w:t>
      </w:r>
    </w:p>
    <w:p w:rsidR="007E7F5C" w:rsidRDefault="007E7F5C" w:rsidP="007E7F5C">
      <w:pPr>
        <w:pStyle w:val="BodyText1"/>
        <w:numPr>
          <w:ilvl w:val="0"/>
          <w:numId w:val="47"/>
        </w:numPr>
        <w:jc w:val="both"/>
        <w:rPr>
          <w:rFonts w:ascii="Times New Roman" w:hAnsi="Times New Roman" w:cs="Times New Roman"/>
          <w:sz w:val="24"/>
          <w:szCs w:val="20"/>
        </w:rPr>
      </w:pPr>
      <w:r>
        <w:rPr>
          <w:rFonts w:ascii="Times New Roman" w:hAnsi="Times New Roman" w:cs="Times New Roman"/>
          <w:sz w:val="24"/>
          <w:szCs w:val="20"/>
        </w:rPr>
        <w:t>Publication of a final report.</w:t>
      </w:r>
    </w:p>
    <w:p w:rsidR="007E7F5C"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Although not all pricing processes involve all of the above steps, the price setting process is </w:t>
      </w:r>
      <w:r w:rsidR="002B0785">
        <w:rPr>
          <w:rFonts w:ascii="Times New Roman" w:hAnsi="Times New Roman" w:cs="Times New Roman"/>
          <w:sz w:val="24"/>
          <w:szCs w:val="20"/>
        </w:rPr>
        <w:t xml:space="preserve">similar. </w:t>
      </w:r>
      <w:r>
        <w:rPr>
          <w:rFonts w:ascii="Times New Roman" w:hAnsi="Times New Roman" w:cs="Times New Roman"/>
          <w:sz w:val="24"/>
          <w:szCs w:val="20"/>
        </w:rPr>
        <w:t xml:space="preserve"> This is because the process outlined above provides for rigorous public scrutiny of price setting, full consideration of all potential pricing options and a contest</w:t>
      </w:r>
      <w:r w:rsidR="002B0785">
        <w:rPr>
          <w:rFonts w:ascii="Times New Roman" w:hAnsi="Times New Roman" w:cs="Times New Roman"/>
          <w:sz w:val="24"/>
          <w:szCs w:val="20"/>
        </w:rPr>
        <w:t xml:space="preserve"> of</w:t>
      </w:r>
      <w:r>
        <w:rPr>
          <w:rFonts w:ascii="Times New Roman" w:hAnsi="Times New Roman" w:cs="Times New Roman"/>
          <w:sz w:val="24"/>
          <w:szCs w:val="20"/>
        </w:rPr>
        <w:t xml:space="preserve"> pricing models. ACCAN believes that th</w:t>
      </w:r>
      <w:r w:rsidR="002B0785">
        <w:rPr>
          <w:rFonts w:ascii="Times New Roman" w:hAnsi="Times New Roman" w:cs="Times New Roman"/>
          <w:sz w:val="24"/>
          <w:szCs w:val="20"/>
        </w:rPr>
        <w:t xml:space="preserve">is best practice </w:t>
      </w:r>
      <w:r w:rsidR="003A0BC8">
        <w:rPr>
          <w:rFonts w:ascii="Times New Roman" w:hAnsi="Times New Roman" w:cs="Times New Roman"/>
          <w:sz w:val="24"/>
          <w:szCs w:val="20"/>
        </w:rPr>
        <w:t>approach</w:t>
      </w:r>
      <w:r>
        <w:rPr>
          <w:rFonts w:ascii="Times New Roman" w:hAnsi="Times New Roman" w:cs="Times New Roman"/>
          <w:sz w:val="24"/>
          <w:szCs w:val="20"/>
        </w:rPr>
        <w:t xml:space="preserve"> to price setting and can be adopted with some modification under the terms of the SAU. </w:t>
      </w:r>
    </w:p>
    <w:p w:rsidR="00E10059" w:rsidRDefault="001D3D4A"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 </w:t>
      </w:r>
    </w:p>
    <w:p w:rsidR="0024484B"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lastRenderedPageBreak/>
        <w:t>The process of consultation should be proportionate to the substance of the matter in consideration.</w:t>
      </w:r>
      <w:r>
        <w:rPr>
          <w:rStyle w:val="FootnoteReference"/>
          <w:rFonts w:ascii="Times New Roman" w:hAnsi="Times New Roman" w:cs="Times New Roman"/>
          <w:sz w:val="24"/>
        </w:rPr>
        <w:footnoteReference w:id="6"/>
      </w:r>
      <w:r>
        <w:rPr>
          <w:rFonts w:ascii="Times New Roman" w:hAnsi="Times New Roman" w:cs="Times New Roman"/>
          <w:sz w:val="24"/>
          <w:szCs w:val="20"/>
        </w:rPr>
        <w:t xml:space="preserve"> </w:t>
      </w:r>
      <w:r w:rsidR="0024484B" w:rsidRPr="00E10059">
        <w:rPr>
          <w:rFonts w:ascii="Times New Roman" w:hAnsi="Times New Roman" w:cs="Times New Roman"/>
          <w:sz w:val="24"/>
          <w:szCs w:val="20"/>
        </w:rPr>
        <w:t>The consultation process adopted by economic regulators across Australia is considerably more rigorous than that currently adopted by NBN Co</w:t>
      </w:r>
      <w:r w:rsidR="0024484B">
        <w:rPr>
          <w:rFonts w:ascii="Times New Roman" w:hAnsi="Times New Roman" w:cs="Times New Roman"/>
          <w:sz w:val="24"/>
          <w:szCs w:val="20"/>
        </w:rPr>
        <w:t>. and is commensurate with the material impacts of price-setting.</w:t>
      </w:r>
    </w:p>
    <w:p w:rsidR="007E7F5C"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While not seeking to impose an undue burden on NBN Co. when consulting on matters of minor technical modifications, it is simultaneously absurd that pricing decisions with implications in the hundreds of millions or billions of dollars are undertaken via the same process</w:t>
      </w:r>
      <w:r w:rsidR="0024484B">
        <w:rPr>
          <w:rFonts w:ascii="Times New Roman" w:hAnsi="Times New Roman" w:cs="Times New Roman"/>
          <w:sz w:val="24"/>
          <w:szCs w:val="20"/>
        </w:rPr>
        <w:t xml:space="preserve">. </w:t>
      </w:r>
      <w:r>
        <w:rPr>
          <w:rFonts w:ascii="Times New Roman" w:hAnsi="Times New Roman" w:cs="Times New Roman"/>
          <w:sz w:val="24"/>
          <w:szCs w:val="20"/>
        </w:rPr>
        <w:t>Pricing decisions with material financial and economic consequences should be subject to a process that is commensurate and propor</w:t>
      </w:r>
      <w:r w:rsidR="0024484B">
        <w:rPr>
          <w:rFonts w:ascii="Times New Roman" w:hAnsi="Times New Roman" w:cs="Times New Roman"/>
          <w:sz w:val="24"/>
          <w:szCs w:val="20"/>
        </w:rPr>
        <w:t>tionate to the potential impact</w:t>
      </w:r>
      <w:r w:rsidR="002B0785">
        <w:rPr>
          <w:rFonts w:ascii="Times New Roman" w:hAnsi="Times New Roman" w:cs="Times New Roman"/>
          <w:sz w:val="24"/>
          <w:szCs w:val="20"/>
        </w:rPr>
        <w:t>.</w:t>
      </w:r>
      <w:r w:rsidR="0024484B">
        <w:rPr>
          <w:rFonts w:ascii="Times New Roman" w:hAnsi="Times New Roman" w:cs="Times New Roman"/>
          <w:sz w:val="24"/>
          <w:szCs w:val="20"/>
        </w:rPr>
        <w:t xml:space="preserve"> </w:t>
      </w:r>
    </w:p>
    <w:p w:rsidR="007E7F5C" w:rsidRPr="007E7F5C" w:rsidRDefault="007E7F5C" w:rsidP="007E7F5C">
      <w:pPr>
        <w:pStyle w:val="BodyText1"/>
        <w:rPr>
          <w:b/>
          <w:sz w:val="32"/>
          <w:szCs w:val="20"/>
        </w:rPr>
      </w:pPr>
      <w:r w:rsidRPr="007E7F5C">
        <w:rPr>
          <w:b/>
          <w:sz w:val="32"/>
          <w:szCs w:val="20"/>
        </w:rPr>
        <w:t xml:space="preserve">Accountability </w:t>
      </w:r>
    </w:p>
    <w:p w:rsidR="007E7F5C" w:rsidRPr="005F036B" w:rsidRDefault="00610687"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As </w:t>
      </w:r>
      <w:r w:rsidR="007E7F5C" w:rsidRPr="005F036B">
        <w:rPr>
          <w:rFonts w:ascii="Times New Roman" w:hAnsi="Times New Roman" w:cs="Times New Roman"/>
          <w:sz w:val="24"/>
          <w:szCs w:val="20"/>
        </w:rPr>
        <w:t xml:space="preserve">NBN Co. runs the </w:t>
      </w:r>
      <w:r w:rsidR="002B0785">
        <w:rPr>
          <w:rFonts w:ascii="Times New Roman" w:hAnsi="Times New Roman" w:cs="Times New Roman"/>
          <w:sz w:val="24"/>
          <w:szCs w:val="20"/>
        </w:rPr>
        <w:t xml:space="preserve">PDF </w:t>
      </w:r>
      <w:r>
        <w:rPr>
          <w:rFonts w:ascii="Times New Roman" w:hAnsi="Times New Roman" w:cs="Times New Roman"/>
          <w:sz w:val="24"/>
          <w:szCs w:val="20"/>
        </w:rPr>
        <w:t xml:space="preserve">it </w:t>
      </w:r>
      <w:r w:rsidR="007E7F5C" w:rsidRPr="005F036B">
        <w:rPr>
          <w:rFonts w:ascii="Times New Roman" w:hAnsi="Times New Roman" w:cs="Times New Roman"/>
          <w:sz w:val="24"/>
          <w:szCs w:val="20"/>
        </w:rPr>
        <w:t xml:space="preserve">has significant control over the processes and procedures adopted. Accountability for the final design of pricing and product features fundamentally resides with NBN Co. </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NBN Co. does not provide reasons, evidence or a rationale for the decisions that it reaches with respect to pricing or product features beyond general assertions that the approach adopted is in keeping with its </w:t>
      </w:r>
      <w:r>
        <w:rPr>
          <w:rFonts w:ascii="Times New Roman" w:hAnsi="Times New Roman" w:cs="Times New Roman"/>
          <w:sz w:val="24"/>
          <w:szCs w:val="20"/>
        </w:rPr>
        <w:t xml:space="preserve">financial, </w:t>
      </w:r>
      <w:r w:rsidRPr="005F036B">
        <w:rPr>
          <w:rFonts w:ascii="Times New Roman" w:hAnsi="Times New Roman" w:cs="Times New Roman"/>
          <w:sz w:val="24"/>
          <w:szCs w:val="20"/>
        </w:rPr>
        <w:t>regulatory or policy objectives.</w:t>
      </w:r>
    </w:p>
    <w:p w:rsidR="007E7F5C" w:rsidRDefault="00A92835" w:rsidP="007E7F5C">
      <w:pPr>
        <w:pStyle w:val="BodyText1"/>
        <w:jc w:val="both"/>
        <w:rPr>
          <w:rFonts w:ascii="Times New Roman" w:hAnsi="Times New Roman" w:cs="Times New Roman"/>
          <w:sz w:val="24"/>
          <w:szCs w:val="20"/>
        </w:rPr>
      </w:pPr>
      <w:r>
        <w:rPr>
          <w:rFonts w:ascii="Times New Roman" w:hAnsi="Times New Roman" w:cs="Times New Roman"/>
          <w:sz w:val="24"/>
          <w:szCs w:val="20"/>
        </w:rPr>
        <w:t>T</w:t>
      </w:r>
      <w:r w:rsidR="007E7F5C" w:rsidRPr="005F036B">
        <w:rPr>
          <w:rFonts w:ascii="Times New Roman" w:hAnsi="Times New Roman" w:cs="Times New Roman"/>
          <w:sz w:val="24"/>
          <w:szCs w:val="20"/>
        </w:rPr>
        <w:t xml:space="preserve">hese objectives can be achieved in any number of ways. Multiple pricing approaches have been proposed in the past by ACCAN, external pricing experts and retail service providers. Despite the presentation of various pricing options none of these appear to have been considered in a genuine fashion. </w:t>
      </w:r>
    </w:p>
    <w:p w:rsidR="007E7F5C"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As NBN Co. does not provide reasons for the decision that they adopt, PDF participants are not in a position to identify errors of process, the reasonableness of the assumptions adopted in the development of models and the likely impact of NBN pricing decisions. </w:t>
      </w:r>
    </w:p>
    <w:p w:rsidR="007E7F5C"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This is problematic as NBN Co.’s assumptions about demand for services under different pricing scenarios, consumers</w:t>
      </w:r>
      <w:r w:rsidR="00A92835">
        <w:rPr>
          <w:rFonts w:ascii="Times New Roman" w:hAnsi="Times New Roman" w:cs="Times New Roman"/>
          <w:sz w:val="24"/>
          <w:szCs w:val="20"/>
        </w:rPr>
        <w:t>’</w:t>
      </w:r>
      <w:r>
        <w:rPr>
          <w:rFonts w:ascii="Times New Roman" w:hAnsi="Times New Roman" w:cs="Times New Roman"/>
          <w:sz w:val="24"/>
          <w:szCs w:val="20"/>
        </w:rPr>
        <w:t xml:space="preserve"> willingness to pay and price elasticity are based o</w:t>
      </w:r>
      <w:r w:rsidR="002F26C7">
        <w:rPr>
          <w:rFonts w:ascii="Times New Roman" w:hAnsi="Times New Roman" w:cs="Times New Roman"/>
          <w:sz w:val="24"/>
          <w:szCs w:val="20"/>
        </w:rPr>
        <w:t>n internal</w:t>
      </w:r>
      <w:r>
        <w:rPr>
          <w:rFonts w:ascii="Times New Roman" w:hAnsi="Times New Roman" w:cs="Times New Roman"/>
          <w:sz w:val="24"/>
          <w:szCs w:val="20"/>
        </w:rPr>
        <w:t xml:space="preserve"> research and modelling. Therefore any errors that may arise in the development of these </w:t>
      </w:r>
      <w:r w:rsidR="002F26C7">
        <w:rPr>
          <w:rFonts w:ascii="Times New Roman" w:hAnsi="Times New Roman" w:cs="Times New Roman"/>
          <w:sz w:val="24"/>
          <w:szCs w:val="20"/>
        </w:rPr>
        <w:t>assumptions</w:t>
      </w:r>
      <w:r>
        <w:rPr>
          <w:rFonts w:ascii="Times New Roman" w:hAnsi="Times New Roman" w:cs="Times New Roman"/>
          <w:sz w:val="24"/>
          <w:szCs w:val="20"/>
        </w:rPr>
        <w:t xml:space="preserve"> will have a material effect on the </w:t>
      </w:r>
      <w:r w:rsidR="002F26C7">
        <w:rPr>
          <w:rFonts w:ascii="Times New Roman" w:hAnsi="Times New Roman" w:cs="Times New Roman"/>
          <w:sz w:val="24"/>
          <w:szCs w:val="20"/>
        </w:rPr>
        <w:t xml:space="preserve">setting of prices. </w:t>
      </w:r>
    </w:p>
    <w:p w:rsidR="002F26C7"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The pricing constructs adopted by NBN Co. thus far do not assuage ACCAN’s concerns about </w:t>
      </w:r>
      <w:r w:rsidRPr="003A0BC8">
        <w:rPr>
          <w:rFonts w:ascii="Times New Roman" w:hAnsi="Times New Roman" w:cs="Times New Roman"/>
          <w:color w:val="auto"/>
          <w:sz w:val="24"/>
          <w:szCs w:val="20"/>
        </w:rPr>
        <w:t xml:space="preserve">the assumptions and research that NBN Co. is using to underpin their pricing decisions. </w:t>
      </w:r>
      <w:r w:rsidR="00A92835" w:rsidRPr="003A0BC8">
        <w:rPr>
          <w:rFonts w:ascii="Times New Roman" w:hAnsi="Times New Roman" w:cs="Times New Roman"/>
          <w:color w:val="auto"/>
          <w:sz w:val="24"/>
          <w:szCs w:val="20"/>
        </w:rPr>
        <w:t xml:space="preserve">For example, we are aware of research on consumer willingness to pay that </w:t>
      </w:r>
      <w:r w:rsidRPr="003A0BC8">
        <w:rPr>
          <w:rFonts w:ascii="Times New Roman" w:hAnsi="Times New Roman" w:cs="Times New Roman"/>
          <w:color w:val="auto"/>
          <w:sz w:val="24"/>
          <w:szCs w:val="20"/>
        </w:rPr>
        <w:t xml:space="preserve">has considerable divergence from that </w:t>
      </w:r>
      <w:r w:rsidR="003A0BC8" w:rsidRPr="003A0BC8">
        <w:rPr>
          <w:rFonts w:ascii="Times New Roman" w:hAnsi="Times New Roman" w:cs="Times New Roman"/>
          <w:color w:val="auto"/>
          <w:sz w:val="24"/>
          <w:szCs w:val="20"/>
        </w:rPr>
        <w:t>used by</w:t>
      </w:r>
      <w:r w:rsidRPr="003A0BC8">
        <w:rPr>
          <w:rFonts w:ascii="Times New Roman" w:hAnsi="Times New Roman" w:cs="Times New Roman"/>
          <w:color w:val="auto"/>
          <w:sz w:val="24"/>
          <w:szCs w:val="20"/>
        </w:rPr>
        <w:t xml:space="preserve"> NBN Co. </w:t>
      </w:r>
      <w:r w:rsidR="0024484B" w:rsidRPr="003A0BC8">
        <w:rPr>
          <w:rFonts w:ascii="Times New Roman" w:hAnsi="Times New Roman" w:cs="Times New Roman"/>
          <w:color w:val="auto"/>
          <w:sz w:val="24"/>
          <w:szCs w:val="20"/>
        </w:rPr>
        <w:t>If NBN Co. was required under the terms of the SAU provisions to provide relevant information, outline its assumptions and provide reasons for its decisions</w:t>
      </w:r>
      <w:r w:rsidR="00A92835" w:rsidRPr="003A0BC8">
        <w:rPr>
          <w:rFonts w:ascii="Times New Roman" w:hAnsi="Times New Roman" w:cs="Times New Roman"/>
          <w:color w:val="auto"/>
          <w:sz w:val="24"/>
          <w:szCs w:val="20"/>
        </w:rPr>
        <w:t>,</w:t>
      </w:r>
      <w:r w:rsidR="0024484B" w:rsidRPr="003A0BC8">
        <w:rPr>
          <w:rFonts w:ascii="Times New Roman" w:hAnsi="Times New Roman" w:cs="Times New Roman"/>
          <w:color w:val="auto"/>
          <w:sz w:val="24"/>
          <w:szCs w:val="20"/>
        </w:rPr>
        <w:t xml:space="preserve"> discrepancies or errors may be identified</w:t>
      </w:r>
      <w:r w:rsidR="0024484B">
        <w:rPr>
          <w:rFonts w:ascii="Times New Roman" w:hAnsi="Times New Roman" w:cs="Times New Roman"/>
          <w:sz w:val="24"/>
          <w:szCs w:val="20"/>
        </w:rPr>
        <w:t xml:space="preserve">. </w:t>
      </w:r>
    </w:p>
    <w:p w:rsidR="007D569A" w:rsidRDefault="0024484B"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In the absence of accountability measures such as this it is likely that any </w:t>
      </w:r>
      <w:r w:rsidR="002F26C7">
        <w:rPr>
          <w:rFonts w:ascii="Times New Roman" w:hAnsi="Times New Roman" w:cs="Times New Roman"/>
          <w:sz w:val="24"/>
          <w:szCs w:val="20"/>
        </w:rPr>
        <w:t xml:space="preserve">errors stemming from NBN’s reliance on internal research and empirical information will not be identified or </w:t>
      </w:r>
      <w:r w:rsidR="002F26C7">
        <w:rPr>
          <w:rFonts w:ascii="Times New Roman" w:hAnsi="Times New Roman" w:cs="Times New Roman"/>
          <w:sz w:val="24"/>
          <w:szCs w:val="20"/>
        </w:rPr>
        <w:lastRenderedPageBreak/>
        <w:t xml:space="preserve">rectified. As noted above this may have material implications on the setting of prices, with significant implications on consumer outcomes and the long-term financial viability of NBN Co. </w:t>
      </w:r>
    </w:p>
    <w:p w:rsidR="0024484B" w:rsidRDefault="002F26C7" w:rsidP="007E7F5C">
      <w:pPr>
        <w:pStyle w:val="BodyText1"/>
        <w:jc w:val="both"/>
        <w:rPr>
          <w:rFonts w:ascii="Times New Roman" w:hAnsi="Times New Roman" w:cs="Times New Roman"/>
          <w:sz w:val="24"/>
          <w:szCs w:val="20"/>
        </w:rPr>
      </w:pPr>
      <w:r>
        <w:rPr>
          <w:rFonts w:ascii="Times New Roman" w:hAnsi="Times New Roman" w:cs="Times New Roman"/>
          <w:sz w:val="24"/>
          <w:szCs w:val="20"/>
        </w:rPr>
        <w:t xml:space="preserve">Accordingly ACCAN considers that in order to promote the long-term interest of end-users and the efficient usage of NBN infrastructure that the adoption of an open-forum format for the </w:t>
      </w:r>
      <w:r w:rsidR="00A92835">
        <w:rPr>
          <w:rFonts w:ascii="Times New Roman" w:hAnsi="Times New Roman" w:cs="Times New Roman"/>
          <w:sz w:val="24"/>
          <w:szCs w:val="20"/>
        </w:rPr>
        <w:t xml:space="preserve">PDF </w:t>
      </w:r>
      <w:r>
        <w:rPr>
          <w:rFonts w:ascii="Times New Roman" w:hAnsi="Times New Roman" w:cs="Times New Roman"/>
          <w:sz w:val="24"/>
          <w:szCs w:val="20"/>
        </w:rPr>
        <w:t xml:space="preserve">is essential. </w:t>
      </w:r>
      <w:r w:rsidR="00D765BC">
        <w:rPr>
          <w:rFonts w:ascii="Times New Roman" w:hAnsi="Times New Roman" w:cs="Times New Roman"/>
          <w:sz w:val="24"/>
          <w:szCs w:val="20"/>
        </w:rPr>
        <w:t xml:space="preserve">If NBN Co. is developing pricing models based on erroneous research inputs and assumptions then </w:t>
      </w:r>
      <w:r w:rsidR="005865B5">
        <w:rPr>
          <w:rFonts w:ascii="Times New Roman" w:hAnsi="Times New Roman" w:cs="Times New Roman"/>
          <w:sz w:val="24"/>
          <w:szCs w:val="20"/>
        </w:rPr>
        <w:t>the risk of poor pricing outcomes is exacerbated.</w:t>
      </w:r>
    </w:p>
    <w:p w:rsidR="007E7F5C" w:rsidRPr="007E7F5C" w:rsidRDefault="007E7F5C" w:rsidP="007E7F5C">
      <w:pPr>
        <w:pStyle w:val="BodyText1"/>
        <w:rPr>
          <w:b/>
          <w:sz w:val="32"/>
          <w:szCs w:val="20"/>
        </w:rPr>
      </w:pPr>
      <w:r w:rsidRPr="007E7F5C">
        <w:rPr>
          <w:b/>
          <w:sz w:val="32"/>
          <w:szCs w:val="20"/>
        </w:rPr>
        <w:t>Transparency</w:t>
      </w:r>
    </w:p>
    <w:p w:rsidR="007E7F5C" w:rsidRDefault="007E7F5C" w:rsidP="00354CD9">
      <w:pPr>
        <w:pStyle w:val="BodyText1"/>
        <w:jc w:val="both"/>
        <w:rPr>
          <w:rFonts w:ascii="Times New Roman" w:hAnsi="Times New Roman" w:cs="Times New Roman"/>
          <w:sz w:val="24"/>
          <w:szCs w:val="20"/>
        </w:rPr>
      </w:pPr>
      <w:r>
        <w:rPr>
          <w:rFonts w:ascii="Times New Roman" w:hAnsi="Times New Roman" w:cs="Times New Roman"/>
          <w:sz w:val="24"/>
          <w:szCs w:val="20"/>
        </w:rPr>
        <w:t xml:space="preserve">The PDF is operated as a </w:t>
      </w:r>
      <w:r w:rsidR="00D765BC">
        <w:rPr>
          <w:rFonts w:ascii="Times New Roman" w:hAnsi="Times New Roman" w:cs="Times New Roman"/>
          <w:sz w:val="24"/>
          <w:szCs w:val="20"/>
        </w:rPr>
        <w:t xml:space="preserve">closed forum with strict confidentiality requirements. Although appreciative of the need for some information to remain commercial in confidence, </w:t>
      </w:r>
      <w:r w:rsidR="00A92835">
        <w:rPr>
          <w:rFonts w:ascii="Times New Roman" w:hAnsi="Times New Roman" w:cs="Times New Roman"/>
          <w:sz w:val="24"/>
          <w:szCs w:val="20"/>
        </w:rPr>
        <w:t xml:space="preserve">as </w:t>
      </w:r>
      <w:r w:rsidR="003A0BC8">
        <w:rPr>
          <w:rFonts w:ascii="Times New Roman" w:hAnsi="Times New Roman" w:cs="Times New Roman"/>
          <w:sz w:val="24"/>
          <w:szCs w:val="20"/>
        </w:rPr>
        <w:t>noted other</w:t>
      </w:r>
      <w:r w:rsidR="00D765BC">
        <w:rPr>
          <w:rFonts w:ascii="Times New Roman" w:hAnsi="Times New Roman" w:cs="Times New Roman"/>
          <w:sz w:val="24"/>
          <w:szCs w:val="20"/>
        </w:rPr>
        <w:t xml:space="preserve"> pricing and product development processes occur in public forums with considerably greater transparency.</w:t>
      </w:r>
    </w:p>
    <w:p w:rsidR="00C912CC" w:rsidRPr="00C912CC" w:rsidRDefault="003A0BC8" w:rsidP="00354CD9">
      <w:pPr>
        <w:pStyle w:val="BodyText1"/>
        <w:jc w:val="both"/>
        <w:rPr>
          <w:rFonts w:ascii="Times New Roman" w:eastAsiaTheme="minorEastAsia" w:hAnsi="Times New Roman" w:cs="Times New Roman"/>
          <w:color w:val="auto"/>
          <w:sz w:val="24"/>
          <w:szCs w:val="20"/>
          <w:lang w:eastAsia="en-AU"/>
        </w:rPr>
      </w:pPr>
      <w:r>
        <w:rPr>
          <w:rFonts w:ascii="Times New Roman" w:eastAsiaTheme="minorEastAsia" w:hAnsi="Times New Roman" w:cs="Times New Roman"/>
          <w:color w:val="auto"/>
          <w:sz w:val="24"/>
          <w:szCs w:val="20"/>
          <w:lang w:eastAsia="en-AU"/>
        </w:rPr>
        <w:t xml:space="preserve">We </w:t>
      </w:r>
      <w:r w:rsidRPr="005F036B">
        <w:rPr>
          <w:rFonts w:ascii="Times New Roman" w:eastAsiaTheme="minorEastAsia" w:hAnsi="Times New Roman" w:cs="Times New Roman"/>
          <w:color w:val="auto"/>
          <w:sz w:val="24"/>
          <w:szCs w:val="20"/>
          <w:lang w:eastAsia="en-AU"/>
        </w:rPr>
        <w:t>do</w:t>
      </w:r>
      <w:r w:rsidR="00C912CC" w:rsidRPr="005F036B">
        <w:rPr>
          <w:rFonts w:ascii="Times New Roman" w:eastAsiaTheme="minorEastAsia" w:hAnsi="Times New Roman" w:cs="Times New Roman"/>
          <w:color w:val="auto"/>
          <w:sz w:val="24"/>
          <w:szCs w:val="20"/>
          <w:lang w:eastAsia="en-AU"/>
        </w:rPr>
        <w:t xml:space="preserve"> not consider that the forum has been effective in addressing the material concerns of many of its members concerning the revision of pricing and product constructs. Although appreciative of the need for some information to remain commercial in confidence in many instances the confidential nature of the consultation process has precluded effective engagement by ACCAN. </w:t>
      </w:r>
    </w:p>
    <w:p w:rsidR="00D765BC" w:rsidRDefault="00D765BC" w:rsidP="00354CD9">
      <w:pPr>
        <w:pStyle w:val="BodyText1"/>
        <w:jc w:val="both"/>
        <w:rPr>
          <w:rFonts w:ascii="Times New Roman" w:hAnsi="Times New Roman" w:cs="Times New Roman"/>
          <w:sz w:val="24"/>
          <w:szCs w:val="20"/>
        </w:rPr>
      </w:pPr>
      <w:r>
        <w:rPr>
          <w:rFonts w:ascii="Times New Roman" w:hAnsi="Times New Roman" w:cs="Times New Roman"/>
          <w:sz w:val="24"/>
          <w:szCs w:val="20"/>
        </w:rPr>
        <w:t xml:space="preserve">As a closed forum, the operation of the confidentiality requirements prevents ACCAN from engaging with our member organisations on matters that directly impact their interests. There are several consequences that flow from this, including difficulty in ensuring that members’ views are fully reflected in ACCAN submissions and decreased trust in the PDF process. </w:t>
      </w:r>
    </w:p>
    <w:p w:rsidR="00DB75E1" w:rsidRPr="00DB75E1" w:rsidRDefault="00DB75E1" w:rsidP="00354CD9">
      <w:pPr>
        <w:pStyle w:val="BodyText1"/>
        <w:jc w:val="both"/>
        <w:rPr>
          <w:rFonts w:ascii="Times New Roman" w:eastAsiaTheme="minorEastAsia" w:hAnsi="Times New Roman" w:cs="Times New Roman"/>
          <w:color w:val="auto"/>
          <w:sz w:val="24"/>
          <w:szCs w:val="20"/>
          <w:lang w:eastAsia="en-AU"/>
        </w:rPr>
      </w:pPr>
      <w:r w:rsidRPr="005F036B">
        <w:rPr>
          <w:rFonts w:ascii="Times New Roman" w:eastAsiaTheme="minorEastAsia" w:hAnsi="Times New Roman" w:cs="Times New Roman"/>
          <w:color w:val="auto"/>
          <w:sz w:val="24"/>
          <w:szCs w:val="20"/>
          <w:lang w:eastAsia="en-AU"/>
        </w:rPr>
        <w:t>As a membership based peak body representing the diverse interests of consumers</w:t>
      </w:r>
      <w:r w:rsidR="00A545BE">
        <w:rPr>
          <w:rFonts w:ascii="Times New Roman" w:eastAsiaTheme="minorEastAsia" w:hAnsi="Times New Roman" w:cs="Times New Roman"/>
          <w:color w:val="auto"/>
          <w:sz w:val="24"/>
          <w:szCs w:val="20"/>
          <w:lang w:eastAsia="en-AU"/>
        </w:rPr>
        <w:t>,</w:t>
      </w:r>
      <w:r w:rsidRPr="005F036B">
        <w:rPr>
          <w:rFonts w:ascii="Times New Roman" w:eastAsiaTheme="minorEastAsia" w:hAnsi="Times New Roman" w:cs="Times New Roman"/>
          <w:color w:val="auto"/>
          <w:sz w:val="24"/>
          <w:szCs w:val="20"/>
          <w:lang w:eastAsia="en-AU"/>
        </w:rPr>
        <w:t xml:space="preserve"> it is often difficult to reconcile these views in the absence of consultation processes on individual proposals or issues. </w:t>
      </w:r>
      <w:r>
        <w:rPr>
          <w:rFonts w:ascii="Times New Roman" w:hAnsi="Times New Roman" w:cs="Times New Roman"/>
          <w:sz w:val="24"/>
          <w:szCs w:val="20"/>
        </w:rPr>
        <w:t xml:space="preserve">Although ACCAN strives to put forward submissions that are fully reflective </w:t>
      </w:r>
      <w:r w:rsidR="00A545BE">
        <w:rPr>
          <w:rFonts w:ascii="Times New Roman" w:hAnsi="Times New Roman" w:cs="Times New Roman"/>
          <w:sz w:val="24"/>
          <w:szCs w:val="20"/>
        </w:rPr>
        <w:t xml:space="preserve">of </w:t>
      </w:r>
      <w:r>
        <w:rPr>
          <w:rFonts w:ascii="Times New Roman" w:hAnsi="Times New Roman" w:cs="Times New Roman"/>
          <w:sz w:val="24"/>
          <w:szCs w:val="20"/>
        </w:rPr>
        <w:t>our members</w:t>
      </w:r>
      <w:r w:rsidR="00A545BE">
        <w:rPr>
          <w:rFonts w:ascii="Times New Roman" w:hAnsi="Times New Roman" w:cs="Times New Roman"/>
          <w:sz w:val="24"/>
          <w:szCs w:val="20"/>
        </w:rPr>
        <w:t>’ and consumers’</w:t>
      </w:r>
      <w:r>
        <w:rPr>
          <w:rFonts w:ascii="Times New Roman" w:hAnsi="Times New Roman" w:cs="Times New Roman"/>
          <w:sz w:val="24"/>
          <w:szCs w:val="20"/>
        </w:rPr>
        <w:t xml:space="preserve"> interests in the PDF</w:t>
      </w:r>
      <w:r w:rsidR="00A545BE">
        <w:rPr>
          <w:rFonts w:ascii="Times New Roman" w:hAnsi="Times New Roman" w:cs="Times New Roman"/>
          <w:sz w:val="24"/>
          <w:szCs w:val="20"/>
        </w:rPr>
        <w:t>,</w:t>
      </w:r>
      <w:r>
        <w:rPr>
          <w:rFonts w:ascii="Times New Roman" w:hAnsi="Times New Roman" w:cs="Times New Roman"/>
          <w:sz w:val="24"/>
          <w:szCs w:val="20"/>
        </w:rPr>
        <w:t xml:space="preserve"> confidentiality requirements </w:t>
      </w:r>
      <w:r w:rsidR="00A545BE">
        <w:rPr>
          <w:rFonts w:ascii="Times New Roman" w:hAnsi="Times New Roman" w:cs="Times New Roman"/>
          <w:sz w:val="24"/>
          <w:szCs w:val="20"/>
        </w:rPr>
        <w:t xml:space="preserve">can make this </w:t>
      </w:r>
      <w:r>
        <w:rPr>
          <w:rFonts w:ascii="Times New Roman" w:hAnsi="Times New Roman" w:cs="Times New Roman"/>
          <w:sz w:val="24"/>
          <w:szCs w:val="20"/>
        </w:rPr>
        <w:t xml:space="preserve">difficult.  </w:t>
      </w:r>
    </w:p>
    <w:p w:rsidR="00354CD9" w:rsidRPr="00354CD9" w:rsidRDefault="00200D72" w:rsidP="00354CD9">
      <w:pPr>
        <w:pStyle w:val="BodyText1"/>
        <w:jc w:val="both"/>
        <w:rPr>
          <w:rFonts w:ascii="Times New Roman" w:hAnsi="Times New Roman" w:cs="Times New Roman"/>
          <w:color w:val="auto"/>
          <w:sz w:val="24"/>
          <w:szCs w:val="20"/>
        </w:rPr>
      </w:pPr>
      <w:r w:rsidRPr="00354CD9">
        <w:rPr>
          <w:rFonts w:ascii="Times New Roman" w:hAnsi="Times New Roman" w:cs="Times New Roman"/>
          <w:color w:val="auto"/>
          <w:sz w:val="24"/>
          <w:szCs w:val="20"/>
        </w:rPr>
        <w:t xml:space="preserve">Aside from merely constraining ACCAN’s capacity to consult, the operation of the confidentiality agreement diminishes the insights that NBN may be able to obtain via the PDF process. </w:t>
      </w:r>
      <w:r w:rsidR="00354CD9">
        <w:rPr>
          <w:rFonts w:ascii="Times New Roman" w:hAnsi="Times New Roman" w:cs="Times New Roman"/>
          <w:color w:val="auto"/>
          <w:sz w:val="24"/>
          <w:szCs w:val="20"/>
        </w:rPr>
        <w:t xml:space="preserve"> ACCAN’s membership is broad and captures many groups that may be affected by product and pricing changes, and who may be in a position to provide grassroots insights into the likely effect of NBN proposals. </w:t>
      </w:r>
    </w:p>
    <w:p w:rsidR="007E7F5C" w:rsidRPr="005F036B" w:rsidRDefault="007E7F5C" w:rsidP="00354CD9">
      <w:pPr>
        <w:pStyle w:val="BodyText1"/>
        <w:jc w:val="both"/>
        <w:rPr>
          <w:rFonts w:ascii="Times New Roman" w:eastAsiaTheme="minorEastAsia" w:hAnsi="Times New Roman" w:cs="Times New Roman"/>
          <w:color w:val="auto"/>
          <w:sz w:val="24"/>
          <w:szCs w:val="20"/>
          <w:lang w:eastAsia="en-AU"/>
        </w:rPr>
      </w:pPr>
      <w:r w:rsidRPr="005F036B">
        <w:rPr>
          <w:rFonts w:ascii="Times New Roman" w:eastAsiaTheme="minorEastAsia" w:hAnsi="Times New Roman" w:cs="Times New Roman"/>
          <w:color w:val="auto"/>
          <w:sz w:val="24"/>
          <w:szCs w:val="20"/>
          <w:lang w:eastAsia="en-AU"/>
        </w:rPr>
        <w:t>The operation of the confidentiality requirements associated with the PDF also precludes ACCAN from publishing the contents of our submissions on proposals or issues raised by NBN Co. A consequence of this approach is that consumers and members cannot obse</w:t>
      </w:r>
      <w:r w:rsidR="00DB75E1">
        <w:rPr>
          <w:rFonts w:ascii="Times New Roman" w:eastAsiaTheme="minorEastAsia" w:hAnsi="Times New Roman" w:cs="Times New Roman"/>
          <w:color w:val="auto"/>
          <w:sz w:val="24"/>
          <w:szCs w:val="20"/>
          <w:lang w:eastAsia="en-AU"/>
        </w:rPr>
        <w:t>rve that ACCAN has put forward a submission on a matter that concerns them.</w:t>
      </w:r>
    </w:p>
    <w:p w:rsidR="004807E3" w:rsidRDefault="004807E3" w:rsidP="004807E3">
      <w:pPr>
        <w:pStyle w:val="BodyText1"/>
        <w:jc w:val="both"/>
        <w:rPr>
          <w:rFonts w:ascii="Times New Roman" w:hAnsi="Times New Roman" w:cs="Times New Roman"/>
          <w:color w:val="auto"/>
          <w:sz w:val="24"/>
          <w:szCs w:val="20"/>
        </w:rPr>
      </w:pPr>
      <w:r>
        <w:rPr>
          <w:rFonts w:ascii="Times New Roman" w:hAnsi="Times New Roman" w:cs="Times New Roman"/>
          <w:color w:val="auto"/>
          <w:sz w:val="24"/>
          <w:szCs w:val="20"/>
        </w:rPr>
        <w:t xml:space="preserve">Accordingly ACCAN does not support the proposed extension of the expiring non-price provisions relating to the Product Development Forum. In order for these provisions to meet the statutory test significant revisions would be required. </w:t>
      </w:r>
    </w:p>
    <w:p w:rsidR="004807E3" w:rsidRDefault="004807E3" w:rsidP="004807E3">
      <w:pPr>
        <w:pStyle w:val="BodyText1"/>
        <w:jc w:val="both"/>
        <w:rPr>
          <w:rFonts w:ascii="Times New Roman" w:hAnsi="Times New Roman" w:cs="Times New Roman"/>
          <w:color w:val="auto"/>
          <w:sz w:val="24"/>
          <w:szCs w:val="20"/>
        </w:rPr>
      </w:pPr>
      <w:r>
        <w:rPr>
          <w:rFonts w:ascii="Times New Roman" w:hAnsi="Times New Roman" w:cs="Times New Roman"/>
          <w:color w:val="auto"/>
          <w:sz w:val="24"/>
          <w:szCs w:val="20"/>
        </w:rPr>
        <w:lastRenderedPageBreak/>
        <w:t xml:space="preserve">ACCAN believes that the adoption of an open and public process would allow for the full and appropriate consideration of community, industry and consumers views on NBN prices and build confidence in the price setting process. </w:t>
      </w:r>
      <w:r w:rsidR="00610687">
        <w:rPr>
          <w:rFonts w:ascii="Times New Roman" w:hAnsi="Times New Roman" w:cs="Times New Roman"/>
          <w:color w:val="auto"/>
          <w:sz w:val="24"/>
          <w:szCs w:val="20"/>
        </w:rPr>
        <w:t>C</w:t>
      </w:r>
      <w:r>
        <w:rPr>
          <w:rFonts w:ascii="Times New Roman" w:hAnsi="Times New Roman" w:cs="Times New Roman"/>
          <w:color w:val="auto"/>
          <w:sz w:val="24"/>
          <w:szCs w:val="20"/>
        </w:rPr>
        <w:t>onfidence in the process through which prices are set is low and ACCAN considers that the adoption of a public process, with full ACCC oversight</w:t>
      </w:r>
      <w:r w:rsidR="00610687">
        <w:rPr>
          <w:rFonts w:ascii="Times New Roman" w:hAnsi="Times New Roman" w:cs="Times New Roman"/>
          <w:color w:val="auto"/>
          <w:sz w:val="24"/>
          <w:szCs w:val="20"/>
        </w:rPr>
        <w:t>,</w:t>
      </w:r>
      <w:r>
        <w:rPr>
          <w:rFonts w:ascii="Times New Roman" w:hAnsi="Times New Roman" w:cs="Times New Roman"/>
          <w:color w:val="auto"/>
          <w:sz w:val="24"/>
          <w:szCs w:val="20"/>
        </w:rPr>
        <w:t xml:space="preserve"> would promote confidence, acceptance and support of NBN pricing. </w:t>
      </w:r>
    </w:p>
    <w:p w:rsidR="007E7F5C" w:rsidRPr="007E7F5C" w:rsidRDefault="007E7F5C" w:rsidP="007E7F5C">
      <w:pPr>
        <w:pStyle w:val="BodyText1"/>
        <w:rPr>
          <w:b/>
          <w:sz w:val="32"/>
          <w:szCs w:val="20"/>
        </w:rPr>
      </w:pPr>
      <w:r w:rsidRPr="007E7F5C">
        <w:rPr>
          <w:b/>
          <w:sz w:val="32"/>
          <w:szCs w:val="20"/>
        </w:rPr>
        <w:t xml:space="preserve">Constraints </w:t>
      </w:r>
    </w:p>
    <w:p w:rsidR="007E7F5C"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PDF processes currently consider pricing and product development in an environment devoid of context and constraints. Although these constraints are important contributors to the final decision made by NBN Co. </w:t>
      </w:r>
      <w:r>
        <w:rPr>
          <w:rFonts w:ascii="Times New Roman" w:hAnsi="Times New Roman" w:cs="Times New Roman"/>
          <w:sz w:val="24"/>
          <w:szCs w:val="20"/>
        </w:rPr>
        <w:t>they go unmentioned in consultation papers.</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ACCAN is aware that there are fundamental factors (e.g. obligation to earn a commercial return) that drive the determination of product design and pricing outcomes. NBN Co. has financial obligations to meet under the terms of the Statement of Expectations. In order to meet these obligations NBN Co. has to generate enough revenue to make its debt repayments and pay a dividend to the Australian government.</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However, instead of examining these issues head-on in their consultation papers, NBN Co. has failed to adequately ou</w:t>
      </w:r>
      <w:r>
        <w:rPr>
          <w:rFonts w:ascii="Times New Roman" w:hAnsi="Times New Roman" w:cs="Times New Roman"/>
          <w:sz w:val="24"/>
          <w:szCs w:val="20"/>
        </w:rPr>
        <w:t>tline the implications of their revenue requirement</w:t>
      </w:r>
      <w:r w:rsidRPr="005F036B">
        <w:rPr>
          <w:rFonts w:ascii="Times New Roman" w:hAnsi="Times New Roman" w:cs="Times New Roman"/>
          <w:sz w:val="24"/>
          <w:szCs w:val="20"/>
        </w:rPr>
        <w:t>. As a consequence despite being</w:t>
      </w:r>
      <w:r w:rsidR="00610687">
        <w:rPr>
          <w:rFonts w:ascii="Times New Roman" w:hAnsi="Times New Roman" w:cs="Times New Roman"/>
          <w:sz w:val="24"/>
          <w:szCs w:val="20"/>
        </w:rPr>
        <w:t xml:space="preserve"> a</w:t>
      </w:r>
      <w:r w:rsidRPr="005F036B">
        <w:rPr>
          <w:rFonts w:ascii="Times New Roman" w:hAnsi="Times New Roman" w:cs="Times New Roman"/>
          <w:sz w:val="24"/>
          <w:szCs w:val="20"/>
        </w:rPr>
        <w:t xml:space="preserve"> fundamental</w:t>
      </w:r>
      <w:r>
        <w:rPr>
          <w:rFonts w:ascii="Times New Roman" w:hAnsi="Times New Roman" w:cs="Times New Roman"/>
          <w:sz w:val="24"/>
          <w:szCs w:val="20"/>
        </w:rPr>
        <w:t xml:space="preserve"> factor in the determination of prices</w:t>
      </w:r>
      <w:r w:rsidRPr="005F036B">
        <w:rPr>
          <w:rFonts w:ascii="Times New Roman" w:hAnsi="Times New Roman" w:cs="Times New Roman"/>
          <w:sz w:val="24"/>
          <w:szCs w:val="20"/>
        </w:rPr>
        <w:t xml:space="preserve">, neither ACCAN nor industry </w:t>
      </w:r>
      <w:r w:rsidR="00610687">
        <w:rPr>
          <w:rFonts w:ascii="Times New Roman" w:hAnsi="Times New Roman" w:cs="Times New Roman"/>
          <w:sz w:val="24"/>
          <w:szCs w:val="20"/>
        </w:rPr>
        <w:t>are</w:t>
      </w:r>
      <w:r w:rsidRPr="005F036B">
        <w:rPr>
          <w:rFonts w:ascii="Times New Roman" w:hAnsi="Times New Roman" w:cs="Times New Roman"/>
          <w:sz w:val="24"/>
          <w:szCs w:val="20"/>
        </w:rPr>
        <w:t xml:space="preserve"> in a position to put forward options that may be beneficial to consumers and meet the </w:t>
      </w:r>
      <w:r>
        <w:rPr>
          <w:rFonts w:ascii="Times New Roman" w:hAnsi="Times New Roman" w:cs="Times New Roman"/>
          <w:sz w:val="24"/>
          <w:szCs w:val="20"/>
        </w:rPr>
        <w:t>financial targets</w:t>
      </w:r>
      <w:r w:rsidRPr="005F036B">
        <w:rPr>
          <w:rFonts w:ascii="Times New Roman" w:hAnsi="Times New Roman" w:cs="Times New Roman"/>
          <w:sz w:val="24"/>
          <w:szCs w:val="20"/>
        </w:rPr>
        <w:t xml:space="preserve"> NBN faces.</w:t>
      </w:r>
    </w:p>
    <w:p w:rsidR="007E7F5C" w:rsidRPr="005F036B"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The result has been a process of pricing development that occurs in a vacuum, with pricing policy being set by internal NBN revenue targets which are undisclosed to PDF participants who are therefore unable to contribute in a genuine way to price setting. The alternative approach would be to define what the revenue requirements were for particular markets – such as domestic consumer markets or enterprise markets</w:t>
      </w:r>
      <w:r w:rsidR="00610687">
        <w:rPr>
          <w:rFonts w:ascii="Times New Roman" w:hAnsi="Times New Roman" w:cs="Times New Roman"/>
          <w:sz w:val="24"/>
          <w:szCs w:val="20"/>
        </w:rPr>
        <w:t xml:space="preserve"> - </w:t>
      </w:r>
      <w:r w:rsidRPr="005F036B">
        <w:rPr>
          <w:rFonts w:ascii="Times New Roman" w:hAnsi="Times New Roman" w:cs="Times New Roman"/>
          <w:sz w:val="24"/>
          <w:szCs w:val="20"/>
        </w:rPr>
        <w:t xml:space="preserve">and then use  this constraint to inform the design of product offerings (at various prices). </w:t>
      </w:r>
    </w:p>
    <w:p w:rsidR="007E7F5C" w:rsidRPr="00280413" w:rsidRDefault="007E7F5C" w:rsidP="007E7F5C">
      <w:pPr>
        <w:pStyle w:val="BodyText1"/>
        <w:jc w:val="both"/>
        <w:rPr>
          <w:rFonts w:ascii="Times New Roman" w:hAnsi="Times New Roman" w:cs="Times New Roman"/>
          <w:color w:val="auto"/>
          <w:sz w:val="24"/>
          <w:szCs w:val="20"/>
        </w:rPr>
      </w:pPr>
      <w:r w:rsidRPr="006867E3">
        <w:rPr>
          <w:rFonts w:ascii="Times New Roman" w:hAnsi="Times New Roman" w:cs="Times New Roman"/>
          <w:color w:val="auto"/>
          <w:sz w:val="24"/>
          <w:szCs w:val="20"/>
        </w:rPr>
        <w:t>Instead</w:t>
      </w:r>
      <w:r w:rsidR="00610687">
        <w:rPr>
          <w:rFonts w:ascii="Times New Roman" w:hAnsi="Times New Roman" w:cs="Times New Roman"/>
          <w:color w:val="auto"/>
          <w:sz w:val="24"/>
          <w:szCs w:val="20"/>
        </w:rPr>
        <w:t>,</w:t>
      </w:r>
      <w:r w:rsidRPr="006867E3">
        <w:rPr>
          <w:rFonts w:ascii="Times New Roman" w:hAnsi="Times New Roman" w:cs="Times New Roman"/>
          <w:color w:val="auto"/>
          <w:sz w:val="24"/>
          <w:szCs w:val="20"/>
        </w:rPr>
        <w:t xml:space="preserve"> the internal constraint is a figure known only to NBN and prices are put forward as a notional way to satisfy that revenue requirement.</w:t>
      </w:r>
      <w:r w:rsidR="00280413">
        <w:rPr>
          <w:rFonts w:ascii="Times New Roman" w:hAnsi="Times New Roman" w:cs="Times New Roman"/>
          <w:color w:val="auto"/>
          <w:sz w:val="24"/>
          <w:szCs w:val="20"/>
        </w:rPr>
        <w:t xml:space="preserve"> This creates a problem of path dependency, with the pricing construct being put forward by NBN Co. becoming the anchor of price discussions and submissions with alternative models failing to be considered as a result.</w:t>
      </w:r>
    </w:p>
    <w:p w:rsidR="007E7F5C" w:rsidRDefault="007E7F5C" w:rsidP="007E7F5C">
      <w:pPr>
        <w:pStyle w:val="BodyText1"/>
        <w:jc w:val="both"/>
        <w:rPr>
          <w:rFonts w:ascii="Times New Roman" w:hAnsi="Times New Roman" w:cs="Times New Roman"/>
          <w:sz w:val="24"/>
          <w:szCs w:val="20"/>
        </w:rPr>
      </w:pPr>
      <w:r w:rsidRPr="005F036B">
        <w:rPr>
          <w:rFonts w:ascii="Times New Roman" w:hAnsi="Times New Roman" w:cs="Times New Roman"/>
          <w:sz w:val="24"/>
          <w:szCs w:val="20"/>
        </w:rPr>
        <w:t xml:space="preserve">This approach has led to the adoption of </w:t>
      </w:r>
      <w:r w:rsidR="00610687">
        <w:rPr>
          <w:rFonts w:ascii="Times New Roman" w:hAnsi="Times New Roman" w:cs="Times New Roman"/>
          <w:sz w:val="24"/>
          <w:szCs w:val="20"/>
        </w:rPr>
        <w:t>inappropriate</w:t>
      </w:r>
      <w:r w:rsidRPr="005F036B">
        <w:rPr>
          <w:rFonts w:ascii="Times New Roman" w:hAnsi="Times New Roman" w:cs="Times New Roman"/>
          <w:sz w:val="24"/>
          <w:szCs w:val="20"/>
        </w:rPr>
        <w:t xml:space="preserve"> pricing constructs, such as flat rate pricing of $45 for speed tiers, an approach unsupported by economic theory and out of reach of many households. </w:t>
      </w:r>
      <w:r>
        <w:rPr>
          <w:rFonts w:ascii="Times New Roman" w:hAnsi="Times New Roman" w:cs="Times New Roman"/>
          <w:sz w:val="24"/>
          <w:szCs w:val="20"/>
        </w:rPr>
        <w:t xml:space="preserve">The adoption of a flat tariff is also in defiance of basic economic principles like demand elasticity, and reflects the unrealistic assumption that the capacity of all households is homogenous. </w:t>
      </w:r>
    </w:p>
    <w:p w:rsidR="00280413" w:rsidRDefault="007E7F5C" w:rsidP="007E7F5C">
      <w:pPr>
        <w:pStyle w:val="BodyText1"/>
        <w:jc w:val="both"/>
        <w:rPr>
          <w:rFonts w:ascii="Times New Roman" w:hAnsi="Times New Roman" w:cs="Times New Roman"/>
          <w:sz w:val="24"/>
          <w:szCs w:val="20"/>
        </w:rPr>
      </w:pPr>
      <w:r>
        <w:rPr>
          <w:rFonts w:ascii="Times New Roman" w:hAnsi="Times New Roman" w:cs="Times New Roman"/>
          <w:sz w:val="24"/>
          <w:szCs w:val="20"/>
        </w:rPr>
        <w:t>The adoption of this pricing approach implies either intent not to provide services for different segments of the residential consumer market, or a fundamental failure of NBN price modelling</w:t>
      </w:r>
      <w:r w:rsidR="00280413">
        <w:rPr>
          <w:rFonts w:ascii="Times New Roman" w:hAnsi="Times New Roman" w:cs="Times New Roman"/>
          <w:sz w:val="24"/>
          <w:szCs w:val="20"/>
        </w:rPr>
        <w:t xml:space="preserve"> and research. As the former would appear to be inconsistent with the obligations of </w:t>
      </w:r>
      <w:r w:rsidR="00280413">
        <w:rPr>
          <w:rFonts w:ascii="Times New Roman" w:hAnsi="Times New Roman" w:cs="Times New Roman"/>
          <w:sz w:val="24"/>
          <w:szCs w:val="20"/>
        </w:rPr>
        <w:lastRenderedPageBreak/>
        <w:t>NBN Co. under the terms of the statement of expectations, then the latter appears the more likely scenario.</w:t>
      </w:r>
    </w:p>
    <w:p w:rsidR="005E3E65" w:rsidRDefault="005E3E65" w:rsidP="007E7F5C">
      <w:pPr>
        <w:pStyle w:val="BodyText1"/>
        <w:jc w:val="both"/>
        <w:rPr>
          <w:rFonts w:ascii="Times New Roman" w:hAnsi="Times New Roman" w:cs="Times New Roman"/>
          <w:color w:val="auto"/>
          <w:sz w:val="24"/>
          <w:szCs w:val="20"/>
        </w:rPr>
      </w:pPr>
      <w:r>
        <w:rPr>
          <w:rFonts w:ascii="Times New Roman" w:hAnsi="Times New Roman" w:cs="Times New Roman"/>
          <w:sz w:val="24"/>
          <w:szCs w:val="20"/>
        </w:rPr>
        <w:t xml:space="preserve">Rectifying the issue of weak empirical research and questionable assumptions can be best achieved through the creation of an open, public and accountable forum for setting prices with ACCC oversight. </w:t>
      </w:r>
      <w:r w:rsidRPr="005E3E65">
        <w:rPr>
          <w:rFonts w:ascii="Times New Roman" w:hAnsi="Times New Roman" w:cs="Times New Roman"/>
          <w:color w:val="auto"/>
          <w:sz w:val="24"/>
          <w:szCs w:val="20"/>
        </w:rPr>
        <w:t xml:space="preserve">Although the ACCC is not in a position to consider alternative institutional arrangements in the course of </w:t>
      </w:r>
      <w:r w:rsidR="003A0BC8">
        <w:rPr>
          <w:rFonts w:ascii="Times New Roman" w:hAnsi="Times New Roman" w:cs="Times New Roman"/>
          <w:color w:val="auto"/>
          <w:sz w:val="24"/>
          <w:szCs w:val="20"/>
        </w:rPr>
        <w:t>this</w:t>
      </w:r>
      <w:r w:rsidRPr="005E3E65">
        <w:rPr>
          <w:rFonts w:ascii="Times New Roman" w:hAnsi="Times New Roman" w:cs="Times New Roman"/>
          <w:color w:val="auto"/>
          <w:sz w:val="24"/>
          <w:szCs w:val="20"/>
        </w:rPr>
        <w:t xml:space="preserve"> determination, considering the counterfactual scenario without the PDF provisions, it is unforeseeable that there would be no process or provisions to address these issues. </w:t>
      </w:r>
    </w:p>
    <w:p w:rsidR="005E3E65" w:rsidRPr="005E3E65" w:rsidRDefault="005E3E65" w:rsidP="007E7F5C">
      <w:pPr>
        <w:pStyle w:val="BodyText1"/>
        <w:jc w:val="both"/>
        <w:rPr>
          <w:rFonts w:ascii="Times New Roman" w:hAnsi="Times New Roman" w:cs="Times New Roman"/>
          <w:color w:val="808080" w:themeColor="background1" w:themeShade="80"/>
          <w:sz w:val="24"/>
          <w:szCs w:val="20"/>
        </w:rPr>
      </w:pPr>
      <w:r w:rsidRPr="005E3E65">
        <w:rPr>
          <w:rFonts w:ascii="Times New Roman" w:hAnsi="Times New Roman" w:cs="Times New Roman"/>
          <w:color w:val="auto"/>
          <w:sz w:val="24"/>
          <w:szCs w:val="20"/>
        </w:rPr>
        <w:t>Accordingly the pos</w:t>
      </w:r>
      <w:r>
        <w:rPr>
          <w:rFonts w:ascii="Times New Roman" w:hAnsi="Times New Roman" w:cs="Times New Roman"/>
          <w:color w:val="auto"/>
          <w:sz w:val="24"/>
          <w:szCs w:val="20"/>
        </w:rPr>
        <w:t>ition put forward by NBN Co. that the ACCC may only consider a counterfactual in which there is no framework for price setting and product development, or one in which the existing provisions are rolled over</w:t>
      </w:r>
      <w:r w:rsidR="00610687">
        <w:rPr>
          <w:rFonts w:ascii="Times New Roman" w:hAnsi="Times New Roman" w:cs="Times New Roman"/>
          <w:color w:val="auto"/>
          <w:sz w:val="24"/>
          <w:szCs w:val="20"/>
        </w:rPr>
        <w:t>,</w:t>
      </w:r>
      <w:r>
        <w:rPr>
          <w:rFonts w:ascii="Times New Roman" w:hAnsi="Times New Roman" w:cs="Times New Roman"/>
          <w:color w:val="auto"/>
          <w:sz w:val="24"/>
          <w:szCs w:val="20"/>
        </w:rPr>
        <w:t xml:space="preserve"> misstates the relevant counterfactual. Rather the counterfactual to be applied should be one in which there are no PDF provisions, and in whi</w:t>
      </w:r>
      <w:r w:rsidR="003A0BC8">
        <w:rPr>
          <w:rFonts w:ascii="Times New Roman" w:hAnsi="Times New Roman" w:cs="Times New Roman"/>
          <w:color w:val="auto"/>
          <w:sz w:val="24"/>
          <w:szCs w:val="20"/>
        </w:rPr>
        <w:t>ch NBN Co. and all parties must</w:t>
      </w:r>
      <w:r>
        <w:rPr>
          <w:rFonts w:ascii="Times New Roman" w:hAnsi="Times New Roman" w:cs="Times New Roman"/>
          <w:color w:val="auto"/>
          <w:sz w:val="24"/>
          <w:szCs w:val="20"/>
        </w:rPr>
        <w:t xml:space="preserve"> create a process to resolve questions of product design and pricing</w:t>
      </w:r>
      <w:r w:rsidR="00300E0A">
        <w:rPr>
          <w:rFonts w:ascii="Times New Roman" w:hAnsi="Times New Roman" w:cs="Times New Roman"/>
          <w:color w:val="auto"/>
          <w:sz w:val="24"/>
          <w:szCs w:val="20"/>
        </w:rPr>
        <w:t>, and</w:t>
      </w:r>
      <w:r>
        <w:rPr>
          <w:rFonts w:ascii="Times New Roman" w:hAnsi="Times New Roman" w:cs="Times New Roman"/>
          <w:color w:val="auto"/>
          <w:sz w:val="24"/>
          <w:szCs w:val="20"/>
        </w:rPr>
        <w:t xml:space="preserve"> create a new process to do so.</w:t>
      </w:r>
    </w:p>
    <w:p w:rsidR="005E3E65" w:rsidRDefault="00280413" w:rsidP="007E7F5C">
      <w:pPr>
        <w:pStyle w:val="BodyText1"/>
        <w:jc w:val="both"/>
        <w:rPr>
          <w:rFonts w:ascii="Times New Roman" w:hAnsi="Times New Roman" w:cs="Times New Roman"/>
          <w:color w:val="auto"/>
          <w:sz w:val="24"/>
          <w:szCs w:val="20"/>
        </w:rPr>
      </w:pPr>
      <w:r w:rsidRPr="005E3E65">
        <w:rPr>
          <w:rFonts w:ascii="Times New Roman" w:hAnsi="Times New Roman" w:cs="Times New Roman"/>
          <w:color w:val="auto"/>
          <w:sz w:val="24"/>
          <w:szCs w:val="20"/>
        </w:rPr>
        <w:t xml:space="preserve">ACCAN considers that in light of the pricing outcomes achieved via the </w:t>
      </w:r>
      <w:r w:rsidR="00300E0A">
        <w:rPr>
          <w:rFonts w:ascii="Times New Roman" w:hAnsi="Times New Roman" w:cs="Times New Roman"/>
          <w:color w:val="auto"/>
          <w:sz w:val="24"/>
          <w:szCs w:val="20"/>
        </w:rPr>
        <w:t>PDF</w:t>
      </w:r>
      <w:r w:rsidRPr="005E3E65">
        <w:rPr>
          <w:rFonts w:ascii="Times New Roman" w:hAnsi="Times New Roman" w:cs="Times New Roman"/>
          <w:color w:val="auto"/>
          <w:sz w:val="24"/>
          <w:szCs w:val="20"/>
        </w:rPr>
        <w:t xml:space="preserve"> process, that there is a sufficient legal basis to reject the application for the extension of the non-price terms of the SAU. </w:t>
      </w:r>
      <w:r w:rsidR="006A3AAF" w:rsidRPr="005E3E65">
        <w:rPr>
          <w:rFonts w:ascii="Times New Roman" w:hAnsi="Times New Roman" w:cs="Times New Roman"/>
          <w:color w:val="auto"/>
          <w:sz w:val="24"/>
          <w:szCs w:val="20"/>
        </w:rPr>
        <w:t xml:space="preserve">The operation of the PDF provisions as currently drafted is unlikely to be in the long term interests </w:t>
      </w:r>
      <w:r w:rsidR="005E3E65" w:rsidRPr="005E3E65">
        <w:rPr>
          <w:rFonts w:ascii="Times New Roman" w:hAnsi="Times New Roman" w:cs="Times New Roman"/>
          <w:color w:val="auto"/>
          <w:sz w:val="24"/>
          <w:szCs w:val="20"/>
        </w:rPr>
        <w:t xml:space="preserve">of end-users, nor promote the efficient use of NBN infrastructure. </w:t>
      </w:r>
      <w:r w:rsidR="005E3E65">
        <w:rPr>
          <w:rFonts w:ascii="Times New Roman" w:hAnsi="Times New Roman" w:cs="Times New Roman"/>
          <w:color w:val="auto"/>
          <w:sz w:val="24"/>
          <w:szCs w:val="20"/>
        </w:rPr>
        <w:t xml:space="preserve">Accordingly the application to extend the non-price expiring provisions of the SAU should be rejected by the ACCC. </w:t>
      </w:r>
    </w:p>
    <w:p w:rsidR="005E3E65" w:rsidRPr="005E3E65" w:rsidRDefault="005E3E65" w:rsidP="007E7F5C">
      <w:pPr>
        <w:pStyle w:val="BodyText1"/>
        <w:jc w:val="both"/>
        <w:rPr>
          <w:rFonts w:ascii="Times New Roman" w:hAnsi="Times New Roman" w:cs="Times New Roman"/>
          <w:color w:val="auto"/>
          <w:sz w:val="24"/>
          <w:szCs w:val="20"/>
        </w:rPr>
      </w:pPr>
    </w:p>
    <w:sectPr w:rsidR="005E3E65" w:rsidRPr="005E3E65" w:rsidSect="00DD0AEA">
      <w:headerReference w:type="default" r:id="rId10"/>
      <w:footerReference w:type="default" r:id="rId11"/>
      <w:headerReference w:type="first" r:id="rId12"/>
      <w:footerReference w:type="first" r:id="rId13"/>
      <w:pgSz w:w="11906" w:h="16838" w:code="9"/>
      <w:pgMar w:top="1440" w:right="1440" w:bottom="1440" w:left="144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67" w:rsidRDefault="00840267" w:rsidP="00DD0AEA">
      <w:pPr>
        <w:spacing w:after="0" w:line="240" w:lineRule="auto"/>
      </w:pPr>
      <w:r>
        <w:separator/>
      </w:r>
    </w:p>
  </w:endnote>
  <w:endnote w:type="continuationSeparator" w:id="0">
    <w:p w:rsidR="00840267" w:rsidRDefault="00840267" w:rsidP="00DD0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ont331">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Pr="00E64524" w:rsidRDefault="00DD0AEA" w:rsidP="00DD0AEA">
    <w:pPr>
      <w:spacing w:after="0"/>
      <w:rPr>
        <w:rFonts w:ascii="Times New Roman" w:hAnsi="Times New Roman" w:cs="Times New Roman"/>
        <w:noProof/>
      </w:rPr>
    </w:pPr>
    <w:r w:rsidRPr="00E05115">
      <w:rPr>
        <w:color w:val="23B0E6"/>
      </w:rPr>
      <w:t>www.accan.org.au | info@accan.org.au | twitter: @ACCAN_AU</w:t>
    </w:r>
    <w:r>
      <w:rPr>
        <w:color w:val="23B0E6"/>
      </w:rPr>
      <w:ptab w:relativeTo="margin" w:alignment="right" w:leader="none"/>
    </w:r>
    <w:r w:rsidRPr="00E64524">
      <w:rPr>
        <w:rFonts w:ascii="Times New Roman" w:hAnsi="Times New Roman" w:cs="Times New Roman"/>
      </w:rPr>
      <w:fldChar w:fldCharType="begin"/>
    </w:r>
    <w:r w:rsidRPr="00E64524">
      <w:rPr>
        <w:rFonts w:ascii="Times New Roman" w:hAnsi="Times New Roman" w:cs="Times New Roman"/>
      </w:rPr>
      <w:instrText xml:space="preserve"> PAGE   \* MERGEFORMAT </w:instrText>
    </w:r>
    <w:r w:rsidRPr="00E64524">
      <w:rPr>
        <w:rFonts w:ascii="Times New Roman" w:hAnsi="Times New Roman" w:cs="Times New Roman"/>
      </w:rPr>
      <w:fldChar w:fldCharType="separate"/>
    </w:r>
    <w:r w:rsidR="00A551EE">
      <w:rPr>
        <w:rFonts w:ascii="Times New Roman" w:hAnsi="Times New Roman" w:cs="Times New Roman"/>
        <w:noProof/>
      </w:rPr>
      <w:t>2</w:t>
    </w:r>
    <w:r w:rsidRPr="00E64524">
      <w:rPr>
        <w:rFonts w:ascii="Times New Roman" w:hAnsi="Times New Roman" w:cs="Times New Roman"/>
        <w:noProof/>
      </w:rPr>
      <w:fldChar w:fldCharType="end"/>
    </w:r>
    <w:r w:rsidR="00E64524">
      <w:rPr>
        <w:rFonts w:ascii="Times New Roman" w:hAnsi="Times New Roman" w:cs="Times New Roman"/>
        <w:noProof/>
      </w:rPr>
      <w:t>.</w:t>
    </w:r>
  </w:p>
  <w:p w:rsidR="00DD0AEA" w:rsidRPr="000F58CC" w:rsidRDefault="00DD0AEA" w:rsidP="00DD0A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Footerpage1"/>
    </w:pPr>
    <w:r w:rsidRPr="004A0B0A">
      <w:rPr>
        <w:color w:val="44C8F5"/>
      </w:rPr>
      <w:t>Australian Communications Consumer Action Network (ACCAN)</w:t>
    </w:r>
  </w:p>
  <w:p w:rsidR="00DD0AEA" w:rsidRDefault="00DD0AEA" w:rsidP="00DD0AEA">
    <w:pPr>
      <w:pStyle w:val="Footerpage1"/>
      <w:rPr>
        <w:i/>
      </w:rPr>
    </w:pPr>
    <w:r w:rsidRPr="004A0B0A">
      <w:rPr>
        <w:i/>
        <w:color w:val="44C8F5"/>
      </w:rPr>
      <w:t>Australia’s peak telecommunications consumer organisation</w:t>
    </w:r>
  </w:p>
  <w:p w:rsidR="00DD0AEA" w:rsidRDefault="00DD0AEA" w:rsidP="00DD0AEA">
    <w:pPr>
      <w:pStyle w:val="Footerpage1"/>
    </w:pPr>
    <w:r w:rsidRPr="008E763A">
      <w:rPr>
        <w:noProof/>
        <w:lang w:val="en-US"/>
      </w:rPr>
      <mc:AlternateContent>
        <mc:Choice Requires="wps">
          <w:drawing>
            <wp:inline distT="0" distB="0" distL="0" distR="0" wp14:anchorId="494E0B23" wp14:editId="520E24E4">
              <wp:extent cx="6699600" cy="0"/>
              <wp:effectExtent l="0" t="19050" r="6350" b="19050"/>
              <wp:docPr id="5" name="Straight Connector 5"/>
              <wp:cNvGraphicFramePr/>
              <a:graphic xmlns:a="http://schemas.openxmlformats.org/drawingml/2006/main">
                <a:graphicData uri="http://schemas.microsoft.com/office/word/2010/wordprocessingShape">
                  <wps:wsp>
                    <wps:cNvCnPr/>
                    <wps:spPr>
                      <a:xfrm>
                        <a:off x="0" y="0"/>
                        <a:ext cx="6699600" cy="0"/>
                      </a:xfrm>
                      <a:prstGeom prst="line">
                        <a:avLst/>
                      </a:prstGeom>
                      <a:noFill/>
                      <a:ln w="38100" cap="flat" cmpd="sng" algn="ctr">
                        <a:solidFill>
                          <a:srgbClr val="23B0E6"/>
                        </a:solidFill>
                        <a:prstDash val="solid"/>
                      </a:ln>
                      <a:effectLst/>
                    </wps:spPr>
                    <wps:bodyPr/>
                  </wps:wsp>
                </a:graphicData>
              </a:graphic>
            </wp:inline>
          </w:drawing>
        </mc:Choice>
        <mc:Fallback>
          <w:pict>
            <v:line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52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" strokecolor="#23b0e6" strokeweight="3pt">
              <w10:anchorlock/>
            </v:line>
          </w:pict>
        </mc:Fallback>
      </mc:AlternateContent>
    </w:r>
    <w:r w:rsidRPr="008E763A">
      <w:t>Suite 4.02, 55 Mountain St, Ultimo NSW 2007</w:t>
    </w:r>
  </w:p>
  <w:p w:rsidR="00DD0AEA" w:rsidRDefault="00DD0AEA" w:rsidP="00DD0AEA">
    <w:pPr>
      <w:pStyle w:val="Footerpage1"/>
    </w:pPr>
    <w:r w:rsidRPr="008E763A">
      <w:t>Tel: (02) 9288 4000 | TTY: (02) 9281 5322 | Fax: (02) 9288 4019</w:t>
    </w:r>
  </w:p>
  <w:p w:rsidR="00DD0AEA" w:rsidRDefault="00DD0AEA" w:rsidP="00DD0AEA">
    <w:pPr>
      <w:pStyle w:val="Footerpage1"/>
    </w:pPr>
    <w:r w:rsidRPr="004A0B0A">
      <w:rPr>
        <w:color w:val="44C8F5"/>
      </w:rPr>
      <w:t>www.accan.org.au | info@accan.org.au | twitter: @ACCAN_AU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67" w:rsidRDefault="00840267" w:rsidP="00DD0AEA">
      <w:pPr>
        <w:spacing w:after="0" w:line="240" w:lineRule="auto"/>
      </w:pPr>
      <w:r>
        <w:separator/>
      </w:r>
    </w:p>
  </w:footnote>
  <w:footnote w:type="continuationSeparator" w:id="0">
    <w:p w:rsidR="00840267" w:rsidRDefault="00840267" w:rsidP="00DD0AEA">
      <w:pPr>
        <w:spacing w:after="0" w:line="240" w:lineRule="auto"/>
      </w:pPr>
      <w:r>
        <w:continuationSeparator/>
      </w:r>
    </w:p>
  </w:footnote>
  <w:footnote w:id="1">
    <w:p w:rsidR="007E7F5C" w:rsidRPr="00270E79" w:rsidRDefault="007E7F5C" w:rsidP="00E64524">
      <w:pPr>
        <w:pStyle w:val="FootnoteText"/>
        <w:spacing w:after="0"/>
        <w:rPr>
          <w:rFonts w:ascii="Times New Roman" w:hAnsi="Times New Roman" w:cs="Times New Roman"/>
          <w:sz w:val="20"/>
          <w:lang w:val="en-US"/>
        </w:rPr>
      </w:pPr>
      <w:r w:rsidRPr="00270E79">
        <w:rPr>
          <w:rStyle w:val="FootnoteReference"/>
          <w:rFonts w:ascii="Times New Roman" w:hAnsi="Times New Roman" w:cs="Times New Roman"/>
          <w:sz w:val="20"/>
        </w:rPr>
        <w:footnoteRef/>
      </w:r>
      <w:r w:rsidRPr="00270E79">
        <w:rPr>
          <w:rFonts w:ascii="Times New Roman" w:hAnsi="Times New Roman" w:cs="Times New Roman"/>
          <w:sz w:val="20"/>
        </w:rPr>
        <w:t xml:space="preserve">. </w:t>
      </w:r>
      <w:r w:rsidRPr="00270E79">
        <w:rPr>
          <w:rFonts w:ascii="Times New Roman" w:hAnsi="Times New Roman" w:cs="Times New Roman"/>
          <w:i/>
          <w:sz w:val="20"/>
        </w:rPr>
        <w:t xml:space="preserve">Competition and Consumer Act 2010 </w:t>
      </w:r>
      <w:r w:rsidRPr="00270E79">
        <w:rPr>
          <w:rFonts w:ascii="Times New Roman" w:hAnsi="Times New Roman" w:cs="Times New Roman"/>
          <w:sz w:val="20"/>
        </w:rPr>
        <w:t>(</w:t>
      </w:r>
      <w:proofErr w:type="spellStart"/>
      <w:r w:rsidRPr="00270E79">
        <w:rPr>
          <w:rFonts w:ascii="Times New Roman" w:hAnsi="Times New Roman" w:cs="Times New Roman"/>
          <w:sz w:val="20"/>
        </w:rPr>
        <w:t>Cth</w:t>
      </w:r>
      <w:proofErr w:type="spellEnd"/>
      <w:r w:rsidRPr="00270E79">
        <w:rPr>
          <w:rFonts w:ascii="Times New Roman" w:hAnsi="Times New Roman" w:cs="Times New Roman"/>
          <w:sz w:val="20"/>
        </w:rPr>
        <w:t xml:space="preserve">) s. </w:t>
      </w:r>
      <w:proofErr w:type="gramStart"/>
      <w:r w:rsidRPr="00270E79">
        <w:rPr>
          <w:rFonts w:ascii="Times New Roman" w:hAnsi="Times New Roman" w:cs="Times New Roman"/>
          <w:sz w:val="20"/>
        </w:rPr>
        <w:t>152AH(</w:t>
      </w:r>
      <w:proofErr w:type="gramEnd"/>
      <w:r w:rsidRPr="00270E79">
        <w:rPr>
          <w:rFonts w:ascii="Times New Roman" w:hAnsi="Times New Roman" w:cs="Times New Roman"/>
          <w:sz w:val="20"/>
        </w:rPr>
        <w:t>1)(a), s. 152(1)(f).</w:t>
      </w:r>
    </w:p>
  </w:footnote>
  <w:footnote w:id="2">
    <w:p w:rsidR="007E7F5C" w:rsidRPr="00270E79" w:rsidRDefault="007E7F5C" w:rsidP="00E64524">
      <w:pPr>
        <w:pStyle w:val="FootnoteText"/>
        <w:spacing w:after="0"/>
        <w:rPr>
          <w:rFonts w:ascii="Times New Roman" w:hAnsi="Times New Roman" w:cs="Times New Roman"/>
          <w:sz w:val="20"/>
          <w:lang w:val="en-US"/>
        </w:rPr>
      </w:pPr>
      <w:r w:rsidRPr="00270E79">
        <w:rPr>
          <w:rStyle w:val="FootnoteReference"/>
          <w:rFonts w:ascii="Times New Roman" w:hAnsi="Times New Roman" w:cs="Times New Roman"/>
          <w:sz w:val="20"/>
        </w:rPr>
        <w:footnoteRef/>
      </w:r>
      <w:r w:rsidRPr="00270E79">
        <w:rPr>
          <w:rFonts w:ascii="Times New Roman" w:hAnsi="Times New Roman" w:cs="Times New Roman"/>
          <w:sz w:val="20"/>
        </w:rPr>
        <w:t xml:space="preserve">. </w:t>
      </w:r>
      <w:proofErr w:type="gramStart"/>
      <w:r w:rsidRPr="00270E79">
        <w:rPr>
          <w:rFonts w:ascii="Times New Roman" w:hAnsi="Times New Roman" w:cs="Times New Roman"/>
          <w:i/>
          <w:sz w:val="20"/>
        </w:rPr>
        <w:t xml:space="preserve">Competition and Consumer Act 2010 </w:t>
      </w:r>
      <w:r w:rsidRPr="00270E79">
        <w:rPr>
          <w:rFonts w:ascii="Times New Roman" w:hAnsi="Times New Roman" w:cs="Times New Roman"/>
          <w:sz w:val="20"/>
        </w:rPr>
        <w:t>(</w:t>
      </w:r>
      <w:proofErr w:type="spellStart"/>
      <w:r w:rsidRPr="00270E79">
        <w:rPr>
          <w:rFonts w:ascii="Times New Roman" w:hAnsi="Times New Roman" w:cs="Times New Roman"/>
          <w:sz w:val="20"/>
        </w:rPr>
        <w:t>Cth</w:t>
      </w:r>
      <w:proofErr w:type="spellEnd"/>
      <w:r w:rsidRPr="00270E79">
        <w:rPr>
          <w:rFonts w:ascii="Times New Roman" w:hAnsi="Times New Roman" w:cs="Times New Roman"/>
          <w:sz w:val="20"/>
        </w:rPr>
        <w:t>), s. 152AH.</w:t>
      </w:r>
      <w:proofErr w:type="gramEnd"/>
    </w:p>
  </w:footnote>
  <w:footnote w:id="3">
    <w:p w:rsidR="00270E79" w:rsidRPr="00270E79" w:rsidRDefault="00270E79">
      <w:pPr>
        <w:pStyle w:val="FootnoteText"/>
        <w:rPr>
          <w:lang w:val="en-US"/>
        </w:rPr>
      </w:pPr>
      <w:r w:rsidRPr="00270E79">
        <w:rPr>
          <w:rStyle w:val="FootnoteReference"/>
          <w:rFonts w:ascii="Times New Roman" w:hAnsi="Times New Roman" w:cs="Times New Roman"/>
          <w:sz w:val="20"/>
        </w:rPr>
        <w:footnoteRef/>
      </w:r>
      <w:r>
        <w:rPr>
          <w:rFonts w:ascii="Times New Roman" w:hAnsi="Times New Roman" w:cs="Times New Roman"/>
          <w:sz w:val="20"/>
        </w:rPr>
        <w:t xml:space="preserve">. </w:t>
      </w:r>
      <w:proofErr w:type="gramStart"/>
      <w:r>
        <w:rPr>
          <w:rFonts w:ascii="Times New Roman" w:hAnsi="Times New Roman" w:cs="Times New Roman"/>
          <w:sz w:val="20"/>
        </w:rPr>
        <w:t>NBN supporting s</w:t>
      </w:r>
      <w:r w:rsidRPr="00270E79">
        <w:rPr>
          <w:rFonts w:ascii="Times New Roman" w:hAnsi="Times New Roman" w:cs="Times New Roman"/>
          <w:sz w:val="20"/>
        </w:rPr>
        <w:t>ubmission, p. 8-9.</w:t>
      </w:r>
      <w:proofErr w:type="gramEnd"/>
    </w:p>
  </w:footnote>
  <w:footnote w:id="4">
    <w:p w:rsidR="007E7F5C" w:rsidRPr="007E3518" w:rsidRDefault="007E7F5C" w:rsidP="00E64524">
      <w:pPr>
        <w:pStyle w:val="FootnoteText"/>
        <w:spacing w:after="0"/>
        <w:rPr>
          <w:rFonts w:ascii="Times New Roman" w:hAnsi="Times New Roman" w:cs="Times New Roman"/>
          <w:sz w:val="20"/>
          <w:lang w:val="en-US"/>
        </w:rPr>
      </w:pPr>
      <w:r w:rsidRPr="007E3518">
        <w:rPr>
          <w:rStyle w:val="FootnoteReference"/>
          <w:rFonts w:ascii="Times New Roman" w:hAnsi="Times New Roman" w:cs="Times New Roman"/>
          <w:sz w:val="20"/>
        </w:rPr>
        <w:footnoteRef/>
      </w:r>
      <w:r w:rsidRPr="007E3518">
        <w:rPr>
          <w:rFonts w:ascii="Times New Roman" w:hAnsi="Times New Roman" w:cs="Times New Roman"/>
          <w:sz w:val="20"/>
        </w:rPr>
        <w:t xml:space="preserve">. Telecommunications Industry Ombudsman, </w:t>
      </w:r>
      <w:r w:rsidRPr="007E3518">
        <w:rPr>
          <w:rFonts w:ascii="Times New Roman" w:hAnsi="Times New Roman" w:cs="Times New Roman"/>
          <w:i/>
          <w:sz w:val="20"/>
        </w:rPr>
        <w:t>Annual report</w:t>
      </w:r>
      <w:r w:rsidRPr="007E3518">
        <w:rPr>
          <w:rFonts w:ascii="Times New Roman" w:hAnsi="Times New Roman" w:cs="Times New Roman"/>
          <w:sz w:val="20"/>
        </w:rPr>
        <w:t>s, &lt;</w:t>
      </w:r>
      <w:hyperlink r:id="rId1" w:history="1">
        <w:r w:rsidRPr="007E3518">
          <w:rPr>
            <w:rFonts w:ascii="Times New Roman" w:hAnsi="Times New Roman" w:cs="Times New Roman"/>
            <w:color w:val="0000FF"/>
            <w:sz w:val="20"/>
            <w:u w:val="single"/>
          </w:rPr>
          <w:t>https://www.tio.com.au/publications/annual-reports</w:t>
        </w:r>
      </w:hyperlink>
      <w:r w:rsidRPr="007E3518">
        <w:rPr>
          <w:rFonts w:ascii="Times New Roman" w:hAnsi="Times New Roman" w:cs="Times New Roman"/>
          <w:sz w:val="20"/>
        </w:rPr>
        <w:t>&gt;.</w:t>
      </w:r>
    </w:p>
  </w:footnote>
  <w:footnote w:id="5">
    <w:p w:rsidR="007E7F5C" w:rsidRPr="007E3518" w:rsidRDefault="007E7F5C" w:rsidP="00E64524">
      <w:pPr>
        <w:pStyle w:val="FootnoteText"/>
        <w:spacing w:after="0"/>
        <w:rPr>
          <w:rFonts w:ascii="Times New Roman" w:hAnsi="Times New Roman" w:cs="Times New Roman"/>
          <w:sz w:val="20"/>
        </w:rPr>
      </w:pPr>
      <w:r w:rsidRPr="007E3518">
        <w:rPr>
          <w:rStyle w:val="FootnoteReference"/>
          <w:rFonts w:ascii="Times New Roman" w:hAnsi="Times New Roman" w:cs="Times New Roman"/>
          <w:sz w:val="20"/>
        </w:rPr>
        <w:footnoteRef/>
      </w:r>
      <w:r w:rsidRPr="007E3518">
        <w:rPr>
          <w:rFonts w:ascii="Times New Roman" w:hAnsi="Times New Roman" w:cs="Times New Roman"/>
          <w:sz w:val="20"/>
        </w:rPr>
        <w:t xml:space="preserve">. The Essential Services Commission of Victoria provides detailed guidance when commencing a price review, an example of which is located at: </w:t>
      </w:r>
    </w:p>
    <w:p w:rsidR="007E7F5C" w:rsidRPr="007E3518" w:rsidRDefault="007E7F5C" w:rsidP="00E64524">
      <w:pPr>
        <w:pStyle w:val="FootnoteText"/>
        <w:spacing w:after="0"/>
        <w:rPr>
          <w:rFonts w:ascii="Times New Roman" w:hAnsi="Times New Roman" w:cs="Times New Roman"/>
          <w:sz w:val="20"/>
        </w:rPr>
      </w:pPr>
      <w:r w:rsidRPr="007E3518">
        <w:rPr>
          <w:rFonts w:ascii="Times New Roman" w:hAnsi="Times New Roman" w:cs="Times New Roman"/>
          <w:sz w:val="20"/>
        </w:rPr>
        <w:t>&lt;</w:t>
      </w:r>
      <w:hyperlink r:id="rId2" w:history="1">
        <w:r w:rsidRPr="007E3518">
          <w:rPr>
            <w:rStyle w:val="Hyperlink"/>
            <w:rFonts w:ascii="Times New Roman" w:hAnsi="Times New Roman" w:cs="Times New Roman"/>
            <w:sz w:val="20"/>
          </w:rPr>
          <w:t>https://www.esc.vic.gov.au/water/water-prices-tariffs-and-special-drainage/water-price-reviews/goulburn-murray-water-price-review-2020</w:t>
        </w:r>
      </w:hyperlink>
      <w:r w:rsidRPr="007E3518">
        <w:rPr>
          <w:rFonts w:ascii="Times New Roman" w:hAnsi="Times New Roman" w:cs="Times New Roman"/>
          <w:sz w:val="20"/>
        </w:rPr>
        <w:t xml:space="preserve">&gt;; </w:t>
      </w:r>
      <w:r w:rsidR="007D569A" w:rsidRPr="007E3518">
        <w:rPr>
          <w:rFonts w:ascii="Times New Roman" w:hAnsi="Times New Roman" w:cs="Times New Roman"/>
          <w:sz w:val="20"/>
        </w:rPr>
        <w:t xml:space="preserve">similar processes are undertaken by the AEMC, see: </w:t>
      </w:r>
    </w:p>
    <w:p w:rsidR="007E7F5C" w:rsidRPr="007E3518" w:rsidRDefault="007E7F5C" w:rsidP="00E64524">
      <w:pPr>
        <w:pStyle w:val="FootnoteText"/>
        <w:spacing w:after="0"/>
        <w:rPr>
          <w:rFonts w:ascii="Times New Roman" w:hAnsi="Times New Roman" w:cs="Times New Roman"/>
          <w:sz w:val="20"/>
          <w:lang w:val="en-US"/>
        </w:rPr>
      </w:pPr>
      <w:r w:rsidRPr="007E3518">
        <w:rPr>
          <w:rFonts w:ascii="Times New Roman" w:hAnsi="Times New Roman" w:cs="Times New Roman"/>
          <w:sz w:val="20"/>
        </w:rPr>
        <w:t xml:space="preserve"> &lt;</w:t>
      </w:r>
      <w:hyperlink r:id="rId3" w:history="1">
        <w:r w:rsidRPr="007E3518">
          <w:rPr>
            <w:rStyle w:val="Hyperlink"/>
            <w:rFonts w:ascii="Times New Roman" w:hAnsi="Times New Roman" w:cs="Times New Roman"/>
            <w:sz w:val="20"/>
          </w:rPr>
          <w:t>https://www.aemc.gov.au/sites/default/files/content/de5cc69f-e850-48e0-9277-b3db79dd25c8/Final-determination.PDF</w:t>
        </w:r>
      </w:hyperlink>
      <w:r w:rsidRPr="007E3518">
        <w:rPr>
          <w:rFonts w:ascii="Times New Roman" w:hAnsi="Times New Roman" w:cs="Times New Roman"/>
          <w:sz w:val="20"/>
        </w:rPr>
        <w:t>&gt;</w:t>
      </w:r>
      <w:r w:rsidR="007D569A" w:rsidRPr="007E3518">
        <w:rPr>
          <w:rFonts w:ascii="Times New Roman" w:hAnsi="Times New Roman" w:cs="Times New Roman"/>
          <w:sz w:val="20"/>
        </w:rPr>
        <w:t xml:space="preserve"> and IPART see </w:t>
      </w:r>
      <w:r w:rsidR="007E3518" w:rsidRPr="007E3518">
        <w:rPr>
          <w:rFonts w:ascii="Times New Roman" w:hAnsi="Times New Roman" w:cs="Times New Roman"/>
          <w:sz w:val="20"/>
        </w:rPr>
        <w:t xml:space="preserve">&lt; </w:t>
      </w:r>
      <w:hyperlink r:id="rId4" w:history="1">
        <w:r w:rsidR="007E3518" w:rsidRPr="007E3518">
          <w:rPr>
            <w:rStyle w:val="Hyperlink"/>
            <w:rFonts w:ascii="Times New Roman" w:hAnsi="Times New Roman" w:cs="Times New Roman"/>
            <w:sz w:val="20"/>
          </w:rPr>
          <w:t>https://www.ipart.nsw.gov.au/Home/Industries/Water/Reviews/Metro-Pricing/Prices-for-Central-Coast-Council-from-1-July-2019</w:t>
        </w:r>
      </w:hyperlink>
      <w:r w:rsidR="007E3518" w:rsidRPr="007E3518">
        <w:rPr>
          <w:rFonts w:ascii="Times New Roman" w:hAnsi="Times New Roman" w:cs="Times New Roman"/>
          <w:sz w:val="20"/>
        </w:rPr>
        <w:t>&gt;</w:t>
      </w:r>
      <w:r w:rsidR="006C7B72">
        <w:rPr>
          <w:rFonts w:ascii="Times New Roman" w:hAnsi="Times New Roman" w:cs="Times New Roman"/>
          <w:sz w:val="20"/>
        </w:rPr>
        <w:t>.</w:t>
      </w:r>
    </w:p>
  </w:footnote>
  <w:footnote w:id="6">
    <w:p w:rsidR="007E7F5C" w:rsidRPr="007E3518" w:rsidRDefault="007E7F5C" w:rsidP="00E64524">
      <w:pPr>
        <w:pStyle w:val="FootnoteText"/>
        <w:spacing w:after="0"/>
        <w:rPr>
          <w:rFonts w:ascii="Times New Roman" w:hAnsi="Times New Roman" w:cs="Times New Roman"/>
          <w:sz w:val="20"/>
          <w:lang w:val="en-US"/>
        </w:rPr>
      </w:pPr>
      <w:r w:rsidRPr="007E3518">
        <w:rPr>
          <w:rStyle w:val="FootnoteReference"/>
          <w:rFonts w:ascii="Times New Roman" w:hAnsi="Times New Roman" w:cs="Times New Roman"/>
          <w:sz w:val="20"/>
        </w:rPr>
        <w:footnoteRef/>
      </w:r>
      <w:r w:rsidRPr="007E3518">
        <w:rPr>
          <w:rFonts w:ascii="Times New Roman" w:hAnsi="Times New Roman" w:cs="Times New Roman"/>
          <w:sz w:val="20"/>
        </w:rPr>
        <w:t xml:space="preserve">. </w:t>
      </w:r>
      <w:proofErr w:type="gramStart"/>
      <w:r w:rsidRPr="007E3518">
        <w:rPr>
          <w:rFonts w:ascii="Times New Roman" w:hAnsi="Times New Roman" w:cs="Times New Roman"/>
          <w:sz w:val="20"/>
        </w:rPr>
        <w:t xml:space="preserve">OECD (Organisation for Economic Co-operation and Development) 2012, </w:t>
      </w:r>
      <w:r w:rsidRPr="007E3518">
        <w:rPr>
          <w:rFonts w:ascii="Times New Roman" w:hAnsi="Times New Roman" w:cs="Times New Roman"/>
          <w:i/>
          <w:iCs/>
          <w:sz w:val="20"/>
        </w:rPr>
        <w:t>Recommendation of the Council on Regulatory Policy and Governance</w:t>
      </w:r>
      <w:r w:rsidRPr="007E3518">
        <w:rPr>
          <w:rFonts w:ascii="Times New Roman" w:hAnsi="Times New Roman" w:cs="Times New Roman"/>
          <w:sz w:val="20"/>
        </w:rPr>
        <w:t>, Paris.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Header"/>
      <w:jc w:val="right"/>
    </w:pPr>
    <w:r>
      <w:rPr>
        <w:noProof/>
        <w:lang w:val="en-US"/>
      </w:rPr>
      <w:drawing>
        <wp:inline distT="0" distB="0" distL="0" distR="0" wp14:anchorId="5BF45B80" wp14:editId="48671863">
          <wp:extent cx="678787" cy="296066"/>
          <wp:effectExtent l="0" t="0" r="7620" b="8890"/>
          <wp:docPr id="1" name="Picture 1" descr="ACCAN_logo_BLACK_viewing_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CAN_logo_BLACK_viewing_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108" cy="2953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AEA" w:rsidRDefault="00DD0AEA" w:rsidP="00DD0AEA">
    <w:pPr>
      <w:pStyle w:val="Header"/>
      <w:jc w:val="center"/>
    </w:pPr>
    <w:r>
      <w:rPr>
        <w:noProof/>
        <w:lang w:val="en-US"/>
      </w:rPr>
      <w:drawing>
        <wp:inline distT="0" distB="0" distL="0" distR="0" wp14:anchorId="361F7478" wp14:editId="6FC3E5A6">
          <wp:extent cx="3057525" cy="1581150"/>
          <wp:effectExtent l="0" t="0" r="0" b="0"/>
          <wp:docPr id="6" name="Picture 13" descr="ACCAN_logo_BLUE_viewing_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CAN_logo_BLUE_viewing_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1581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6E215D6"/>
    <w:lvl w:ilvl="0" w:tplc="00000001">
      <w:start w:val="1"/>
      <w:numFmt w:val="bullet"/>
      <w:lvlText w:val="•"/>
      <w:lvlJc w:val="left"/>
      <w:pPr>
        <w:ind w:left="940" w:hanging="360"/>
      </w:pPr>
    </w:lvl>
    <w:lvl w:ilvl="1" w:tplc="FFFFFFFF">
      <w:numFmt w:val="decimal"/>
      <w:lvlText w:val=""/>
      <w:lvlJc w:val="left"/>
    </w:lvl>
    <w:lvl w:ilvl="2" w:tplc="0C090001">
      <w:start w:val="1"/>
      <w:numFmt w:val="bullet"/>
      <w:lvlText w:val=""/>
      <w:lvlJc w:val="left"/>
      <w:pPr>
        <w:ind w:left="72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FE358B"/>
    <w:multiLevelType w:val="hybridMultilevel"/>
    <w:tmpl w:val="8E7EF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4578"/>
    <w:multiLevelType w:val="hybridMultilevel"/>
    <w:tmpl w:val="F5B26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14AAA"/>
    <w:multiLevelType w:val="hybridMultilevel"/>
    <w:tmpl w:val="34E21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F84406"/>
    <w:multiLevelType w:val="hybridMultilevel"/>
    <w:tmpl w:val="9CC23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1476EE"/>
    <w:multiLevelType w:val="hybridMultilevel"/>
    <w:tmpl w:val="94168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1802AC"/>
    <w:multiLevelType w:val="hybridMultilevel"/>
    <w:tmpl w:val="731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BF5D11"/>
    <w:multiLevelType w:val="hybridMultilevel"/>
    <w:tmpl w:val="30C2F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C25646"/>
    <w:multiLevelType w:val="hybridMultilevel"/>
    <w:tmpl w:val="01CE7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7D31FA4"/>
    <w:multiLevelType w:val="hybridMultilevel"/>
    <w:tmpl w:val="2E247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946CC8"/>
    <w:multiLevelType w:val="hybridMultilevel"/>
    <w:tmpl w:val="11A8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E4247"/>
    <w:multiLevelType w:val="multilevel"/>
    <w:tmpl w:val="D8A86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0733DF"/>
    <w:multiLevelType w:val="multilevel"/>
    <w:tmpl w:val="7EC8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AB25AC"/>
    <w:multiLevelType w:val="hybridMultilevel"/>
    <w:tmpl w:val="3A84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CD6056"/>
    <w:multiLevelType w:val="hybridMultilevel"/>
    <w:tmpl w:val="9D60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53DF0"/>
    <w:multiLevelType w:val="hybridMultilevel"/>
    <w:tmpl w:val="C64CF112"/>
    <w:lvl w:ilvl="0" w:tplc="E63C4C88">
      <w:start w:val="1"/>
      <w:numFmt w:val="decimal"/>
      <w:lvlText w:val="%1)"/>
      <w:lvlJc w:val="left"/>
      <w:pPr>
        <w:ind w:left="720" w:hanging="360"/>
      </w:pPr>
      <w:rPr>
        <w:rFonts w:ascii="Times New Roman" w:eastAsia="Arial" w:hAnsi="Times New Roman" w:cs="Times New Roman"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036C6"/>
    <w:multiLevelType w:val="hybridMultilevel"/>
    <w:tmpl w:val="34D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2C4F0862"/>
    <w:multiLevelType w:val="multilevel"/>
    <w:tmpl w:val="6AFEEB4C"/>
    <w:styleLink w:val="Bullets"/>
    <w:lvl w:ilvl="0">
      <w:start w:val="1"/>
      <w:numFmt w:val="bullet"/>
      <w:pStyle w:val="Bulletlist1"/>
      <w:lvlText w:val=""/>
      <w:lvlJc w:val="left"/>
      <w:pPr>
        <w:ind w:left="851" w:hanging="284"/>
      </w:pPr>
      <w:rPr>
        <w:rFonts w:ascii="Symbol" w:hAnsi="Symbol" w:hint="default"/>
      </w:rPr>
    </w:lvl>
    <w:lvl w:ilvl="1">
      <w:start w:val="1"/>
      <w:numFmt w:val="bullet"/>
      <w:pStyle w:val="Bulletlist2"/>
      <w:lvlText w:val=""/>
      <w:lvlJc w:val="left"/>
      <w:pPr>
        <w:ind w:left="1418" w:hanging="284"/>
      </w:pPr>
      <w:rPr>
        <w:rFonts w:ascii="Symbol" w:hAnsi="Symbol" w:hint="default"/>
      </w:rPr>
    </w:lvl>
    <w:lvl w:ilvl="2">
      <w:start w:val="1"/>
      <w:numFmt w:val="bullet"/>
      <w:pStyle w:val="Bulletlist3"/>
      <w:lvlText w:val=""/>
      <w:lvlJc w:val="left"/>
      <w:pPr>
        <w:ind w:left="1985" w:hanging="284"/>
      </w:pPr>
      <w:rPr>
        <w:rFonts w:ascii="Symbol" w:hAnsi="Symbol" w:hint="default"/>
        <w:color w:val="auto"/>
      </w:rPr>
    </w:lvl>
    <w:lvl w:ilvl="3">
      <w:start w:val="1"/>
      <w:numFmt w:val="bullet"/>
      <w:lvlText w:val=""/>
      <w:lvlJc w:val="left"/>
      <w:pPr>
        <w:ind w:left="2552" w:hanging="284"/>
      </w:pPr>
      <w:rPr>
        <w:rFonts w:ascii="Symbol" w:hAnsi="Symbol" w:hint="default"/>
      </w:rPr>
    </w:lvl>
    <w:lvl w:ilvl="4">
      <w:start w:val="1"/>
      <w:numFmt w:val="bullet"/>
      <w:lvlText w:val=""/>
      <w:lvlJc w:val="left"/>
      <w:pPr>
        <w:ind w:left="3119" w:hanging="284"/>
      </w:pPr>
      <w:rPr>
        <w:rFonts w:ascii="Symbol" w:hAnsi="Symbol" w:hint="default"/>
      </w:rPr>
    </w:lvl>
    <w:lvl w:ilvl="5">
      <w:start w:val="1"/>
      <w:numFmt w:val="bullet"/>
      <w:lvlText w:val=""/>
      <w:lvlJc w:val="left"/>
      <w:pPr>
        <w:ind w:left="3686" w:hanging="284"/>
      </w:pPr>
      <w:rPr>
        <w:rFonts w:ascii="Symbol" w:hAnsi="Symbol" w:hint="default"/>
      </w:rPr>
    </w:lvl>
    <w:lvl w:ilvl="6">
      <w:start w:val="1"/>
      <w:numFmt w:val="bullet"/>
      <w:lvlText w:val=""/>
      <w:lvlJc w:val="left"/>
      <w:pPr>
        <w:ind w:left="4253" w:hanging="284"/>
      </w:pPr>
      <w:rPr>
        <w:rFonts w:ascii="Symbol" w:hAnsi="Symbol" w:hint="default"/>
      </w:rPr>
    </w:lvl>
    <w:lvl w:ilvl="7">
      <w:start w:val="1"/>
      <w:numFmt w:val="bullet"/>
      <w:lvlText w:val=""/>
      <w:lvlJc w:val="left"/>
      <w:pPr>
        <w:ind w:left="4820" w:hanging="284"/>
      </w:pPr>
      <w:rPr>
        <w:rFonts w:ascii="Symbol" w:hAnsi="Symbol" w:hint="default"/>
      </w:rPr>
    </w:lvl>
    <w:lvl w:ilvl="8">
      <w:start w:val="1"/>
      <w:numFmt w:val="bullet"/>
      <w:lvlText w:val=""/>
      <w:lvlJc w:val="left"/>
      <w:pPr>
        <w:ind w:left="5387" w:hanging="284"/>
      </w:pPr>
      <w:rPr>
        <w:rFonts w:ascii="Symbol" w:hAnsi="Symbol" w:hint="default"/>
      </w:rPr>
    </w:lvl>
  </w:abstractNum>
  <w:abstractNum w:abstractNumId="18">
    <w:nsid w:val="2D345394"/>
    <w:multiLevelType w:val="hybridMultilevel"/>
    <w:tmpl w:val="19EE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E6B723A"/>
    <w:multiLevelType w:val="hybridMultilevel"/>
    <w:tmpl w:val="635AD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F41087"/>
    <w:multiLevelType w:val="hybridMultilevel"/>
    <w:tmpl w:val="6C38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1FE1D99"/>
    <w:multiLevelType w:val="hybridMultilevel"/>
    <w:tmpl w:val="A6FA6B6A"/>
    <w:lvl w:ilvl="0" w:tplc="4E18767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4BF37D8"/>
    <w:multiLevelType w:val="multilevel"/>
    <w:tmpl w:val="288A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F41370"/>
    <w:multiLevelType w:val="multilevel"/>
    <w:tmpl w:val="F2FC669E"/>
    <w:styleLink w:val="Recommendations"/>
    <w:lvl w:ilvl="0">
      <w:start w:val="1"/>
      <w:numFmt w:val="decimal"/>
      <w:pStyle w:val="Recommendation"/>
      <w:lvlText w:val="Recommendation %1:"/>
      <w:lvlJc w:val="left"/>
      <w:pPr>
        <w:ind w:left="851" w:firstLine="0"/>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24">
    <w:nsid w:val="36D43418"/>
    <w:multiLevelType w:val="hybridMultilevel"/>
    <w:tmpl w:val="119A83DC"/>
    <w:lvl w:ilvl="0" w:tplc="BB08A3DE">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A311C56"/>
    <w:multiLevelType w:val="hybridMultilevel"/>
    <w:tmpl w:val="93A0D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87749B"/>
    <w:multiLevelType w:val="hybridMultilevel"/>
    <w:tmpl w:val="55D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6160AAE"/>
    <w:multiLevelType w:val="hybridMultilevel"/>
    <w:tmpl w:val="DD328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74482D"/>
    <w:multiLevelType w:val="hybridMultilevel"/>
    <w:tmpl w:val="748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3C1ADA"/>
    <w:multiLevelType w:val="hybridMultilevel"/>
    <w:tmpl w:val="CD3AE25C"/>
    <w:lvl w:ilvl="0" w:tplc="54A0E324">
      <w:start w:val="15"/>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E857923"/>
    <w:multiLevelType w:val="multilevel"/>
    <w:tmpl w:val="989E8E90"/>
    <w:styleLink w:val="Appendices"/>
    <w:lvl w:ilvl="0">
      <w:start w:val="1"/>
      <w:numFmt w:val="upperLetter"/>
      <w:pStyle w:val="Appendixheading1"/>
      <w:lvlText w:val="Appendix %1."/>
      <w:lvlJc w:val="left"/>
      <w:pPr>
        <w:ind w:left="0" w:firstLine="0"/>
      </w:pPr>
      <w:rPr>
        <w:rFonts w:hint="default"/>
      </w:rPr>
    </w:lvl>
    <w:lvl w:ilvl="1">
      <w:start w:val="1"/>
      <w:numFmt w:val="lowerRoman"/>
      <w:pStyle w:val="Appendixheading2"/>
      <w:lvlText w:val="%1.%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1">
    <w:nsid w:val="4F6C2FAD"/>
    <w:multiLevelType w:val="hybridMultilevel"/>
    <w:tmpl w:val="DCF08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AC16E7"/>
    <w:multiLevelType w:val="hybridMultilevel"/>
    <w:tmpl w:val="8BF84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35D5600"/>
    <w:multiLevelType w:val="hybridMultilevel"/>
    <w:tmpl w:val="1BE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467144"/>
    <w:multiLevelType w:val="multilevel"/>
    <w:tmpl w:val="989E8E90"/>
    <w:numStyleLink w:val="Appendices"/>
  </w:abstractNum>
  <w:abstractNum w:abstractNumId="35">
    <w:nsid w:val="652333BE"/>
    <w:multiLevelType w:val="hybridMultilevel"/>
    <w:tmpl w:val="7C4C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6417A"/>
    <w:multiLevelType w:val="multilevel"/>
    <w:tmpl w:val="63E22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CD6231"/>
    <w:multiLevelType w:val="multilevel"/>
    <w:tmpl w:val="F2FC669E"/>
    <w:numStyleLink w:val="Recommendations"/>
  </w:abstractNum>
  <w:abstractNum w:abstractNumId="38">
    <w:nsid w:val="699C4ADA"/>
    <w:multiLevelType w:val="hybridMultilevel"/>
    <w:tmpl w:val="B3D4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8820CD"/>
    <w:multiLevelType w:val="multilevel"/>
    <w:tmpl w:val="3B72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9366F4"/>
    <w:multiLevelType w:val="hybridMultilevel"/>
    <w:tmpl w:val="F116A3EC"/>
    <w:lvl w:ilvl="0" w:tplc="54A0E324">
      <w:numFmt w:val="bullet"/>
      <w:lvlText w:val="-"/>
      <w:lvlJc w:val="left"/>
      <w:pPr>
        <w:ind w:left="720" w:hanging="360"/>
      </w:pPr>
      <w:rPr>
        <w:rFonts w:ascii="Times New Roman" w:eastAsia="Arial Unicode MS"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E81A98"/>
    <w:multiLevelType w:val="multilevel"/>
    <w:tmpl w:val="EE980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AA0FE4"/>
    <w:multiLevelType w:val="multilevel"/>
    <w:tmpl w:val="E2F45A98"/>
    <w:styleLink w:val="Blockquotebullets"/>
    <w:lvl w:ilvl="0">
      <w:start w:val="1"/>
      <w:numFmt w:val="bullet"/>
      <w:pStyle w:val="Blockquotebulletlist1"/>
      <w:lvlText w:val=""/>
      <w:lvlJc w:val="left"/>
      <w:pPr>
        <w:ind w:left="1701" w:hanging="283"/>
      </w:pPr>
      <w:rPr>
        <w:rFonts w:ascii="Symbol" w:hAnsi="Symbol"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3">
    <w:nsid w:val="6F222B64"/>
    <w:multiLevelType w:val="multilevel"/>
    <w:tmpl w:val="D086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D50840"/>
    <w:multiLevelType w:val="hybridMultilevel"/>
    <w:tmpl w:val="C254A608"/>
    <w:lvl w:ilvl="0" w:tplc="6C405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7FF45ED"/>
    <w:multiLevelType w:val="multilevel"/>
    <w:tmpl w:val="A7920A6E"/>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6">
    <w:nsid w:val="79CE3444"/>
    <w:multiLevelType w:val="multilevel"/>
    <w:tmpl w:val="A04A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17"/>
  </w:num>
  <w:num w:numId="3">
    <w:abstractNumId w:val="30"/>
  </w:num>
  <w:num w:numId="4">
    <w:abstractNumId w:val="34"/>
  </w:num>
  <w:num w:numId="5">
    <w:abstractNumId w:val="42"/>
  </w:num>
  <w:num w:numId="6">
    <w:abstractNumId w:val="23"/>
  </w:num>
  <w:num w:numId="7">
    <w:abstractNumId w:val="37"/>
  </w:num>
  <w:num w:numId="8">
    <w:abstractNumId w:val="35"/>
  </w:num>
  <w:num w:numId="9">
    <w:abstractNumId w:val="14"/>
  </w:num>
  <w:num w:numId="10">
    <w:abstractNumId w:val="19"/>
  </w:num>
  <w:num w:numId="11">
    <w:abstractNumId w:val="26"/>
  </w:num>
  <w:num w:numId="12">
    <w:abstractNumId w:val="40"/>
  </w:num>
  <w:num w:numId="13">
    <w:abstractNumId w:val="29"/>
  </w:num>
  <w:num w:numId="14">
    <w:abstractNumId w:val="10"/>
  </w:num>
  <w:num w:numId="15">
    <w:abstractNumId w:val="21"/>
  </w:num>
  <w:num w:numId="16">
    <w:abstractNumId w:val="2"/>
  </w:num>
  <w:num w:numId="17">
    <w:abstractNumId w:val="38"/>
  </w:num>
  <w:num w:numId="18">
    <w:abstractNumId w:val="9"/>
  </w:num>
  <w:num w:numId="19">
    <w:abstractNumId w:val="6"/>
  </w:num>
  <w:num w:numId="20">
    <w:abstractNumId w:val="43"/>
  </w:num>
  <w:num w:numId="21">
    <w:abstractNumId w:val="46"/>
  </w:num>
  <w:num w:numId="22">
    <w:abstractNumId w:val="12"/>
  </w:num>
  <w:num w:numId="23">
    <w:abstractNumId w:val="11"/>
  </w:num>
  <w:num w:numId="24">
    <w:abstractNumId w:val="39"/>
  </w:num>
  <w:num w:numId="25">
    <w:abstractNumId w:val="41"/>
  </w:num>
  <w:num w:numId="26">
    <w:abstractNumId w:val="22"/>
  </w:num>
  <w:num w:numId="27">
    <w:abstractNumId w:val="4"/>
  </w:num>
  <w:num w:numId="28">
    <w:abstractNumId w:val="20"/>
  </w:num>
  <w:num w:numId="29">
    <w:abstractNumId w:val="24"/>
  </w:num>
  <w:num w:numId="30">
    <w:abstractNumId w:val="0"/>
  </w:num>
  <w:num w:numId="31">
    <w:abstractNumId w:val="5"/>
  </w:num>
  <w:num w:numId="32">
    <w:abstractNumId w:val="3"/>
  </w:num>
  <w:num w:numId="33">
    <w:abstractNumId w:val="16"/>
  </w:num>
  <w:num w:numId="34">
    <w:abstractNumId w:val="36"/>
  </w:num>
  <w:num w:numId="35">
    <w:abstractNumId w:val="25"/>
  </w:num>
  <w:num w:numId="36">
    <w:abstractNumId w:val="32"/>
  </w:num>
  <w:num w:numId="37">
    <w:abstractNumId w:val="27"/>
  </w:num>
  <w:num w:numId="38">
    <w:abstractNumId w:val="15"/>
  </w:num>
  <w:num w:numId="39">
    <w:abstractNumId w:val="13"/>
  </w:num>
  <w:num w:numId="40">
    <w:abstractNumId w:val="8"/>
  </w:num>
  <w:num w:numId="41">
    <w:abstractNumId w:val="18"/>
  </w:num>
  <w:num w:numId="42">
    <w:abstractNumId w:val="7"/>
  </w:num>
  <w:num w:numId="43">
    <w:abstractNumId w:val="1"/>
  </w:num>
  <w:num w:numId="44">
    <w:abstractNumId w:val="28"/>
  </w:num>
  <w:num w:numId="45">
    <w:abstractNumId w:val="33"/>
  </w:num>
  <w:num w:numId="46">
    <w:abstractNumId w:val="44"/>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A"/>
    <w:rsid w:val="00186E10"/>
    <w:rsid w:val="001D3D4A"/>
    <w:rsid w:val="00200D72"/>
    <w:rsid w:val="0024484B"/>
    <w:rsid w:val="00270E79"/>
    <w:rsid w:val="00280413"/>
    <w:rsid w:val="002B0785"/>
    <w:rsid w:val="002D2E41"/>
    <w:rsid w:val="002D790E"/>
    <w:rsid w:val="002F26C7"/>
    <w:rsid w:val="00300E0A"/>
    <w:rsid w:val="00354CD9"/>
    <w:rsid w:val="003A0BC8"/>
    <w:rsid w:val="003A17FE"/>
    <w:rsid w:val="004807E3"/>
    <w:rsid w:val="00566EFC"/>
    <w:rsid w:val="005865B5"/>
    <w:rsid w:val="005E3E65"/>
    <w:rsid w:val="00605F4D"/>
    <w:rsid w:val="00610687"/>
    <w:rsid w:val="006A3AAF"/>
    <w:rsid w:val="006C7B72"/>
    <w:rsid w:val="006F6338"/>
    <w:rsid w:val="007D0CBE"/>
    <w:rsid w:val="007D569A"/>
    <w:rsid w:val="007E3518"/>
    <w:rsid w:val="007E7F5C"/>
    <w:rsid w:val="0080400A"/>
    <w:rsid w:val="00836740"/>
    <w:rsid w:val="00840267"/>
    <w:rsid w:val="0086580A"/>
    <w:rsid w:val="0092672F"/>
    <w:rsid w:val="00A545BE"/>
    <w:rsid w:val="00A551EE"/>
    <w:rsid w:val="00A6675C"/>
    <w:rsid w:val="00A92835"/>
    <w:rsid w:val="00AD32BA"/>
    <w:rsid w:val="00BE1E82"/>
    <w:rsid w:val="00C02C90"/>
    <w:rsid w:val="00C42202"/>
    <w:rsid w:val="00C65D89"/>
    <w:rsid w:val="00C912CC"/>
    <w:rsid w:val="00D17CDA"/>
    <w:rsid w:val="00D674B1"/>
    <w:rsid w:val="00D765BC"/>
    <w:rsid w:val="00DA77AE"/>
    <w:rsid w:val="00DB75E1"/>
    <w:rsid w:val="00DD0AEA"/>
    <w:rsid w:val="00E03224"/>
    <w:rsid w:val="00E10059"/>
    <w:rsid w:val="00E64524"/>
    <w:rsid w:val="00EB0F82"/>
    <w:rsid w:val="00ED24AD"/>
    <w:rsid w:val="00FD5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7E7F5C"/>
    <w:rPr>
      <w:rFonts w:ascii="Arial" w:eastAsia="Calibri" w:hAnsi="Arial" w:cs="Arial"/>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DD0AEA"/>
    <w:pPr>
      <w:keepNext/>
      <w:keepLines/>
      <w:pageBreakBefore/>
      <w:numPr>
        <w:numId w:val="1"/>
      </w:numPr>
      <w:spacing w:before="100" w:beforeAutospacing="1" w:after="240" w:line="240" w:lineRule="auto"/>
      <w:outlineLvl w:val="0"/>
    </w:pPr>
    <w:rPr>
      <w:rFonts w:ascii="Calibri" w:eastAsiaTheme="majorEastAsia" w:hAnsi="Calibri" w:cstheme="majorBidi"/>
      <w:bCs/>
      <w:sz w:val="48"/>
      <w:szCs w:val="28"/>
      <w:lang w:val="en-AU"/>
    </w:rPr>
  </w:style>
  <w:style w:type="paragraph" w:styleId="Heading2">
    <w:name w:val="heading 2"/>
    <w:next w:val="Normal"/>
    <w:link w:val="Heading2Char"/>
    <w:qFormat/>
    <w:rsid w:val="00DD0AEA"/>
    <w:pPr>
      <w:keepNext/>
      <w:numPr>
        <w:ilvl w:val="1"/>
        <w:numId w:val="1"/>
      </w:numPr>
      <w:spacing w:before="100" w:beforeAutospacing="1" w:after="240" w:line="240" w:lineRule="auto"/>
      <w:outlineLvl w:val="1"/>
    </w:pPr>
    <w:rPr>
      <w:rFonts w:ascii="Calibri" w:eastAsia="Times New Roman" w:hAnsi="Calibri" w:cs="Times New Roman"/>
      <w:bCs/>
      <w:iCs/>
      <w:sz w:val="32"/>
      <w:szCs w:val="24"/>
      <w:lang w:val="en-AU"/>
    </w:rPr>
  </w:style>
  <w:style w:type="paragraph" w:styleId="Heading3">
    <w:name w:val="heading 3"/>
    <w:next w:val="Normal"/>
    <w:link w:val="Heading3Char"/>
    <w:qFormat/>
    <w:rsid w:val="00DD0AEA"/>
    <w:pPr>
      <w:keepNext/>
      <w:numPr>
        <w:ilvl w:val="2"/>
        <w:numId w:val="1"/>
      </w:numPr>
      <w:spacing w:before="100" w:beforeAutospacing="1" w:after="240" w:line="240" w:lineRule="auto"/>
      <w:outlineLvl w:val="2"/>
    </w:pPr>
    <w:rPr>
      <w:rFonts w:ascii="Calibri" w:eastAsia="Times New Roman" w:hAnsi="Calibri" w:cs="Times New Roman"/>
      <w:bCs/>
      <w:iCs/>
      <w:sz w:val="28"/>
      <w:szCs w:val="24"/>
      <w:lang w:val="en-AU"/>
    </w:rPr>
  </w:style>
  <w:style w:type="paragraph" w:styleId="Heading4">
    <w:name w:val="heading 4"/>
    <w:next w:val="Normal"/>
    <w:link w:val="Heading4Char"/>
    <w:uiPriority w:val="9"/>
    <w:unhideWhenUsed/>
    <w:qFormat/>
    <w:rsid w:val="00DD0AEA"/>
    <w:pPr>
      <w:keepNext/>
      <w:keepLines/>
      <w:spacing w:before="100" w:beforeAutospacing="1" w:after="240" w:line="240" w:lineRule="auto"/>
      <w:outlineLvl w:val="3"/>
    </w:pPr>
    <w:rPr>
      <w:rFonts w:ascii="Calibri" w:eastAsiaTheme="majorEastAsia" w:hAnsi="Calibri" w:cstheme="majorBidi"/>
      <w:b/>
      <w:bCs/>
      <w:i/>
      <w:iCs/>
      <w:sz w:val="24"/>
      <w:lang w:val="en-AU"/>
    </w:rPr>
  </w:style>
  <w:style w:type="paragraph" w:styleId="Heading5">
    <w:name w:val="heading 5"/>
    <w:next w:val="Normal"/>
    <w:link w:val="Heading5Char"/>
    <w:uiPriority w:val="9"/>
    <w:unhideWhenUsed/>
    <w:qFormat/>
    <w:rsid w:val="00DD0AEA"/>
    <w:pPr>
      <w:keepNext/>
      <w:keepLines/>
      <w:spacing w:after="0" w:line="240" w:lineRule="auto"/>
      <w:outlineLvl w:val="4"/>
    </w:pPr>
    <w:rPr>
      <w:rFonts w:ascii="Calibri" w:eastAsiaTheme="majorEastAsia" w:hAnsi="Calibri" w:cstheme="majorBidi"/>
      <w:sz w:val="23"/>
      <w:u w:val="single"/>
      <w:lang w:val="en-AU"/>
    </w:rPr>
  </w:style>
  <w:style w:type="paragraph" w:styleId="Heading6">
    <w:name w:val="heading 6"/>
    <w:next w:val="Normal"/>
    <w:link w:val="Heading6Char"/>
    <w:uiPriority w:val="9"/>
    <w:unhideWhenUsed/>
    <w:qFormat/>
    <w:rsid w:val="00DD0AEA"/>
    <w:pPr>
      <w:keepNext/>
      <w:keepLines/>
      <w:spacing w:before="200" w:after="0" w:line="240" w:lineRule="auto"/>
      <w:outlineLvl w:val="5"/>
    </w:pPr>
    <w:rPr>
      <w:rFonts w:ascii="Calibri" w:eastAsiaTheme="majorEastAsia" w:hAnsi="Calibri" w:cstheme="majorBidi"/>
      <w:i/>
      <w:iCs/>
      <w:sz w:val="23"/>
      <w:lang w:val="en-AU"/>
    </w:rPr>
  </w:style>
  <w:style w:type="paragraph" w:styleId="Heading7">
    <w:name w:val="heading 7"/>
    <w:next w:val="Normal"/>
    <w:link w:val="Heading7Char"/>
    <w:uiPriority w:val="9"/>
    <w:semiHidden/>
    <w:unhideWhenUsed/>
    <w:rsid w:val="00DD0AEA"/>
    <w:pPr>
      <w:keepNext/>
      <w:keepLines/>
      <w:spacing w:before="200" w:after="0" w:line="240" w:lineRule="auto"/>
      <w:outlineLvl w:val="6"/>
    </w:pPr>
    <w:rPr>
      <w:rFonts w:asciiTheme="majorHAnsi" w:eastAsiaTheme="majorEastAsia" w:hAnsiTheme="majorHAnsi" w:cstheme="majorBidi"/>
      <w:i/>
      <w:iCs/>
      <w:color w:val="404040" w:themeColor="text1" w:themeTint="BF"/>
      <w:sz w:val="23"/>
      <w:lang w:val="en-AU" w:eastAsia="en-AU"/>
    </w:rPr>
  </w:style>
  <w:style w:type="paragraph" w:styleId="Heading8">
    <w:name w:val="heading 8"/>
    <w:basedOn w:val="Normal"/>
    <w:next w:val="Normal"/>
    <w:link w:val="Heading8Char"/>
    <w:uiPriority w:val="9"/>
    <w:semiHidden/>
    <w:unhideWhenUsed/>
    <w:qFormat/>
    <w:rsid w:val="00DD0AEA"/>
    <w:pPr>
      <w:keepNext/>
      <w:keepLines/>
      <w:spacing w:before="200" w:beforeAutospacing="1" w:after="0" w:afterAutospacing="1" w:line="240" w:lineRule="auto"/>
      <w:jc w:val="both"/>
      <w:outlineLvl w:val="7"/>
    </w:pPr>
    <w:rPr>
      <w:rFonts w:asciiTheme="majorHAnsi" w:eastAsiaTheme="majorEastAsia" w:hAnsiTheme="majorHAnsi" w:cstheme="majorBidi"/>
      <w:color w:val="404040" w:themeColor="text1" w:themeTint="BF"/>
      <w:sz w:val="20"/>
      <w:szCs w:val="20"/>
      <w:lang w:val="en-AU" w:eastAsia="en-AU"/>
    </w:rPr>
  </w:style>
  <w:style w:type="paragraph" w:styleId="Heading9">
    <w:name w:val="heading 9"/>
    <w:basedOn w:val="Normal"/>
    <w:next w:val="Normal"/>
    <w:link w:val="Heading9Char"/>
    <w:uiPriority w:val="9"/>
    <w:semiHidden/>
    <w:unhideWhenUsed/>
    <w:qFormat/>
    <w:rsid w:val="00DD0AEA"/>
    <w:pPr>
      <w:keepNext/>
      <w:keepLines/>
      <w:spacing w:before="200" w:beforeAutospacing="1" w:after="0" w:afterAutospacing="1" w:line="240" w:lineRule="auto"/>
      <w:jc w:val="both"/>
      <w:outlineLvl w:val="8"/>
    </w:pPr>
    <w:rPr>
      <w:rFonts w:asciiTheme="majorHAnsi" w:eastAsiaTheme="majorEastAsia" w:hAnsiTheme="majorHAnsi" w:cstheme="majorBidi"/>
      <w:i/>
      <w:iCs/>
      <w:color w:val="404040" w:themeColor="text1" w:themeTint="BF"/>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EA"/>
    <w:rPr>
      <w:rFonts w:ascii="Calibri" w:eastAsiaTheme="majorEastAsia" w:hAnsi="Calibri" w:cstheme="majorBidi"/>
      <w:bCs/>
      <w:sz w:val="48"/>
      <w:szCs w:val="28"/>
      <w:lang w:val="en-AU"/>
    </w:rPr>
  </w:style>
  <w:style w:type="character" w:customStyle="1" w:styleId="Heading2Char">
    <w:name w:val="Heading 2 Char"/>
    <w:basedOn w:val="DefaultParagraphFont"/>
    <w:link w:val="Heading2"/>
    <w:rsid w:val="00DD0AEA"/>
    <w:rPr>
      <w:rFonts w:ascii="Calibri" w:eastAsia="Times New Roman" w:hAnsi="Calibri" w:cs="Times New Roman"/>
      <w:bCs/>
      <w:iCs/>
      <w:sz w:val="32"/>
      <w:szCs w:val="24"/>
      <w:lang w:val="en-AU"/>
    </w:rPr>
  </w:style>
  <w:style w:type="character" w:customStyle="1" w:styleId="Heading3Char">
    <w:name w:val="Heading 3 Char"/>
    <w:basedOn w:val="DefaultParagraphFont"/>
    <w:link w:val="Heading3"/>
    <w:rsid w:val="00DD0AEA"/>
    <w:rPr>
      <w:rFonts w:ascii="Calibri" w:eastAsia="Times New Roman" w:hAnsi="Calibri" w:cs="Times New Roman"/>
      <w:bCs/>
      <w:iCs/>
      <w:sz w:val="28"/>
      <w:szCs w:val="24"/>
      <w:lang w:val="en-AU"/>
    </w:rPr>
  </w:style>
  <w:style w:type="character" w:customStyle="1" w:styleId="Heading4Char">
    <w:name w:val="Heading 4 Char"/>
    <w:basedOn w:val="DefaultParagraphFont"/>
    <w:link w:val="Heading4"/>
    <w:uiPriority w:val="9"/>
    <w:rsid w:val="00DD0AEA"/>
    <w:rPr>
      <w:rFonts w:ascii="Calibri" w:eastAsiaTheme="majorEastAsia" w:hAnsi="Calibri" w:cstheme="majorBidi"/>
      <w:b/>
      <w:bCs/>
      <w:i/>
      <w:iCs/>
      <w:sz w:val="24"/>
      <w:lang w:val="en-AU"/>
    </w:rPr>
  </w:style>
  <w:style w:type="character" w:customStyle="1" w:styleId="Heading5Char">
    <w:name w:val="Heading 5 Char"/>
    <w:basedOn w:val="DefaultParagraphFont"/>
    <w:link w:val="Heading5"/>
    <w:uiPriority w:val="9"/>
    <w:rsid w:val="00DD0AEA"/>
    <w:rPr>
      <w:rFonts w:ascii="Calibri" w:eastAsiaTheme="majorEastAsia" w:hAnsi="Calibri" w:cstheme="majorBidi"/>
      <w:sz w:val="23"/>
      <w:u w:val="single"/>
      <w:lang w:val="en-AU"/>
    </w:rPr>
  </w:style>
  <w:style w:type="character" w:customStyle="1" w:styleId="Heading6Char">
    <w:name w:val="Heading 6 Char"/>
    <w:basedOn w:val="DefaultParagraphFont"/>
    <w:link w:val="Heading6"/>
    <w:uiPriority w:val="9"/>
    <w:rsid w:val="00DD0AEA"/>
    <w:rPr>
      <w:rFonts w:ascii="Calibri" w:eastAsiaTheme="majorEastAsia" w:hAnsi="Calibri" w:cstheme="majorBidi"/>
      <w:i/>
      <w:iCs/>
      <w:sz w:val="23"/>
      <w:lang w:val="en-AU"/>
    </w:rPr>
  </w:style>
  <w:style w:type="character" w:customStyle="1" w:styleId="Heading7Char">
    <w:name w:val="Heading 7 Char"/>
    <w:basedOn w:val="DefaultParagraphFont"/>
    <w:link w:val="Heading7"/>
    <w:uiPriority w:val="9"/>
    <w:semiHidden/>
    <w:rsid w:val="00DD0AEA"/>
    <w:rPr>
      <w:rFonts w:asciiTheme="majorHAnsi" w:eastAsiaTheme="majorEastAsia" w:hAnsiTheme="majorHAnsi" w:cstheme="majorBidi"/>
      <w:i/>
      <w:iCs/>
      <w:color w:val="404040" w:themeColor="text1" w:themeTint="BF"/>
      <w:sz w:val="23"/>
      <w:lang w:val="en-AU" w:eastAsia="en-AU"/>
    </w:rPr>
  </w:style>
  <w:style w:type="character" w:customStyle="1" w:styleId="Heading8Char">
    <w:name w:val="Heading 8 Char"/>
    <w:basedOn w:val="DefaultParagraphFont"/>
    <w:link w:val="Heading8"/>
    <w:uiPriority w:val="9"/>
    <w:semiHidden/>
    <w:rsid w:val="00DD0AEA"/>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uiPriority w:val="9"/>
    <w:semiHidden/>
    <w:rsid w:val="00DD0AEA"/>
    <w:rPr>
      <w:rFonts w:asciiTheme="majorHAnsi" w:eastAsiaTheme="majorEastAsia" w:hAnsiTheme="majorHAnsi" w:cstheme="majorBidi"/>
      <w:i/>
      <w:iCs/>
      <w:color w:val="404040" w:themeColor="text1" w:themeTint="BF"/>
      <w:sz w:val="20"/>
      <w:szCs w:val="20"/>
      <w:lang w:val="en-AU" w:eastAsia="en-AU"/>
    </w:rPr>
  </w:style>
  <w:style w:type="numbering" w:customStyle="1" w:styleId="NoList1">
    <w:name w:val="No List1"/>
    <w:next w:val="NoList"/>
    <w:uiPriority w:val="99"/>
    <w:semiHidden/>
    <w:unhideWhenUsed/>
    <w:rsid w:val="00DD0AEA"/>
  </w:style>
  <w:style w:type="paragraph" w:customStyle="1" w:styleId="Normal0">
    <w:name w:val="[Normal]"/>
    <w:uiPriority w:val="99"/>
    <w:rsid w:val="00DD0AEA"/>
    <w:pPr>
      <w:widowControl w:val="0"/>
      <w:autoSpaceDE w:val="0"/>
      <w:autoSpaceDN w:val="0"/>
      <w:adjustRightInd w:val="0"/>
      <w:spacing w:after="0" w:line="240" w:lineRule="auto"/>
    </w:pPr>
    <w:rPr>
      <w:rFonts w:ascii="Arial" w:hAnsi="Arial" w:cs="Arial"/>
      <w:sz w:val="24"/>
      <w:szCs w:val="24"/>
      <w:lang w:val="en-AU"/>
    </w:rPr>
  </w:style>
  <w:style w:type="character" w:customStyle="1" w:styleId="DHSText10ptChar">
    <w:name w:val="DHS Text 10pt Char"/>
    <w:uiPriority w:val="99"/>
    <w:rsid w:val="00DD0AEA"/>
    <w:rPr>
      <w:rFonts w:ascii="Verdana" w:hAnsi="Verdana"/>
      <w:lang w:val="en-AU" w:eastAsia="en-US"/>
    </w:rPr>
  </w:style>
  <w:style w:type="character" w:customStyle="1" w:styleId="notranslate">
    <w:name w:val="notranslate"/>
    <w:basedOn w:val="DefaultParagraphFont"/>
    <w:rsid w:val="00DD0AEA"/>
  </w:style>
  <w:style w:type="paragraph" w:customStyle="1" w:styleId="LineLast">
    <w:name w:val="Line Last"/>
    <w:basedOn w:val="Normal"/>
    <w:rsid w:val="00DD0AEA"/>
    <w:pPr>
      <w:tabs>
        <w:tab w:val="left" w:leader="underscore" w:pos="8640"/>
      </w:tabs>
      <w:spacing w:before="60" w:beforeAutospacing="1" w:after="360" w:afterAutospacing="1" w:line="240" w:lineRule="auto"/>
      <w:jc w:val="both"/>
    </w:pPr>
    <w:rPr>
      <w:rFonts w:ascii="Tahoma" w:eastAsia="Times New Roman" w:hAnsi="Tahoma" w:cs="Times New Roman"/>
      <w:sz w:val="20"/>
      <w:szCs w:val="24"/>
      <w:lang w:val="en-AU"/>
    </w:rPr>
  </w:style>
  <w:style w:type="paragraph" w:customStyle="1" w:styleId="Line">
    <w:name w:val="Line"/>
    <w:basedOn w:val="Normal"/>
    <w:rsid w:val="00DD0AEA"/>
    <w:pPr>
      <w:tabs>
        <w:tab w:val="left" w:leader="underscore" w:pos="8640"/>
      </w:tabs>
      <w:spacing w:before="60" w:beforeAutospacing="1" w:after="100" w:afterAutospacing="1" w:line="240" w:lineRule="auto"/>
      <w:jc w:val="both"/>
    </w:pPr>
    <w:rPr>
      <w:rFonts w:ascii="Tahoma" w:eastAsia="Times New Roman" w:hAnsi="Tahoma" w:cs="Times New Roman"/>
      <w:sz w:val="20"/>
      <w:szCs w:val="24"/>
      <w:lang w:val="en-AU"/>
    </w:rPr>
  </w:style>
  <w:style w:type="paragraph" w:customStyle="1" w:styleId="Thankyou">
    <w:name w:val="Thankyou"/>
    <w:basedOn w:val="Normal"/>
    <w:rsid w:val="00DD0AEA"/>
    <w:pPr>
      <w:keepNext/>
      <w:spacing w:before="100" w:beforeAutospacing="1" w:after="100" w:afterAutospacing="1" w:line="240" w:lineRule="auto"/>
      <w:jc w:val="center"/>
    </w:pPr>
    <w:rPr>
      <w:rFonts w:ascii="Tahoma" w:eastAsia="Times New Roman" w:hAnsi="Tahoma" w:cs="Times New Roman"/>
      <w:sz w:val="20"/>
      <w:szCs w:val="24"/>
      <w:lang w:val="en-AU"/>
    </w:rPr>
  </w:style>
  <w:style w:type="character" w:customStyle="1" w:styleId="maintitle">
    <w:name w:val="maintitle"/>
    <w:basedOn w:val="DefaultParagraphFont"/>
    <w:rsid w:val="00DD0AEA"/>
  </w:style>
  <w:style w:type="paragraph" w:customStyle="1" w:styleId="Tablecell">
    <w:name w:val="Table cell"/>
    <w:rsid w:val="00DD0AEA"/>
    <w:pPr>
      <w:keepLines/>
      <w:suppressAutoHyphens/>
      <w:spacing w:before="40" w:after="40" w:line="240" w:lineRule="auto"/>
    </w:pPr>
    <w:rPr>
      <w:rFonts w:ascii="Arial" w:eastAsia="Times New Roman" w:hAnsi="Arial" w:cs="Arial"/>
      <w:sz w:val="16"/>
      <w:szCs w:val="20"/>
      <w:lang w:val="en-AU"/>
    </w:rPr>
  </w:style>
  <w:style w:type="paragraph" w:styleId="Header">
    <w:name w:val="header"/>
    <w:link w:val="HeaderChar"/>
    <w:uiPriority w:val="99"/>
    <w:unhideWhenUsed/>
    <w:rsid w:val="00DD0AEA"/>
    <w:pPr>
      <w:tabs>
        <w:tab w:val="center" w:pos="4513"/>
        <w:tab w:val="right" w:pos="9026"/>
      </w:tabs>
      <w:spacing w:after="240" w:line="240" w:lineRule="auto"/>
    </w:pPr>
    <w:rPr>
      <w:rFonts w:ascii="Calibri" w:hAnsi="Calibri"/>
      <w:sz w:val="23"/>
      <w:lang w:val="en-AU"/>
    </w:rPr>
  </w:style>
  <w:style w:type="character" w:customStyle="1" w:styleId="HeaderChar">
    <w:name w:val="Header Char"/>
    <w:basedOn w:val="DefaultParagraphFont"/>
    <w:link w:val="Header"/>
    <w:uiPriority w:val="99"/>
    <w:rsid w:val="00DD0AEA"/>
    <w:rPr>
      <w:rFonts w:ascii="Calibri" w:hAnsi="Calibri"/>
      <w:sz w:val="23"/>
      <w:lang w:val="en-AU"/>
    </w:rPr>
  </w:style>
  <w:style w:type="paragraph" w:styleId="TOC1">
    <w:name w:val="toc 1"/>
    <w:basedOn w:val="Normal"/>
    <w:next w:val="Normal"/>
    <w:autoRedefine/>
    <w:uiPriority w:val="39"/>
    <w:unhideWhenUsed/>
    <w:qFormat/>
    <w:rsid w:val="00DD0AEA"/>
    <w:pPr>
      <w:tabs>
        <w:tab w:val="left" w:pos="440"/>
        <w:tab w:val="right" w:leader="dot" w:pos="9016"/>
      </w:tabs>
      <w:spacing w:before="120" w:after="120" w:line="240" w:lineRule="auto"/>
      <w:jc w:val="both"/>
    </w:pPr>
    <w:rPr>
      <w:rFonts w:ascii="Calibri" w:eastAsiaTheme="minorEastAsia" w:hAnsi="Calibri"/>
      <w:sz w:val="24"/>
      <w:lang w:val="en-AU" w:eastAsia="en-AU"/>
    </w:rPr>
  </w:style>
  <w:style w:type="paragraph" w:styleId="TOC2">
    <w:name w:val="toc 2"/>
    <w:basedOn w:val="Normal"/>
    <w:next w:val="Normal"/>
    <w:autoRedefine/>
    <w:uiPriority w:val="39"/>
    <w:unhideWhenUsed/>
    <w:qFormat/>
    <w:rsid w:val="00DD0AEA"/>
    <w:pPr>
      <w:tabs>
        <w:tab w:val="left" w:pos="880"/>
        <w:tab w:val="right" w:leader="dot" w:pos="9016"/>
      </w:tabs>
      <w:spacing w:before="120" w:after="120" w:line="240" w:lineRule="auto"/>
      <w:ind w:left="232"/>
      <w:jc w:val="both"/>
    </w:pPr>
    <w:rPr>
      <w:rFonts w:ascii="Calibri" w:eastAsiaTheme="minorEastAsia" w:hAnsi="Calibri"/>
      <w:noProof/>
      <w:sz w:val="24"/>
      <w:lang w:val="en-AU" w:eastAsia="en-AU"/>
    </w:rPr>
  </w:style>
  <w:style w:type="paragraph" w:styleId="TOC3">
    <w:name w:val="toc 3"/>
    <w:basedOn w:val="Normal"/>
    <w:next w:val="Normal"/>
    <w:autoRedefine/>
    <w:uiPriority w:val="39"/>
    <w:unhideWhenUsed/>
    <w:qFormat/>
    <w:rsid w:val="00DD0AEA"/>
    <w:pPr>
      <w:tabs>
        <w:tab w:val="left" w:pos="1320"/>
        <w:tab w:val="right" w:leader="dot" w:pos="9016"/>
      </w:tabs>
      <w:spacing w:before="120" w:after="120" w:line="240" w:lineRule="auto"/>
      <w:ind w:left="459"/>
      <w:jc w:val="both"/>
    </w:pPr>
    <w:rPr>
      <w:rFonts w:ascii="Calibri" w:eastAsiaTheme="minorEastAsia" w:hAnsi="Calibri"/>
      <w:noProof/>
      <w:sz w:val="24"/>
      <w:lang w:val="en-AU" w:eastAsia="en-AU"/>
    </w:rPr>
  </w:style>
  <w:style w:type="numbering" w:customStyle="1" w:styleId="Appendices">
    <w:name w:val="Appendices"/>
    <w:uiPriority w:val="99"/>
    <w:rsid w:val="00DD0AEA"/>
    <w:pPr>
      <w:numPr>
        <w:numId w:val="3"/>
      </w:numPr>
    </w:pPr>
  </w:style>
  <w:style w:type="paragraph" w:styleId="FootnoteText">
    <w:name w:val="footnote text"/>
    <w:link w:val="FootnoteTextChar"/>
    <w:uiPriority w:val="99"/>
    <w:unhideWhenUsed/>
    <w:rsid w:val="00DD0AEA"/>
    <w:pPr>
      <w:spacing w:after="120" w:line="240" w:lineRule="auto"/>
    </w:pPr>
    <w:rPr>
      <w:rFonts w:ascii="Calibri" w:hAnsi="Calibri"/>
      <w:sz w:val="18"/>
      <w:szCs w:val="20"/>
      <w:lang w:val="en-AU"/>
    </w:rPr>
  </w:style>
  <w:style w:type="character" w:customStyle="1" w:styleId="FootnoteTextChar">
    <w:name w:val="Footnote Text Char"/>
    <w:basedOn w:val="DefaultParagraphFont"/>
    <w:link w:val="FootnoteText"/>
    <w:uiPriority w:val="99"/>
    <w:rsid w:val="00DD0AEA"/>
    <w:rPr>
      <w:rFonts w:ascii="Calibri" w:hAnsi="Calibri"/>
      <w:sz w:val="18"/>
      <w:szCs w:val="20"/>
      <w:lang w:val="en-AU"/>
    </w:rPr>
  </w:style>
  <w:style w:type="paragraph" w:styleId="CommentText">
    <w:name w:val="annotation text"/>
    <w:basedOn w:val="Normal"/>
    <w:link w:val="CommentTextChar"/>
    <w:uiPriority w:val="99"/>
    <w:unhideWhenUsed/>
    <w:rsid w:val="00DD0AEA"/>
    <w:pPr>
      <w:spacing w:before="100" w:beforeAutospacing="1" w:after="100" w:afterAutospacing="1" w:line="240" w:lineRule="auto"/>
      <w:jc w:val="both"/>
    </w:pPr>
    <w:rPr>
      <w:rFonts w:ascii="Calibri" w:hAnsi="Calibri"/>
      <w:sz w:val="20"/>
      <w:szCs w:val="20"/>
      <w:lang w:val="en-AU"/>
    </w:rPr>
  </w:style>
  <w:style w:type="character" w:customStyle="1" w:styleId="CommentTextChar">
    <w:name w:val="Comment Text Char"/>
    <w:basedOn w:val="DefaultParagraphFont"/>
    <w:link w:val="CommentText"/>
    <w:uiPriority w:val="99"/>
    <w:rsid w:val="00DD0AEA"/>
    <w:rPr>
      <w:rFonts w:ascii="Calibri" w:hAnsi="Calibri"/>
      <w:sz w:val="20"/>
      <w:szCs w:val="20"/>
      <w:lang w:val="en-AU"/>
    </w:rPr>
  </w:style>
  <w:style w:type="paragraph" w:styleId="Footer">
    <w:name w:val="footer"/>
    <w:basedOn w:val="Normal"/>
    <w:link w:val="FooterChar"/>
    <w:uiPriority w:val="99"/>
    <w:unhideWhenUsed/>
    <w:rsid w:val="00DD0AEA"/>
    <w:pPr>
      <w:tabs>
        <w:tab w:val="center" w:pos="4513"/>
        <w:tab w:val="right" w:pos="9026"/>
      </w:tabs>
      <w:spacing w:before="100" w:beforeAutospacing="1" w:after="100" w:afterAutospacing="1" w:line="240" w:lineRule="auto"/>
      <w:ind w:left="8505"/>
      <w:jc w:val="both"/>
    </w:pPr>
    <w:rPr>
      <w:rFonts w:ascii="Calibri" w:hAnsi="Calibri"/>
      <w:sz w:val="24"/>
      <w:lang w:val="en-AU"/>
    </w:rPr>
  </w:style>
  <w:style w:type="character" w:customStyle="1" w:styleId="FooterChar">
    <w:name w:val="Footer Char"/>
    <w:basedOn w:val="DefaultParagraphFont"/>
    <w:link w:val="Footer"/>
    <w:uiPriority w:val="99"/>
    <w:rsid w:val="00DD0AEA"/>
    <w:rPr>
      <w:rFonts w:ascii="Calibri" w:hAnsi="Calibri"/>
      <w:sz w:val="24"/>
      <w:lang w:val="en-AU"/>
    </w:rPr>
  </w:style>
  <w:style w:type="paragraph" w:styleId="Caption">
    <w:name w:val="caption"/>
    <w:basedOn w:val="Normal"/>
    <w:next w:val="Normal"/>
    <w:uiPriority w:val="35"/>
    <w:unhideWhenUsed/>
    <w:rsid w:val="00DD0AEA"/>
    <w:pPr>
      <w:spacing w:before="100" w:beforeAutospacing="1" w:after="100" w:afterAutospacing="1" w:line="240" w:lineRule="auto"/>
      <w:jc w:val="both"/>
    </w:pPr>
    <w:rPr>
      <w:rFonts w:ascii="Calibri" w:hAnsi="Calibri"/>
      <w:b/>
      <w:bCs/>
      <w:color w:val="4F81BD" w:themeColor="accent1"/>
      <w:sz w:val="18"/>
      <w:szCs w:val="18"/>
      <w:lang w:val="en-AU"/>
    </w:rPr>
  </w:style>
  <w:style w:type="character" w:styleId="FootnoteReference">
    <w:name w:val="footnote reference"/>
    <w:basedOn w:val="DefaultParagraphFont"/>
    <w:uiPriority w:val="99"/>
    <w:unhideWhenUsed/>
    <w:rsid w:val="00DD0AEA"/>
    <w:rPr>
      <w:vertAlign w:val="superscript"/>
    </w:rPr>
  </w:style>
  <w:style w:type="character" w:styleId="CommentReference">
    <w:name w:val="annotation reference"/>
    <w:basedOn w:val="DefaultParagraphFont"/>
    <w:uiPriority w:val="99"/>
    <w:semiHidden/>
    <w:unhideWhenUsed/>
    <w:rsid w:val="00DD0AEA"/>
    <w:rPr>
      <w:sz w:val="16"/>
      <w:szCs w:val="16"/>
    </w:rPr>
  </w:style>
  <w:style w:type="character" w:styleId="EndnoteReference">
    <w:name w:val="endnote reference"/>
    <w:basedOn w:val="DefaultParagraphFont"/>
    <w:uiPriority w:val="99"/>
    <w:semiHidden/>
    <w:unhideWhenUsed/>
    <w:rsid w:val="00DD0AEA"/>
    <w:rPr>
      <w:vertAlign w:val="superscript"/>
    </w:rPr>
  </w:style>
  <w:style w:type="paragraph" w:styleId="EndnoteText">
    <w:name w:val="endnote text"/>
    <w:basedOn w:val="Normal"/>
    <w:link w:val="EndnoteTextChar"/>
    <w:uiPriority w:val="99"/>
    <w:semiHidden/>
    <w:unhideWhenUsed/>
    <w:rsid w:val="00DD0AEA"/>
    <w:pPr>
      <w:spacing w:before="100" w:beforeAutospacing="1" w:after="100" w:afterAutospacing="1" w:line="240" w:lineRule="auto"/>
      <w:jc w:val="both"/>
    </w:pPr>
    <w:rPr>
      <w:rFonts w:ascii="Calibri" w:hAnsi="Calibri"/>
      <w:sz w:val="20"/>
      <w:szCs w:val="20"/>
      <w:lang w:val="en-GB"/>
    </w:rPr>
  </w:style>
  <w:style w:type="character" w:customStyle="1" w:styleId="EndnoteTextChar">
    <w:name w:val="Endnote Text Char"/>
    <w:basedOn w:val="DefaultParagraphFont"/>
    <w:link w:val="EndnoteText"/>
    <w:uiPriority w:val="99"/>
    <w:semiHidden/>
    <w:rsid w:val="00DD0AEA"/>
    <w:rPr>
      <w:rFonts w:ascii="Calibri" w:hAnsi="Calibri"/>
      <w:sz w:val="20"/>
      <w:szCs w:val="20"/>
      <w:lang w:val="en-GB"/>
    </w:rPr>
  </w:style>
  <w:style w:type="paragraph" w:styleId="Title">
    <w:name w:val="Title"/>
    <w:aliases w:val="Submission"/>
    <w:next w:val="Normal"/>
    <w:link w:val="TitleChar"/>
    <w:uiPriority w:val="10"/>
    <w:qFormat/>
    <w:rsid w:val="00DD0AEA"/>
    <w:pPr>
      <w:spacing w:before="2040" w:after="120" w:line="240" w:lineRule="auto"/>
      <w:contextualSpacing/>
      <w:jc w:val="center"/>
    </w:pPr>
    <w:rPr>
      <w:rFonts w:ascii="Calibri" w:eastAsiaTheme="majorEastAsia" w:hAnsi="Calibri" w:cstheme="majorBidi"/>
      <w:b/>
      <w:spacing w:val="5"/>
      <w:kern w:val="28"/>
      <w:sz w:val="52"/>
      <w:szCs w:val="52"/>
      <w:lang w:val="en-AU"/>
    </w:rPr>
  </w:style>
  <w:style w:type="character" w:customStyle="1" w:styleId="TitleChar">
    <w:name w:val="Title Char"/>
    <w:aliases w:val="Submission Char"/>
    <w:basedOn w:val="DefaultParagraphFont"/>
    <w:link w:val="Title"/>
    <w:uiPriority w:val="10"/>
    <w:rsid w:val="00DD0AEA"/>
    <w:rPr>
      <w:rFonts w:ascii="Calibri" w:eastAsiaTheme="majorEastAsia" w:hAnsi="Calibri" w:cstheme="majorBidi"/>
      <w:b/>
      <w:spacing w:val="5"/>
      <w:kern w:val="28"/>
      <w:sz w:val="52"/>
      <w:szCs w:val="52"/>
      <w:lang w:val="en-AU"/>
    </w:rPr>
  </w:style>
  <w:style w:type="paragraph" w:styleId="BodyText">
    <w:name w:val="Body Text"/>
    <w:basedOn w:val="Normal"/>
    <w:link w:val="BodyTextChar"/>
    <w:rsid w:val="00DD0AEA"/>
    <w:pPr>
      <w:spacing w:before="100" w:beforeAutospacing="1" w:after="100" w:afterAutospacing="1" w:line="240" w:lineRule="auto"/>
      <w:jc w:val="both"/>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DD0AEA"/>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DD0AEA"/>
    <w:rPr>
      <w:color w:val="0000FF" w:themeColor="hyperlink"/>
      <w:u w:val="single"/>
    </w:rPr>
  </w:style>
  <w:style w:type="character" w:styleId="Strong">
    <w:name w:val="Strong"/>
    <w:basedOn w:val="DefaultParagraphFont"/>
    <w:uiPriority w:val="22"/>
    <w:rsid w:val="00DD0AEA"/>
    <w:rPr>
      <w:b/>
      <w:bCs/>
    </w:rPr>
  </w:style>
  <w:style w:type="paragraph" w:styleId="NormalWeb">
    <w:name w:val="Normal (Web)"/>
    <w:basedOn w:val="Normal"/>
    <w:uiPriority w:val="99"/>
    <w:semiHidden/>
    <w:unhideWhenUsed/>
    <w:rsid w:val="00DD0AEA"/>
    <w:pPr>
      <w:spacing w:before="140" w:beforeAutospacing="1" w:after="140" w:afterAutospacing="1" w:line="240" w:lineRule="auto"/>
      <w:jc w:val="both"/>
    </w:pPr>
    <w:rPr>
      <w:rFonts w:ascii="Trebuchet MS" w:eastAsia="Times New Roman" w:hAnsi="Trebuchet MS"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DD0AEA"/>
    <w:rPr>
      <w:b/>
      <w:bCs/>
    </w:rPr>
  </w:style>
  <w:style w:type="character" w:customStyle="1" w:styleId="CommentSubjectChar">
    <w:name w:val="Comment Subject Char"/>
    <w:basedOn w:val="CommentTextChar"/>
    <w:link w:val="CommentSubject"/>
    <w:uiPriority w:val="99"/>
    <w:semiHidden/>
    <w:rsid w:val="00DD0AEA"/>
    <w:rPr>
      <w:rFonts w:ascii="Calibri" w:hAnsi="Calibri"/>
      <w:b/>
      <w:bCs/>
      <w:sz w:val="20"/>
      <w:szCs w:val="20"/>
      <w:lang w:val="en-AU"/>
    </w:rPr>
  </w:style>
  <w:style w:type="paragraph" w:styleId="BalloonText">
    <w:name w:val="Balloon Text"/>
    <w:basedOn w:val="Normal"/>
    <w:link w:val="BalloonTextChar"/>
    <w:uiPriority w:val="99"/>
    <w:semiHidden/>
    <w:unhideWhenUsed/>
    <w:rsid w:val="00DD0AEA"/>
    <w:pPr>
      <w:spacing w:before="100" w:beforeAutospacing="1" w:after="100" w:afterAutospacing="1" w:line="240" w:lineRule="auto"/>
      <w:jc w:val="both"/>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DD0AEA"/>
    <w:rPr>
      <w:rFonts w:ascii="Tahoma" w:hAnsi="Tahoma" w:cs="Tahoma"/>
      <w:sz w:val="16"/>
      <w:szCs w:val="16"/>
      <w:lang w:val="en-GB"/>
    </w:rPr>
  </w:style>
  <w:style w:type="table" w:styleId="TableGrid">
    <w:name w:val="Table Grid"/>
    <w:basedOn w:val="TableNormal"/>
    <w:uiPriority w:val="59"/>
    <w:rsid w:val="00DD0A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0AEA"/>
    <w:pPr>
      <w:spacing w:before="100" w:beforeAutospacing="1" w:after="100" w:afterAutospacing="1" w:line="240" w:lineRule="auto"/>
      <w:ind w:left="720"/>
      <w:contextualSpacing/>
      <w:jc w:val="both"/>
    </w:pPr>
    <w:rPr>
      <w:rFonts w:ascii="Calibri" w:hAnsi="Calibri"/>
      <w:sz w:val="24"/>
      <w:lang w:val="en-AU"/>
    </w:rPr>
  </w:style>
  <w:style w:type="paragraph" w:styleId="TOCHeading">
    <w:name w:val="TOC Heading"/>
    <w:basedOn w:val="Heading1"/>
    <w:next w:val="Normal"/>
    <w:uiPriority w:val="39"/>
    <w:unhideWhenUsed/>
    <w:qFormat/>
    <w:rsid w:val="00DD0AEA"/>
    <w:pPr>
      <w:numPr>
        <w:numId w:val="0"/>
      </w:numPr>
      <w:spacing w:line="276" w:lineRule="auto"/>
      <w:outlineLvl w:val="9"/>
    </w:pPr>
  </w:style>
  <w:style w:type="character" w:styleId="FollowedHyperlink">
    <w:name w:val="FollowedHyperlink"/>
    <w:basedOn w:val="DefaultParagraphFont"/>
    <w:uiPriority w:val="99"/>
    <w:semiHidden/>
    <w:unhideWhenUsed/>
    <w:rsid w:val="00DD0AEA"/>
    <w:rPr>
      <w:color w:val="800080" w:themeColor="followedHyperlink"/>
      <w:u w:val="single"/>
    </w:rPr>
  </w:style>
  <w:style w:type="paragraph" w:styleId="NoSpacing">
    <w:name w:val="No Spacing"/>
    <w:uiPriority w:val="1"/>
    <w:rsid w:val="00DD0AEA"/>
    <w:pPr>
      <w:spacing w:after="0" w:line="240" w:lineRule="auto"/>
    </w:pPr>
    <w:rPr>
      <w:rFonts w:ascii="Calibri" w:eastAsiaTheme="minorEastAsia" w:hAnsi="Calibri"/>
      <w:sz w:val="23"/>
      <w:lang w:val="en-AU" w:eastAsia="en-AU"/>
    </w:rPr>
  </w:style>
  <w:style w:type="paragraph" w:customStyle="1" w:styleId="About">
    <w:name w:val="About"/>
    <w:basedOn w:val="Normal"/>
    <w:link w:val="AboutChar"/>
    <w:qFormat/>
    <w:rsid w:val="00DD0AEA"/>
    <w:pPr>
      <w:spacing w:before="100" w:beforeAutospacing="1" w:after="100" w:afterAutospacing="1" w:line="240" w:lineRule="auto"/>
      <w:jc w:val="both"/>
    </w:pPr>
    <w:rPr>
      <w:rFonts w:ascii="Calibri" w:eastAsiaTheme="minorEastAsia" w:hAnsi="Calibri"/>
      <w:b/>
      <w:sz w:val="24"/>
      <w:lang w:val="en-AU" w:eastAsia="en-AU"/>
    </w:rPr>
  </w:style>
  <w:style w:type="table" w:customStyle="1" w:styleId="ACCANtable">
    <w:name w:val="ACCAN table"/>
    <w:basedOn w:val="TableNormal"/>
    <w:uiPriority w:val="99"/>
    <w:rsid w:val="00DD0AEA"/>
    <w:pPr>
      <w:spacing w:after="0" w:line="240" w:lineRule="auto"/>
    </w:pPr>
    <w:rPr>
      <w:lang w:val="en-AU"/>
    </w:rPr>
    <w:tblPr>
      <w:jc w:val="center"/>
      <w:tblBorders>
        <w:top w:val="single" w:sz="4" w:space="0" w:color="44C8F5"/>
        <w:bottom w:val="single" w:sz="4" w:space="0" w:color="44C8F5"/>
        <w:insideH w:val="single" w:sz="4" w:space="0" w:color="44C8F5"/>
      </w:tblBorders>
      <w:tblCellMar>
        <w:top w:w="108" w:type="dxa"/>
        <w:bottom w:w="108" w:type="dxa"/>
      </w:tblCellMar>
    </w:tblPr>
    <w:trPr>
      <w:jc w:val="center"/>
    </w:trPr>
    <w:tblStylePr w:type="firstRow">
      <w:pPr>
        <w:jc w:val="left"/>
      </w:pPr>
      <w:rPr>
        <w:rFonts w:asciiTheme="minorHAnsi" w:hAnsiTheme="minorHAnsi"/>
        <w:b/>
        <w:color w:val="auto"/>
        <w:sz w:val="22"/>
      </w:rPr>
      <w:tblPr/>
      <w:tcPr>
        <w:shd w:val="clear" w:color="auto" w:fill="44C8F5"/>
      </w:tcPr>
    </w:tblStylePr>
    <w:tblStylePr w:type="lastRow">
      <w:pPr>
        <w:jc w:val="left"/>
      </w:pPr>
    </w:tblStylePr>
  </w:style>
  <w:style w:type="character" w:customStyle="1" w:styleId="AboutChar">
    <w:name w:val="About Char"/>
    <w:basedOn w:val="DefaultParagraphFont"/>
    <w:link w:val="About"/>
    <w:rsid w:val="00DD0AEA"/>
    <w:rPr>
      <w:rFonts w:ascii="Calibri" w:eastAsiaTheme="minorEastAsia" w:hAnsi="Calibri"/>
      <w:b/>
      <w:sz w:val="24"/>
      <w:lang w:val="en-AU" w:eastAsia="en-AU"/>
    </w:rPr>
  </w:style>
  <w:style w:type="paragraph" w:styleId="Subtitle">
    <w:name w:val="Subtitle"/>
    <w:next w:val="Normal"/>
    <w:link w:val="SubtitleChar"/>
    <w:uiPriority w:val="11"/>
    <w:rsid w:val="00DD0AEA"/>
    <w:pPr>
      <w:spacing w:before="360" w:after="360" w:line="240" w:lineRule="auto"/>
      <w:jc w:val="center"/>
    </w:pPr>
    <w:rPr>
      <w:rFonts w:ascii="Calibri" w:eastAsiaTheme="minorEastAsia" w:hAnsi="Calibri"/>
      <w:sz w:val="32"/>
      <w:szCs w:val="32"/>
      <w:lang w:val="en-AU"/>
    </w:rPr>
  </w:style>
  <w:style w:type="character" w:customStyle="1" w:styleId="SubtitleChar">
    <w:name w:val="Subtitle Char"/>
    <w:basedOn w:val="DefaultParagraphFont"/>
    <w:link w:val="Subtitle"/>
    <w:uiPriority w:val="11"/>
    <w:rsid w:val="00DD0AEA"/>
    <w:rPr>
      <w:rFonts w:ascii="Calibri" w:eastAsiaTheme="minorEastAsia" w:hAnsi="Calibri"/>
      <w:sz w:val="32"/>
      <w:szCs w:val="32"/>
      <w:lang w:val="en-AU"/>
    </w:rPr>
  </w:style>
  <w:style w:type="paragraph" w:customStyle="1" w:styleId="Recommendation">
    <w:name w:val="Recommendation"/>
    <w:basedOn w:val="Normal"/>
    <w:link w:val="RecommendationChar"/>
    <w:qFormat/>
    <w:rsid w:val="00DD0AEA"/>
    <w:pPr>
      <w:numPr>
        <w:numId w:val="7"/>
      </w:numPr>
      <w:pBdr>
        <w:top w:val="single" w:sz="8" w:space="6" w:color="44C8F5"/>
        <w:left w:val="single" w:sz="8" w:space="5" w:color="44C8F5"/>
        <w:bottom w:val="single" w:sz="8" w:space="6" w:color="44C8F5"/>
        <w:right w:val="single" w:sz="8" w:space="5" w:color="44C8F5"/>
      </w:pBdr>
      <w:spacing w:before="100" w:beforeAutospacing="1" w:after="100" w:afterAutospacing="1" w:line="240" w:lineRule="auto"/>
      <w:ind w:right="851"/>
      <w:jc w:val="both"/>
    </w:pPr>
    <w:rPr>
      <w:rFonts w:ascii="Calibri" w:eastAsiaTheme="minorEastAsia" w:hAnsi="Calibri"/>
      <w:sz w:val="24"/>
      <w:lang w:val="en-AU"/>
    </w:rPr>
  </w:style>
  <w:style w:type="table" w:styleId="LightShading-Accent1">
    <w:name w:val="Light Shading Accent 1"/>
    <w:basedOn w:val="TableNormal"/>
    <w:uiPriority w:val="60"/>
    <w:rsid w:val="00DD0AEA"/>
    <w:pPr>
      <w:spacing w:after="0" w:line="240" w:lineRule="auto"/>
    </w:pPr>
    <w:rPr>
      <w:color w:val="365F91" w:themeColor="accent1" w:themeShade="BF"/>
      <w:lang w:val="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RecommendationChar">
    <w:name w:val="Recommendation Char"/>
    <w:basedOn w:val="DefaultParagraphFont"/>
    <w:link w:val="Recommendation"/>
    <w:rsid w:val="00DD0AEA"/>
    <w:rPr>
      <w:rFonts w:ascii="Calibri" w:eastAsiaTheme="minorEastAsia" w:hAnsi="Calibri"/>
      <w:sz w:val="24"/>
      <w:lang w:val="en-AU"/>
    </w:rPr>
  </w:style>
  <w:style w:type="paragraph" w:customStyle="1" w:styleId="Blockquote">
    <w:name w:val="Blockquote"/>
    <w:basedOn w:val="Normal"/>
    <w:link w:val="BlockquoteChar"/>
    <w:qFormat/>
    <w:rsid w:val="00DD0AEA"/>
    <w:pPr>
      <w:spacing w:before="100" w:beforeAutospacing="1" w:after="100" w:afterAutospacing="1" w:line="240" w:lineRule="auto"/>
      <w:ind w:left="851" w:right="851"/>
      <w:jc w:val="both"/>
    </w:pPr>
    <w:rPr>
      <w:rFonts w:ascii="Calibri" w:eastAsiaTheme="minorEastAsia" w:hAnsi="Calibri"/>
      <w:sz w:val="24"/>
      <w:lang w:val="en-AU"/>
    </w:rPr>
  </w:style>
  <w:style w:type="character" w:customStyle="1" w:styleId="BlockquoteChar">
    <w:name w:val="Blockquote Char"/>
    <w:basedOn w:val="DefaultParagraphFont"/>
    <w:link w:val="Blockquote"/>
    <w:rsid w:val="00DD0AEA"/>
    <w:rPr>
      <w:rFonts w:ascii="Calibri" w:eastAsiaTheme="minorEastAsia" w:hAnsi="Calibri"/>
      <w:sz w:val="24"/>
      <w:lang w:val="en-AU"/>
    </w:rPr>
  </w:style>
  <w:style w:type="numbering" w:customStyle="1" w:styleId="Headings">
    <w:name w:val="Headings"/>
    <w:uiPriority w:val="99"/>
    <w:rsid w:val="00DD0AEA"/>
    <w:pPr>
      <w:numPr>
        <w:numId w:val="1"/>
      </w:numPr>
    </w:pPr>
  </w:style>
  <w:style w:type="numbering" w:customStyle="1" w:styleId="Bullets">
    <w:name w:val="Bullets"/>
    <w:uiPriority w:val="99"/>
    <w:rsid w:val="00DD0AEA"/>
    <w:pPr>
      <w:numPr>
        <w:numId w:val="2"/>
      </w:numPr>
    </w:pPr>
  </w:style>
  <w:style w:type="paragraph" w:customStyle="1" w:styleId="Bulletlist1">
    <w:name w:val="Bullet list 1"/>
    <w:basedOn w:val="Normal"/>
    <w:link w:val="Bulletlist1Char"/>
    <w:qFormat/>
    <w:rsid w:val="00DD0AEA"/>
    <w:pPr>
      <w:numPr>
        <w:numId w:val="2"/>
      </w:numPr>
      <w:spacing w:before="100" w:beforeAutospacing="1" w:after="100" w:afterAutospacing="1" w:line="240" w:lineRule="auto"/>
      <w:jc w:val="both"/>
    </w:pPr>
    <w:rPr>
      <w:rFonts w:ascii="Calibri" w:eastAsiaTheme="minorEastAsia" w:hAnsi="Calibri"/>
      <w:sz w:val="24"/>
      <w:lang w:val="en-AU" w:eastAsia="en-AU"/>
    </w:rPr>
  </w:style>
  <w:style w:type="paragraph" w:customStyle="1" w:styleId="Bulletlist2">
    <w:name w:val="Bullet list 2"/>
    <w:basedOn w:val="Bulletlist1"/>
    <w:link w:val="Bulletlist2Char"/>
    <w:qFormat/>
    <w:rsid w:val="00DD0AEA"/>
    <w:pPr>
      <w:numPr>
        <w:ilvl w:val="1"/>
      </w:numPr>
    </w:pPr>
  </w:style>
  <w:style w:type="character" w:customStyle="1" w:styleId="Bulletlist1Char">
    <w:name w:val="Bullet list 1 Char"/>
    <w:basedOn w:val="DefaultParagraphFont"/>
    <w:link w:val="Bulletlist1"/>
    <w:rsid w:val="00DD0AEA"/>
    <w:rPr>
      <w:rFonts w:ascii="Calibri" w:eastAsiaTheme="minorEastAsia" w:hAnsi="Calibri"/>
      <w:sz w:val="24"/>
      <w:lang w:val="en-AU" w:eastAsia="en-AU"/>
    </w:rPr>
  </w:style>
  <w:style w:type="paragraph" w:customStyle="1" w:styleId="Bulletlist3">
    <w:name w:val="Bullet list 3"/>
    <w:basedOn w:val="Bulletlist2"/>
    <w:link w:val="Bulletlist3Char"/>
    <w:qFormat/>
    <w:rsid w:val="00DD0AEA"/>
    <w:pPr>
      <w:numPr>
        <w:ilvl w:val="2"/>
      </w:numPr>
    </w:pPr>
  </w:style>
  <w:style w:type="character" w:customStyle="1" w:styleId="Bulletlist2Char">
    <w:name w:val="Bullet list 2 Char"/>
    <w:basedOn w:val="Bulletlist1Char"/>
    <w:link w:val="Bulletlist2"/>
    <w:rsid w:val="00DD0AEA"/>
    <w:rPr>
      <w:rFonts w:ascii="Calibri" w:eastAsiaTheme="minorEastAsia" w:hAnsi="Calibri"/>
      <w:sz w:val="24"/>
      <w:lang w:val="en-AU" w:eastAsia="en-AU"/>
    </w:rPr>
  </w:style>
  <w:style w:type="character" w:customStyle="1" w:styleId="Bulletlist3Char">
    <w:name w:val="Bullet list 3 Char"/>
    <w:basedOn w:val="Bulletlist2Char"/>
    <w:link w:val="Bulletlist3"/>
    <w:rsid w:val="00DD0AEA"/>
    <w:rPr>
      <w:rFonts w:ascii="Calibri" w:eastAsiaTheme="minorEastAsia" w:hAnsi="Calibri"/>
      <w:sz w:val="24"/>
      <w:lang w:val="en-AU" w:eastAsia="en-AU"/>
    </w:rPr>
  </w:style>
  <w:style w:type="paragraph" w:customStyle="1" w:styleId="Footerpage1">
    <w:name w:val="Footer page 1"/>
    <w:rsid w:val="00DD0AEA"/>
    <w:pPr>
      <w:spacing w:line="240" w:lineRule="auto"/>
      <w:ind w:left="-754"/>
      <w:contextualSpacing/>
    </w:pPr>
    <w:rPr>
      <w:sz w:val="20"/>
      <w:szCs w:val="20"/>
      <w:lang w:val="en-AU"/>
    </w:rPr>
  </w:style>
  <w:style w:type="paragraph" w:customStyle="1" w:styleId="Celltext">
    <w:name w:val="Cell text"/>
    <w:basedOn w:val="Normal"/>
    <w:qFormat/>
    <w:rsid w:val="00DD0AEA"/>
    <w:pPr>
      <w:spacing w:before="100" w:beforeAutospacing="1" w:after="100" w:afterAutospacing="1" w:line="240" w:lineRule="auto"/>
      <w:contextualSpacing/>
      <w:jc w:val="both"/>
    </w:pPr>
    <w:rPr>
      <w:rFonts w:ascii="Calibri" w:eastAsiaTheme="minorEastAsia" w:hAnsi="Calibri"/>
      <w:sz w:val="20"/>
      <w:lang w:val="en-AU" w:eastAsia="en-AU"/>
    </w:rPr>
  </w:style>
  <w:style w:type="paragraph" w:customStyle="1" w:styleId="Appendixheading1">
    <w:name w:val="Appendix heading 1"/>
    <w:basedOn w:val="Heading1"/>
    <w:next w:val="Normal"/>
    <w:link w:val="Appendixheading1Char"/>
    <w:qFormat/>
    <w:rsid w:val="00DD0AEA"/>
    <w:pPr>
      <w:numPr>
        <w:numId w:val="4"/>
      </w:numPr>
    </w:pPr>
  </w:style>
  <w:style w:type="character" w:customStyle="1" w:styleId="Appendixheading1Char">
    <w:name w:val="Appendix heading 1 Char"/>
    <w:basedOn w:val="Heading1Char"/>
    <w:link w:val="Appendixheading1"/>
    <w:rsid w:val="00DD0AEA"/>
    <w:rPr>
      <w:rFonts w:ascii="Calibri" w:eastAsiaTheme="majorEastAsia" w:hAnsi="Calibri" w:cstheme="majorBidi"/>
      <w:bCs/>
      <w:sz w:val="48"/>
      <w:szCs w:val="28"/>
      <w:lang w:val="en-AU"/>
    </w:rPr>
  </w:style>
  <w:style w:type="paragraph" w:customStyle="1" w:styleId="Appendixheading2">
    <w:name w:val="Appendix heading 2"/>
    <w:basedOn w:val="Heading2"/>
    <w:next w:val="Normal"/>
    <w:link w:val="Appendixheading2Char"/>
    <w:qFormat/>
    <w:rsid w:val="00DD0AEA"/>
    <w:pPr>
      <w:numPr>
        <w:numId w:val="4"/>
      </w:numPr>
    </w:pPr>
    <w:rPr>
      <w:b/>
    </w:rPr>
  </w:style>
  <w:style w:type="character" w:customStyle="1" w:styleId="Appendixheading2Char">
    <w:name w:val="Appendix heading 2 Char"/>
    <w:basedOn w:val="Heading2Char"/>
    <w:link w:val="Appendixheading2"/>
    <w:rsid w:val="00DD0AEA"/>
    <w:rPr>
      <w:rFonts w:ascii="Calibri" w:eastAsia="Times New Roman" w:hAnsi="Calibri" w:cs="Times New Roman"/>
      <w:b/>
      <w:bCs/>
      <w:iCs/>
      <w:sz w:val="32"/>
      <w:szCs w:val="24"/>
      <w:lang w:val="en-AU"/>
    </w:rPr>
  </w:style>
  <w:style w:type="paragraph" w:customStyle="1" w:styleId="Appendixheading3">
    <w:name w:val="Appendix heading 3"/>
    <w:basedOn w:val="Heading3"/>
    <w:next w:val="Normal"/>
    <w:link w:val="Appendixheading3Char"/>
    <w:qFormat/>
    <w:rsid w:val="00DD0AEA"/>
    <w:pPr>
      <w:numPr>
        <w:ilvl w:val="0"/>
        <w:numId w:val="0"/>
      </w:numPr>
    </w:pPr>
    <w:rPr>
      <w:b/>
      <w:sz w:val="24"/>
    </w:rPr>
  </w:style>
  <w:style w:type="character" w:customStyle="1" w:styleId="Appendixheading3Char">
    <w:name w:val="Appendix heading 3 Char"/>
    <w:basedOn w:val="Heading3Char"/>
    <w:link w:val="Appendixheading3"/>
    <w:rsid w:val="00DD0AEA"/>
    <w:rPr>
      <w:rFonts w:ascii="Calibri" w:eastAsia="Times New Roman" w:hAnsi="Calibri" w:cs="Times New Roman"/>
      <w:b/>
      <w:bCs/>
      <w:iCs/>
      <w:sz w:val="24"/>
      <w:szCs w:val="24"/>
      <w:lang w:val="en-AU"/>
    </w:rPr>
  </w:style>
  <w:style w:type="paragraph" w:customStyle="1" w:styleId="Blockquote2">
    <w:name w:val="Blockquote 2"/>
    <w:basedOn w:val="Blockquote"/>
    <w:link w:val="Blockquote2Char"/>
    <w:qFormat/>
    <w:rsid w:val="00DD0AEA"/>
    <w:pPr>
      <w:ind w:left="1418"/>
      <w:contextualSpacing/>
    </w:pPr>
  </w:style>
  <w:style w:type="character" w:customStyle="1" w:styleId="Blockquote2Char">
    <w:name w:val="Blockquote 2 Char"/>
    <w:basedOn w:val="BlockquoteChar"/>
    <w:link w:val="Blockquote2"/>
    <w:rsid w:val="00DD0AEA"/>
    <w:rPr>
      <w:rFonts w:ascii="Calibri" w:eastAsiaTheme="minorEastAsia" w:hAnsi="Calibri"/>
      <w:sz w:val="24"/>
      <w:lang w:val="en-AU"/>
    </w:rPr>
  </w:style>
  <w:style w:type="paragraph" w:customStyle="1" w:styleId="Blockquote3">
    <w:name w:val="Blockquote 3"/>
    <w:basedOn w:val="Blockquote"/>
    <w:link w:val="Blockquote3Char"/>
    <w:qFormat/>
    <w:rsid w:val="00DD0AEA"/>
    <w:pPr>
      <w:ind w:left="1985"/>
      <w:contextualSpacing/>
    </w:pPr>
  </w:style>
  <w:style w:type="character" w:customStyle="1" w:styleId="Blockquote3Char">
    <w:name w:val="Blockquote 3 Char"/>
    <w:basedOn w:val="BlockquoteChar"/>
    <w:link w:val="Blockquote3"/>
    <w:rsid w:val="00DD0AEA"/>
    <w:rPr>
      <w:rFonts w:ascii="Calibri" w:eastAsiaTheme="minorEastAsia" w:hAnsi="Calibri"/>
      <w:sz w:val="24"/>
      <w:lang w:val="en-AU"/>
    </w:rPr>
  </w:style>
  <w:style w:type="paragraph" w:customStyle="1" w:styleId="Blockquotebulletlist1">
    <w:name w:val="Blockquote bullet list 1"/>
    <w:basedOn w:val="Blockquote"/>
    <w:link w:val="Blockquotebulletlist1Char"/>
    <w:qFormat/>
    <w:rsid w:val="00DD0AEA"/>
    <w:pPr>
      <w:numPr>
        <w:numId w:val="5"/>
      </w:numPr>
    </w:pPr>
  </w:style>
  <w:style w:type="character" w:customStyle="1" w:styleId="Blockquotebulletlist1Char">
    <w:name w:val="Blockquote bullet list 1 Char"/>
    <w:basedOn w:val="BlockquoteChar"/>
    <w:link w:val="Blockquotebulletlist1"/>
    <w:rsid w:val="00DD0AEA"/>
    <w:rPr>
      <w:rFonts w:ascii="Calibri" w:eastAsiaTheme="minorEastAsia" w:hAnsi="Calibri"/>
      <w:sz w:val="24"/>
      <w:lang w:val="en-AU"/>
    </w:rPr>
  </w:style>
  <w:style w:type="numbering" w:customStyle="1" w:styleId="Blockquotebullets">
    <w:name w:val="Blockquote bullets"/>
    <w:uiPriority w:val="99"/>
    <w:rsid w:val="00DD0AEA"/>
    <w:pPr>
      <w:numPr>
        <w:numId w:val="5"/>
      </w:numPr>
    </w:pPr>
  </w:style>
  <w:style w:type="paragraph" w:customStyle="1" w:styleId="Casestudyheading">
    <w:name w:val="Case study heading"/>
    <w:basedOn w:val="Normal"/>
    <w:next w:val="Normal"/>
    <w:link w:val="CasestudyheadingChar"/>
    <w:qFormat/>
    <w:rsid w:val="00DD0AEA"/>
    <w:pPr>
      <w:keepNext/>
      <w:spacing w:before="100" w:beforeAutospacing="1" w:after="100" w:afterAutospacing="1" w:line="240" w:lineRule="auto"/>
      <w:ind w:left="851" w:right="851"/>
      <w:jc w:val="both"/>
    </w:pPr>
    <w:rPr>
      <w:rFonts w:ascii="Calibri" w:eastAsiaTheme="minorEastAsia" w:hAnsi="Calibri"/>
      <w:b/>
      <w:sz w:val="24"/>
      <w:lang w:val="en-AU"/>
    </w:rPr>
  </w:style>
  <w:style w:type="character" w:customStyle="1" w:styleId="CasestudyheadingChar">
    <w:name w:val="Case study heading Char"/>
    <w:basedOn w:val="DefaultParagraphFont"/>
    <w:link w:val="Casestudyheading"/>
    <w:rsid w:val="00DD0AEA"/>
    <w:rPr>
      <w:rFonts w:ascii="Calibri" w:eastAsiaTheme="minorEastAsia" w:hAnsi="Calibri"/>
      <w:b/>
      <w:sz w:val="24"/>
      <w:lang w:val="en-AU"/>
    </w:rPr>
  </w:style>
  <w:style w:type="paragraph" w:customStyle="1" w:styleId="Casestudy">
    <w:name w:val="Case study"/>
    <w:basedOn w:val="Casestudyheading"/>
    <w:link w:val="CasestudyChar"/>
    <w:qFormat/>
    <w:rsid w:val="00DD0AEA"/>
    <w:pPr>
      <w:keepNext w:val="0"/>
    </w:pPr>
    <w:rPr>
      <w:b w:val="0"/>
    </w:rPr>
  </w:style>
  <w:style w:type="character" w:customStyle="1" w:styleId="CasestudyChar">
    <w:name w:val="Case study Char"/>
    <w:basedOn w:val="CasestudyheadingChar"/>
    <w:link w:val="Casestudy"/>
    <w:rsid w:val="00DD0AEA"/>
    <w:rPr>
      <w:rFonts w:ascii="Calibri" w:eastAsiaTheme="minorEastAsia" w:hAnsi="Calibri"/>
      <w:b w:val="0"/>
      <w:sz w:val="24"/>
      <w:lang w:val="en-AU"/>
    </w:rPr>
  </w:style>
  <w:style w:type="paragraph" w:customStyle="1" w:styleId="Casestudyquote">
    <w:name w:val="Case study quote"/>
    <w:basedOn w:val="Casestudy"/>
    <w:link w:val="CasestudyquoteChar"/>
    <w:qFormat/>
    <w:rsid w:val="00DD0AEA"/>
    <w:pPr>
      <w:ind w:left="1418" w:right="1418"/>
    </w:pPr>
  </w:style>
  <w:style w:type="character" w:customStyle="1" w:styleId="CasestudyquoteChar">
    <w:name w:val="Case study quote Char"/>
    <w:basedOn w:val="CasestudyChar"/>
    <w:link w:val="Casestudyquote"/>
    <w:rsid w:val="00DD0AEA"/>
    <w:rPr>
      <w:rFonts w:ascii="Calibri" w:eastAsiaTheme="minorEastAsia" w:hAnsi="Calibri"/>
      <w:b w:val="0"/>
      <w:sz w:val="24"/>
      <w:lang w:val="en-AU"/>
    </w:rPr>
  </w:style>
  <w:style w:type="numbering" w:customStyle="1" w:styleId="Recommendations">
    <w:name w:val="Recommendations"/>
    <w:uiPriority w:val="99"/>
    <w:rsid w:val="00DD0AEA"/>
    <w:pPr>
      <w:numPr>
        <w:numId w:val="6"/>
      </w:numPr>
    </w:pPr>
  </w:style>
  <w:style w:type="character" w:customStyle="1" w:styleId="FootnoteReference1">
    <w:name w:val="Footnote Reference1"/>
    <w:basedOn w:val="DefaultParagraphFont"/>
    <w:rsid w:val="00DD0AEA"/>
    <w:rPr>
      <w:vertAlign w:val="superscript"/>
    </w:rPr>
  </w:style>
  <w:style w:type="character" w:customStyle="1" w:styleId="FootnoteCharacters">
    <w:name w:val="Footnote Characters"/>
    <w:rsid w:val="00DD0AEA"/>
  </w:style>
  <w:style w:type="paragraph" w:customStyle="1" w:styleId="FootnoteText1">
    <w:name w:val="Footnote Text1"/>
    <w:rsid w:val="00DD0AEA"/>
    <w:pPr>
      <w:suppressAutoHyphens/>
      <w:spacing w:after="120" w:line="240" w:lineRule="auto"/>
    </w:pPr>
    <w:rPr>
      <w:rFonts w:ascii="Calibri" w:eastAsia="Arial Unicode MS" w:hAnsi="Calibri" w:cs="Arial Unicode MS"/>
      <w:kern w:val="1"/>
      <w:sz w:val="18"/>
      <w:szCs w:val="20"/>
      <w:lang w:val="en-IE" w:eastAsia="hi-IN" w:bidi="hi-IN"/>
    </w:rPr>
  </w:style>
  <w:style w:type="paragraph" w:customStyle="1" w:styleId="Caption1">
    <w:name w:val="Caption1"/>
    <w:basedOn w:val="Normal"/>
    <w:rsid w:val="00DD0AEA"/>
    <w:pPr>
      <w:suppressAutoHyphens/>
      <w:spacing w:before="28" w:after="28" w:line="240" w:lineRule="auto"/>
      <w:jc w:val="both"/>
    </w:pPr>
    <w:rPr>
      <w:rFonts w:ascii="Calibri" w:eastAsia="Arial Unicode MS" w:hAnsi="Calibri" w:cs="Calibri"/>
      <w:b/>
      <w:bCs/>
      <w:color w:val="4F81BD"/>
      <w:kern w:val="1"/>
      <w:sz w:val="18"/>
      <w:szCs w:val="18"/>
      <w:lang w:val="en-IE" w:eastAsia="hi-IN" w:bidi="hi-IN"/>
    </w:rPr>
  </w:style>
  <w:style w:type="paragraph" w:styleId="TOC4">
    <w:name w:val="toc 4"/>
    <w:basedOn w:val="Normal"/>
    <w:next w:val="Normal"/>
    <w:autoRedefine/>
    <w:uiPriority w:val="39"/>
    <w:unhideWhenUsed/>
    <w:rsid w:val="00DD0AEA"/>
    <w:pPr>
      <w:spacing w:after="100"/>
      <w:ind w:left="660"/>
    </w:pPr>
    <w:rPr>
      <w:rFonts w:eastAsiaTheme="minorEastAsia"/>
      <w:lang w:val="en-AU" w:eastAsia="en-AU"/>
    </w:rPr>
  </w:style>
  <w:style w:type="paragraph" w:styleId="TOC5">
    <w:name w:val="toc 5"/>
    <w:basedOn w:val="Normal"/>
    <w:next w:val="Normal"/>
    <w:autoRedefine/>
    <w:uiPriority w:val="39"/>
    <w:unhideWhenUsed/>
    <w:rsid w:val="00DD0AEA"/>
    <w:pPr>
      <w:spacing w:after="100"/>
      <w:ind w:left="880"/>
    </w:pPr>
    <w:rPr>
      <w:rFonts w:eastAsiaTheme="minorEastAsia"/>
      <w:lang w:val="en-AU" w:eastAsia="en-AU"/>
    </w:rPr>
  </w:style>
  <w:style w:type="paragraph" w:styleId="TOC6">
    <w:name w:val="toc 6"/>
    <w:basedOn w:val="Normal"/>
    <w:next w:val="Normal"/>
    <w:autoRedefine/>
    <w:uiPriority w:val="39"/>
    <w:unhideWhenUsed/>
    <w:rsid w:val="00DD0AEA"/>
    <w:pPr>
      <w:spacing w:after="100"/>
      <w:ind w:left="1100"/>
    </w:pPr>
    <w:rPr>
      <w:rFonts w:eastAsiaTheme="minorEastAsia"/>
      <w:lang w:val="en-AU" w:eastAsia="en-AU"/>
    </w:rPr>
  </w:style>
  <w:style w:type="paragraph" w:styleId="TOC7">
    <w:name w:val="toc 7"/>
    <w:basedOn w:val="Normal"/>
    <w:next w:val="Normal"/>
    <w:autoRedefine/>
    <w:uiPriority w:val="39"/>
    <w:unhideWhenUsed/>
    <w:rsid w:val="00DD0AEA"/>
    <w:pPr>
      <w:spacing w:after="100"/>
      <w:ind w:left="1320"/>
    </w:pPr>
    <w:rPr>
      <w:rFonts w:eastAsiaTheme="minorEastAsia"/>
      <w:lang w:val="en-AU" w:eastAsia="en-AU"/>
    </w:rPr>
  </w:style>
  <w:style w:type="paragraph" w:styleId="TOC8">
    <w:name w:val="toc 8"/>
    <w:basedOn w:val="Normal"/>
    <w:next w:val="Normal"/>
    <w:autoRedefine/>
    <w:uiPriority w:val="39"/>
    <w:unhideWhenUsed/>
    <w:rsid w:val="00DD0AEA"/>
    <w:pPr>
      <w:spacing w:after="100"/>
      <w:ind w:left="1540"/>
    </w:pPr>
    <w:rPr>
      <w:rFonts w:eastAsiaTheme="minorEastAsia"/>
      <w:lang w:val="en-AU" w:eastAsia="en-AU"/>
    </w:rPr>
  </w:style>
  <w:style w:type="paragraph" w:styleId="TOC9">
    <w:name w:val="toc 9"/>
    <w:basedOn w:val="Normal"/>
    <w:next w:val="Normal"/>
    <w:autoRedefine/>
    <w:uiPriority w:val="39"/>
    <w:unhideWhenUsed/>
    <w:rsid w:val="00DD0AEA"/>
    <w:pPr>
      <w:spacing w:after="100"/>
      <w:ind w:left="1760"/>
    </w:pPr>
    <w:rPr>
      <w:rFonts w:eastAsiaTheme="minorEastAsia"/>
      <w:lang w:val="en-AU" w:eastAsia="en-AU"/>
    </w:rPr>
  </w:style>
  <w:style w:type="paragraph" w:styleId="Bibliography">
    <w:name w:val="Bibliography"/>
    <w:basedOn w:val="Normal"/>
    <w:next w:val="Normal"/>
    <w:uiPriority w:val="37"/>
    <w:unhideWhenUsed/>
    <w:rsid w:val="00DD0AEA"/>
    <w:pPr>
      <w:spacing w:before="100" w:beforeAutospacing="1" w:after="240" w:afterAutospacing="1" w:line="240" w:lineRule="auto"/>
      <w:ind w:left="720" w:hanging="720"/>
      <w:jc w:val="both"/>
    </w:pPr>
    <w:rPr>
      <w:rFonts w:ascii="Calibri" w:eastAsiaTheme="minorEastAsia" w:hAnsi="Calibri"/>
      <w:sz w:val="24"/>
      <w:lang w:val="en-AU" w:eastAsia="en-AU"/>
    </w:rPr>
  </w:style>
  <w:style w:type="paragraph" w:styleId="Revision">
    <w:name w:val="Revision"/>
    <w:hidden/>
    <w:uiPriority w:val="99"/>
    <w:semiHidden/>
    <w:rsid w:val="00DD0AEA"/>
    <w:pPr>
      <w:spacing w:after="0" w:line="240" w:lineRule="auto"/>
    </w:pPr>
    <w:rPr>
      <w:rFonts w:ascii="Calibri" w:eastAsiaTheme="minorEastAsia" w:hAnsi="Calibri"/>
      <w:sz w:val="24"/>
      <w:lang w:val="en-AU" w:eastAsia="en-AU"/>
    </w:rPr>
  </w:style>
  <w:style w:type="table" w:styleId="LightShading-Accent3">
    <w:name w:val="Light Shading Accent 3"/>
    <w:basedOn w:val="TableNormal"/>
    <w:uiPriority w:val="60"/>
    <w:rsid w:val="00DD0AEA"/>
    <w:pPr>
      <w:spacing w:after="0" w:line="240" w:lineRule="auto"/>
    </w:pPr>
    <w:rPr>
      <w:color w:val="76923C" w:themeColor="accent3" w:themeShade="BF"/>
      <w:lang w:val="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DD0AEA"/>
    <w:pPr>
      <w:spacing w:after="0" w:line="240" w:lineRule="auto"/>
    </w:pPr>
    <w:rPr>
      <w:lang w:val="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DD0AEA"/>
    <w:pPr>
      <w:spacing w:after="0" w:line="240" w:lineRule="auto"/>
    </w:pPr>
    <w:rPr>
      <w:lang w:val="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odyText1">
    <w:name w:val="Body Text1"/>
    <w:basedOn w:val="Normal"/>
    <w:qFormat/>
    <w:rsid w:val="007E7F5C"/>
    <w:rPr>
      <w:rFonts w:ascii="Arial" w:eastAsia="Calibri"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accan.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emc.gov.au/sites/default/files/content/de5cc69f-e850-48e0-9277-b3db79dd25c8/Final-determination.PDF" TargetMode="External"/><Relationship Id="rId2" Type="http://schemas.openxmlformats.org/officeDocument/2006/relationships/hyperlink" Target="https://www.esc.vic.gov.au/water/water-prices-tariffs-and-special-drainage/water-price-reviews/goulburn-murray-water-price-review-2020" TargetMode="External"/><Relationship Id="rId1" Type="http://schemas.openxmlformats.org/officeDocument/2006/relationships/hyperlink" Target="https://www.tio.com.au/publications/annual-reports" TargetMode="External"/><Relationship Id="rId4" Type="http://schemas.openxmlformats.org/officeDocument/2006/relationships/hyperlink" Target="https://www.ipart.nsw.gov.au/Home/Industries/Water/Reviews/Metro-Pricing/Prices-for-Central-Coast-Council-from-1-July-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93D1-5F28-4939-9132-B818101D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4105</Words>
  <Characters>23404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Downing</dc:creator>
  <cp:lastModifiedBy>Gareth Downing</cp:lastModifiedBy>
  <cp:revision>2</cp:revision>
  <dcterms:created xsi:type="dcterms:W3CDTF">2019-06-07T07:55:00Z</dcterms:created>
  <dcterms:modified xsi:type="dcterms:W3CDTF">2019-06-07T07:55:00Z</dcterms:modified>
</cp:coreProperties>
</file>