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A44B29"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ACCC inquiry into NBN access pricing</w:t>
      </w:r>
      <w:r w:rsidR="00F44A53">
        <w:rPr>
          <w:rFonts w:ascii="Calibri" w:eastAsiaTheme="majorEastAsia" w:hAnsi="Calibri" w:cstheme="majorBidi"/>
          <w:b/>
          <w:spacing w:val="5"/>
          <w:kern w:val="28"/>
          <w:sz w:val="52"/>
          <w:szCs w:val="52"/>
          <w:lang w:val="en-AU"/>
        </w:rPr>
        <w:t xml:space="preserve"> </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6E024C" w:rsidP="001A229F">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 xml:space="preserve">29 </w:t>
      </w:r>
      <w:r w:rsidR="00F939AA">
        <w:rPr>
          <w:rFonts w:ascii="Calibri" w:eastAsiaTheme="minorEastAsia" w:hAnsi="Calibri"/>
          <w:sz w:val="32"/>
          <w:szCs w:val="32"/>
          <w:lang w:val="en-AU"/>
        </w:rPr>
        <w:t>November</w:t>
      </w:r>
      <w:r w:rsidR="001A229F">
        <w:rPr>
          <w:rFonts w:ascii="Calibri" w:eastAsiaTheme="minorEastAsia" w:hAnsi="Calibri"/>
          <w:sz w:val="32"/>
          <w:szCs w:val="32"/>
          <w:lang w:val="en-AU"/>
        </w:rPr>
        <w:t xml:space="preserve"> 2019</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421C55" w:rsidRDefault="00DD0AEA" w:rsidP="00421C55">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645E79"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25923643" w:history="1">
            <w:r w:rsidR="00645E79" w:rsidRPr="00A94C29">
              <w:rPr>
                <w:rStyle w:val="Hyperlink"/>
                <w:rFonts w:eastAsia="Arial Unicode MS" w:cs="font331"/>
                <w:bCs/>
                <w:noProof/>
                <w:kern w:val="1"/>
                <w:lang w:val="en-IE" w:eastAsia="hi-IN" w:bidi="hi-IN"/>
              </w:rPr>
              <w:t>Executive Summary</w:t>
            </w:r>
            <w:r w:rsidR="00645E79">
              <w:rPr>
                <w:noProof/>
                <w:webHidden/>
              </w:rPr>
              <w:tab/>
            </w:r>
            <w:r w:rsidR="00645E79">
              <w:rPr>
                <w:noProof/>
                <w:webHidden/>
              </w:rPr>
              <w:fldChar w:fldCharType="begin"/>
            </w:r>
            <w:r w:rsidR="00645E79">
              <w:rPr>
                <w:noProof/>
                <w:webHidden/>
              </w:rPr>
              <w:instrText xml:space="preserve"> PAGEREF _Toc25923643 \h </w:instrText>
            </w:r>
            <w:r w:rsidR="00645E79">
              <w:rPr>
                <w:noProof/>
                <w:webHidden/>
              </w:rPr>
            </w:r>
            <w:r w:rsidR="00645E79">
              <w:rPr>
                <w:noProof/>
                <w:webHidden/>
              </w:rPr>
              <w:fldChar w:fldCharType="separate"/>
            </w:r>
            <w:r w:rsidR="00645E79">
              <w:rPr>
                <w:noProof/>
                <w:webHidden/>
              </w:rPr>
              <w:t>4</w:t>
            </w:r>
            <w:r w:rsidR="00645E79">
              <w:rPr>
                <w:noProof/>
                <w:webHidden/>
              </w:rPr>
              <w:fldChar w:fldCharType="end"/>
            </w:r>
          </w:hyperlink>
        </w:p>
        <w:p w:rsidR="00645E79" w:rsidRDefault="00486947">
          <w:pPr>
            <w:pStyle w:val="TOC1"/>
            <w:rPr>
              <w:rFonts w:asciiTheme="minorHAnsi" w:hAnsiTheme="minorHAnsi"/>
              <w:noProof/>
              <w:sz w:val="22"/>
              <w:lang w:val="en-US" w:eastAsia="en-US"/>
            </w:rPr>
          </w:pPr>
          <w:hyperlink w:anchor="_Toc25923644" w:history="1">
            <w:r w:rsidR="00645E79" w:rsidRPr="00A94C29">
              <w:rPr>
                <w:rStyle w:val="Hyperlink"/>
                <w:rFonts w:eastAsia="Arial Unicode MS" w:cs="font331"/>
                <w:bCs/>
                <w:noProof/>
                <w:kern w:val="1"/>
                <w:lang w:val="en-IE" w:eastAsia="hi-IN" w:bidi="hi-IN"/>
              </w:rPr>
              <w:t>ACCC approach to examining NBN access pricing</w:t>
            </w:r>
            <w:r w:rsidR="00645E79">
              <w:rPr>
                <w:noProof/>
                <w:webHidden/>
              </w:rPr>
              <w:tab/>
            </w:r>
            <w:r w:rsidR="00645E79">
              <w:rPr>
                <w:noProof/>
                <w:webHidden/>
              </w:rPr>
              <w:fldChar w:fldCharType="begin"/>
            </w:r>
            <w:r w:rsidR="00645E79">
              <w:rPr>
                <w:noProof/>
                <w:webHidden/>
              </w:rPr>
              <w:instrText xml:space="preserve"> PAGEREF _Toc25923644 \h </w:instrText>
            </w:r>
            <w:r w:rsidR="00645E79">
              <w:rPr>
                <w:noProof/>
                <w:webHidden/>
              </w:rPr>
            </w:r>
            <w:r w:rsidR="00645E79">
              <w:rPr>
                <w:noProof/>
                <w:webHidden/>
              </w:rPr>
              <w:fldChar w:fldCharType="separate"/>
            </w:r>
            <w:r w:rsidR="00645E79">
              <w:rPr>
                <w:noProof/>
                <w:webHidden/>
              </w:rPr>
              <w:t>5</w:t>
            </w:r>
            <w:r w:rsidR="00645E79">
              <w:rPr>
                <w:noProof/>
                <w:webHidden/>
              </w:rPr>
              <w:fldChar w:fldCharType="end"/>
            </w:r>
          </w:hyperlink>
        </w:p>
        <w:p w:rsidR="00645E79" w:rsidRDefault="00486947">
          <w:pPr>
            <w:pStyle w:val="TOC1"/>
            <w:rPr>
              <w:rFonts w:asciiTheme="minorHAnsi" w:hAnsiTheme="minorHAnsi"/>
              <w:noProof/>
              <w:sz w:val="22"/>
              <w:lang w:val="en-US" w:eastAsia="en-US"/>
            </w:rPr>
          </w:pPr>
          <w:hyperlink w:anchor="_Toc25923645" w:history="1">
            <w:r w:rsidR="00645E79" w:rsidRPr="00A94C29">
              <w:rPr>
                <w:rStyle w:val="Hyperlink"/>
                <w:rFonts w:eastAsia="Arial Unicode MS" w:cs="font331"/>
                <w:bCs/>
                <w:noProof/>
                <w:kern w:val="1"/>
                <w:lang w:val="en-IE" w:eastAsia="hi-IN" w:bidi="hi-IN"/>
              </w:rPr>
              <w:t>NBN access pricing</w:t>
            </w:r>
            <w:r w:rsidR="00645E79">
              <w:rPr>
                <w:noProof/>
                <w:webHidden/>
              </w:rPr>
              <w:tab/>
            </w:r>
            <w:r w:rsidR="00645E79">
              <w:rPr>
                <w:noProof/>
                <w:webHidden/>
              </w:rPr>
              <w:fldChar w:fldCharType="begin"/>
            </w:r>
            <w:r w:rsidR="00645E79">
              <w:rPr>
                <w:noProof/>
                <w:webHidden/>
              </w:rPr>
              <w:instrText xml:space="preserve"> PAGEREF _Toc25923645 \h </w:instrText>
            </w:r>
            <w:r w:rsidR="00645E79">
              <w:rPr>
                <w:noProof/>
                <w:webHidden/>
              </w:rPr>
            </w:r>
            <w:r w:rsidR="00645E79">
              <w:rPr>
                <w:noProof/>
                <w:webHidden/>
              </w:rPr>
              <w:fldChar w:fldCharType="separate"/>
            </w:r>
            <w:r w:rsidR="00645E79">
              <w:rPr>
                <w:noProof/>
                <w:webHidden/>
              </w:rPr>
              <w:t>8</w:t>
            </w:r>
            <w:r w:rsidR="00645E79">
              <w:rPr>
                <w:noProof/>
                <w:webHidden/>
              </w:rPr>
              <w:fldChar w:fldCharType="end"/>
            </w:r>
          </w:hyperlink>
        </w:p>
        <w:p w:rsidR="00645E79" w:rsidRDefault="00486947">
          <w:pPr>
            <w:pStyle w:val="TOC1"/>
            <w:rPr>
              <w:rFonts w:asciiTheme="minorHAnsi" w:hAnsiTheme="minorHAnsi"/>
              <w:noProof/>
              <w:sz w:val="22"/>
              <w:lang w:val="en-US" w:eastAsia="en-US"/>
            </w:rPr>
          </w:pPr>
          <w:hyperlink w:anchor="_Toc25923646" w:history="1">
            <w:r w:rsidR="00645E79" w:rsidRPr="00A94C29">
              <w:rPr>
                <w:rStyle w:val="Hyperlink"/>
                <w:rFonts w:eastAsia="Arial Unicode MS" w:cs="font331"/>
                <w:bCs/>
                <w:noProof/>
                <w:kern w:val="1"/>
                <w:lang w:val="en-IE" w:eastAsia="hi-IN" w:bidi="hi-IN"/>
              </w:rPr>
              <w:t>Product and pricing developments in retail-fixed broadband markets</w:t>
            </w:r>
            <w:r w:rsidR="00645E79">
              <w:rPr>
                <w:noProof/>
                <w:webHidden/>
              </w:rPr>
              <w:tab/>
            </w:r>
            <w:r w:rsidR="00645E79">
              <w:rPr>
                <w:noProof/>
                <w:webHidden/>
              </w:rPr>
              <w:fldChar w:fldCharType="begin"/>
            </w:r>
            <w:r w:rsidR="00645E79">
              <w:rPr>
                <w:noProof/>
                <w:webHidden/>
              </w:rPr>
              <w:instrText xml:space="preserve"> PAGEREF _Toc25923646 \h </w:instrText>
            </w:r>
            <w:r w:rsidR="00645E79">
              <w:rPr>
                <w:noProof/>
                <w:webHidden/>
              </w:rPr>
            </w:r>
            <w:r w:rsidR="00645E79">
              <w:rPr>
                <w:noProof/>
                <w:webHidden/>
              </w:rPr>
              <w:fldChar w:fldCharType="separate"/>
            </w:r>
            <w:r w:rsidR="00645E79">
              <w:rPr>
                <w:noProof/>
                <w:webHidden/>
              </w:rPr>
              <w:t>9</w:t>
            </w:r>
            <w:r w:rsidR="00645E79">
              <w:rPr>
                <w:noProof/>
                <w:webHidden/>
              </w:rPr>
              <w:fldChar w:fldCharType="end"/>
            </w:r>
          </w:hyperlink>
        </w:p>
        <w:p w:rsidR="00645E79" w:rsidRDefault="00486947">
          <w:pPr>
            <w:pStyle w:val="TOC1"/>
            <w:rPr>
              <w:rFonts w:asciiTheme="minorHAnsi" w:hAnsiTheme="minorHAnsi"/>
              <w:noProof/>
              <w:sz w:val="22"/>
              <w:lang w:val="en-US" w:eastAsia="en-US"/>
            </w:rPr>
          </w:pPr>
          <w:hyperlink w:anchor="_Toc25923647" w:history="1">
            <w:r w:rsidR="00645E79" w:rsidRPr="00A94C29">
              <w:rPr>
                <w:rStyle w:val="Hyperlink"/>
                <w:rFonts w:eastAsia="Arial Unicode MS" w:cs="font331"/>
                <w:bCs/>
                <w:noProof/>
                <w:kern w:val="1"/>
                <w:lang w:val="en-IE" w:eastAsia="hi-IN" w:bidi="hi-IN"/>
              </w:rPr>
              <w:t>Considerations for potential regulated NBN access pricing</w:t>
            </w:r>
            <w:r w:rsidR="00645E79">
              <w:rPr>
                <w:noProof/>
                <w:webHidden/>
              </w:rPr>
              <w:tab/>
            </w:r>
            <w:r w:rsidR="00645E79">
              <w:rPr>
                <w:noProof/>
                <w:webHidden/>
              </w:rPr>
              <w:fldChar w:fldCharType="begin"/>
            </w:r>
            <w:r w:rsidR="00645E79">
              <w:rPr>
                <w:noProof/>
                <w:webHidden/>
              </w:rPr>
              <w:instrText xml:space="preserve"> PAGEREF _Toc25923647 \h </w:instrText>
            </w:r>
            <w:r w:rsidR="00645E79">
              <w:rPr>
                <w:noProof/>
                <w:webHidden/>
              </w:rPr>
            </w:r>
            <w:r w:rsidR="00645E79">
              <w:rPr>
                <w:noProof/>
                <w:webHidden/>
              </w:rPr>
              <w:fldChar w:fldCharType="separate"/>
            </w:r>
            <w:r w:rsidR="00645E79">
              <w:rPr>
                <w:noProof/>
                <w:webHidden/>
              </w:rPr>
              <w:t>10</w:t>
            </w:r>
            <w:r w:rsidR="00645E79">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Default="00DD0AEA" w:rsidP="00DD0AEA">
      <w:pPr>
        <w:spacing w:before="100" w:beforeAutospacing="1" w:after="100" w:afterAutospacing="1" w:line="240" w:lineRule="auto"/>
        <w:jc w:val="both"/>
        <w:rPr>
          <w:rFonts w:eastAsiaTheme="minorEastAsia" w:cstheme="minorHAnsi"/>
          <w:sz w:val="24"/>
          <w:szCs w:val="24"/>
          <w:lang w:val="en-AU" w:eastAsia="en-AU"/>
        </w:rPr>
      </w:pPr>
    </w:p>
    <w:p w:rsidR="00D26F1B" w:rsidRPr="00DD0AEA" w:rsidRDefault="00D26F1B" w:rsidP="00DD0AEA">
      <w:pPr>
        <w:spacing w:before="100" w:beforeAutospacing="1" w:after="100" w:afterAutospacing="1" w:line="240" w:lineRule="auto"/>
        <w:jc w:val="both"/>
        <w:rPr>
          <w:rFonts w:eastAsiaTheme="minorEastAsia" w:cstheme="minorHAnsi"/>
          <w:sz w:val="24"/>
          <w:szCs w:val="24"/>
          <w:lang w:val="en-AU" w:eastAsia="en-AU"/>
        </w:rPr>
      </w:pPr>
    </w:p>
    <w:p w:rsidR="00DD0AEA" w:rsidRPr="008D79AA" w:rsidRDefault="00DD0AEA" w:rsidP="008D79A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0" w:name="_Toc25923643"/>
      <w:bookmarkStart w:id="1" w:name="_Toc424112265"/>
      <w:r w:rsidRPr="00DD0AEA">
        <w:rPr>
          <w:rFonts w:ascii="Calibri" w:eastAsia="Arial Unicode MS" w:hAnsi="Calibri" w:cs="font331"/>
          <w:bCs/>
          <w:kern w:val="1"/>
          <w:sz w:val="44"/>
          <w:szCs w:val="28"/>
          <w:lang w:val="en-IE" w:eastAsia="hi-IN" w:bidi="hi-IN"/>
        </w:rPr>
        <w:lastRenderedPageBreak/>
        <w:t>Executive Summary</w:t>
      </w:r>
      <w:bookmarkEnd w:id="0"/>
      <w:r w:rsidRPr="00DD0AEA">
        <w:rPr>
          <w:rFonts w:ascii="Calibri" w:eastAsia="Arial Unicode MS" w:hAnsi="Calibri" w:cs="font331"/>
          <w:bCs/>
          <w:kern w:val="1"/>
          <w:sz w:val="44"/>
          <w:szCs w:val="28"/>
          <w:lang w:val="en-IE" w:eastAsia="hi-IN" w:bidi="hi-IN"/>
        </w:rPr>
        <w:t xml:space="preserve"> </w:t>
      </w:r>
      <w:bookmarkEnd w:id="1"/>
    </w:p>
    <w:p w:rsidR="000100C8" w:rsidRPr="003C61FD" w:rsidRDefault="008D79AA" w:rsidP="000100C8">
      <w:pPr>
        <w:spacing w:before="100" w:beforeAutospacing="1" w:after="100" w:afterAutospacing="1"/>
        <w:jc w:val="both"/>
        <w:rPr>
          <w:rFonts w:ascii="Times New Roman" w:hAnsi="Times New Roman" w:cs="Times New Roman"/>
          <w:color w:val="000000" w:themeColor="text1"/>
          <w:sz w:val="24"/>
          <w:szCs w:val="24"/>
          <w:lang w:val="en-AU"/>
        </w:rPr>
      </w:pPr>
      <w:r w:rsidRPr="00D73376">
        <w:rPr>
          <w:rFonts w:ascii="Times New Roman" w:hAnsi="Times New Roman" w:cs="Times New Roman"/>
          <w:color w:val="000000" w:themeColor="text1"/>
          <w:sz w:val="24"/>
          <w:szCs w:val="24"/>
          <w:lang w:val="en-AU"/>
        </w:rPr>
        <w:t xml:space="preserve">ACCAN </w:t>
      </w:r>
      <w:r w:rsidR="00DE7258">
        <w:rPr>
          <w:rFonts w:ascii="Times New Roman" w:hAnsi="Times New Roman" w:cs="Times New Roman"/>
          <w:color w:val="000000" w:themeColor="text1"/>
          <w:sz w:val="24"/>
          <w:szCs w:val="24"/>
          <w:lang w:val="en-AU"/>
        </w:rPr>
        <w:t>thanks the ACCC for the opportunity to comment on its i</w:t>
      </w:r>
      <w:r w:rsidR="000100C8">
        <w:rPr>
          <w:rFonts w:ascii="Times New Roman" w:hAnsi="Times New Roman" w:cs="Times New Roman"/>
          <w:color w:val="000000" w:themeColor="text1"/>
          <w:sz w:val="24"/>
          <w:szCs w:val="24"/>
          <w:lang w:val="en-AU"/>
        </w:rPr>
        <w:t xml:space="preserve">nquiry into NBN access pricing. ACCAN supports steps being taken to address the critical affordability issue currently facing </w:t>
      </w:r>
      <w:r w:rsidR="000100C8" w:rsidRPr="003C61FD">
        <w:rPr>
          <w:rFonts w:ascii="Times New Roman" w:hAnsi="Times New Roman" w:cs="Times New Roman"/>
          <w:color w:val="000000" w:themeColor="text1"/>
          <w:sz w:val="24"/>
          <w:szCs w:val="24"/>
          <w:lang w:val="en-AU"/>
        </w:rPr>
        <w:t>over</w:t>
      </w:r>
      <w:r w:rsidR="00CE6707" w:rsidRPr="003C61FD">
        <w:rPr>
          <w:rFonts w:ascii="Times New Roman" w:hAnsi="Times New Roman" w:cs="Times New Roman"/>
          <w:color w:val="000000" w:themeColor="text1"/>
          <w:sz w:val="24"/>
          <w:szCs w:val="24"/>
          <w:lang w:val="en-AU"/>
        </w:rPr>
        <w:t xml:space="preserve"> more than</w:t>
      </w:r>
      <w:r w:rsidR="000100C8" w:rsidRPr="003C61FD">
        <w:rPr>
          <w:rFonts w:ascii="Times New Roman" w:hAnsi="Times New Roman" w:cs="Times New Roman"/>
          <w:color w:val="000000" w:themeColor="text1"/>
          <w:sz w:val="24"/>
          <w:szCs w:val="24"/>
          <w:lang w:val="en-AU"/>
        </w:rPr>
        <w:t xml:space="preserve"> a million households looking to transition onto the NBN.</w:t>
      </w:r>
    </w:p>
    <w:p w:rsidR="0061431D" w:rsidRPr="00DA4717" w:rsidRDefault="0061431D" w:rsidP="000100C8">
      <w:pPr>
        <w:spacing w:before="100" w:beforeAutospacing="1" w:after="100" w:afterAutospacing="1"/>
        <w:jc w:val="both"/>
        <w:rPr>
          <w:rFonts w:ascii="Times New Roman" w:hAnsi="Times New Roman" w:cs="Times New Roman"/>
          <w:color w:val="000000" w:themeColor="text1"/>
          <w:sz w:val="24"/>
          <w:szCs w:val="24"/>
          <w:lang w:val="en-AU"/>
        </w:rPr>
      </w:pPr>
      <w:r w:rsidRPr="00DA4717">
        <w:rPr>
          <w:rFonts w:ascii="Times New Roman" w:hAnsi="Times New Roman" w:cs="Times New Roman"/>
          <w:color w:val="000000" w:themeColor="text1"/>
          <w:sz w:val="24"/>
          <w:szCs w:val="24"/>
          <w:lang w:val="en-AU"/>
        </w:rPr>
        <w:t xml:space="preserve">ACCAN is supportive of measures being taken in order to allow for consumers to smoothly transition to NBN services without facing material increases in the price of their existing services. </w:t>
      </w:r>
    </w:p>
    <w:p w:rsidR="00E6790C" w:rsidRPr="000100C8" w:rsidRDefault="000100C8" w:rsidP="000100C8">
      <w:pPr>
        <w:spacing w:before="100" w:beforeAutospacing="1" w:after="100" w:afterAutospacing="1"/>
        <w:jc w:val="both"/>
        <w:rPr>
          <w:rFonts w:ascii="Times New Roman" w:eastAsiaTheme="minorEastAsia" w:hAnsi="Times New Roman" w:cs="Times New Roman"/>
          <w:sz w:val="24"/>
          <w:szCs w:val="24"/>
          <w:lang w:val="en-AU" w:eastAsia="en-AU"/>
        </w:rPr>
      </w:pPr>
      <w:r w:rsidRPr="000100C8">
        <w:rPr>
          <w:rFonts w:ascii="Times New Roman" w:hAnsi="Times New Roman" w:cs="Times New Roman"/>
          <w:sz w:val="24"/>
          <w:szCs w:val="24"/>
          <w:lang w:val="en-AU"/>
        </w:rPr>
        <w:t xml:space="preserve">As the ACCC would be aware ACCAN’s preferred method for addressing the affordability challenge is for the development of an </w:t>
      </w:r>
      <w:r w:rsidRPr="000100C8">
        <w:rPr>
          <w:rFonts w:ascii="Times New Roman" w:eastAsiaTheme="minorEastAsia" w:hAnsi="Times New Roman" w:cs="Times New Roman"/>
          <w:sz w:val="24"/>
          <w:szCs w:val="24"/>
          <w:lang w:val="en-AU" w:eastAsia="en-AU"/>
        </w:rPr>
        <w:t>additional</w:t>
      </w:r>
      <w:r w:rsidR="00E6790C" w:rsidRPr="000100C8">
        <w:rPr>
          <w:rFonts w:ascii="Times New Roman" w:eastAsiaTheme="minorEastAsia" w:hAnsi="Times New Roman" w:cs="Times New Roman"/>
          <w:sz w:val="24"/>
          <w:szCs w:val="24"/>
          <w:lang w:val="en-AU" w:eastAsia="en-AU"/>
        </w:rPr>
        <w:t xml:space="preserve"> discounted bundle to be offered to eligible households. ACCAN’s preferred pricing construct is the creation of a concessional service at the 50/20 Mbps AVC tier at a wholesale price of $20. However, incorporated in the design of this pricing construct is the payment of a recurrent subsidy to NBN Co. by the Australian government to pay for the consequent revenue shortfall. </w:t>
      </w:r>
    </w:p>
    <w:p w:rsidR="00E6790C" w:rsidRDefault="00E6790C" w:rsidP="00E6790C">
      <w:pPr>
        <w:autoSpaceDE w:val="0"/>
        <w:autoSpaceDN w:val="0"/>
        <w:adjustRightInd w:val="0"/>
        <w:spacing w:after="0"/>
        <w:jc w:val="both"/>
        <w:rPr>
          <w:rFonts w:ascii="Times New Roman" w:eastAsiaTheme="minorEastAsia" w:hAnsi="Times New Roman" w:cs="Times New Roman"/>
          <w:sz w:val="24"/>
          <w:szCs w:val="24"/>
          <w:lang w:val="en-AU" w:eastAsia="en-AU"/>
        </w:rPr>
      </w:pPr>
      <w:r w:rsidRPr="000100C8">
        <w:rPr>
          <w:rFonts w:ascii="Times New Roman" w:eastAsiaTheme="minorEastAsia" w:hAnsi="Times New Roman" w:cs="Times New Roman"/>
          <w:sz w:val="24"/>
          <w:szCs w:val="24"/>
          <w:lang w:val="en-AU" w:eastAsia="en-AU"/>
        </w:rPr>
        <w:t>In the absence of any forthcoming government support for a concessional NBN service ACCAN consid</w:t>
      </w:r>
      <w:r w:rsidR="00B07171">
        <w:rPr>
          <w:rFonts w:ascii="Times New Roman" w:eastAsiaTheme="minorEastAsia" w:hAnsi="Times New Roman" w:cs="Times New Roman"/>
          <w:sz w:val="24"/>
          <w:szCs w:val="24"/>
          <w:lang w:val="en-AU" w:eastAsia="en-AU"/>
        </w:rPr>
        <w:t>ers that the creation of a 25/5</w:t>
      </w:r>
      <w:r w:rsidRPr="000100C8">
        <w:rPr>
          <w:rFonts w:ascii="Times New Roman" w:eastAsiaTheme="minorEastAsia" w:hAnsi="Times New Roman" w:cs="Times New Roman"/>
          <w:sz w:val="24"/>
          <w:szCs w:val="24"/>
          <w:lang w:val="en-AU" w:eastAsia="en-AU"/>
        </w:rPr>
        <w:t>Mbps bundle w</w:t>
      </w:r>
      <w:r w:rsidR="000100C8" w:rsidRPr="000100C8">
        <w:rPr>
          <w:rFonts w:ascii="Times New Roman" w:eastAsiaTheme="minorEastAsia" w:hAnsi="Times New Roman" w:cs="Times New Roman"/>
          <w:sz w:val="24"/>
          <w:szCs w:val="24"/>
          <w:lang w:val="en-AU" w:eastAsia="en-AU"/>
        </w:rPr>
        <w:t>ith 2Mbps of included CVC at a regulated</w:t>
      </w:r>
      <w:r w:rsidRPr="000100C8">
        <w:rPr>
          <w:rFonts w:ascii="Times New Roman" w:eastAsiaTheme="minorEastAsia" w:hAnsi="Times New Roman" w:cs="Times New Roman"/>
          <w:sz w:val="24"/>
          <w:szCs w:val="24"/>
          <w:lang w:val="en-AU" w:eastAsia="en-AU"/>
        </w:rPr>
        <w:t xml:space="preserve"> price point of $30 is an appropriate option to support take-up. The creation of</w:t>
      </w:r>
      <w:r w:rsidR="00B07171">
        <w:rPr>
          <w:rFonts w:ascii="Times New Roman" w:eastAsiaTheme="minorEastAsia" w:hAnsi="Times New Roman" w:cs="Times New Roman"/>
          <w:sz w:val="24"/>
          <w:szCs w:val="24"/>
          <w:lang w:val="en-AU" w:eastAsia="en-AU"/>
        </w:rPr>
        <w:t xml:space="preserve"> a discounted bundle at the 25/5</w:t>
      </w:r>
      <w:r w:rsidRPr="000100C8">
        <w:rPr>
          <w:rFonts w:ascii="Times New Roman" w:eastAsiaTheme="minorEastAsia" w:hAnsi="Times New Roman" w:cs="Times New Roman"/>
          <w:sz w:val="24"/>
          <w:szCs w:val="24"/>
          <w:lang w:val="en-AU" w:eastAsia="en-AU"/>
        </w:rPr>
        <w:t xml:space="preserve">Mbps speed tier will allow for the provision of high-speed internet at a price-point that would be affordable for </w:t>
      </w:r>
      <w:r w:rsidR="00210600">
        <w:rPr>
          <w:rFonts w:ascii="Times New Roman" w:eastAsiaTheme="minorEastAsia" w:hAnsi="Times New Roman" w:cs="Times New Roman"/>
          <w:sz w:val="24"/>
          <w:szCs w:val="24"/>
          <w:lang w:val="en-AU" w:eastAsia="en-AU"/>
        </w:rPr>
        <w:t>some</w:t>
      </w:r>
      <w:r w:rsidR="00210600" w:rsidRPr="000100C8">
        <w:rPr>
          <w:rFonts w:ascii="Times New Roman" w:eastAsiaTheme="minorEastAsia" w:hAnsi="Times New Roman" w:cs="Times New Roman"/>
          <w:sz w:val="24"/>
          <w:szCs w:val="24"/>
          <w:lang w:val="en-AU" w:eastAsia="en-AU"/>
        </w:rPr>
        <w:t xml:space="preserve"> </w:t>
      </w:r>
      <w:r w:rsidRPr="000100C8">
        <w:rPr>
          <w:rFonts w:ascii="Times New Roman" w:eastAsiaTheme="minorEastAsia" w:hAnsi="Times New Roman" w:cs="Times New Roman"/>
          <w:sz w:val="24"/>
          <w:szCs w:val="24"/>
          <w:lang w:val="en-AU" w:eastAsia="en-AU"/>
        </w:rPr>
        <w:t>low-income households, encourage take-up and discourage disconnection from the network due to the cost of services.</w:t>
      </w:r>
    </w:p>
    <w:p w:rsidR="00403891" w:rsidRDefault="00403891" w:rsidP="00E6790C">
      <w:pPr>
        <w:autoSpaceDE w:val="0"/>
        <w:autoSpaceDN w:val="0"/>
        <w:adjustRightInd w:val="0"/>
        <w:spacing w:after="0"/>
        <w:jc w:val="both"/>
        <w:rPr>
          <w:rFonts w:ascii="Times New Roman" w:eastAsiaTheme="minorEastAsia" w:hAnsi="Times New Roman" w:cs="Times New Roman"/>
          <w:sz w:val="24"/>
          <w:szCs w:val="24"/>
          <w:lang w:val="en-AU" w:eastAsia="en-AU"/>
        </w:rPr>
      </w:pPr>
    </w:p>
    <w:p w:rsidR="00403891" w:rsidRPr="000100C8" w:rsidRDefault="00403891" w:rsidP="00E6790C">
      <w:pPr>
        <w:autoSpaceDE w:val="0"/>
        <w:autoSpaceDN w:val="0"/>
        <w:adjustRightInd w:val="0"/>
        <w:spacing w:after="0"/>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ACCAN believes that the regulation of a service offering at the </w:t>
      </w:r>
      <w:r w:rsidR="00B07171">
        <w:rPr>
          <w:rFonts w:ascii="Times New Roman" w:eastAsiaTheme="minorEastAsia" w:hAnsi="Times New Roman" w:cs="Times New Roman"/>
          <w:sz w:val="24"/>
          <w:szCs w:val="24"/>
          <w:lang w:val="en-AU" w:eastAsia="en-AU"/>
        </w:rPr>
        <w:t>25/5</w:t>
      </w:r>
      <w:r>
        <w:rPr>
          <w:rFonts w:ascii="Times New Roman" w:eastAsiaTheme="minorEastAsia" w:hAnsi="Times New Roman" w:cs="Times New Roman"/>
          <w:sz w:val="24"/>
          <w:szCs w:val="24"/>
          <w:lang w:val="en-AU" w:eastAsia="en-AU"/>
        </w:rPr>
        <w:t xml:space="preserve">Mbps tier in alignment with a $30 price point would encourage the efficient use of NBN infrastructure, facilitate higher rates of take-up and increase NBN revenues as a consequence. Furthermore, regulating at this price point would encourage NBN Co. to reduce the wholesale cost of </w:t>
      </w:r>
      <w:r w:rsidR="00E17922">
        <w:rPr>
          <w:rFonts w:ascii="Times New Roman" w:eastAsiaTheme="minorEastAsia" w:hAnsi="Times New Roman" w:cs="Times New Roman"/>
          <w:sz w:val="24"/>
          <w:szCs w:val="24"/>
          <w:lang w:val="en-AU" w:eastAsia="en-AU"/>
        </w:rPr>
        <w:t>12/1</w:t>
      </w:r>
      <w:r>
        <w:rPr>
          <w:rFonts w:ascii="Times New Roman" w:eastAsiaTheme="minorEastAsia" w:hAnsi="Times New Roman" w:cs="Times New Roman"/>
          <w:sz w:val="24"/>
          <w:szCs w:val="24"/>
          <w:lang w:val="en-AU" w:eastAsia="en-AU"/>
        </w:rPr>
        <w:t>Mbp</w:t>
      </w:r>
      <w:r w:rsidR="006417DC">
        <w:rPr>
          <w:rFonts w:ascii="Times New Roman" w:eastAsiaTheme="minorEastAsia" w:hAnsi="Times New Roman" w:cs="Times New Roman"/>
          <w:sz w:val="24"/>
          <w:szCs w:val="24"/>
          <w:lang w:val="en-AU" w:eastAsia="en-AU"/>
        </w:rPr>
        <w:t>s</w:t>
      </w:r>
      <w:r>
        <w:rPr>
          <w:rFonts w:ascii="Times New Roman" w:eastAsiaTheme="minorEastAsia" w:hAnsi="Times New Roman" w:cs="Times New Roman"/>
          <w:sz w:val="24"/>
          <w:szCs w:val="24"/>
          <w:lang w:val="en-AU" w:eastAsia="en-AU"/>
        </w:rPr>
        <w:t xml:space="preserve"> service offerings and promote access to basic service offerings as part of a range of more affordable services.</w:t>
      </w:r>
    </w:p>
    <w:p w:rsidR="00E6790C" w:rsidRPr="000100C8" w:rsidRDefault="00E6790C" w:rsidP="00E6790C">
      <w:pPr>
        <w:autoSpaceDE w:val="0"/>
        <w:autoSpaceDN w:val="0"/>
        <w:adjustRightInd w:val="0"/>
        <w:spacing w:after="0"/>
        <w:jc w:val="both"/>
        <w:rPr>
          <w:rFonts w:ascii="Times New Roman" w:eastAsiaTheme="minorEastAsia" w:hAnsi="Times New Roman" w:cs="Times New Roman"/>
          <w:color w:val="FF0000"/>
          <w:sz w:val="24"/>
          <w:szCs w:val="24"/>
          <w:lang w:val="en-AU" w:eastAsia="en-AU"/>
        </w:rPr>
      </w:pPr>
    </w:p>
    <w:p w:rsidR="00E6790C" w:rsidRPr="00403891" w:rsidRDefault="00E6790C" w:rsidP="00E6790C">
      <w:pPr>
        <w:autoSpaceDE w:val="0"/>
        <w:autoSpaceDN w:val="0"/>
        <w:adjustRightInd w:val="0"/>
        <w:spacing w:after="0"/>
        <w:jc w:val="both"/>
        <w:rPr>
          <w:rFonts w:ascii="Times New Roman" w:eastAsiaTheme="minorEastAsia" w:hAnsi="Times New Roman" w:cs="Times New Roman"/>
          <w:sz w:val="24"/>
          <w:szCs w:val="24"/>
          <w:lang w:val="en-AU" w:eastAsia="en-AU"/>
        </w:rPr>
      </w:pPr>
      <w:r w:rsidRPr="00403891">
        <w:rPr>
          <w:rFonts w:ascii="Times New Roman" w:eastAsiaTheme="minorEastAsia" w:hAnsi="Times New Roman" w:cs="Times New Roman"/>
          <w:sz w:val="24"/>
          <w:szCs w:val="24"/>
          <w:lang w:val="en-AU" w:eastAsia="en-AU"/>
        </w:rPr>
        <w:t>ACCAN considers the creation of a product with an effective wholesale price greater than $30 would not alleviate the affordability challenge faced by low income households. Consequently, it may not be effective in driving greater take-up of services. This view is informed by our extensive consultation with community sector organisations, economists working in the not-for-profit sector, low-income households and analysis of existing public research.</w:t>
      </w:r>
    </w:p>
    <w:p w:rsidR="00A129B8" w:rsidRPr="00CA2067" w:rsidRDefault="00A129B8" w:rsidP="0022566E">
      <w:pPr>
        <w:spacing w:before="100" w:beforeAutospacing="1" w:after="100" w:afterAutospacing="1"/>
        <w:jc w:val="both"/>
        <w:rPr>
          <w:rFonts w:ascii="Times New Roman" w:hAnsi="Times New Roman" w:cs="Times New Roman"/>
          <w:color w:val="000000" w:themeColor="text1"/>
          <w:sz w:val="24"/>
          <w:szCs w:val="24"/>
          <w:lang w:val="en-AU"/>
        </w:rPr>
      </w:pPr>
    </w:p>
    <w:p w:rsidR="00FE14A8" w:rsidRPr="00CA2067" w:rsidRDefault="00FE14A8" w:rsidP="0022566E">
      <w:pPr>
        <w:spacing w:before="100" w:beforeAutospacing="1" w:after="100" w:afterAutospacing="1"/>
        <w:jc w:val="both"/>
        <w:rPr>
          <w:rFonts w:ascii="Times New Roman" w:hAnsi="Times New Roman" w:cs="Times New Roman"/>
          <w:sz w:val="24"/>
          <w:szCs w:val="24"/>
          <w:lang w:val="en-AU"/>
        </w:rPr>
      </w:pPr>
    </w:p>
    <w:p w:rsidR="00DD0AEA" w:rsidRPr="00CA2067" w:rsidRDefault="00DD0AEA" w:rsidP="003871CF">
      <w:pPr>
        <w:spacing w:before="100" w:beforeAutospacing="1" w:after="100" w:afterAutospacing="1"/>
        <w:jc w:val="both"/>
        <w:rPr>
          <w:rFonts w:ascii="Times New Roman" w:hAnsi="Times New Roman" w:cs="Times New Roman"/>
          <w:color w:val="000000" w:themeColor="text1"/>
          <w:sz w:val="24"/>
          <w:szCs w:val="24"/>
          <w:lang w:val="en-AU"/>
        </w:rPr>
      </w:pPr>
    </w:p>
    <w:p w:rsidR="007018F9" w:rsidRPr="007018F9" w:rsidRDefault="00CC3BB2" w:rsidP="007018F9">
      <w:pPr>
        <w:keepNext/>
        <w:keepLines/>
        <w:pageBreakBefore/>
        <w:suppressAutoHyphens/>
        <w:spacing w:before="28" w:after="0" w:line="240" w:lineRule="auto"/>
        <w:ind w:left="850" w:hanging="850"/>
        <w:jc w:val="both"/>
        <w:outlineLvl w:val="0"/>
        <w:rPr>
          <w:rFonts w:ascii="Calibri" w:eastAsia="Arial Unicode MS" w:hAnsi="Calibri" w:cs="font331"/>
          <w:bCs/>
          <w:kern w:val="1"/>
          <w:sz w:val="44"/>
          <w:szCs w:val="28"/>
          <w:lang w:val="en-IE" w:eastAsia="hi-IN" w:bidi="hi-IN"/>
        </w:rPr>
      </w:pPr>
      <w:bookmarkStart w:id="2" w:name="_Toc25923644"/>
      <w:r>
        <w:rPr>
          <w:rFonts w:ascii="Calibri" w:eastAsia="Arial Unicode MS" w:hAnsi="Calibri" w:cs="font331"/>
          <w:bCs/>
          <w:kern w:val="1"/>
          <w:sz w:val="44"/>
          <w:szCs w:val="28"/>
          <w:lang w:val="en-IE" w:eastAsia="hi-IN" w:bidi="hi-IN"/>
        </w:rPr>
        <w:lastRenderedPageBreak/>
        <w:t>ACCC approach to examining NBN access pricing</w:t>
      </w:r>
      <w:bookmarkEnd w:id="2"/>
    </w:p>
    <w:p w:rsidR="004573CC" w:rsidRDefault="004573CC" w:rsidP="00A44B29">
      <w:pPr>
        <w:autoSpaceDE w:val="0"/>
        <w:autoSpaceDN w:val="0"/>
        <w:adjustRightInd w:val="0"/>
        <w:spacing w:after="0" w:line="240" w:lineRule="auto"/>
        <w:rPr>
          <w:rFonts w:ascii="Times New Roman" w:hAnsi="Times New Roman" w:cs="Times New Roman"/>
          <w:i/>
          <w:color w:val="00B0F0"/>
          <w:sz w:val="24"/>
        </w:rPr>
      </w:pP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r w:rsidRPr="009B6577">
        <w:rPr>
          <w:rFonts w:ascii="Times New Roman" w:hAnsi="Times New Roman" w:cs="Times New Roman"/>
          <w:i/>
          <w:color w:val="00B0F0"/>
          <w:sz w:val="24"/>
        </w:rPr>
        <w:t>2. How do you consider the ‘no worse off’ condition for mig</w:t>
      </w:r>
      <w:r w:rsidR="001E0512" w:rsidRPr="009B6577">
        <w:rPr>
          <w:rFonts w:ascii="Times New Roman" w:hAnsi="Times New Roman" w:cs="Times New Roman"/>
          <w:i/>
          <w:color w:val="00B0F0"/>
          <w:sz w:val="24"/>
        </w:rPr>
        <w:t xml:space="preserve">ration of legacy customers onto </w:t>
      </w:r>
      <w:r w:rsidRPr="009B6577">
        <w:rPr>
          <w:rFonts w:ascii="Times New Roman" w:hAnsi="Times New Roman" w:cs="Times New Roman"/>
          <w:i/>
          <w:color w:val="00B0F0"/>
          <w:sz w:val="24"/>
        </w:rPr>
        <w:t>the NBN should operate?</w:t>
      </w: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p>
    <w:p w:rsidR="00C135C2" w:rsidRDefault="00465057" w:rsidP="0064074E">
      <w:pPr>
        <w:autoSpaceDE w:val="0"/>
        <w:autoSpaceDN w:val="0"/>
        <w:adjustRightInd w:val="0"/>
        <w:spacing w:after="0"/>
        <w:jc w:val="both"/>
        <w:rPr>
          <w:rFonts w:ascii="Times New Roman" w:hAnsi="Times New Roman" w:cs="Times New Roman"/>
          <w:color w:val="000000" w:themeColor="text1"/>
          <w:sz w:val="24"/>
        </w:rPr>
      </w:pPr>
      <w:r w:rsidRPr="006C39B5">
        <w:rPr>
          <w:rFonts w:ascii="Times New Roman" w:hAnsi="Times New Roman" w:cs="Times New Roman"/>
          <w:color w:val="000000" w:themeColor="text1"/>
          <w:sz w:val="24"/>
        </w:rPr>
        <w:t xml:space="preserve">ACCAN believes that the no worse off condition for the migration of legacy customers onto the NBN should entail </w:t>
      </w:r>
      <w:r w:rsidR="0026245D" w:rsidRPr="006C39B5">
        <w:rPr>
          <w:rFonts w:ascii="Times New Roman" w:hAnsi="Times New Roman" w:cs="Times New Roman"/>
          <w:color w:val="000000" w:themeColor="text1"/>
          <w:sz w:val="24"/>
        </w:rPr>
        <w:t xml:space="preserve">at a minimum the offering of equivalent services at price points no greater than those </w:t>
      </w:r>
      <w:r w:rsidR="00440650" w:rsidRPr="006C39B5">
        <w:rPr>
          <w:rFonts w:ascii="Times New Roman" w:hAnsi="Times New Roman" w:cs="Times New Roman"/>
          <w:color w:val="000000" w:themeColor="text1"/>
          <w:sz w:val="24"/>
        </w:rPr>
        <w:t xml:space="preserve">faced by consumers on their legacy service </w:t>
      </w:r>
      <w:r w:rsidR="00E904A5" w:rsidRPr="006C39B5">
        <w:rPr>
          <w:rFonts w:ascii="Times New Roman" w:hAnsi="Times New Roman" w:cs="Times New Roman"/>
          <w:color w:val="000000" w:themeColor="text1"/>
          <w:sz w:val="24"/>
        </w:rPr>
        <w:t>offering.</w:t>
      </w:r>
      <w:r w:rsidR="00F83432" w:rsidRPr="006C39B5">
        <w:rPr>
          <w:rFonts w:ascii="Times New Roman" w:hAnsi="Times New Roman" w:cs="Times New Roman"/>
          <w:color w:val="000000" w:themeColor="text1"/>
          <w:sz w:val="24"/>
        </w:rPr>
        <w:t xml:space="preserve"> </w:t>
      </w:r>
      <w:r w:rsidR="00C135C2">
        <w:rPr>
          <w:rFonts w:ascii="Times New Roman" w:hAnsi="Times New Roman" w:cs="Times New Roman"/>
          <w:color w:val="000000" w:themeColor="text1"/>
          <w:sz w:val="24"/>
        </w:rPr>
        <w:t>Noting the considerable number of consumers currently on cable networks ACCAN believes that</w:t>
      </w:r>
      <w:r w:rsidR="00F83432" w:rsidRPr="00094EF3">
        <w:rPr>
          <w:rFonts w:ascii="Times New Roman" w:hAnsi="Times New Roman" w:cs="Times New Roman"/>
          <w:color w:val="000000" w:themeColor="text1"/>
          <w:sz w:val="24"/>
        </w:rPr>
        <w:t xml:space="preserve"> in principle the focus of regulatory measures should be the pricing of the </w:t>
      </w:r>
      <w:r w:rsidR="00B07171">
        <w:rPr>
          <w:rFonts w:ascii="Times New Roman" w:hAnsi="Times New Roman" w:cs="Times New Roman"/>
          <w:color w:val="000000" w:themeColor="text1"/>
          <w:sz w:val="24"/>
        </w:rPr>
        <w:t>25/5</w:t>
      </w:r>
      <w:r w:rsidR="00F83432" w:rsidRPr="00094EF3">
        <w:rPr>
          <w:rFonts w:ascii="Times New Roman" w:hAnsi="Times New Roman" w:cs="Times New Roman"/>
          <w:color w:val="000000" w:themeColor="text1"/>
          <w:sz w:val="24"/>
        </w:rPr>
        <w:t xml:space="preserve">Mbps service offering, rather than the </w:t>
      </w:r>
      <w:r w:rsidR="00E17922">
        <w:rPr>
          <w:rFonts w:ascii="Times New Roman" w:hAnsi="Times New Roman" w:cs="Times New Roman"/>
          <w:color w:val="000000" w:themeColor="text1"/>
          <w:sz w:val="24"/>
        </w:rPr>
        <w:t>12/1</w:t>
      </w:r>
      <w:r w:rsidR="00F83432" w:rsidRPr="00094EF3">
        <w:rPr>
          <w:rFonts w:ascii="Times New Roman" w:hAnsi="Times New Roman" w:cs="Times New Roman"/>
          <w:color w:val="000000" w:themeColor="text1"/>
          <w:sz w:val="24"/>
        </w:rPr>
        <w:t>Mps offering.</w:t>
      </w:r>
      <w:r w:rsidR="009C06FE" w:rsidRPr="00094EF3">
        <w:rPr>
          <w:rFonts w:ascii="Times New Roman" w:hAnsi="Times New Roman" w:cs="Times New Roman"/>
          <w:color w:val="000000" w:themeColor="text1"/>
          <w:sz w:val="24"/>
        </w:rPr>
        <w:t xml:space="preserve"> </w:t>
      </w:r>
    </w:p>
    <w:p w:rsidR="00C135C2" w:rsidRDefault="00C135C2" w:rsidP="0064074E">
      <w:pPr>
        <w:autoSpaceDE w:val="0"/>
        <w:autoSpaceDN w:val="0"/>
        <w:adjustRightInd w:val="0"/>
        <w:spacing w:after="0"/>
        <w:jc w:val="both"/>
        <w:rPr>
          <w:rFonts w:ascii="Times New Roman" w:hAnsi="Times New Roman" w:cs="Times New Roman"/>
          <w:color w:val="000000" w:themeColor="text1"/>
          <w:sz w:val="24"/>
        </w:rPr>
      </w:pPr>
    </w:p>
    <w:p w:rsidR="000100C8" w:rsidRPr="00C135C2" w:rsidRDefault="009C06FE" w:rsidP="0064074E">
      <w:pPr>
        <w:autoSpaceDE w:val="0"/>
        <w:autoSpaceDN w:val="0"/>
        <w:adjustRightInd w:val="0"/>
        <w:spacing w:after="0"/>
        <w:jc w:val="both"/>
        <w:rPr>
          <w:rFonts w:ascii="Times New Roman" w:hAnsi="Times New Roman" w:cs="Times New Roman"/>
          <w:color w:val="808080" w:themeColor="background1" w:themeShade="80"/>
          <w:sz w:val="24"/>
        </w:rPr>
      </w:pPr>
      <w:r w:rsidRPr="00094EF3">
        <w:rPr>
          <w:rFonts w:ascii="Times New Roman" w:hAnsi="Times New Roman" w:cs="Times New Roman"/>
          <w:color w:val="000000" w:themeColor="text1"/>
          <w:sz w:val="24"/>
        </w:rPr>
        <w:t xml:space="preserve">As noted by the ACCC in the discussion paper, both service tiers have historically been considered as equivalent to legacy offerings in the ADSL and cable market. </w:t>
      </w:r>
      <w:r w:rsidR="00C135C2">
        <w:rPr>
          <w:rFonts w:ascii="Times New Roman" w:hAnsi="Times New Roman" w:cs="Times New Roman"/>
          <w:color w:val="000000" w:themeColor="text1"/>
          <w:sz w:val="24"/>
        </w:rPr>
        <w:t xml:space="preserve">Moreover, ACCAN believes that the regulation of the 25/5Mbps speed tier is in alignment with the definition of a </w:t>
      </w:r>
      <w:r w:rsidR="00543D43">
        <w:rPr>
          <w:rFonts w:ascii="Times New Roman" w:hAnsi="Times New Roman" w:cs="Times New Roman"/>
          <w:color w:val="000000" w:themeColor="text1"/>
          <w:sz w:val="24"/>
        </w:rPr>
        <w:t>high-speed</w:t>
      </w:r>
      <w:r w:rsidR="00C135C2">
        <w:rPr>
          <w:rFonts w:ascii="Times New Roman" w:hAnsi="Times New Roman" w:cs="Times New Roman"/>
          <w:color w:val="000000" w:themeColor="text1"/>
          <w:sz w:val="24"/>
        </w:rPr>
        <w:t xml:space="preserve"> broadband service under the statement of expectations,</w:t>
      </w:r>
      <w:r w:rsidR="00C135C2">
        <w:rPr>
          <w:rStyle w:val="FootnoteReference"/>
          <w:rFonts w:ascii="Times New Roman" w:hAnsi="Times New Roman" w:cs="Times New Roman"/>
          <w:sz w:val="24"/>
          <w:szCs w:val="24"/>
        </w:rPr>
        <w:footnoteReference w:id="1"/>
      </w:r>
      <w:r w:rsidR="00C135C2">
        <w:rPr>
          <w:rFonts w:ascii="Times New Roman" w:hAnsi="Times New Roman" w:cs="Times New Roman"/>
          <w:color w:val="000000" w:themeColor="text1"/>
          <w:sz w:val="24"/>
        </w:rPr>
        <w:t xml:space="preserve"> and was intended to be the baseline broadband service consumers would transition onto.</w:t>
      </w:r>
    </w:p>
    <w:p w:rsidR="00CC1195" w:rsidRDefault="00CC1195" w:rsidP="00A44B29">
      <w:pPr>
        <w:autoSpaceDE w:val="0"/>
        <w:autoSpaceDN w:val="0"/>
        <w:adjustRightInd w:val="0"/>
        <w:spacing w:after="0" w:line="240" w:lineRule="auto"/>
        <w:rPr>
          <w:rFonts w:ascii="Times New Roman" w:hAnsi="Times New Roman" w:cs="Times New Roman"/>
          <w:sz w:val="24"/>
        </w:rPr>
      </w:pPr>
    </w:p>
    <w:p w:rsidR="0015460D" w:rsidRPr="006514CB" w:rsidRDefault="00B534AD" w:rsidP="00A44B29">
      <w:pPr>
        <w:autoSpaceDE w:val="0"/>
        <w:autoSpaceDN w:val="0"/>
        <w:adjustRightInd w:val="0"/>
        <w:spacing w:after="0" w:line="240" w:lineRule="auto"/>
        <w:rPr>
          <w:rFonts w:ascii="Times New Roman" w:hAnsi="Times New Roman" w:cs="Times New Roman"/>
          <w:i/>
          <w:iCs/>
          <w:color w:val="00B0F0"/>
          <w:sz w:val="24"/>
        </w:rPr>
      </w:pPr>
      <w:r w:rsidRPr="006514CB">
        <w:rPr>
          <w:rFonts w:ascii="Times New Roman" w:hAnsi="Times New Roman" w:cs="Times New Roman"/>
          <w:i/>
          <w:iCs/>
          <w:color w:val="00B0F0"/>
          <w:sz w:val="24"/>
        </w:rPr>
        <w:t>Voice migration</w:t>
      </w:r>
    </w:p>
    <w:p w:rsidR="00B534AD" w:rsidRDefault="00B534AD" w:rsidP="00A44B29">
      <w:pPr>
        <w:autoSpaceDE w:val="0"/>
        <w:autoSpaceDN w:val="0"/>
        <w:adjustRightInd w:val="0"/>
        <w:spacing w:after="0" w:line="240" w:lineRule="auto"/>
        <w:rPr>
          <w:rFonts w:ascii="Times New Roman" w:hAnsi="Times New Roman" w:cs="Times New Roman"/>
          <w:sz w:val="24"/>
        </w:rPr>
      </w:pPr>
    </w:p>
    <w:p w:rsidR="002E6B87" w:rsidRPr="00051958" w:rsidRDefault="00B534AD" w:rsidP="002E6B87">
      <w:pPr>
        <w:autoSpaceDE w:val="0"/>
        <w:autoSpaceDN w:val="0"/>
        <w:adjustRightInd w:val="0"/>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ACCAN believes that the pricing of equivalent voice services should </w:t>
      </w:r>
      <w:r w:rsidR="00D31C0E">
        <w:rPr>
          <w:rFonts w:ascii="Times New Roman" w:hAnsi="Times New Roman" w:cs="Times New Roman"/>
          <w:color w:val="000000" w:themeColor="text1"/>
          <w:sz w:val="24"/>
        </w:rPr>
        <w:t xml:space="preserve">also </w:t>
      </w:r>
      <w:r>
        <w:rPr>
          <w:rFonts w:ascii="Times New Roman" w:hAnsi="Times New Roman" w:cs="Times New Roman"/>
          <w:color w:val="000000" w:themeColor="text1"/>
          <w:sz w:val="24"/>
        </w:rPr>
        <w:t xml:space="preserve">be considered in the context of the inquiry into access pricing. ACCAN is concerned that the current pricing of voice only services at the wholesale and retail level is in excess of the efficient cost of provision, and that as a </w:t>
      </w:r>
      <w:r w:rsidR="00371495">
        <w:rPr>
          <w:rFonts w:ascii="Times New Roman" w:hAnsi="Times New Roman" w:cs="Times New Roman"/>
          <w:color w:val="000000" w:themeColor="text1"/>
          <w:sz w:val="24"/>
        </w:rPr>
        <w:t>consequence consumers</w:t>
      </w:r>
      <w:r>
        <w:rPr>
          <w:rFonts w:ascii="Times New Roman" w:hAnsi="Times New Roman" w:cs="Times New Roman"/>
          <w:color w:val="000000" w:themeColor="text1"/>
          <w:sz w:val="24"/>
        </w:rPr>
        <w:t xml:space="preserve"> seeking to maintain legacy voice services are fa</w:t>
      </w:r>
      <w:r w:rsidR="005D6603">
        <w:rPr>
          <w:rFonts w:ascii="Times New Roman" w:hAnsi="Times New Roman" w:cs="Times New Roman"/>
          <w:color w:val="000000" w:themeColor="text1"/>
          <w:sz w:val="24"/>
        </w:rPr>
        <w:t>cing higher than necessary prices</w:t>
      </w:r>
      <w:r>
        <w:rPr>
          <w:rFonts w:ascii="Times New Roman" w:hAnsi="Times New Roman" w:cs="Times New Roman"/>
          <w:color w:val="000000" w:themeColor="text1"/>
          <w:sz w:val="24"/>
        </w:rPr>
        <w:t xml:space="preserve">. </w:t>
      </w: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r w:rsidRPr="009B6577">
        <w:rPr>
          <w:rFonts w:ascii="Times New Roman" w:hAnsi="Times New Roman" w:cs="Times New Roman"/>
          <w:i/>
          <w:color w:val="00B0F0"/>
          <w:sz w:val="24"/>
        </w:rPr>
        <w:t xml:space="preserve">3. Do you consider that price regulation of a basic speed access product would </w:t>
      </w:r>
      <w:r w:rsidR="00FE14A8" w:rsidRPr="009B6577">
        <w:rPr>
          <w:rFonts w:ascii="Times New Roman" w:hAnsi="Times New Roman" w:cs="Times New Roman"/>
          <w:i/>
          <w:color w:val="00B0F0"/>
          <w:sz w:val="24"/>
        </w:rPr>
        <w:t xml:space="preserve">serve as an </w:t>
      </w:r>
      <w:r w:rsidRPr="009B6577">
        <w:rPr>
          <w:rFonts w:ascii="Times New Roman" w:hAnsi="Times New Roman" w:cs="Times New Roman"/>
          <w:i/>
          <w:color w:val="00B0F0"/>
          <w:sz w:val="24"/>
        </w:rPr>
        <w:t xml:space="preserve">effective price anchor on higher speed NBN services? </w:t>
      </w:r>
      <w:r w:rsidR="00FE14A8" w:rsidRPr="009B6577">
        <w:rPr>
          <w:rFonts w:ascii="Times New Roman" w:hAnsi="Times New Roman" w:cs="Times New Roman"/>
          <w:i/>
          <w:color w:val="00B0F0"/>
          <w:sz w:val="24"/>
        </w:rPr>
        <w:t xml:space="preserve">If so, for what range of higher </w:t>
      </w:r>
      <w:r w:rsidRPr="009B6577">
        <w:rPr>
          <w:rFonts w:ascii="Times New Roman" w:hAnsi="Times New Roman" w:cs="Times New Roman"/>
          <w:i/>
          <w:color w:val="00B0F0"/>
          <w:sz w:val="24"/>
        </w:rPr>
        <w:t>speed TC-4 access products would the price ter</w:t>
      </w:r>
      <w:r w:rsidR="00FE14A8" w:rsidRPr="009B6577">
        <w:rPr>
          <w:rFonts w:ascii="Times New Roman" w:hAnsi="Times New Roman" w:cs="Times New Roman"/>
          <w:i/>
          <w:color w:val="00B0F0"/>
          <w:sz w:val="24"/>
        </w:rPr>
        <w:t xml:space="preserve">ms for a TC-4 12/1 speed access </w:t>
      </w:r>
      <w:r w:rsidRPr="009B6577">
        <w:rPr>
          <w:rFonts w:ascii="Times New Roman" w:hAnsi="Times New Roman" w:cs="Times New Roman"/>
          <w:i/>
          <w:color w:val="00B0F0"/>
          <w:sz w:val="24"/>
        </w:rPr>
        <w:t>product provide an effective price anchor?</w:t>
      </w: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p>
    <w:p w:rsidR="00B04990" w:rsidRPr="00E60661" w:rsidRDefault="00FE14A8" w:rsidP="00E60661">
      <w:pPr>
        <w:autoSpaceDE w:val="0"/>
        <w:autoSpaceDN w:val="0"/>
        <w:adjustRightInd w:val="0"/>
        <w:spacing w:after="0"/>
        <w:jc w:val="both"/>
        <w:rPr>
          <w:rFonts w:ascii="Times New Roman" w:hAnsi="Times New Roman" w:cs="Times New Roman"/>
          <w:color w:val="000000" w:themeColor="text1"/>
          <w:sz w:val="24"/>
        </w:rPr>
      </w:pPr>
      <w:r w:rsidRPr="00E60661">
        <w:rPr>
          <w:rFonts w:ascii="Times New Roman" w:hAnsi="Times New Roman" w:cs="Times New Roman"/>
          <w:color w:val="000000" w:themeColor="text1"/>
          <w:sz w:val="24"/>
        </w:rPr>
        <w:t>ACCAN is concerned that the implementation of price regulation for the 12/1</w:t>
      </w:r>
      <w:r w:rsidR="00E17922">
        <w:rPr>
          <w:rFonts w:ascii="Times New Roman" w:hAnsi="Times New Roman" w:cs="Times New Roman"/>
          <w:color w:val="000000" w:themeColor="text1"/>
          <w:sz w:val="24"/>
        </w:rPr>
        <w:t>Mbps</w:t>
      </w:r>
      <w:r w:rsidRPr="00E60661">
        <w:rPr>
          <w:rFonts w:ascii="Times New Roman" w:hAnsi="Times New Roman" w:cs="Times New Roman"/>
          <w:color w:val="000000" w:themeColor="text1"/>
          <w:sz w:val="24"/>
        </w:rPr>
        <w:t xml:space="preserve"> access product would not operate as an effective anchor for higher speed NBN services. </w:t>
      </w:r>
      <w:r w:rsidR="008A52A8" w:rsidRPr="00E60661">
        <w:rPr>
          <w:rFonts w:ascii="Times New Roman" w:hAnsi="Times New Roman" w:cs="Times New Roman"/>
          <w:color w:val="000000" w:themeColor="text1"/>
          <w:sz w:val="24"/>
        </w:rPr>
        <w:t xml:space="preserve">Although price regulation </w:t>
      </w:r>
      <w:r w:rsidR="00755557" w:rsidRPr="00E60661">
        <w:rPr>
          <w:rFonts w:ascii="Times New Roman" w:hAnsi="Times New Roman" w:cs="Times New Roman"/>
          <w:color w:val="000000" w:themeColor="text1"/>
          <w:sz w:val="24"/>
        </w:rPr>
        <w:t xml:space="preserve">may have the effect of placing some pressure on the pricing of the 25/5Mbps speed tier, fundamentally the pricing approach adopted by NBN Co. will be focused on ensuring financial </w:t>
      </w:r>
      <w:r w:rsidR="00C512C5" w:rsidRPr="00E60661">
        <w:rPr>
          <w:rFonts w:ascii="Times New Roman" w:hAnsi="Times New Roman" w:cs="Times New Roman"/>
          <w:color w:val="000000" w:themeColor="text1"/>
          <w:sz w:val="24"/>
        </w:rPr>
        <w:t>outcomes</w:t>
      </w:r>
      <w:r w:rsidR="00755557" w:rsidRPr="00E60661">
        <w:rPr>
          <w:rFonts w:ascii="Times New Roman" w:hAnsi="Times New Roman" w:cs="Times New Roman"/>
          <w:color w:val="000000" w:themeColor="text1"/>
          <w:sz w:val="24"/>
        </w:rPr>
        <w:t xml:space="preserve"> are met. </w:t>
      </w:r>
    </w:p>
    <w:p w:rsidR="001B42B4" w:rsidRPr="00E60661" w:rsidRDefault="001B42B4" w:rsidP="00465057">
      <w:pPr>
        <w:autoSpaceDE w:val="0"/>
        <w:autoSpaceDN w:val="0"/>
        <w:adjustRightInd w:val="0"/>
        <w:spacing w:after="0"/>
        <w:rPr>
          <w:rFonts w:ascii="Times New Roman" w:hAnsi="Times New Roman" w:cs="Times New Roman"/>
          <w:color w:val="808080" w:themeColor="background1" w:themeShade="80"/>
          <w:sz w:val="24"/>
        </w:rPr>
      </w:pPr>
    </w:p>
    <w:p w:rsidR="00917803" w:rsidRPr="000B1DD7" w:rsidRDefault="00C512C5" w:rsidP="0001750B">
      <w:pPr>
        <w:autoSpaceDE w:val="0"/>
        <w:autoSpaceDN w:val="0"/>
        <w:adjustRightInd w:val="0"/>
        <w:spacing w:after="0"/>
        <w:jc w:val="both"/>
        <w:rPr>
          <w:rFonts w:ascii="Times New Roman" w:hAnsi="Times New Roman" w:cs="Times New Roman"/>
          <w:sz w:val="24"/>
        </w:rPr>
      </w:pPr>
      <w:r w:rsidRPr="00917803">
        <w:rPr>
          <w:rFonts w:ascii="Times New Roman" w:hAnsi="Times New Roman" w:cs="Times New Roman"/>
          <w:sz w:val="24"/>
        </w:rPr>
        <w:t xml:space="preserve">ACCAN does not foresee that </w:t>
      </w:r>
      <w:r w:rsidR="00E17922">
        <w:rPr>
          <w:rFonts w:ascii="Times New Roman" w:hAnsi="Times New Roman" w:cs="Times New Roman"/>
          <w:sz w:val="24"/>
        </w:rPr>
        <w:t>12/1</w:t>
      </w:r>
      <w:r w:rsidRPr="00917803">
        <w:rPr>
          <w:rFonts w:ascii="Times New Roman" w:hAnsi="Times New Roman" w:cs="Times New Roman"/>
          <w:sz w:val="24"/>
        </w:rPr>
        <w:t xml:space="preserve">Mbps regulated pricing would have any material effect on the pricing of higher speed service </w:t>
      </w:r>
      <w:r w:rsidR="000523B0" w:rsidRPr="00917803">
        <w:rPr>
          <w:rFonts w:ascii="Times New Roman" w:hAnsi="Times New Roman" w:cs="Times New Roman"/>
          <w:sz w:val="24"/>
        </w:rPr>
        <w:t xml:space="preserve">offerings. </w:t>
      </w:r>
      <w:r w:rsidR="00F20A7D" w:rsidRPr="00917803">
        <w:rPr>
          <w:rFonts w:ascii="Times New Roman" w:hAnsi="Times New Roman" w:cs="Times New Roman"/>
          <w:sz w:val="24"/>
        </w:rPr>
        <w:t>This is because the market for broadband services has moved away from lower speed offerings towards significantly faster than ADSL service tiers</w:t>
      </w:r>
      <w:r w:rsidR="00917803" w:rsidRPr="00917803">
        <w:rPr>
          <w:rFonts w:ascii="Times New Roman" w:hAnsi="Times New Roman" w:cs="Times New Roman"/>
          <w:sz w:val="24"/>
        </w:rPr>
        <w:t xml:space="preserve">. </w:t>
      </w:r>
      <w:r w:rsidR="00746CD0" w:rsidRPr="00917803">
        <w:rPr>
          <w:rFonts w:ascii="Times New Roman" w:hAnsi="Times New Roman" w:cs="Times New Roman"/>
          <w:sz w:val="24"/>
        </w:rPr>
        <w:t>NBN</w:t>
      </w:r>
      <w:r w:rsidR="00917803" w:rsidRPr="00917803">
        <w:rPr>
          <w:rFonts w:ascii="Times New Roman" w:hAnsi="Times New Roman" w:cs="Times New Roman"/>
          <w:sz w:val="24"/>
        </w:rPr>
        <w:t xml:space="preserve"> </w:t>
      </w:r>
      <w:proofErr w:type="spellStart"/>
      <w:r w:rsidR="00917803" w:rsidRPr="00917803">
        <w:rPr>
          <w:rFonts w:ascii="Times New Roman" w:hAnsi="Times New Roman" w:cs="Times New Roman"/>
          <w:sz w:val="24"/>
        </w:rPr>
        <w:t>Co’s</w:t>
      </w:r>
      <w:proofErr w:type="spellEnd"/>
      <w:r w:rsidR="00746CD0" w:rsidRPr="00917803">
        <w:rPr>
          <w:rFonts w:ascii="Times New Roman" w:hAnsi="Times New Roman" w:cs="Times New Roman"/>
          <w:sz w:val="24"/>
        </w:rPr>
        <w:t xml:space="preserve"> pricing strategy has induced the widespread adoption of higher speed service offerings, with the 50Mbps service tier now representing the benchmark service.</w:t>
      </w:r>
    </w:p>
    <w:p w:rsidR="0052628C" w:rsidRDefault="00917803" w:rsidP="0001750B">
      <w:pPr>
        <w:autoSpaceDE w:val="0"/>
        <w:autoSpaceDN w:val="0"/>
        <w:adjustRightInd w:val="0"/>
        <w:spacing w:after="0"/>
        <w:jc w:val="both"/>
        <w:rPr>
          <w:rFonts w:ascii="Times New Roman" w:hAnsi="Times New Roman" w:cs="Times New Roman"/>
          <w:sz w:val="24"/>
        </w:rPr>
      </w:pPr>
      <w:r w:rsidRPr="00917803">
        <w:rPr>
          <w:rFonts w:ascii="Times New Roman" w:hAnsi="Times New Roman" w:cs="Times New Roman"/>
          <w:sz w:val="24"/>
        </w:rPr>
        <w:lastRenderedPageBreak/>
        <w:t xml:space="preserve">In addition, ACCAN questions the merit of anchoring pricing to a service tier that represents the worst quality service offering present in the current market. </w:t>
      </w:r>
      <w:r>
        <w:rPr>
          <w:rFonts w:ascii="Times New Roman" w:hAnsi="Times New Roman" w:cs="Times New Roman"/>
          <w:sz w:val="24"/>
        </w:rPr>
        <w:t xml:space="preserve">Although the </w:t>
      </w:r>
      <w:r w:rsidR="00E17922">
        <w:rPr>
          <w:rFonts w:ascii="Times New Roman" w:hAnsi="Times New Roman" w:cs="Times New Roman"/>
          <w:sz w:val="24"/>
        </w:rPr>
        <w:t>12/1</w:t>
      </w:r>
      <w:r>
        <w:rPr>
          <w:rFonts w:ascii="Times New Roman" w:hAnsi="Times New Roman" w:cs="Times New Roman"/>
          <w:sz w:val="24"/>
        </w:rPr>
        <w:t xml:space="preserve">Mbps service tier remains appropriate for some exceptionally low users of internet services, the vast majority of consumers are unlikely to find this service tier meets their needs. </w:t>
      </w:r>
      <w:r w:rsidR="008C0531">
        <w:rPr>
          <w:rFonts w:ascii="Times New Roman" w:hAnsi="Times New Roman" w:cs="Times New Roman"/>
          <w:sz w:val="24"/>
        </w:rPr>
        <w:t>Furthermore, t</w:t>
      </w:r>
      <w:r w:rsidR="0052628C">
        <w:rPr>
          <w:rFonts w:ascii="Times New Roman" w:hAnsi="Times New Roman" w:cs="Times New Roman"/>
          <w:sz w:val="24"/>
        </w:rPr>
        <w:t xml:space="preserve">o the extent that the price regulation of the </w:t>
      </w:r>
      <w:r w:rsidR="00E17922">
        <w:rPr>
          <w:rFonts w:ascii="Times New Roman" w:hAnsi="Times New Roman" w:cs="Times New Roman"/>
          <w:sz w:val="24"/>
        </w:rPr>
        <w:t>12/1</w:t>
      </w:r>
      <w:r w:rsidR="0052628C">
        <w:rPr>
          <w:rFonts w:ascii="Times New Roman" w:hAnsi="Times New Roman" w:cs="Times New Roman"/>
          <w:sz w:val="24"/>
        </w:rPr>
        <w:t>Mbps service tier promotes uptake of these services by consumers, there is a material risk that should these services fail to meet consumer expectati</w:t>
      </w:r>
      <w:r w:rsidR="000B1DD7">
        <w:rPr>
          <w:rFonts w:ascii="Times New Roman" w:hAnsi="Times New Roman" w:cs="Times New Roman"/>
          <w:sz w:val="24"/>
        </w:rPr>
        <w:t xml:space="preserve">ons that consumers will </w:t>
      </w:r>
      <w:r w:rsidR="008C0531">
        <w:rPr>
          <w:rFonts w:ascii="Times New Roman" w:hAnsi="Times New Roman" w:cs="Times New Roman"/>
          <w:sz w:val="24"/>
        </w:rPr>
        <w:t xml:space="preserve">place a lower </w:t>
      </w:r>
      <w:r w:rsidR="000B1DD7">
        <w:rPr>
          <w:rFonts w:ascii="Times New Roman" w:hAnsi="Times New Roman" w:cs="Times New Roman"/>
          <w:sz w:val="24"/>
        </w:rPr>
        <w:t>value o</w:t>
      </w:r>
      <w:r w:rsidR="008C0531">
        <w:rPr>
          <w:rFonts w:ascii="Times New Roman" w:hAnsi="Times New Roman" w:cs="Times New Roman"/>
          <w:sz w:val="24"/>
        </w:rPr>
        <w:t>n</w:t>
      </w:r>
      <w:r w:rsidR="000B1DD7">
        <w:rPr>
          <w:rFonts w:ascii="Times New Roman" w:hAnsi="Times New Roman" w:cs="Times New Roman"/>
          <w:sz w:val="24"/>
        </w:rPr>
        <w:t xml:space="preserve"> </w:t>
      </w:r>
      <w:r w:rsidR="0052628C">
        <w:rPr>
          <w:rFonts w:ascii="Times New Roman" w:hAnsi="Times New Roman" w:cs="Times New Roman"/>
          <w:sz w:val="24"/>
        </w:rPr>
        <w:t>NBN services.</w:t>
      </w:r>
    </w:p>
    <w:p w:rsidR="00082334" w:rsidRDefault="00082334" w:rsidP="0001750B">
      <w:pPr>
        <w:autoSpaceDE w:val="0"/>
        <w:autoSpaceDN w:val="0"/>
        <w:adjustRightInd w:val="0"/>
        <w:spacing w:after="0"/>
        <w:jc w:val="both"/>
        <w:rPr>
          <w:rFonts w:ascii="Times New Roman" w:hAnsi="Times New Roman" w:cs="Times New Roman"/>
          <w:sz w:val="24"/>
        </w:rPr>
      </w:pPr>
    </w:p>
    <w:p w:rsidR="00082334" w:rsidRPr="00082334" w:rsidRDefault="00082334" w:rsidP="0001750B">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ACCAN is concerned that in the event consumers gravitate to 12/1Mbps services, that where these services do not meet consumer needs that there is likely to be a reduction in consumer willingness to pay and a reduction in the estimated value of NBN services. This concern is based on historical observations that where NBN services have failed to meet consumer expectations that the effect has been an increasing unwillingness on the part of consumers to transition or to delay transition. This effect is consistent with the established effect of information asymmetries</w:t>
      </w:r>
      <w:r w:rsidR="008C0531">
        <w:rPr>
          <w:rFonts w:ascii="Times New Roman" w:hAnsi="Times New Roman" w:cs="Times New Roman"/>
          <w:sz w:val="24"/>
        </w:rPr>
        <w:t>.</w:t>
      </w:r>
      <w:r>
        <w:rPr>
          <w:rStyle w:val="FootnoteReference"/>
          <w:rFonts w:ascii="Times New Roman" w:hAnsi="Times New Roman" w:cs="Times New Roman"/>
          <w:sz w:val="24"/>
        </w:rPr>
        <w:footnoteReference w:id="2"/>
      </w:r>
      <w:r>
        <w:rPr>
          <w:rFonts w:ascii="Times New Roman" w:hAnsi="Times New Roman" w:cs="Times New Roman"/>
          <w:sz w:val="24"/>
        </w:rPr>
        <w:t xml:space="preserve"> ACCAN notes that addressing this issue has been a significant component of the ACCC’s work on NBN service standards and broadband monitoring.</w:t>
      </w:r>
    </w:p>
    <w:p w:rsidR="00DE3AEE" w:rsidRDefault="00DE3AEE" w:rsidP="00465057">
      <w:pPr>
        <w:autoSpaceDE w:val="0"/>
        <w:autoSpaceDN w:val="0"/>
        <w:adjustRightInd w:val="0"/>
        <w:spacing w:after="0"/>
        <w:rPr>
          <w:rFonts w:ascii="Times New Roman" w:hAnsi="Times New Roman" w:cs="Times New Roman"/>
          <w:color w:val="808080" w:themeColor="background1" w:themeShade="80"/>
          <w:sz w:val="24"/>
        </w:rPr>
      </w:pPr>
    </w:p>
    <w:p w:rsidR="00082334" w:rsidRPr="00082334" w:rsidRDefault="00082334" w:rsidP="00082334">
      <w:pPr>
        <w:autoSpaceDE w:val="0"/>
        <w:autoSpaceDN w:val="0"/>
        <w:adjustRightInd w:val="0"/>
        <w:spacing w:after="0"/>
        <w:jc w:val="both"/>
        <w:rPr>
          <w:rFonts w:ascii="Times New Roman" w:hAnsi="Times New Roman" w:cs="Times New Roman"/>
          <w:sz w:val="24"/>
        </w:rPr>
      </w:pPr>
      <w:r w:rsidRPr="00082334">
        <w:rPr>
          <w:rFonts w:ascii="Times New Roman" w:hAnsi="Times New Roman" w:cs="Times New Roman"/>
          <w:sz w:val="24"/>
        </w:rPr>
        <w:t xml:space="preserve">Noting the potential for the anchoring effect to not exert sufficient pressure on NBN </w:t>
      </w:r>
      <w:proofErr w:type="spellStart"/>
      <w:r w:rsidRPr="00082334">
        <w:rPr>
          <w:rFonts w:ascii="Times New Roman" w:hAnsi="Times New Roman" w:cs="Times New Roman"/>
          <w:sz w:val="24"/>
        </w:rPr>
        <w:t>Co’s</w:t>
      </w:r>
      <w:proofErr w:type="spellEnd"/>
      <w:r w:rsidRPr="00082334">
        <w:rPr>
          <w:rFonts w:ascii="Times New Roman" w:hAnsi="Times New Roman" w:cs="Times New Roman"/>
          <w:sz w:val="24"/>
        </w:rPr>
        <w:t xml:space="preserve"> pricing approach, regulating the 25/5Mbps service directly would allow for the ACCC to exert pressure on both higher and lower speed tier pricing arrangements. In comparison, the regulation of the 12/1Mbps service offering might be reasonably expected to exert some pressure on 25/5Mbps services in the best case scenario, but is unlikely to have a significant effect on any speed tiers above this service.</w:t>
      </w:r>
      <w:r>
        <w:rPr>
          <w:rFonts w:ascii="Times New Roman" w:hAnsi="Times New Roman" w:cs="Times New Roman"/>
          <w:sz w:val="24"/>
        </w:rPr>
        <w:t xml:space="preserve"> Accordingly the price regulation of the 25/5Mbps service tier is likely to make greatest use of any anchoring effect and encourage consumers to acquire services that are consistent with their needs. </w:t>
      </w:r>
    </w:p>
    <w:p w:rsidR="0015460D" w:rsidRPr="00630513" w:rsidRDefault="0015460D" w:rsidP="00A44B29">
      <w:pPr>
        <w:autoSpaceDE w:val="0"/>
        <w:autoSpaceDN w:val="0"/>
        <w:adjustRightInd w:val="0"/>
        <w:spacing w:after="0" w:line="240" w:lineRule="auto"/>
        <w:rPr>
          <w:rFonts w:ascii="Times New Roman" w:hAnsi="Times New Roman" w:cs="Times New Roman"/>
          <w:color w:val="00B0F0"/>
          <w:sz w:val="24"/>
        </w:rPr>
      </w:pPr>
    </w:p>
    <w:p w:rsidR="00A44B29" w:rsidRPr="009B6577" w:rsidRDefault="00A44B29" w:rsidP="00A44B29">
      <w:pPr>
        <w:autoSpaceDE w:val="0"/>
        <w:autoSpaceDN w:val="0"/>
        <w:adjustRightInd w:val="0"/>
        <w:spacing w:after="0" w:line="240" w:lineRule="auto"/>
        <w:rPr>
          <w:rFonts w:ascii="Times New Roman" w:hAnsi="Times New Roman" w:cs="Times New Roman"/>
          <w:i/>
          <w:color w:val="00B0F0"/>
          <w:sz w:val="24"/>
        </w:rPr>
      </w:pPr>
      <w:r w:rsidRPr="009B6577">
        <w:rPr>
          <w:rFonts w:ascii="Times New Roman" w:hAnsi="Times New Roman" w:cs="Times New Roman"/>
          <w:i/>
          <w:color w:val="00B0F0"/>
          <w:sz w:val="24"/>
        </w:rPr>
        <w:t>4. Do you have any comments on the pricing prin</w:t>
      </w:r>
      <w:r w:rsidR="00FE14A8" w:rsidRPr="009B6577">
        <w:rPr>
          <w:rFonts w:ascii="Times New Roman" w:hAnsi="Times New Roman" w:cs="Times New Roman"/>
          <w:i/>
          <w:color w:val="00B0F0"/>
          <w:sz w:val="24"/>
        </w:rPr>
        <w:t xml:space="preserve">ciples proposed by the ACCC for </w:t>
      </w:r>
      <w:r w:rsidRPr="009B6577">
        <w:rPr>
          <w:rFonts w:ascii="Times New Roman" w:hAnsi="Times New Roman" w:cs="Times New Roman"/>
          <w:i/>
          <w:color w:val="00B0F0"/>
          <w:sz w:val="24"/>
        </w:rPr>
        <w:t xml:space="preserve">assessing NBN </w:t>
      </w:r>
      <w:proofErr w:type="spellStart"/>
      <w:r w:rsidRPr="009B6577">
        <w:rPr>
          <w:rFonts w:ascii="Times New Roman" w:hAnsi="Times New Roman" w:cs="Times New Roman"/>
          <w:i/>
          <w:color w:val="00B0F0"/>
          <w:sz w:val="24"/>
        </w:rPr>
        <w:t>Co’s</w:t>
      </w:r>
      <w:proofErr w:type="spellEnd"/>
      <w:r w:rsidRPr="009B6577">
        <w:rPr>
          <w:rFonts w:ascii="Times New Roman" w:hAnsi="Times New Roman" w:cs="Times New Roman"/>
          <w:i/>
          <w:color w:val="00B0F0"/>
          <w:sz w:val="24"/>
        </w:rPr>
        <w:t xml:space="preserve"> access prices?</w:t>
      </w:r>
    </w:p>
    <w:p w:rsidR="00A44B29" w:rsidRPr="008067C7" w:rsidRDefault="00A44B29" w:rsidP="00A44B29">
      <w:pPr>
        <w:autoSpaceDE w:val="0"/>
        <w:autoSpaceDN w:val="0"/>
        <w:adjustRightInd w:val="0"/>
        <w:spacing w:after="0" w:line="240" w:lineRule="auto"/>
        <w:rPr>
          <w:rFonts w:ascii="Times New Roman" w:hAnsi="Times New Roman" w:cs="Times New Roman"/>
          <w:color w:val="00B0F0"/>
          <w:sz w:val="24"/>
        </w:rPr>
      </w:pPr>
    </w:p>
    <w:p w:rsidR="00C512C5" w:rsidRDefault="00465057" w:rsidP="00D02F88">
      <w:pPr>
        <w:autoSpaceDE w:val="0"/>
        <w:autoSpaceDN w:val="0"/>
        <w:adjustRightInd w:val="0"/>
        <w:spacing w:after="0"/>
        <w:jc w:val="both"/>
        <w:rPr>
          <w:rFonts w:ascii="Times New Roman" w:hAnsi="Times New Roman" w:cs="Times New Roman"/>
          <w:sz w:val="24"/>
        </w:rPr>
      </w:pPr>
      <w:r w:rsidRPr="009B6577">
        <w:rPr>
          <w:rFonts w:ascii="Times New Roman" w:hAnsi="Times New Roman" w:cs="Times New Roman"/>
          <w:sz w:val="24"/>
        </w:rPr>
        <w:t xml:space="preserve">ACCAN is supportive of the principles articulated in the discussion paper. However, </w:t>
      </w:r>
      <w:r w:rsidR="001B42B4">
        <w:rPr>
          <w:rFonts w:ascii="Times New Roman" w:hAnsi="Times New Roman" w:cs="Times New Roman"/>
          <w:sz w:val="24"/>
        </w:rPr>
        <w:t xml:space="preserve">we remain concerned that the focus of the </w:t>
      </w:r>
      <w:r w:rsidR="005A3788">
        <w:rPr>
          <w:rFonts w:ascii="Times New Roman" w:hAnsi="Times New Roman" w:cs="Times New Roman"/>
          <w:sz w:val="24"/>
        </w:rPr>
        <w:t xml:space="preserve">pricing approach is on service offerings that no longer reflect consumer needs or demand. </w:t>
      </w:r>
      <w:r w:rsidR="003644F9">
        <w:rPr>
          <w:rFonts w:ascii="Times New Roman" w:hAnsi="Times New Roman" w:cs="Times New Roman"/>
          <w:sz w:val="24"/>
        </w:rPr>
        <w:t>ACCAN notes that the majority of the discussion within the paper is focused on services that do not reflect the typical service offering demanded by consumers, which is the 50Mbps service.</w:t>
      </w:r>
      <w:r w:rsidR="007767E4">
        <w:rPr>
          <w:rStyle w:val="FootnoteReference"/>
          <w:rFonts w:ascii="Times New Roman" w:hAnsi="Times New Roman" w:cs="Times New Roman"/>
          <w:sz w:val="24"/>
        </w:rPr>
        <w:footnoteReference w:id="3"/>
      </w:r>
      <w:r w:rsidR="003644F9">
        <w:rPr>
          <w:rFonts w:ascii="Times New Roman" w:hAnsi="Times New Roman" w:cs="Times New Roman"/>
          <w:sz w:val="24"/>
        </w:rPr>
        <w:t xml:space="preserve"> </w:t>
      </w:r>
    </w:p>
    <w:p w:rsidR="00A42877" w:rsidRDefault="00A42877" w:rsidP="00D02F88">
      <w:pPr>
        <w:autoSpaceDE w:val="0"/>
        <w:autoSpaceDN w:val="0"/>
        <w:adjustRightInd w:val="0"/>
        <w:spacing w:after="0"/>
        <w:jc w:val="both"/>
        <w:rPr>
          <w:rFonts w:ascii="Times New Roman" w:hAnsi="Times New Roman" w:cs="Times New Roman"/>
          <w:sz w:val="24"/>
        </w:rPr>
      </w:pPr>
    </w:p>
    <w:p w:rsidR="00DC5B12" w:rsidRDefault="00CC2C68" w:rsidP="005D3C9E">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Although ACCAN does </w:t>
      </w:r>
      <w:r w:rsidRPr="00761A63">
        <w:rPr>
          <w:rFonts w:ascii="Times New Roman" w:hAnsi="Times New Roman" w:cs="Times New Roman"/>
          <w:sz w:val="24"/>
        </w:rPr>
        <w:t>not believe that regulation of th</w:t>
      </w:r>
      <w:r w:rsidR="00E01848">
        <w:rPr>
          <w:rFonts w:ascii="Times New Roman" w:hAnsi="Times New Roman" w:cs="Times New Roman"/>
          <w:sz w:val="24"/>
        </w:rPr>
        <w:t>e 50Mbps</w:t>
      </w:r>
      <w:r w:rsidRPr="00761A63">
        <w:rPr>
          <w:rFonts w:ascii="Times New Roman" w:hAnsi="Times New Roman" w:cs="Times New Roman"/>
          <w:sz w:val="24"/>
        </w:rPr>
        <w:t xml:space="preserve"> </w:t>
      </w:r>
      <w:r w:rsidR="00E01848">
        <w:rPr>
          <w:rFonts w:ascii="Times New Roman" w:hAnsi="Times New Roman" w:cs="Times New Roman"/>
          <w:sz w:val="24"/>
        </w:rPr>
        <w:t xml:space="preserve">high-speed broadband </w:t>
      </w:r>
      <w:r w:rsidRPr="00761A63">
        <w:rPr>
          <w:rFonts w:ascii="Times New Roman" w:hAnsi="Times New Roman" w:cs="Times New Roman"/>
          <w:sz w:val="24"/>
        </w:rPr>
        <w:t>service is necessary, we do believe that the 25</w:t>
      </w:r>
      <w:r w:rsidR="00B07171">
        <w:rPr>
          <w:rFonts w:ascii="Times New Roman" w:hAnsi="Times New Roman" w:cs="Times New Roman"/>
          <w:sz w:val="24"/>
        </w:rPr>
        <w:t>/5</w:t>
      </w:r>
      <w:r w:rsidRPr="00761A63">
        <w:rPr>
          <w:rFonts w:ascii="Times New Roman" w:hAnsi="Times New Roman" w:cs="Times New Roman"/>
          <w:sz w:val="24"/>
        </w:rPr>
        <w:t xml:space="preserve">Mbps is </w:t>
      </w:r>
      <w:r w:rsidR="00D02F88" w:rsidRPr="00761A63">
        <w:rPr>
          <w:rFonts w:ascii="Times New Roman" w:hAnsi="Times New Roman" w:cs="Times New Roman"/>
          <w:sz w:val="24"/>
        </w:rPr>
        <w:t xml:space="preserve">the </w:t>
      </w:r>
      <w:r w:rsidR="005D3C9E" w:rsidRPr="00761A63">
        <w:rPr>
          <w:rFonts w:ascii="Times New Roman" w:hAnsi="Times New Roman" w:cs="Times New Roman"/>
          <w:sz w:val="24"/>
        </w:rPr>
        <w:t xml:space="preserve">appropriate service tier for intervention. </w:t>
      </w:r>
      <w:r w:rsidR="00E075D4">
        <w:rPr>
          <w:rFonts w:ascii="Times New Roman" w:hAnsi="Times New Roman" w:cs="Times New Roman"/>
          <w:sz w:val="24"/>
        </w:rPr>
        <w:t>Regulated pricing</w:t>
      </w:r>
      <w:r w:rsidR="008D252C" w:rsidRPr="00761A63">
        <w:rPr>
          <w:rFonts w:ascii="Times New Roman" w:hAnsi="Times New Roman" w:cs="Times New Roman"/>
          <w:sz w:val="24"/>
        </w:rPr>
        <w:t xml:space="preserve"> for this tier would </w:t>
      </w:r>
      <w:r w:rsidR="00DC5B12" w:rsidRPr="00761A63">
        <w:rPr>
          <w:rFonts w:ascii="Times New Roman" w:hAnsi="Times New Roman" w:cs="Times New Roman"/>
          <w:sz w:val="24"/>
        </w:rPr>
        <w:t xml:space="preserve">allow for anchoring of both </w:t>
      </w:r>
      <w:r w:rsidR="00761A63" w:rsidRPr="00761A63">
        <w:rPr>
          <w:rFonts w:ascii="Times New Roman" w:hAnsi="Times New Roman" w:cs="Times New Roman"/>
          <w:sz w:val="24"/>
        </w:rPr>
        <w:t>higher and lower speed services</w:t>
      </w:r>
      <w:r w:rsidR="00E075D4">
        <w:rPr>
          <w:rFonts w:ascii="Times New Roman" w:hAnsi="Times New Roman" w:cs="Times New Roman"/>
          <w:sz w:val="24"/>
        </w:rPr>
        <w:t xml:space="preserve"> by reference to an entry level broadband service.</w:t>
      </w:r>
    </w:p>
    <w:p w:rsidR="00A42877" w:rsidRDefault="00A42877" w:rsidP="005D3C9E">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lastRenderedPageBreak/>
        <w:t xml:space="preserve">ACCAN believes that the pricing of NBN services should be defined by reference to the theoretically efficient market outcome. Accordingly, rather than benchmark prices against ADSL+ pricing observed in the market approximately a decade ago, the focus of pricing should be on what the efficient price should be for the existing infrastructure. In light of the material uplift in the capability of the underlying asset, it is therefore difficult to conclude that the </w:t>
      </w:r>
      <w:r w:rsidR="00E17922">
        <w:rPr>
          <w:rFonts w:ascii="Times New Roman" w:hAnsi="Times New Roman" w:cs="Times New Roman"/>
          <w:sz w:val="24"/>
        </w:rPr>
        <w:t>12/1</w:t>
      </w:r>
      <w:r>
        <w:rPr>
          <w:rFonts w:ascii="Times New Roman" w:hAnsi="Times New Roman" w:cs="Times New Roman"/>
          <w:sz w:val="24"/>
        </w:rPr>
        <w:t xml:space="preserve">Mbps is likely to be the relevant service tier. Rather, at </w:t>
      </w:r>
      <w:r w:rsidR="00F31C10">
        <w:rPr>
          <w:rFonts w:ascii="Times New Roman" w:hAnsi="Times New Roman" w:cs="Times New Roman"/>
          <w:sz w:val="24"/>
        </w:rPr>
        <w:t>a minimum</w:t>
      </w:r>
      <w:r>
        <w:rPr>
          <w:rFonts w:ascii="Times New Roman" w:hAnsi="Times New Roman" w:cs="Times New Roman"/>
          <w:sz w:val="24"/>
        </w:rPr>
        <w:t xml:space="preserve"> a high-speed broadband service as defined in the statement of expectations as a </w:t>
      </w:r>
      <w:r w:rsidR="00B07171">
        <w:rPr>
          <w:rFonts w:ascii="Times New Roman" w:hAnsi="Times New Roman" w:cs="Times New Roman"/>
          <w:sz w:val="24"/>
        </w:rPr>
        <w:t>25/5</w:t>
      </w:r>
      <w:r>
        <w:rPr>
          <w:rFonts w:ascii="Times New Roman" w:hAnsi="Times New Roman" w:cs="Times New Roman"/>
          <w:sz w:val="24"/>
        </w:rPr>
        <w:t xml:space="preserve">Mbps service is likely to be the relevant benchmark. </w:t>
      </w:r>
    </w:p>
    <w:p w:rsidR="00A42877" w:rsidRDefault="00A42877" w:rsidP="005D3C9E">
      <w:pPr>
        <w:autoSpaceDE w:val="0"/>
        <w:autoSpaceDN w:val="0"/>
        <w:adjustRightInd w:val="0"/>
        <w:spacing w:after="0"/>
        <w:jc w:val="both"/>
        <w:rPr>
          <w:rFonts w:ascii="Times New Roman" w:hAnsi="Times New Roman" w:cs="Times New Roman"/>
          <w:sz w:val="24"/>
        </w:rPr>
      </w:pPr>
    </w:p>
    <w:p w:rsidR="00DC5B12" w:rsidRPr="005D3C9E" w:rsidRDefault="00DC5B12" w:rsidP="005D3C9E">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The regulation of the </w:t>
      </w:r>
      <w:r w:rsidR="00B07171">
        <w:rPr>
          <w:rFonts w:ascii="Times New Roman" w:hAnsi="Times New Roman" w:cs="Times New Roman"/>
          <w:sz w:val="24"/>
        </w:rPr>
        <w:t>25/5</w:t>
      </w:r>
      <w:r>
        <w:rPr>
          <w:rFonts w:ascii="Times New Roman" w:hAnsi="Times New Roman" w:cs="Times New Roman"/>
          <w:sz w:val="24"/>
        </w:rPr>
        <w:t xml:space="preserve">Mbps service tier would exert pressure on NBN Co and retailers to offer ADSL replacement services at price points below that of an entry level broadband offering. </w:t>
      </w:r>
      <w:r w:rsidR="0027403A">
        <w:rPr>
          <w:rFonts w:ascii="Times New Roman" w:hAnsi="Times New Roman" w:cs="Times New Roman"/>
          <w:sz w:val="24"/>
        </w:rPr>
        <w:t xml:space="preserve">Moreover, regulation of the </w:t>
      </w:r>
      <w:r w:rsidR="00B07171">
        <w:rPr>
          <w:rFonts w:ascii="Times New Roman" w:hAnsi="Times New Roman" w:cs="Times New Roman"/>
          <w:sz w:val="24"/>
        </w:rPr>
        <w:t>25/5</w:t>
      </w:r>
      <w:r w:rsidR="0027403A">
        <w:rPr>
          <w:rFonts w:ascii="Times New Roman" w:hAnsi="Times New Roman" w:cs="Times New Roman"/>
          <w:sz w:val="24"/>
        </w:rPr>
        <w:t>Mbps service would exert some pressure on the 50Mbps service tier pricing structure, with this offer now reflecting the default service tier for the vast majority of consumers.</w:t>
      </w:r>
    </w:p>
    <w:p w:rsidR="005D3C9E" w:rsidRDefault="00A44B29" w:rsidP="009B6A2F">
      <w:pPr>
        <w:spacing w:before="100" w:beforeAutospacing="1" w:after="100" w:afterAutospacing="1"/>
        <w:jc w:val="both"/>
        <w:rPr>
          <w:rFonts w:ascii="Times New Roman" w:hAnsi="Times New Roman" w:cs="Times New Roman"/>
          <w:i/>
          <w:color w:val="00B0F0"/>
          <w:sz w:val="24"/>
        </w:rPr>
      </w:pPr>
      <w:r w:rsidRPr="009B6577">
        <w:rPr>
          <w:rFonts w:ascii="Times New Roman" w:hAnsi="Times New Roman" w:cs="Times New Roman"/>
          <w:i/>
          <w:color w:val="00B0F0"/>
          <w:sz w:val="24"/>
        </w:rPr>
        <w:t xml:space="preserve">5. Do you consider that any other changes to NBN </w:t>
      </w:r>
      <w:proofErr w:type="spellStart"/>
      <w:r w:rsidRPr="009B6577">
        <w:rPr>
          <w:rFonts w:ascii="Times New Roman" w:hAnsi="Times New Roman" w:cs="Times New Roman"/>
          <w:i/>
          <w:color w:val="00B0F0"/>
          <w:sz w:val="24"/>
        </w:rPr>
        <w:t>Co’s</w:t>
      </w:r>
      <w:proofErr w:type="spellEnd"/>
      <w:r w:rsidRPr="009B6577">
        <w:rPr>
          <w:rFonts w:ascii="Times New Roman" w:hAnsi="Times New Roman" w:cs="Times New Roman"/>
          <w:i/>
          <w:color w:val="00B0F0"/>
          <w:sz w:val="24"/>
        </w:rPr>
        <w:t xml:space="preserve"> </w:t>
      </w:r>
      <w:r w:rsidR="00FE14A8" w:rsidRPr="009B6577">
        <w:rPr>
          <w:rFonts w:ascii="Times New Roman" w:hAnsi="Times New Roman" w:cs="Times New Roman"/>
          <w:i/>
          <w:color w:val="00B0F0"/>
          <w:sz w:val="24"/>
        </w:rPr>
        <w:t xml:space="preserve">current approach to pricing NBN </w:t>
      </w:r>
      <w:r w:rsidRPr="009B6577">
        <w:rPr>
          <w:rFonts w:ascii="Times New Roman" w:hAnsi="Times New Roman" w:cs="Times New Roman"/>
          <w:i/>
          <w:color w:val="00B0F0"/>
          <w:sz w:val="24"/>
        </w:rPr>
        <w:t>access services are required to provide pricing cert</w:t>
      </w:r>
      <w:r w:rsidR="00FE14A8" w:rsidRPr="009B6577">
        <w:rPr>
          <w:rFonts w:ascii="Times New Roman" w:hAnsi="Times New Roman" w:cs="Times New Roman"/>
          <w:i/>
          <w:color w:val="00B0F0"/>
          <w:sz w:val="24"/>
        </w:rPr>
        <w:t xml:space="preserve">ainty for access seekers and to </w:t>
      </w:r>
      <w:r w:rsidRPr="009B6577">
        <w:rPr>
          <w:rFonts w:ascii="Times New Roman" w:hAnsi="Times New Roman" w:cs="Times New Roman"/>
          <w:i/>
          <w:color w:val="00B0F0"/>
          <w:sz w:val="24"/>
        </w:rPr>
        <w:t>safeguard the interests of end-users?</w:t>
      </w:r>
    </w:p>
    <w:p w:rsidR="009B6A2F" w:rsidRPr="00E60661" w:rsidRDefault="009B6A2F" w:rsidP="009B6A2F">
      <w:pPr>
        <w:spacing w:before="100" w:beforeAutospacing="1" w:after="100" w:afterAutospacing="1"/>
        <w:jc w:val="both"/>
        <w:rPr>
          <w:rFonts w:ascii="Times New Roman" w:eastAsia="Arial Unicode MS" w:hAnsi="Times New Roman" w:cs="Times New Roman"/>
          <w:sz w:val="24"/>
          <w:lang w:val="en-IE" w:eastAsia="en-AU" w:bidi="hi-IN"/>
        </w:rPr>
      </w:pPr>
      <w:r w:rsidRPr="00E60661">
        <w:rPr>
          <w:rFonts w:ascii="Times New Roman" w:eastAsia="Arial Unicode MS" w:hAnsi="Times New Roman" w:cs="Times New Roman"/>
          <w:sz w:val="24"/>
          <w:lang w:val="en-IE" w:eastAsia="en-AU" w:bidi="hi-IN"/>
        </w:rPr>
        <w:t xml:space="preserve">ACCAN is supportive of the creation of a regular time frame for the re-consideration of pricing arrangements in order to support confidence and facilitate medium to long term planning of retail pricing. Accordingly we support the introduction of a standard framework for reviewing discounts and prices every 2-years following the completion of the rollout. </w:t>
      </w:r>
    </w:p>
    <w:p w:rsidR="009B6A2F" w:rsidRPr="00E60661" w:rsidRDefault="009B6A2F" w:rsidP="009B6A2F">
      <w:pPr>
        <w:spacing w:before="100" w:beforeAutospacing="1" w:after="100" w:afterAutospacing="1"/>
        <w:jc w:val="both"/>
        <w:rPr>
          <w:rFonts w:ascii="Times New Roman" w:eastAsia="Arial Unicode MS" w:hAnsi="Times New Roman" w:cs="Times New Roman"/>
          <w:sz w:val="24"/>
          <w:lang w:val="en-IE" w:eastAsia="en-AU" w:bidi="hi-IN"/>
        </w:rPr>
      </w:pPr>
      <w:r w:rsidRPr="00E60661">
        <w:rPr>
          <w:rFonts w:ascii="Times New Roman" w:eastAsia="Arial Unicode MS" w:hAnsi="Times New Roman" w:cs="Times New Roman"/>
          <w:sz w:val="24"/>
          <w:lang w:val="en-IE" w:eastAsia="en-AU" w:bidi="hi-IN"/>
        </w:rPr>
        <w:t xml:space="preserve">Prior to the completion of the migration and establishment of a mature pricing framework we consider that there are grounds for more frequent reviews of discounting and pricing arrangements in order to support the development of a sound pricing approach. Accordingly in the immediate future the adoption of a standard annualized review framework is desirable for the development of pricing arrangements for those segments of the market that are particularly price sensitive. </w:t>
      </w:r>
    </w:p>
    <w:p w:rsidR="009B6A2F" w:rsidRPr="00E60661" w:rsidRDefault="009B6A2F" w:rsidP="009B6A2F">
      <w:pPr>
        <w:spacing w:before="100" w:beforeAutospacing="1" w:after="100" w:afterAutospacing="1"/>
        <w:jc w:val="both"/>
        <w:rPr>
          <w:rFonts w:ascii="Times New Roman" w:eastAsia="Arial Unicode MS" w:hAnsi="Times New Roman" w:cs="Times New Roman"/>
          <w:sz w:val="24"/>
          <w:lang w:val="en-IE" w:eastAsia="en-AU" w:bidi="hi-IN"/>
        </w:rPr>
      </w:pPr>
      <w:r w:rsidRPr="00E60661">
        <w:rPr>
          <w:rFonts w:ascii="Times New Roman" w:eastAsia="Arial Unicode MS" w:hAnsi="Times New Roman" w:cs="Times New Roman"/>
          <w:sz w:val="24"/>
          <w:lang w:val="en-IE" w:eastAsia="en-AU" w:bidi="hi-IN"/>
        </w:rPr>
        <w:t xml:space="preserve">ACCAN does not support the use of discounts as the primary mechanism for setting NBN </w:t>
      </w:r>
      <w:proofErr w:type="spellStart"/>
      <w:r w:rsidRPr="00E60661">
        <w:rPr>
          <w:rFonts w:ascii="Times New Roman" w:eastAsia="Arial Unicode MS" w:hAnsi="Times New Roman" w:cs="Times New Roman"/>
          <w:sz w:val="24"/>
          <w:lang w:val="en-IE" w:eastAsia="en-AU" w:bidi="hi-IN"/>
        </w:rPr>
        <w:t>Co’s</w:t>
      </w:r>
      <w:proofErr w:type="spellEnd"/>
      <w:r w:rsidRPr="00E60661">
        <w:rPr>
          <w:rFonts w:ascii="Times New Roman" w:eastAsia="Arial Unicode MS" w:hAnsi="Times New Roman" w:cs="Times New Roman"/>
          <w:sz w:val="24"/>
          <w:lang w:val="en-IE" w:eastAsia="en-AU" w:bidi="hi-IN"/>
        </w:rPr>
        <w:t xml:space="preserve"> prices. The use of discounts does not provide sufficient stability to allow RSPs to build and market products or set retail prices with confidence. This can lead to RSPs embedding a risk premium into their retail prices to constrain any revenue risks they may face due to the mismatch of discount period with contract terms. ACCAN is also concerned that if discounts are withdrawn that consumers may face price rises and be unable to afford </w:t>
      </w:r>
      <w:r w:rsidR="00E01848">
        <w:rPr>
          <w:rFonts w:ascii="Times New Roman" w:eastAsia="Arial Unicode MS" w:hAnsi="Times New Roman" w:cs="Times New Roman"/>
          <w:sz w:val="24"/>
          <w:lang w:val="en-IE" w:eastAsia="en-AU" w:bidi="hi-IN"/>
        </w:rPr>
        <w:t xml:space="preserve">previously discounted </w:t>
      </w:r>
      <w:r w:rsidR="00E01848" w:rsidRPr="00E60661">
        <w:rPr>
          <w:rFonts w:ascii="Times New Roman" w:eastAsia="Arial Unicode MS" w:hAnsi="Times New Roman" w:cs="Times New Roman"/>
          <w:sz w:val="24"/>
          <w:lang w:val="en-IE" w:eastAsia="en-AU" w:bidi="hi-IN"/>
        </w:rPr>
        <w:t>services</w:t>
      </w:r>
      <w:proofErr w:type="gramStart"/>
      <w:r w:rsidR="00E01848">
        <w:rPr>
          <w:rFonts w:ascii="Times New Roman" w:eastAsia="Arial Unicode MS" w:hAnsi="Times New Roman" w:cs="Times New Roman"/>
          <w:sz w:val="24"/>
          <w:lang w:val="en-IE" w:eastAsia="en-AU" w:bidi="hi-IN"/>
        </w:rPr>
        <w:t>.</w:t>
      </w:r>
      <w:r w:rsidRPr="00E60661">
        <w:rPr>
          <w:rFonts w:ascii="Times New Roman" w:eastAsia="Arial Unicode MS" w:hAnsi="Times New Roman" w:cs="Times New Roman"/>
          <w:sz w:val="24"/>
          <w:lang w:val="en-IE" w:eastAsia="en-AU" w:bidi="hi-IN"/>
        </w:rPr>
        <w:t>.</w:t>
      </w:r>
      <w:proofErr w:type="gramEnd"/>
      <w:r w:rsidRPr="00E60661">
        <w:rPr>
          <w:rFonts w:ascii="Times New Roman" w:eastAsia="Arial Unicode MS" w:hAnsi="Times New Roman" w:cs="Times New Roman"/>
          <w:sz w:val="24"/>
          <w:lang w:val="en-IE" w:eastAsia="en-AU" w:bidi="hi-IN"/>
        </w:rPr>
        <w:t xml:space="preserve"> </w:t>
      </w:r>
    </w:p>
    <w:p w:rsidR="00A32934" w:rsidRPr="00E60661" w:rsidRDefault="009B6A2F" w:rsidP="00850FB2">
      <w:pPr>
        <w:spacing w:before="100" w:beforeAutospacing="1" w:after="100" w:afterAutospacing="1"/>
        <w:jc w:val="both"/>
        <w:rPr>
          <w:rFonts w:ascii="Times New Roman" w:eastAsia="Arial Unicode MS" w:hAnsi="Times New Roman" w:cs="Times New Roman"/>
          <w:sz w:val="24"/>
          <w:lang w:val="en-IE" w:eastAsia="en-AU" w:bidi="hi-IN"/>
        </w:rPr>
      </w:pPr>
      <w:r w:rsidRPr="00E60661">
        <w:rPr>
          <w:rFonts w:ascii="Times New Roman" w:eastAsia="Arial Unicode MS" w:hAnsi="Times New Roman" w:cs="Times New Roman"/>
          <w:sz w:val="24"/>
          <w:lang w:val="en-IE" w:eastAsia="en-AU" w:bidi="hi-IN"/>
        </w:rPr>
        <w:t>ACCAN believes than an important first step is to develop service offerings at different price points to ensure that consumers are not faced with stable but unaffordable service</w:t>
      </w:r>
      <w:r w:rsidR="00AD0A95">
        <w:rPr>
          <w:rFonts w:ascii="Times New Roman" w:eastAsia="Arial Unicode MS" w:hAnsi="Times New Roman" w:cs="Times New Roman"/>
          <w:sz w:val="24"/>
          <w:lang w:val="en-IE" w:eastAsia="en-AU" w:bidi="hi-IN"/>
        </w:rPr>
        <w:t>s.</w:t>
      </w:r>
      <w:r w:rsidRPr="00E60661">
        <w:rPr>
          <w:rFonts w:ascii="Times New Roman" w:eastAsia="Arial Unicode MS" w:hAnsi="Times New Roman" w:cs="Times New Roman"/>
          <w:sz w:val="24"/>
          <w:lang w:val="en-IE" w:eastAsia="en-AU" w:bidi="hi-IN"/>
        </w:rPr>
        <w:t xml:space="preserve"> At the same time, we believe that it is important for NBN Co. to carefully balance the use of discounts as a pricing mechanism against the need for stable and predictable pricing arrangements to underpin retail service provision. </w:t>
      </w:r>
    </w:p>
    <w:p w:rsidR="00390590" w:rsidRPr="0061431D" w:rsidRDefault="0061431D" w:rsidP="0061431D">
      <w:pPr>
        <w:keepNext/>
        <w:keepLines/>
        <w:pageBreakBefore/>
        <w:suppressAutoHyphens/>
        <w:spacing w:before="28" w:after="0" w:line="240" w:lineRule="auto"/>
        <w:jc w:val="both"/>
        <w:outlineLvl w:val="0"/>
        <w:rPr>
          <w:rFonts w:ascii="Calibri" w:eastAsia="Arial Unicode MS" w:hAnsi="Calibri" w:cs="font331"/>
          <w:bCs/>
          <w:color w:val="000000" w:themeColor="text1"/>
          <w:kern w:val="1"/>
          <w:sz w:val="44"/>
          <w:szCs w:val="28"/>
          <w:lang w:val="en-IE" w:eastAsia="hi-IN" w:bidi="hi-IN"/>
        </w:rPr>
      </w:pPr>
      <w:bookmarkStart w:id="3" w:name="_Toc25923645"/>
      <w:r>
        <w:rPr>
          <w:rFonts w:ascii="Calibri" w:eastAsia="Arial Unicode MS" w:hAnsi="Calibri" w:cs="font331"/>
          <w:bCs/>
          <w:color w:val="000000" w:themeColor="text1"/>
          <w:kern w:val="1"/>
          <w:sz w:val="44"/>
          <w:szCs w:val="28"/>
          <w:lang w:val="en-IE" w:eastAsia="hi-IN" w:bidi="hi-IN"/>
        </w:rPr>
        <w:lastRenderedPageBreak/>
        <w:t>NBN access pricing</w:t>
      </w:r>
      <w:bookmarkEnd w:id="3"/>
      <w:r>
        <w:rPr>
          <w:rFonts w:ascii="Calibri" w:eastAsia="Arial Unicode MS" w:hAnsi="Calibri" w:cs="font331"/>
          <w:bCs/>
          <w:color w:val="000000" w:themeColor="text1"/>
          <w:kern w:val="1"/>
          <w:sz w:val="44"/>
          <w:szCs w:val="28"/>
          <w:lang w:val="en-IE" w:eastAsia="hi-IN" w:bidi="hi-IN"/>
        </w:rPr>
        <w:t xml:space="preserve"> </w:t>
      </w:r>
    </w:p>
    <w:p w:rsidR="0061431D" w:rsidRDefault="0061431D" w:rsidP="00390590">
      <w:pPr>
        <w:autoSpaceDE w:val="0"/>
        <w:autoSpaceDN w:val="0"/>
        <w:adjustRightInd w:val="0"/>
        <w:spacing w:after="0" w:line="240" w:lineRule="auto"/>
        <w:rPr>
          <w:rFonts w:ascii="Times New Roman" w:hAnsi="Times New Roman" w:cs="Times New Roman"/>
          <w:i/>
          <w:color w:val="00B0F0"/>
          <w:sz w:val="24"/>
        </w:rPr>
      </w:pPr>
    </w:p>
    <w:p w:rsidR="00390590" w:rsidRPr="009B6577" w:rsidRDefault="00390590" w:rsidP="00390590">
      <w:pPr>
        <w:autoSpaceDE w:val="0"/>
        <w:autoSpaceDN w:val="0"/>
        <w:adjustRightInd w:val="0"/>
        <w:spacing w:after="0" w:line="240" w:lineRule="auto"/>
        <w:rPr>
          <w:rFonts w:ascii="Times New Roman" w:hAnsi="Times New Roman" w:cs="Times New Roman"/>
          <w:i/>
          <w:color w:val="00B0F0"/>
          <w:sz w:val="24"/>
        </w:rPr>
      </w:pPr>
      <w:r w:rsidRPr="009B6577">
        <w:rPr>
          <w:rFonts w:ascii="Times New Roman" w:hAnsi="Times New Roman" w:cs="Times New Roman"/>
          <w:i/>
          <w:color w:val="00B0F0"/>
          <w:sz w:val="24"/>
        </w:rPr>
        <w:t>6. Do the pricing features covered in this section represent t</w:t>
      </w:r>
      <w:r w:rsidR="00FE14A8" w:rsidRPr="009B6577">
        <w:rPr>
          <w:rFonts w:ascii="Times New Roman" w:hAnsi="Times New Roman" w:cs="Times New Roman"/>
          <w:i/>
          <w:color w:val="00B0F0"/>
          <w:sz w:val="24"/>
        </w:rPr>
        <w:t xml:space="preserve">he key pricing elements bearing </w:t>
      </w:r>
      <w:r w:rsidRPr="009B6577">
        <w:rPr>
          <w:rFonts w:ascii="Times New Roman" w:hAnsi="Times New Roman" w:cs="Times New Roman"/>
          <w:i/>
          <w:color w:val="00B0F0"/>
          <w:sz w:val="24"/>
        </w:rPr>
        <w:t>on the supply of entry level NBN services to end-users by RSPs?</w:t>
      </w:r>
    </w:p>
    <w:p w:rsidR="00390590" w:rsidRPr="009B6577" w:rsidRDefault="00390590" w:rsidP="00390590">
      <w:pPr>
        <w:autoSpaceDE w:val="0"/>
        <w:autoSpaceDN w:val="0"/>
        <w:adjustRightInd w:val="0"/>
        <w:spacing w:after="0" w:line="240" w:lineRule="auto"/>
        <w:rPr>
          <w:rFonts w:ascii="Times New Roman" w:hAnsi="Times New Roman" w:cs="Times New Roman"/>
          <w:i/>
          <w:color w:val="00B0F0"/>
          <w:sz w:val="24"/>
        </w:rPr>
      </w:pPr>
    </w:p>
    <w:p w:rsidR="00382608" w:rsidRPr="00DA4717" w:rsidRDefault="00582651" w:rsidP="00582651">
      <w:pPr>
        <w:autoSpaceDE w:val="0"/>
        <w:autoSpaceDN w:val="0"/>
        <w:adjustRightInd w:val="0"/>
        <w:spacing w:after="0"/>
        <w:jc w:val="both"/>
        <w:rPr>
          <w:rFonts w:ascii="Times New Roman" w:hAnsi="Times New Roman" w:cs="Times New Roman"/>
          <w:color w:val="000000" w:themeColor="text1"/>
          <w:sz w:val="24"/>
        </w:rPr>
      </w:pPr>
      <w:r w:rsidRPr="009A5DC2">
        <w:rPr>
          <w:rFonts w:ascii="Times New Roman" w:hAnsi="Times New Roman" w:cs="Times New Roman"/>
          <w:sz w:val="24"/>
        </w:rPr>
        <w:t xml:space="preserve">ACCAN’s view is that the primary pricing elements in the supply chain are reflected in the discussion paper. </w:t>
      </w:r>
      <w:r w:rsidR="00DA4717">
        <w:rPr>
          <w:rFonts w:ascii="Times New Roman" w:hAnsi="Times New Roman" w:cs="Times New Roman"/>
          <w:sz w:val="24"/>
        </w:rPr>
        <w:t>The</w:t>
      </w:r>
      <w:r w:rsidR="006F60D0" w:rsidRPr="009A5DC2">
        <w:rPr>
          <w:rFonts w:ascii="Times New Roman" w:hAnsi="Times New Roman" w:cs="Times New Roman"/>
          <w:sz w:val="24"/>
        </w:rPr>
        <w:t xml:space="preserve"> pricing elements </w:t>
      </w:r>
      <w:r w:rsidR="006F60D0" w:rsidRPr="00DA4717">
        <w:rPr>
          <w:rFonts w:ascii="Times New Roman" w:hAnsi="Times New Roman" w:cs="Times New Roman"/>
          <w:color w:val="000000" w:themeColor="text1"/>
          <w:sz w:val="24"/>
        </w:rPr>
        <w:t xml:space="preserve">include </w:t>
      </w:r>
      <w:r w:rsidR="00543D43" w:rsidRPr="009A5DC2">
        <w:rPr>
          <w:rFonts w:ascii="Times New Roman" w:hAnsi="Times New Roman" w:cs="Times New Roman"/>
          <w:color w:val="000000" w:themeColor="text1"/>
          <w:sz w:val="24"/>
        </w:rPr>
        <w:t xml:space="preserve">NBN wholesale pricing inputs </w:t>
      </w:r>
      <w:r w:rsidR="00FF770C" w:rsidRPr="009A5DC2">
        <w:rPr>
          <w:rFonts w:ascii="Times New Roman" w:hAnsi="Times New Roman" w:cs="Times New Roman"/>
          <w:color w:val="000000" w:themeColor="text1"/>
          <w:sz w:val="24"/>
        </w:rPr>
        <w:t>for each of the relevant service tiers and CVC overage charges where CVC inclusions are exceeded.</w:t>
      </w:r>
    </w:p>
    <w:p w:rsidR="00382608" w:rsidRPr="009B6577" w:rsidRDefault="00382608" w:rsidP="00390590">
      <w:pPr>
        <w:autoSpaceDE w:val="0"/>
        <w:autoSpaceDN w:val="0"/>
        <w:adjustRightInd w:val="0"/>
        <w:spacing w:after="0" w:line="240" w:lineRule="auto"/>
        <w:rPr>
          <w:rFonts w:ascii="Times New Roman" w:hAnsi="Times New Roman" w:cs="Times New Roman"/>
          <w:i/>
          <w:color w:val="00B0F0"/>
          <w:sz w:val="24"/>
        </w:rPr>
      </w:pPr>
    </w:p>
    <w:p w:rsidR="00390590" w:rsidRPr="009B6577" w:rsidRDefault="00390590" w:rsidP="00FE14A8">
      <w:pPr>
        <w:autoSpaceDE w:val="0"/>
        <w:autoSpaceDN w:val="0"/>
        <w:adjustRightInd w:val="0"/>
        <w:spacing w:after="0" w:line="240" w:lineRule="auto"/>
        <w:rPr>
          <w:rFonts w:ascii="Times New Roman" w:hAnsi="Times New Roman" w:cs="Times New Roman"/>
          <w:i/>
          <w:color w:val="00B0F0"/>
          <w:sz w:val="24"/>
        </w:rPr>
      </w:pPr>
      <w:r w:rsidRPr="009B6577">
        <w:rPr>
          <w:rFonts w:ascii="Times New Roman" w:hAnsi="Times New Roman" w:cs="Times New Roman"/>
          <w:i/>
          <w:color w:val="00B0F0"/>
          <w:sz w:val="24"/>
        </w:rPr>
        <w:t>7. Do the service transfer charges identified in this se</w:t>
      </w:r>
      <w:r w:rsidR="00FE14A8" w:rsidRPr="009B6577">
        <w:rPr>
          <w:rFonts w:ascii="Times New Roman" w:hAnsi="Times New Roman" w:cs="Times New Roman"/>
          <w:i/>
          <w:color w:val="00B0F0"/>
          <w:sz w:val="24"/>
        </w:rPr>
        <w:t xml:space="preserve">ction represent the key pricing </w:t>
      </w:r>
      <w:r w:rsidRPr="009B6577">
        <w:rPr>
          <w:rFonts w:ascii="Times New Roman" w:hAnsi="Times New Roman" w:cs="Times New Roman"/>
          <w:i/>
          <w:color w:val="00B0F0"/>
          <w:sz w:val="24"/>
        </w:rPr>
        <w:t>elements bearing on service transfers?</w:t>
      </w:r>
    </w:p>
    <w:p w:rsidR="00465057" w:rsidRPr="00087919" w:rsidRDefault="00465057" w:rsidP="00F3762B">
      <w:pPr>
        <w:autoSpaceDE w:val="0"/>
        <w:autoSpaceDN w:val="0"/>
        <w:adjustRightInd w:val="0"/>
        <w:spacing w:after="0"/>
        <w:jc w:val="both"/>
        <w:rPr>
          <w:rFonts w:ascii="Times New Roman" w:hAnsi="Times New Roman" w:cs="Times New Roman"/>
          <w:color w:val="00B0F0"/>
          <w:sz w:val="24"/>
        </w:rPr>
      </w:pPr>
    </w:p>
    <w:p w:rsidR="00E60661" w:rsidRDefault="004E7799" w:rsidP="000E13B2">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At present the fees associated with transfer of services are </w:t>
      </w:r>
      <w:r w:rsidR="00582651">
        <w:rPr>
          <w:rFonts w:ascii="Times New Roman" w:hAnsi="Times New Roman" w:cs="Times New Roman"/>
          <w:sz w:val="24"/>
        </w:rPr>
        <w:t xml:space="preserve">to ACCAN’s understanding a significant driver in the pricing of charges for service transfers. </w:t>
      </w:r>
      <w:r w:rsidR="00E60661">
        <w:rPr>
          <w:rFonts w:ascii="Times New Roman" w:hAnsi="Times New Roman" w:cs="Times New Roman"/>
          <w:sz w:val="24"/>
        </w:rPr>
        <w:t xml:space="preserve">ACCAN supports further reductions in transfer charges and the proposed discounts outlined in </w:t>
      </w:r>
      <w:r w:rsidR="00E60661">
        <w:rPr>
          <w:rFonts w:ascii="Times New Roman" w:hAnsi="Times New Roman" w:cs="Times New Roman"/>
          <w:sz w:val="24"/>
          <w:szCs w:val="24"/>
        </w:rPr>
        <w:t xml:space="preserve">NBN </w:t>
      </w:r>
      <w:proofErr w:type="spellStart"/>
      <w:r w:rsidR="00E60661">
        <w:rPr>
          <w:rFonts w:ascii="Times New Roman" w:hAnsi="Times New Roman" w:cs="Times New Roman"/>
          <w:sz w:val="24"/>
          <w:szCs w:val="24"/>
        </w:rPr>
        <w:t>Co’s</w:t>
      </w:r>
      <w:proofErr w:type="spellEnd"/>
      <w:r w:rsidR="00E60661">
        <w:rPr>
          <w:rFonts w:ascii="Times New Roman" w:hAnsi="Times New Roman" w:cs="Times New Roman"/>
          <w:sz w:val="24"/>
          <w:szCs w:val="24"/>
        </w:rPr>
        <w:t xml:space="preserve"> </w:t>
      </w:r>
      <w:r w:rsidR="00E60661">
        <w:rPr>
          <w:rFonts w:ascii="Times New Roman" w:hAnsi="Times New Roman" w:cs="Times New Roman"/>
          <w:i/>
          <w:iCs/>
          <w:sz w:val="24"/>
          <w:szCs w:val="24"/>
        </w:rPr>
        <w:t xml:space="preserve">RMID0821 Pricing Review 2019 </w:t>
      </w:r>
      <w:r w:rsidR="009E1576">
        <w:rPr>
          <w:rFonts w:ascii="Times New Roman" w:hAnsi="Times New Roman" w:cs="Times New Roman"/>
          <w:i/>
          <w:iCs/>
          <w:sz w:val="24"/>
          <w:szCs w:val="24"/>
        </w:rPr>
        <w:t xml:space="preserve">Closing </w:t>
      </w:r>
      <w:r w:rsidR="00E60661">
        <w:rPr>
          <w:rFonts w:ascii="Times New Roman" w:hAnsi="Times New Roman" w:cs="Times New Roman"/>
          <w:i/>
          <w:iCs/>
          <w:sz w:val="24"/>
          <w:szCs w:val="24"/>
        </w:rPr>
        <w:t>Paper 2.</w:t>
      </w:r>
    </w:p>
    <w:p w:rsidR="00E60661" w:rsidRDefault="00E60661" w:rsidP="000E13B2">
      <w:pPr>
        <w:autoSpaceDE w:val="0"/>
        <w:autoSpaceDN w:val="0"/>
        <w:adjustRightInd w:val="0"/>
        <w:spacing w:after="0"/>
        <w:jc w:val="both"/>
        <w:rPr>
          <w:rFonts w:ascii="Times New Roman" w:hAnsi="Times New Roman" w:cs="Times New Roman"/>
          <w:sz w:val="24"/>
        </w:rPr>
      </w:pPr>
    </w:p>
    <w:p w:rsidR="00062C78" w:rsidRPr="00F3388F" w:rsidRDefault="00CC3BB2" w:rsidP="004039C7">
      <w:pPr>
        <w:keepNext/>
        <w:keepLines/>
        <w:pageBreakBefore/>
        <w:suppressAutoHyphens/>
        <w:spacing w:before="28" w:after="0" w:line="240" w:lineRule="auto"/>
        <w:jc w:val="both"/>
        <w:outlineLvl w:val="0"/>
        <w:rPr>
          <w:rFonts w:ascii="Calibri" w:eastAsia="Arial Unicode MS" w:hAnsi="Calibri" w:cs="font331"/>
          <w:bCs/>
          <w:color w:val="000000" w:themeColor="text1"/>
          <w:kern w:val="1"/>
          <w:sz w:val="44"/>
          <w:szCs w:val="28"/>
          <w:lang w:val="en-IE" w:eastAsia="hi-IN" w:bidi="hi-IN"/>
        </w:rPr>
      </w:pPr>
      <w:bookmarkStart w:id="4" w:name="_Toc25923646"/>
      <w:r>
        <w:rPr>
          <w:rFonts w:ascii="Calibri" w:eastAsia="Arial Unicode MS" w:hAnsi="Calibri" w:cs="font331"/>
          <w:bCs/>
          <w:color w:val="000000" w:themeColor="text1"/>
          <w:kern w:val="1"/>
          <w:sz w:val="44"/>
          <w:szCs w:val="28"/>
          <w:lang w:val="en-IE" w:eastAsia="hi-IN" w:bidi="hi-IN"/>
        </w:rPr>
        <w:lastRenderedPageBreak/>
        <w:t>Product and pricing developments in retail-fixed broadband markets</w:t>
      </w:r>
      <w:bookmarkEnd w:id="4"/>
    </w:p>
    <w:p w:rsidR="00390590" w:rsidRPr="007119D6" w:rsidRDefault="00390590" w:rsidP="00390590">
      <w:pPr>
        <w:autoSpaceDE w:val="0"/>
        <w:autoSpaceDN w:val="0"/>
        <w:adjustRightInd w:val="0"/>
        <w:spacing w:after="0" w:line="240" w:lineRule="auto"/>
        <w:rPr>
          <w:rFonts w:ascii="Times New Roman" w:eastAsiaTheme="minorEastAsia" w:hAnsi="Times New Roman" w:cs="Times New Roman"/>
          <w:sz w:val="24"/>
          <w:szCs w:val="24"/>
          <w:lang w:val="en-AU"/>
        </w:rPr>
      </w:pPr>
    </w:p>
    <w:p w:rsidR="00390590" w:rsidRPr="009B6577" w:rsidRDefault="00390590" w:rsidP="00390590">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8. Are there any additional retail pricing and product change</w:t>
      </w:r>
      <w:r w:rsidR="000F1924" w:rsidRPr="009B6577">
        <w:rPr>
          <w:rFonts w:ascii="Times New Roman" w:hAnsi="Times New Roman" w:cs="Times New Roman"/>
          <w:i/>
          <w:color w:val="00B0F0"/>
          <w:sz w:val="24"/>
          <w:szCs w:val="24"/>
        </w:rPr>
        <w:t xml:space="preserve">s relevant to this inquiry that </w:t>
      </w:r>
      <w:r w:rsidRPr="009B6577">
        <w:rPr>
          <w:rFonts w:ascii="Times New Roman" w:hAnsi="Times New Roman" w:cs="Times New Roman"/>
          <w:i/>
          <w:color w:val="00B0F0"/>
          <w:sz w:val="24"/>
          <w:szCs w:val="24"/>
        </w:rPr>
        <w:t xml:space="preserve">resulted from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product and pricing changes that took effect in 2018?</w:t>
      </w:r>
    </w:p>
    <w:p w:rsidR="000F1924" w:rsidRPr="009B6577" w:rsidRDefault="000F1924" w:rsidP="00390590">
      <w:pPr>
        <w:autoSpaceDE w:val="0"/>
        <w:autoSpaceDN w:val="0"/>
        <w:adjustRightInd w:val="0"/>
        <w:spacing w:after="0" w:line="240" w:lineRule="auto"/>
        <w:rPr>
          <w:rFonts w:ascii="Times New Roman" w:hAnsi="Times New Roman" w:cs="Times New Roman"/>
          <w:i/>
          <w:color w:val="00B0F0"/>
          <w:sz w:val="24"/>
          <w:szCs w:val="24"/>
        </w:rPr>
      </w:pPr>
    </w:p>
    <w:p w:rsidR="00E4104E" w:rsidRDefault="00E4104E" w:rsidP="00A32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ACCAN expects that further retail pricing changes will arise due to the wholesale pricing changes adopted by NBN Co in 2018. </w:t>
      </w:r>
      <w:r w:rsidR="00380BA3">
        <w:rPr>
          <w:rFonts w:ascii="Times New Roman" w:hAnsi="Times New Roman" w:cs="Times New Roman"/>
          <w:sz w:val="24"/>
          <w:szCs w:val="24"/>
        </w:rPr>
        <w:t xml:space="preserve">Although the vast majority of pricing changes appear to have already flowed through to the market in June 2019, ACCAN believes that further changes will arise following the </w:t>
      </w:r>
      <w:r w:rsidR="00AE215F">
        <w:rPr>
          <w:rFonts w:ascii="Times New Roman" w:hAnsi="Times New Roman" w:cs="Times New Roman"/>
          <w:sz w:val="24"/>
          <w:szCs w:val="24"/>
        </w:rPr>
        <w:t xml:space="preserve">end of dimension-based-discounting arrangements for </w:t>
      </w:r>
      <w:r w:rsidR="00E17922">
        <w:rPr>
          <w:rFonts w:ascii="Times New Roman" w:hAnsi="Times New Roman" w:cs="Times New Roman"/>
          <w:sz w:val="24"/>
          <w:szCs w:val="24"/>
        </w:rPr>
        <w:t>12/1</w:t>
      </w:r>
      <w:r w:rsidR="00AE215F">
        <w:rPr>
          <w:rFonts w:ascii="Times New Roman" w:hAnsi="Times New Roman" w:cs="Times New Roman"/>
          <w:sz w:val="24"/>
          <w:szCs w:val="24"/>
        </w:rPr>
        <w:t>Mbps services which has been flagged to occur in mid-2020, following an extension to these arrangements being announced in mid-2019.</w:t>
      </w:r>
    </w:p>
    <w:p w:rsidR="00A826D3" w:rsidRPr="0064247C" w:rsidRDefault="00A826D3" w:rsidP="00390590">
      <w:pPr>
        <w:autoSpaceDE w:val="0"/>
        <w:autoSpaceDN w:val="0"/>
        <w:adjustRightInd w:val="0"/>
        <w:spacing w:after="0" w:line="240" w:lineRule="auto"/>
        <w:rPr>
          <w:rFonts w:ascii="Times New Roman" w:hAnsi="Times New Roman" w:cs="Times New Roman"/>
          <w:color w:val="00B0F0"/>
          <w:sz w:val="24"/>
          <w:szCs w:val="24"/>
        </w:rPr>
      </w:pPr>
    </w:p>
    <w:p w:rsidR="00390590" w:rsidRPr="009B6577" w:rsidRDefault="00390590" w:rsidP="00390590">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9. Are there any further retail pricing and product changes </w:t>
      </w:r>
      <w:r w:rsidR="004D6610" w:rsidRPr="009B6577">
        <w:rPr>
          <w:rFonts w:ascii="Times New Roman" w:hAnsi="Times New Roman" w:cs="Times New Roman"/>
          <w:i/>
          <w:color w:val="00B0F0"/>
          <w:sz w:val="24"/>
          <w:szCs w:val="24"/>
        </w:rPr>
        <w:t xml:space="preserve">that are being contemplated due </w:t>
      </w:r>
      <w:r w:rsidRPr="009B6577">
        <w:rPr>
          <w:rFonts w:ascii="Times New Roman" w:hAnsi="Times New Roman" w:cs="Times New Roman"/>
          <w:i/>
          <w:color w:val="00B0F0"/>
          <w:sz w:val="24"/>
          <w:szCs w:val="24"/>
        </w:rPr>
        <w:t xml:space="preserve">to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2018 pricing changes?</w:t>
      </w:r>
    </w:p>
    <w:p w:rsidR="00390590" w:rsidRPr="0064247C" w:rsidRDefault="00390590" w:rsidP="00390590">
      <w:pPr>
        <w:autoSpaceDE w:val="0"/>
        <w:autoSpaceDN w:val="0"/>
        <w:adjustRightInd w:val="0"/>
        <w:spacing w:after="0" w:line="240" w:lineRule="auto"/>
        <w:rPr>
          <w:rFonts w:ascii="Times New Roman" w:hAnsi="Times New Roman" w:cs="Times New Roman"/>
          <w:color w:val="00B0F0"/>
          <w:sz w:val="24"/>
          <w:szCs w:val="24"/>
        </w:rPr>
      </w:pPr>
    </w:p>
    <w:p w:rsidR="004D6610" w:rsidRDefault="00AC249D" w:rsidP="002070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ACCAN has been advised that there are likely to be further price changes as the </w:t>
      </w:r>
      <w:r w:rsidR="0020704C">
        <w:rPr>
          <w:rFonts w:ascii="Times New Roman" w:hAnsi="Times New Roman" w:cs="Times New Roman"/>
          <w:sz w:val="24"/>
          <w:szCs w:val="24"/>
        </w:rPr>
        <w:t>short-term</w:t>
      </w:r>
      <w:r>
        <w:rPr>
          <w:rFonts w:ascii="Times New Roman" w:hAnsi="Times New Roman" w:cs="Times New Roman"/>
          <w:sz w:val="24"/>
          <w:szCs w:val="24"/>
        </w:rPr>
        <w:t xml:space="preserve"> effect of increased CVC inclusions as a result of the movement to bundled pricing is eroded by increases in user demand. </w:t>
      </w:r>
      <w:r w:rsidR="0020704C">
        <w:rPr>
          <w:rFonts w:ascii="Times New Roman" w:hAnsi="Times New Roman" w:cs="Times New Roman"/>
          <w:sz w:val="24"/>
          <w:szCs w:val="24"/>
        </w:rPr>
        <w:t xml:space="preserve">ACCAN has been advised that some of these pricing changes are likely to emerge in the first and second quarters of 2020 depending upon the rate of growth observed in CVC overage charges. </w:t>
      </w:r>
    </w:p>
    <w:p w:rsidR="0020704C" w:rsidRDefault="0020704C" w:rsidP="0020704C">
      <w:pPr>
        <w:autoSpaceDE w:val="0"/>
        <w:autoSpaceDN w:val="0"/>
        <w:adjustRightInd w:val="0"/>
        <w:spacing w:after="0"/>
        <w:jc w:val="both"/>
        <w:rPr>
          <w:rFonts w:ascii="Times New Roman" w:hAnsi="Times New Roman" w:cs="Times New Roman"/>
          <w:sz w:val="24"/>
          <w:szCs w:val="24"/>
        </w:rPr>
      </w:pPr>
    </w:p>
    <w:p w:rsidR="00AC249D" w:rsidRPr="009B6577" w:rsidRDefault="0020704C" w:rsidP="00A826D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upward revisions in CVC inclusions outlined in NBN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RMID0821 Pricing Review 2019 Consultation</w:t>
      </w:r>
      <w:r w:rsidR="00205A08">
        <w:rPr>
          <w:rFonts w:ascii="Times New Roman" w:hAnsi="Times New Roman" w:cs="Times New Roman"/>
          <w:sz w:val="24"/>
          <w:szCs w:val="24"/>
        </w:rPr>
        <w:t xml:space="preserve"> </w:t>
      </w:r>
      <w:r w:rsidR="00205A08">
        <w:rPr>
          <w:rFonts w:ascii="Times New Roman" w:hAnsi="Times New Roman" w:cs="Times New Roman"/>
          <w:i/>
          <w:iCs/>
          <w:sz w:val="24"/>
          <w:szCs w:val="24"/>
        </w:rPr>
        <w:t xml:space="preserve">Closing Paper </w:t>
      </w:r>
      <w:r>
        <w:rPr>
          <w:rFonts w:ascii="Times New Roman" w:hAnsi="Times New Roman" w:cs="Times New Roman"/>
          <w:sz w:val="24"/>
          <w:szCs w:val="24"/>
        </w:rPr>
        <w:t>are likely to delay this upward revision in the short-term</w:t>
      </w:r>
      <w:r w:rsidR="007E2D0A">
        <w:rPr>
          <w:rFonts w:ascii="Times New Roman" w:hAnsi="Times New Roman" w:cs="Times New Roman"/>
          <w:sz w:val="24"/>
          <w:szCs w:val="24"/>
        </w:rPr>
        <w:t xml:space="preserve">. </w:t>
      </w:r>
      <w:r w:rsidR="00A826D3">
        <w:rPr>
          <w:rFonts w:ascii="Times New Roman" w:hAnsi="Times New Roman" w:cs="Times New Roman"/>
          <w:sz w:val="24"/>
          <w:szCs w:val="24"/>
        </w:rPr>
        <w:t>The increase in CVC inclusions has however been identified by industry to be insufficient in the coming year to constrain wholesale cost inputs and as a consequence retail price growth.</w:t>
      </w:r>
    </w:p>
    <w:p w:rsidR="00390590" w:rsidRPr="00B9656A" w:rsidRDefault="00390590" w:rsidP="00390590">
      <w:pPr>
        <w:autoSpaceDE w:val="0"/>
        <w:autoSpaceDN w:val="0"/>
        <w:adjustRightInd w:val="0"/>
        <w:spacing w:after="0" w:line="240" w:lineRule="auto"/>
        <w:rPr>
          <w:rFonts w:ascii="Times New Roman" w:hAnsi="Times New Roman" w:cs="Times New Roman"/>
          <w:color w:val="00B0F0"/>
          <w:sz w:val="24"/>
          <w:szCs w:val="24"/>
        </w:rPr>
      </w:pPr>
    </w:p>
    <w:p w:rsidR="00062C78" w:rsidRPr="009B6577" w:rsidRDefault="00390590" w:rsidP="00390590">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10. What retail pricing and product changes have you made or are contemplating in response to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pricing changes outlined in its second consultation paper?</w:t>
      </w:r>
    </w:p>
    <w:p w:rsidR="00CE591E" w:rsidRPr="009B6577" w:rsidRDefault="008E3695" w:rsidP="00D47DAD">
      <w:pPr>
        <w:spacing w:before="100" w:beforeAutospacing="1" w:after="100" w:afterAutospacing="1" w:line="240" w:lineRule="auto"/>
        <w:jc w:val="both"/>
        <w:rPr>
          <w:rFonts w:ascii="Times New Roman" w:eastAsia="Arial Unicode MS" w:hAnsi="Times New Roman" w:cs="Times New Roman"/>
          <w:bCs/>
          <w:kern w:val="1"/>
          <w:sz w:val="24"/>
          <w:szCs w:val="24"/>
          <w:lang w:val="en-IE" w:eastAsia="hi-IN" w:bidi="hi-IN"/>
        </w:rPr>
      </w:pPr>
      <w:proofErr w:type="gramStart"/>
      <w:r w:rsidRPr="009B6577">
        <w:rPr>
          <w:rFonts w:ascii="Times New Roman" w:eastAsia="Arial Unicode MS" w:hAnsi="Times New Roman" w:cs="Times New Roman"/>
          <w:bCs/>
          <w:kern w:val="1"/>
          <w:sz w:val="24"/>
          <w:szCs w:val="24"/>
          <w:lang w:val="en-IE" w:eastAsia="hi-IN" w:bidi="hi-IN"/>
        </w:rPr>
        <w:t>N.A.</w:t>
      </w:r>
      <w:proofErr w:type="gramEnd"/>
      <w:r w:rsidRPr="009B6577">
        <w:rPr>
          <w:rFonts w:ascii="Times New Roman" w:eastAsia="Arial Unicode MS" w:hAnsi="Times New Roman" w:cs="Times New Roman"/>
          <w:bCs/>
          <w:kern w:val="1"/>
          <w:sz w:val="24"/>
          <w:szCs w:val="24"/>
          <w:lang w:val="en-IE" w:eastAsia="hi-IN" w:bidi="hi-IN"/>
        </w:rPr>
        <w:t xml:space="preserve"> </w:t>
      </w:r>
    </w:p>
    <w:p w:rsidR="00CE591E" w:rsidRPr="001D0617" w:rsidRDefault="00CE591E" w:rsidP="00D47DAD">
      <w:pPr>
        <w:spacing w:before="100" w:beforeAutospacing="1" w:after="100" w:afterAutospacing="1" w:line="240" w:lineRule="auto"/>
        <w:jc w:val="both"/>
        <w:rPr>
          <w:rFonts w:ascii="Calibri" w:eastAsia="Arial Unicode MS" w:hAnsi="Calibri" w:cs="font331"/>
          <w:bCs/>
          <w:color w:val="000000" w:themeColor="text1"/>
          <w:kern w:val="1"/>
          <w:sz w:val="24"/>
          <w:szCs w:val="24"/>
          <w:lang w:val="en-IE" w:eastAsia="hi-IN" w:bidi="hi-IN"/>
        </w:rPr>
      </w:pPr>
    </w:p>
    <w:p w:rsidR="00CE591E" w:rsidRPr="001D0617" w:rsidRDefault="00CE591E" w:rsidP="00D47DAD">
      <w:pPr>
        <w:spacing w:before="100" w:beforeAutospacing="1" w:after="100" w:afterAutospacing="1" w:line="240" w:lineRule="auto"/>
        <w:jc w:val="both"/>
        <w:rPr>
          <w:rFonts w:ascii="Calibri" w:eastAsia="Arial Unicode MS" w:hAnsi="Calibri" w:cs="font331"/>
          <w:bCs/>
          <w:color w:val="000000" w:themeColor="text1"/>
          <w:kern w:val="1"/>
          <w:sz w:val="24"/>
          <w:szCs w:val="24"/>
          <w:lang w:val="en-IE" w:eastAsia="hi-IN" w:bidi="hi-IN"/>
        </w:rPr>
      </w:pPr>
    </w:p>
    <w:p w:rsidR="003D523B" w:rsidRPr="001D0617" w:rsidRDefault="003D523B" w:rsidP="00D47DAD">
      <w:pPr>
        <w:spacing w:before="100" w:beforeAutospacing="1" w:after="100" w:afterAutospacing="1" w:line="240" w:lineRule="auto"/>
        <w:jc w:val="both"/>
        <w:rPr>
          <w:rFonts w:ascii="Calibri" w:eastAsia="Arial Unicode MS" w:hAnsi="Calibri" w:cs="font331"/>
          <w:bCs/>
          <w:color w:val="000000" w:themeColor="text1"/>
          <w:kern w:val="1"/>
          <w:sz w:val="24"/>
          <w:szCs w:val="24"/>
          <w:lang w:val="en-IE" w:eastAsia="hi-IN" w:bidi="hi-IN"/>
        </w:rPr>
      </w:pPr>
    </w:p>
    <w:p w:rsidR="00C16223" w:rsidRPr="001D0617" w:rsidRDefault="00C16223" w:rsidP="00D47DAD">
      <w:pPr>
        <w:spacing w:before="100" w:beforeAutospacing="1" w:after="100" w:afterAutospacing="1" w:line="240" w:lineRule="auto"/>
        <w:jc w:val="both"/>
        <w:rPr>
          <w:rFonts w:ascii="Calibri" w:eastAsia="Arial Unicode MS" w:hAnsi="Calibri" w:cs="font331"/>
          <w:bCs/>
          <w:color w:val="000000" w:themeColor="text1"/>
          <w:kern w:val="1"/>
          <w:sz w:val="24"/>
          <w:szCs w:val="24"/>
          <w:lang w:val="en-IE" w:eastAsia="hi-IN" w:bidi="hi-IN"/>
        </w:rPr>
      </w:pPr>
    </w:p>
    <w:p w:rsidR="000C0ABF" w:rsidRPr="001D0617" w:rsidRDefault="000C0ABF" w:rsidP="00D47DAD">
      <w:pPr>
        <w:spacing w:before="100" w:beforeAutospacing="1" w:after="100" w:afterAutospacing="1" w:line="240" w:lineRule="auto"/>
        <w:jc w:val="both"/>
        <w:rPr>
          <w:rFonts w:ascii="Calibri" w:eastAsia="Arial Unicode MS" w:hAnsi="Calibri" w:cs="font331"/>
          <w:bCs/>
          <w:color w:val="000000" w:themeColor="text1"/>
          <w:kern w:val="1"/>
          <w:sz w:val="24"/>
          <w:szCs w:val="24"/>
          <w:lang w:val="en-IE" w:eastAsia="hi-IN" w:bidi="hi-IN"/>
        </w:rPr>
      </w:pPr>
    </w:p>
    <w:p w:rsidR="0026201B" w:rsidRPr="001D0617" w:rsidRDefault="0026201B" w:rsidP="0026201B">
      <w:pPr>
        <w:autoSpaceDE w:val="0"/>
        <w:autoSpaceDN w:val="0"/>
        <w:adjustRightInd w:val="0"/>
        <w:spacing w:after="0" w:line="240" w:lineRule="auto"/>
        <w:rPr>
          <w:rFonts w:ascii="Calibri" w:eastAsia="Arial Unicode MS" w:hAnsi="Calibri" w:cs="font331"/>
          <w:bCs/>
          <w:color w:val="000000" w:themeColor="text1"/>
          <w:kern w:val="1"/>
          <w:sz w:val="24"/>
          <w:szCs w:val="24"/>
          <w:lang w:val="en-IE" w:eastAsia="hi-IN" w:bidi="hi-IN"/>
        </w:rPr>
      </w:pPr>
    </w:p>
    <w:p w:rsidR="0026201B" w:rsidRDefault="0061431D" w:rsidP="0061431D">
      <w:pPr>
        <w:keepNext/>
        <w:keepLines/>
        <w:pageBreakBefore/>
        <w:suppressAutoHyphens/>
        <w:spacing w:before="28" w:after="0" w:line="240" w:lineRule="auto"/>
        <w:jc w:val="both"/>
        <w:outlineLvl w:val="0"/>
        <w:rPr>
          <w:rFonts w:ascii="Calibri" w:eastAsia="Arial Unicode MS" w:hAnsi="Calibri" w:cs="font331"/>
          <w:bCs/>
          <w:color w:val="000000" w:themeColor="text1"/>
          <w:kern w:val="1"/>
          <w:sz w:val="44"/>
          <w:szCs w:val="28"/>
          <w:lang w:val="en-IE" w:eastAsia="hi-IN" w:bidi="hi-IN"/>
        </w:rPr>
      </w:pPr>
      <w:bookmarkStart w:id="5" w:name="_Toc25923647"/>
      <w:r>
        <w:rPr>
          <w:rFonts w:ascii="Calibri" w:eastAsia="Arial Unicode MS" w:hAnsi="Calibri" w:cs="font331"/>
          <w:bCs/>
          <w:color w:val="000000" w:themeColor="text1"/>
          <w:kern w:val="1"/>
          <w:sz w:val="44"/>
          <w:szCs w:val="28"/>
          <w:lang w:val="en-IE" w:eastAsia="hi-IN" w:bidi="hi-IN"/>
        </w:rPr>
        <w:lastRenderedPageBreak/>
        <w:t>Considerations for potential regulated NBN access pricing</w:t>
      </w:r>
      <w:bookmarkEnd w:id="5"/>
      <w:r w:rsidR="0026201B">
        <w:rPr>
          <w:rFonts w:ascii="Calibri" w:eastAsia="Arial Unicode MS" w:hAnsi="Calibri" w:cs="font331"/>
          <w:bCs/>
          <w:color w:val="000000" w:themeColor="text1"/>
          <w:kern w:val="1"/>
          <w:sz w:val="44"/>
          <w:szCs w:val="28"/>
          <w:lang w:val="en-IE" w:eastAsia="hi-IN" w:bidi="hi-IN"/>
        </w:rPr>
        <w:tab/>
      </w:r>
    </w:p>
    <w:p w:rsidR="00DF1F91" w:rsidRDefault="00DF1F91" w:rsidP="004D6610">
      <w:pPr>
        <w:autoSpaceDE w:val="0"/>
        <w:autoSpaceDN w:val="0"/>
        <w:adjustRightInd w:val="0"/>
        <w:spacing w:after="0" w:line="240" w:lineRule="auto"/>
        <w:rPr>
          <w:rFonts w:ascii="Arial" w:hAnsi="Arial" w:cs="Arial"/>
        </w:rPr>
      </w:pPr>
    </w:p>
    <w:p w:rsidR="0026201B" w:rsidRPr="009B6577" w:rsidRDefault="0026201B" w:rsidP="004D6610">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11. Which TC-4 </w:t>
      </w:r>
      <w:proofErr w:type="spellStart"/>
      <w:r w:rsidRPr="009B6577">
        <w:rPr>
          <w:rFonts w:ascii="Times New Roman" w:hAnsi="Times New Roman" w:cs="Times New Roman"/>
          <w:i/>
          <w:color w:val="00B0F0"/>
          <w:sz w:val="24"/>
          <w:szCs w:val="24"/>
        </w:rPr>
        <w:t>ethernet</w:t>
      </w:r>
      <w:proofErr w:type="spellEnd"/>
      <w:r w:rsidRPr="009B6577">
        <w:rPr>
          <w:rFonts w:ascii="Times New Roman" w:hAnsi="Times New Roman" w:cs="Times New Roman"/>
          <w:i/>
          <w:color w:val="00B0F0"/>
          <w:sz w:val="24"/>
          <w:szCs w:val="24"/>
        </w:rPr>
        <w:t xml:space="preserve"> broadband access service speed t</w:t>
      </w:r>
      <w:r w:rsidR="004D6610" w:rsidRPr="009B6577">
        <w:rPr>
          <w:rFonts w:ascii="Times New Roman" w:hAnsi="Times New Roman" w:cs="Times New Roman"/>
          <w:i/>
          <w:color w:val="00B0F0"/>
          <w:sz w:val="24"/>
          <w:szCs w:val="24"/>
        </w:rPr>
        <w:t>ier(s) are most relevant to the</w:t>
      </w:r>
      <w:r w:rsidR="00DF1F91" w:rsidRPr="009B6577">
        <w:rPr>
          <w:rFonts w:ascii="Times New Roman" w:hAnsi="Times New Roman" w:cs="Times New Roman"/>
          <w:i/>
          <w:color w:val="00B0F0"/>
          <w:sz w:val="24"/>
          <w:szCs w:val="24"/>
        </w:rPr>
        <w:t xml:space="preserve"> </w:t>
      </w:r>
      <w:r w:rsidRPr="009B6577">
        <w:rPr>
          <w:rFonts w:ascii="Times New Roman" w:hAnsi="Times New Roman" w:cs="Times New Roman"/>
          <w:i/>
          <w:color w:val="00B0F0"/>
          <w:sz w:val="24"/>
          <w:szCs w:val="24"/>
        </w:rPr>
        <w:t>objective of providing a smooth migration for all or most consumers?</w:t>
      </w:r>
    </w:p>
    <w:p w:rsidR="008C3FB4" w:rsidRDefault="004D6610" w:rsidP="0026201B">
      <w:pPr>
        <w:spacing w:before="100" w:beforeAutospacing="1" w:after="100" w:afterAutospacing="1"/>
        <w:jc w:val="both"/>
        <w:rPr>
          <w:rFonts w:ascii="Times New Roman" w:hAnsi="Times New Roman" w:cs="Times New Roman"/>
          <w:sz w:val="24"/>
          <w:szCs w:val="24"/>
        </w:rPr>
      </w:pPr>
      <w:r w:rsidRPr="009B6577">
        <w:rPr>
          <w:rFonts w:ascii="Times New Roman" w:hAnsi="Times New Roman" w:cs="Times New Roman"/>
          <w:sz w:val="24"/>
          <w:szCs w:val="24"/>
        </w:rPr>
        <w:t xml:space="preserve">ACCAN considers that the </w:t>
      </w:r>
      <w:r w:rsidR="00B07171">
        <w:rPr>
          <w:rFonts w:ascii="Times New Roman" w:hAnsi="Times New Roman" w:cs="Times New Roman"/>
          <w:sz w:val="24"/>
          <w:szCs w:val="24"/>
        </w:rPr>
        <w:t>25/5</w:t>
      </w:r>
      <w:r w:rsidRPr="009B6577">
        <w:rPr>
          <w:rFonts w:ascii="Times New Roman" w:hAnsi="Times New Roman" w:cs="Times New Roman"/>
          <w:sz w:val="24"/>
          <w:szCs w:val="24"/>
        </w:rPr>
        <w:t>Mbps speed tier is the most relevant to the objective of providing a smooth migration for all or most consumers. This is because this tier represents either the same or an improved service offering for all users</w:t>
      </w:r>
      <w:r w:rsidR="002E12DC">
        <w:rPr>
          <w:rFonts w:ascii="Times New Roman" w:hAnsi="Times New Roman" w:cs="Times New Roman"/>
          <w:sz w:val="24"/>
          <w:szCs w:val="24"/>
        </w:rPr>
        <w:t xml:space="preserve"> of</w:t>
      </w:r>
      <w:r w:rsidRPr="009B6577">
        <w:rPr>
          <w:rFonts w:ascii="Times New Roman" w:hAnsi="Times New Roman" w:cs="Times New Roman"/>
          <w:sz w:val="24"/>
          <w:szCs w:val="24"/>
        </w:rPr>
        <w:t xml:space="preserve"> existing services delivered over ADSL2+ and cable networks. </w:t>
      </w:r>
      <w:r w:rsidR="00B36BE9" w:rsidRPr="00E45A51">
        <w:rPr>
          <w:rFonts w:ascii="Times New Roman" w:hAnsi="Times New Roman" w:cs="Times New Roman"/>
          <w:sz w:val="24"/>
          <w:szCs w:val="24"/>
        </w:rPr>
        <w:t xml:space="preserve">ACCAN does not believe that the </w:t>
      </w:r>
      <w:r w:rsidR="00E17922">
        <w:rPr>
          <w:rFonts w:ascii="Times New Roman" w:hAnsi="Times New Roman" w:cs="Times New Roman"/>
          <w:sz w:val="24"/>
          <w:szCs w:val="24"/>
        </w:rPr>
        <w:t>12/1</w:t>
      </w:r>
      <w:r w:rsidR="00B36BE9" w:rsidRPr="00E45A51">
        <w:rPr>
          <w:rFonts w:ascii="Times New Roman" w:hAnsi="Times New Roman" w:cs="Times New Roman"/>
          <w:sz w:val="24"/>
          <w:szCs w:val="24"/>
        </w:rPr>
        <w:t xml:space="preserve">Mbps is the relevant tier for transition to the NBN </w:t>
      </w:r>
      <w:r w:rsidR="002E12DC">
        <w:rPr>
          <w:rFonts w:ascii="Times New Roman" w:hAnsi="Times New Roman" w:cs="Times New Roman"/>
          <w:sz w:val="24"/>
          <w:szCs w:val="24"/>
        </w:rPr>
        <w:t>as</w:t>
      </w:r>
      <w:r w:rsidR="00DA4717">
        <w:rPr>
          <w:rFonts w:ascii="Times New Roman" w:hAnsi="Times New Roman" w:cs="Times New Roman"/>
          <w:sz w:val="24"/>
          <w:szCs w:val="24"/>
        </w:rPr>
        <w:t xml:space="preserve"> it</w:t>
      </w:r>
      <w:r w:rsidR="00B36BE9" w:rsidRPr="00E45A51">
        <w:rPr>
          <w:rFonts w:ascii="Times New Roman" w:hAnsi="Times New Roman" w:cs="Times New Roman"/>
          <w:sz w:val="24"/>
          <w:szCs w:val="24"/>
        </w:rPr>
        <w:t xml:space="preserve"> is not in keeping with the statement of expectations definition of a high-speed broadband service.</w:t>
      </w:r>
      <w:r w:rsidR="00E45A51">
        <w:rPr>
          <w:rStyle w:val="FootnoteReference"/>
          <w:rFonts w:ascii="Times New Roman" w:hAnsi="Times New Roman" w:cs="Times New Roman"/>
          <w:sz w:val="24"/>
          <w:szCs w:val="24"/>
        </w:rPr>
        <w:footnoteReference w:id="4"/>
      </w:r>
      <w:r w:rsidR="00B36BE9" w:rsidRPr="00E45A51">
        <w:rPr>
          <w:rFonts w:ascii="Times New Roman" w:hAnsi="Times New Roman" w:cs="Times New Roman"/>
          <w:sz w:val="24"/>
          <w:szCs w:val="24"/>
        </w:rPr>
        <w:t xml:space="preserve"> </w:t>
      </w:r>
    </w:p>
    <w:p w:rsidR="00205A08" w:rsidRDefault="007A65D9" w:rsidP="0026201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 addition, ACCAN believes that there are sound economic grounds for regulating the </w:t>
      </w:r>
      <w:r w:rsidR="00B07171">
        <w:rPr>
          <w:rFonts w:ascii="Times New Roman" w:hAnsi="Times New Roman" w:cs="Times New Roman"/>
          <w:sz w:val="24"/>
          <w:szCs w:val="24"/>
        </w:rPr>
        <w:t>25/5</w:t>
      </w:r>
      <w:r>
        <w:rPr>
          <w:rFonts w:ascii="Times New Roman" w:hAnsi="Times New Roman" w:cs="Times New Roman"/>
          <w:sz w:val="24"/>
          <w:szCs w:val="24"/>
        </w:rPr>
        <w:t>Mbps service tier as the entry level broadband offering. ACCAN notes that in competitive telecommunications markets that the primary driver in the reduction of costs has been an increase in the average level of quality or quantity of a given service offering.</w:t>
      </w:r>
    </w:p>
    <w:p w:rsidR="00205A08" w:rsidRPr="00DA4717" w:rsidRDefault="00773C28" w:rsidP="0026201B">
      <w:pPr>
        <w:spacing w:before="100" w:beforeAutospacing="1" w:after="100" w:afterAutospacing="1"/>
        <w:jc w:val="both"/>
        <w:rPr>
          <w:rFonts w:ascii="Times New Roman" w:hAnsi="Times New Roman" w:cs="Times New Roman"/>
          <w:sz w:val="28"/>
          <w:szCs w:val="28"/>
        </w:rPr>
      </w:pPr>
      <w:r w:rsidRPr="00773C28">
        <w:rPr>
          <w:rFonts w:ascii="Times New Roman" w:hAnsi="Times New Roman" w:cs="Times New Roman"/>
          <w:sz w:val="24"/>
          <w:szCs w:val="24"/>
        </w:rPr>
        <w:t>This phenomenon</w:t>
      </w:r>
      <w:r w:rsidR="00205A08" w:rsidRPr="00DA4717">
        <w:rPr>
          <w:rFonts w:ascii="Times New Roman" w:hAnsi="Times New Roman" w:cs="Times New Roman"/>
          <w:sz w:val="24"/>
          <w:szCs w:val="24"/>
        </w:rPr>
        <w:t xml:space="preserve"> has been reflected in the ACCC’s own market studies and hedonic modelling exercises which have emphasized that improvements in the quality and quantity of services</w:t>
      </w:r>
      <w:r w:rsidR="00A950E2">
        <w:rPr>
          <w:rFonts w:ascii="Times New Roman" w:hAnsi="Times New Roman" w:cs="Times New Roman"/>
          <w:sz w:val="24"/>
          <w:szCs w:val="24"/>
        </w:rPr>
        <w:t>,</w:t>
      </w:r>
      <w:r w:rsidR="00205A08" w:rsidRPr="00DA4717">
        <w:rPr>
          <w:rFonts w:ascii="Times New Roman" w:hAnsi="Times New Roman" w:cs="Times New Roman"/>
          <w:sz w:val="24"/>
          <w:szCs w:val="24"/>
        </w:rPr>
        <w:t xml:space="preserve"> while price points remain the same</w:t>
      </w:r>
      <w:r w:rsidR="00A950E2">
        <w:rPr>
          <w:rFonts w:ascii="Times New Roman" w:hAnsi="Times New Roman" w:cs="Times New Roman"/>
          <w:sz w:val="24"/>
          <w:szCs w:val="24"/>
        </w:rPr>
        <w:t>,</w:t>
      </w:r>
      <w:r w:rsidR="00205A08" w:rsidRPr="00DA4717">
        <w:rPr>
          <w:rFonts w:ascii="Times New Roman" w:hAnsi="Times New Roman" w:cs="Times New Roman"/>
          <w:sz w:val="24"/>
          <w:szCs w:val="24"/>
        </w:rPr>
        <w:t xml:space="preserve"> have resulted in effective price reductions. ACCAN considers that in accordance with this improvement</w:t>
      </w:r>
      <w:r w:rsidR="00A950E2">
        <w:rPr>
          <w:rFonts w:ascii="Times New Roman" w:hAnsi="Times New Roman" w:cs="Times New Roman"/>
          <w:sz w:val="24"/>
          <w:szCs w:val="24"/>
        </w:rPr>
        <w:t>,</w:t>
      </w:r>
      <w:r w:rsidR="00205A08" w:rsidRPr="00DA4717">
        <w:rPr>
          <w:rFonts w:ascii="Times New Roman" w:hAnsi="Times New Roman" w:cs="Times New Roman"/>
          <w:sz w:val="24"/>
          <w:szCs w:val="24"/>
        </w:rPr>
        <w:t xml:space="preserve"> it is reasonable to conclude that the investments in the network should yield some technical uplift to consumers. In the event that this was not the case, the investment would not have resulted in the realization of any technical or dynamic efficiency gains for end users.</w:t>
      </w:r>
    </w:p>
    <w:p w:rsidR="001151CE" w:rsidRDefault="001151CE" w:rsidP="0026201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Accordingly, under competitive and efficient conditions it is reasonable to conclude that the uplift observable in other communications markets, such as the mobile services market, should have occurred in the fixed line market. </w:t>
      </w:r>
    </w:p>
    <w:p w:rsidR="00113CD1" w:rsidRDefault="001151CE" w:rsidP="00580BC4">
      <w:pPr>
        <w:spacing w:before="100" w:beforeAutospacing="1" w:after="100" w:afterAutospacing="1"/>
        <w:jc w:val="both"/>
        <w:rPr>
          <w:rFonts w:ascii="Times New Roman" w:hAnsi="Times New Roman" w:cs="Times New Roman"/>
          <w:color w:val="000000" w:themeColor="text1"/>
          <w:sz w:val="24"/>
          <w:szCs w:val="24"/>
        </w:rPr>
      </w:pPr>
      <w:r w:rsidRPr="00DF3C1D">
        <w:rPr>
          <w:rFonts w:ascii="Times New Roman" w:hAnsi="Times New Roman" w:cs="Times New Roman"/>
          <w:sz w:val="24"/>
          <w:szCs w:val="24"/>
        </w:rPr>
        <w:t xml:space="preserve">Put more simply, anchoring pricing and service arrangements to a service tier that represented </w:t>
      </w:r>
      <w:r w:rsidRPr="00DA4717">
        <w:rPr>
          <w:rFonts w:ascii="Times New Roman" w:hAnsi="Times New Roman" w:cs="Times New Roman"/>
          <w:color w:val="000000" w:themeColor="text1"/>
          <w:sz w:val="24"/>
          <w:szCs w:val="24"/>
        </w:rPr>
        <w:t xml:space="preserve">a </w:t>
      </w:r>
      <w:r w:rsidR="00F31C10" w:rsidRPr="00DA4717">
        <w:rPr>
          <w:rFonts w:ascii="Times New Roman" w:hAnsi="Times New Roman" w:cs="Times New Roman"/>
          <w:color w:val="000000" w:themeColor="text1"/>
          <w:sz w:val="24"/>
          <w:szCs w:val="24"/>
        </w:rPr>
        <w:t xml:space="preserve">good quality service </w:t>
      </w:r>
      <w:r w:rsidRPr="00DA4717">
        <w:rPr>
          <w:rFonts w:ascii="Times New Roman" w:hAnsi="Times New Roman" w:cs="Times New Roman"/>
          <w:color w:val="000000" w:themeColor="text1"/>
          <w:sz w:val="24"/>
          <w:szCs w:val="24"/>
        </w:rPr>
        <w:t xml:space="preserve">a decade ago seems inconsistent with the efficient use of </w:t>
      </w:r>
      <w:r w:rsidR="002E12DC" w:rsidRPr="00DA4717">
        <w:rPr>
          <w:rFonts w:ascii="Times New Roman" w:hAnsi="Times New Roman" w:cs="Times New Roman"/>
          <w:color w:val="000000" w:themeColor="text1"/>
          <w:sz w:val="24"/>
          <w:szCs w:val="24"/>
        </w:rPr>
        <w:t xml:space="preserve">today’s </w:t>
      </w:r>
      <w:r w:rsidR="00F31C10" w:rsidRPr="00DA4717">
        <w:rPr>
          <w:rFonts w:ascii="Times New Roman" w:hAnsi="Times New Roman" w:cs="Times New Roman"/>
          <w:color w:val="000000" w:themeColor="text1"/>
          <w:sz w:val="24"/>
          <w:szCs w:val="24"/>
        </w:rPr>
        <w:t xml:space="preserve"> underlying infrastructure. An analogous approach in other communications markets would see consumers paying </w:t>
      </w:r>
      <w:r w:rsidR="00C85C01" w:rsidRPr="00DA4717">
        <w:rPr>
          <w:rFonts w:ascii="Times New Roman" w:hAnsi="Times New Roman" w:cs="Times New Roman"/>
          <w:color w:val="000000" w:themeColor="text1"/>
          <w:sz w:val="24"/>
          <w:szCs w:val="24"/>
        </w:rPr>
        <w:t xml:space="preserve">an inflation adjusted price </w:t>
      </w:r>
      <w:r w:rsidR="00E66BB3" w:rsidRPr="00E66BB3">
        <w:rPr>
          <w:rFonts w:ascii="Times New Roman" w:hAnsi="Times New Roman" w:cs="Times New Roman"/>
          <w:color w:val="000000" w:themeColor="text1"/>
          <w:sz w:val="24"/>
          <w:szCs w:val="24"/>
        </w:rPr>
        <w:t>of $</w:t>
      </w:r>
      <w:r w:rsidR="00722909" w:rsidRPr="00DA4717">
        <w:rPr>
          <w:rFonts w:ascii="Times New Roman" w:hAnsi="Times New Roman" w:cs="Times New Roman"/>
          <w:color w:val="000000" w:themeColor="text1"/>
          <w:sz w:val="24"/>
          <w:szCs w:val="24"/>
        </w:rPr>
        <w:t xml:space="preserve">850 </w:t>
      </w:r>
      <w:r w:rsidR="00F31C10" w:rsidRPr="00DA4717">
        <w:rPr>
          <w:rFonts w:ascii="Times New Roman" w:hAnsi="Times New Roman" w:cs="Times New Roman"/>
          <w:color w:val="000000" w:themeColor="text1"/>
          <w:sz w:val="24"/>
          <w:szCs w:val="24"/>
        </w:rPr>
        <w:t xml:space="preserve">for an </w:t>
      </w:r>
      <w:r w:rsidR="00A950E2">
        <w:rPr>
          <w:rFonts w:ascii="Times New Roman" w:hAnsi="Times New Roman" w:cs="Times New Roman"/>
          <w:color w:val="000000" w:themeColor="text1"/>
          <w:sz w:val="24"/>
          <w:szCs w:val="24"/>
        </w:rPr>
        <w:t>iP</w:t>
      </w:r>
      <w:r w:rsidR="00F31C10" w:rsidRPr="00DA4717">
        <w:rPr>
          <w:rFonts w:ascii="Times New Roman" w:hAnsi="Times New Roman" w:cs="Times New Roman"/>
          <w:color w:val="000000" w:themeColor="text1"/>
          <w:sz w:val="24"/>
          <w:szCs w:val="24"/>
        </w:rPr>
        <w:t>hone 3</w:t>
      </w:r>
      <w:r w:rsidR="00580BC4" w:rsidRPr="00DA4717">
        <w:rPr>
          <w:rFonts w:ascii="Times New Roman" w:hAnsi="Times New Roman" w:cs="Times New Roman"/>
          <w:color w:val="000000" w:themeColor="text1"/>
          <w:sz w:val="24"/>
          <w:szCs w:val="24"/>
        </w:rPr>
        <w:t xml:space="preserve"> in 2019</w:t>
      </w:r>
      <w:r w:rsidR="00C85C01" w:rsidRPr="00DA4717">
        <w:rPr>
          <w:rFonts w:ascii="Times New Roman" w:hAnsi="Times New Roman" w:cs="Times New Roman"/>
          <w:color w:val="000000" w:themeColor="text1"/>
          <w:sz w:val="24"/>
          <w:szCs w:val="24"/>
        </w:rPr>
        <w:t xml:space="preserve">, almost a decade after its release. </w:t>
      </w:r>
      <w:r w:rsidR="00DF3C1D" w:rsidRPr="00DA4717">
        <w:rPr>
          <w:rFonts w:ascii="Times New Roman" w:hAnsi="Times New Roman" w:cs="Times New Roman"/>
          <w:color w:val="000000" w:themeColor="text1"/>
          <w:sz w:val="24"/>
          <w:szCs w:val="24"/>
        </w:rPr>
        <w:t xml:space="preserve">In contrast consumers can buy a considerably more advanced product </w:t>
      </w:r>
      <w:r w:rsidR="007879B0">
        <w:rPr>
          <w:rFonts w:ascii="Times New Roman" w:hAnsi="Times New Roman" w:cs="Times New Roman"/>
          <w:color w:val="000000" w:themeColor="text1"/>
          <w:sz w:val="24"/>
          <w:szCs w:val="24"/>
        </w:rPr>
        <w:t xml:space="preserve">(the </w:t>
      </w:r>
      <w:proofErr w:type="spellStart"/>
      <w:r w:rsidR="007879B0">
        <w:rPr>
          <w:rFonts w:ascii="Times New Roman" w:hAnsi="Times New Roman" w:cs="Times New Roman"/>
          <w:color w:val="000000" w:themeColor="text1"/>
          <w:sz w:val="24"/>
          <w:szCs w:val="24"/>
        </w:rPr>
        <w:t>Iphone</w:t>
      </w:r>
      <w:proofErr w:type="spellEnd"/>
      <w:r w:rsidR="007879B0">
        <w:rPr>
          <w:rFonts w:ascii="Times New Roman" w:hAnsi="Times New Roman" w:cs="Times New Roman"/>
          <w:color w:val="000000" w:themeColor="text1"/>
          <w:sz w:val="24"/>
          <w:szCs w:val="24"/>
        </w:rPr>
        <w:t xml:space="preserve"> X) </w:t>
      </w:r>
      <w:r w:rsidR="00DF3C1D" w:rsidRPr="00DA4717">
        <w:rPr>
          <w:rFonts w:ascii="Times New Roman" w:hAnsi="Times New Roman" w:cs="Times New Roman"/>
          <w:color w:val="000000" w:themeColor="text1"/>
          <w:sz w:val="24"/>
          <w:szCs w:val="24"/>
        </w:rPr>
        <w:t>for</w:t>
      </w:r>
      <w:r w:rsidR="009C0BF6">
        <w:rPr>
          <w:rFonts w:ascii="Times New Roman" w:hAnsi="Times New Roman" w:cs="Times New Roman"/>
          <w:color w:val="000000" w:themeColor="text1"/>
          <w:sz w:val="24"/>
          <w:szCs w:val="24"/>
        </w:rPr>
        <w:t xml:space="preserve"> the same price or</w:t>
      </w:r>
      <w:r w:rsidR="00DF3C1D" w:rsidRPr="00DA4717">
        <w:rPr>
          <w:rFonts w:ascii="Times New Roman" w:hAnsi="Times New Roman" w:cs="Times New Roman"/>
          <w:color w:val="000000" w:themeColor="text1"/>
          <w:sz w:val="24"/>
          <w:szCs w:val="24"/>
        </w:rPr>
        <w:t xml:space="preserve"> less due to the technological uplift obtained through innovation over the time period</w:t>
      </w:r>
      <w:r w:rsidR="00E66BB3">
        <w:rPr>
          <w:rFonts w:ascii="Times New Roman" w:hAnsi="Times New Roman" w:cs="Times New Roman"/>
          <w:color w:val="000000" w:themeColor="text1"/>
          <w:sz w:val="24"/>
          <w:szCs w:val="24"/>
        </w:rPr>
        <w:t>.</w:t>
      </w:r>
    </w:p>
    <w:p w:rsidR="009C0BF6" w:rsidRPr="00113CD1" w:rsidRDefault="009C0BF6" w:rsidP="00580BC4">
      <w:pPr>
        <w:spacing w:before="100" w:beforeAutospacing="1" w:after="100" w:afterAutospacing="1"/>
        <w:jc w:val="both"/>
        <w:rPr>
          <w:rFonts w:ascii="Times New Roman" w:hAnsi="Times New Roman" w:cs="Times New Roman"/>
          <w:color w:val="808080" w:themeColor="background1" w:themeShade="80"/>
          <w:sz w:val="24"/>
          <w:szCs w:val="24"/>
        </w:rPr>
      </w:pPr>
      <w:r>
        <w:rPr>
          <w:rFonts w:ascii="Times New Roman" w:hAnsi="Times New Roman" w:cs="Times New Roman"/>
          <w:color w:val="000000" w:themeColor="text1"/>
          <w:sz w:val="24"/>
          <w:szCs w:val="24"/>
        </w:rPr>
        <w:t xml:space="preserve">ACCAN does not support the </w:t>
      </w:r>
      <w:r w:rsidR="00C003B2">
        <w:rPr>
          <w:rFonts w:ascii="Times New Roman" w:hAnsi="Times New Roman" w:cs="Times New Roman"/>
          <w:color w:val="000000" w:themeColor="text1"/>
          <w:sz w:val="24"/>
          <w:szCs w:val="24"/>
        </w:rPr>
        <w:t xml:space="preserve">regulation of pricing at a price and service level that reflects a product offering that is not in keeping with consumer expectations. </w:t>
      </w:r>
      <w:r w:rsidR="005E74AF">
        <w:rPr>
          <w:rFonts w:ascii="Times New Roman" w:hAnsi="Times New Roman" w:cs="Times New Roman"/>
          <w:color w:val="000000" w:themeColor="text1"/>
          <w:sz w:val="24"/>
          <w:szCs w:val="24"/>
        </w:rPr>
        <w:t xml:space="preserve">Consumers should be able to derive a benefit from the considerable investment made in creating a technical uplift and </w:t>
      </w:r>
      <w:r w:rsidR="005E74AF">
        <w:rPr>
          <w:rFonts w:ascii="Times New Roman" w:hAnsi="Times New Roman" w:cs="Times New Roman"/>
          <w:color w:val="000000" w:themeColor="text1"/>
          <w:sz w:val="24"/>
          <w:szCs w:val="24"/>
        </w:rPr>
        <w:lastRenderedPageBreak/>
        <w:t xml:space="preserve">consequently should </w:t>
      </w:r>
      <w:r w:rsidR="00857828">
        <w:rPr>
          <w:rFonts w:ascii="Times New Roman" w:hAnsi="Times New Roman" w:cs="Times New Roman"/>
          <w:color w:val="000000" w:themeColor="text1"/>
          <w:sz w:val="24"/>
          <w:szCs w:val="24"/>
        </w:rPr>
        <w:t xml:space="preserve">be able to access broadband services in keeping with the statement of expectations for an affordable price. </w:t>
      </w:r>
    </w:p>
    <w:p w:rsidR="0026201B" w:rsidRPr="008B52F1"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12. What level of CVC dimensioning for the basic broadband access pr</w:t>
      </w:r>
      <w:r w:rsidR="00DF1F91" w:rsidRPr="009B6577">
        <w:rPr>
          <w:rFonts w:ascii="Times New Roman" w:hAnsi="Times New Roman" w:cs="Times New Roman"/>
          <w:i/>
          <w:color w:val="00B0F0"/>
          <w:sz w:val="24"/>
          <w:szCs w:val="24"/>
        </w:rPr>
        <w:t xml:space="preserve">oduct do you consider </w:t>
      </w:r>
      <w:r w:rsidRPr="009B6577">
        <w:rPr>
          <w:rFonts w:ascii="Times New Roman" w:hAnsi="Times New Roman" w:cs="Times New Roman"/>
          <w:i/>
          <w:color w:val="00B0F0"/>
          <w:sz w:val="24"/>
          <w:szCs w:val="24"/>
        </w:rPr>
        <w:t>is needed to support a smooth transition of ADSL/AD</w:t>
      </w:r>
      <w:r w:rsidR="009B6577">
        <w:rPr>
          <w:rFonts w:ascii="Times New Roman" w:hAnsi="Times New Roman" w:cs="Times New Roman"/>
          <w:i/>
          <w:color w:val="00B0F0"/>
          <w:sz w:val="24"/>
          <w:szCs w:val="24"/>
        </w:rPr>
        <w:t xml:space="preserve">SL2+ customers to the NBN for a </w:t>
      </w:r>
      <w:r w:rsidRPr="009B6577">
        <w:rPr>
          <w:rFonts w:ascii="Times New Roman" w:hAnsi="Times New Roman" w:cs="Times New Roman"/>
          <w:i/>
          <w:color w:val="00B0F0"/>
          <w:sz w:val="24"/>
          <w:szCs w:val="24"/>
        </w:rPr>
        <w:t>retail price point of $60 with unlimited data? Could this same level of provisioning be</w:t>
      </w:r>
      <w:r w:rsidR="009B6577">
        <w:rPr>
          <w:rFonts w:ascii="Times New Roman" w:hAnsi="Times New Roman" w:cs="Times New Roman"/>
          <w:i/>
          <w:color w:val="00B0F0"/>
          <w:sz w:val="24"/>
          <w:szCs w:val="24"/>
        </w:rPr>
        <w:t xml:space="preserve"> </w:t>
      </w:r>
      <w:r w:rsidRPr="009B6577">
        <w:rPr>
          <w:rFonts w:ascii="Times New Roman" w:hAnsi="Times New Roman" w:cs="Times New Roman"/>
          <w:i/>
          <w:color w:val="00B0F0"/>
          <w:sz w:val="24"/>
          <w:szCs w:val="24"/>
        </w:rPr>
        <w:t>supported on the ADSL/ADSL2+ network for the same price point?</w:t>
      </w:r>
    </w:p>
    <w:p w:rsidR="00056633" w:rsidRDefault="00056633" w:rsidP="0026201B">
      <w:pPr>
        <w:autoSpaceDE w:val="0"/>
        <w:autoSpaceDN w:val="0"/>
        <w:adjustRightInd w:val="0"/>
        <w:spacing w:after="0" w:line="240" w:lineRule="auto"/>
        <w:rPr>
          <w:rFonts w:ascii="Times New Roman" w:hAnsi="Times New Roman" w:cs="Times New Roman"/>
          <w:sz w:val="24"/>
          <w:szCs w:val="24"/>
        </w:rPr>
      </w:pPr>
    </w:p>
    <w:p w:rsidR="008B52F1" w:rsidRPr="00DB349C" w:rsidRDefault="00056633" w:rsidP="008B52F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At a minimum an unlimited basic broadband service will require 2Mbps of CVC to be provisioned in order to ensure an uncongested service. </w:t>
      </w:r>
      <w:r w:rsidR="00E066CC">
        <w:rPr>
          <w:rFonts w:ascii="Times New Roman" w:hAnsi="Times New Roman" w:cs="Times New Roman"/>
          <w:sz w:val="24"/>
          <w:szCs w:val="24"/>
        </w:rPr>
        <w:t>ACCAN is un</w:t>
      </w:r>
      <w:r w:rsidR="00E45A51">
        <w:rPr>
          <w:rFonts w:ascii="Times New Roman" w:hAnsi="Times New Roman" w:cs="Times New Roman"/>
          <w:sz w:val="24"/>
          <w:szCs w:val="24"/>
        </w:rPr>
        <w:t>a</w:t>
      </w:r>
      <w:r w:rsidR="00E066CC">
        <w:rPr>
          <w:rFonts w:ascii="Times New Roman" w:hAnsi="Times New Roman" w:cs="Times New Roman"/>
          <w:sz w:val="24"/>
          <w:szCs w:val="24"/>
        </w:rPr>
        <w:t>ware of whether</w:t>
      </w:r>
      <w:r w:rsidR="008B52F1">
        <w:rPr>
          <w:rFonts w:ascii="Times New Roman" w:hAnsi="Times New Roman" w:cs="Times New Roman"/>
          <w:sz w:val="24"/>
          <w:szCs w:val="24"/>
        </w:rPr>
        <w:t xml:space="preserve"> this level of provisioning can be provided at an equivalent price point over the existing ADSL network. </w:t>
      </w:r>
    </w:p>
    <w:p w:rsidR="00DF1F91" w:rsidRPr="00944B75" w:rsidRDefault="00B46D2C" w:rsidP="00B46D2C">
      <w:pPr>
        <w:tabs>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201B" w:rsidRPr="004C1A8F"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4C1A8F">
        <w:rPr>
          <w:rFonts w:ascii="Times New Roman" w:hAnsi="Times New Roman" w:cs="Times New Roman"/>
          <w:i/>
          <w:color w:val="00B0F0"/>
          <w:sz w:val="24"/>
          <w:szCs w:val="24"/>
        </w:rPr>
        <w:t>13. RSPs that are supplying or have previously supplied retail 12/1 speed plans using the</w:t>
      </w:r>
    </w:p>
    <w:p w:rsidR="0026201B" w:rsidRPr="004C1A8F"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4C1A8F">
        <w:rPr>
          <w:rFonts w:ascii="Times New Roman" w:hAnsi="Times New Roman" w:cs="Times New Roman"/>
          <w:i/>
          <w:color w:val="00B0F0"/>
          <w:sz w:val="24"/>
          <w:szCs w:val="24"/>
        </w:rPr>
        <w:t>NBN, please complete the data request that accompanies this discussion paper.</w:t>
      </w:r>
    </w:p>
    <w:p w:rsidR="004C1A8F" w:rsidRPr="00EB4C04" w:rsidRDefault="004C1A8F" w:rsidP="0026201B">
      <w:pPr>
        <w:autoSpaceDE w:val="0"/>
        <w:autoSpaceDN w:val="0"/>
        <w:adjustRightInd w:val="0"/>
        <w:spacing w:after="0" w:line="240" w:lineRule="auto"/>
        <w:rPr>
          <w:rFonts w:ascii="Times New Roman" w:hAnsi="Times New Roman" w:cs="Times New Roman"/>
          <w:color w:val="FF0000"/>
          <w:sz w:val="24"/>
          <w:szCs w:val="24"/>
        </w:rPr>
      </w:pPr>
    </w:p>
    <w:p w:rsidR="00FE14A8" w:rsidRPr="00113CD1" w:rsidRDefault="004C1A8F" w:rsidP="0026201B">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C1A8F">
        <w:rPr>
          <w:rFonts w:ascii="Times New Roman" w:hAnsi="Times New Roman" w:cs="Times New Roman"/>
          <w:iCs/>
          <w:color w:val="000000" w:themeColor="text1"/>
          <w:sz w:val="24"/>
          <w:szCs w:val="24"/>
        </w:rPr>
        <w:t>N.A.</w:t>
      </w:r>
      <w:proofErr w:type="gramEnd"/>
    </w:p>
    <w:p w:rsidR="0026201B" w:rsidRPr="004C1A8F"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4C1A8F">
        <w:rPr>
          <w:rFonts w:ascii="Times New Roman" w:hAnsi="Times New Roman" w:cs="Times New Roman"/>
          <w:i/>
          <w:color w:val="00B0F0"/>
          <w:sz w:val="24"/>
          <w:szCs w:val="24"/>
        </w:rPr>
        <w:t>14. RSPs that operate ADSL/ADSL2+ networks, please complete the data request that</w:t>
      </w:r>
    </w:p>
    <w:p w:rsidR="0026201B" w:rsidRPr="004C1A8F"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4C1A8F">
        <w:rPr>
          <w:rFonts w:ascii="Times New Roman" w:hAnsi="Times New Roman" w:cs="Times New Roman"/>
          <w:i/>
          <w:color w:val="00B0F0"/>
          <w:sz w:val="24"/>
          <w:szCs w:val="24"/>
        </w:rPr>
        <w:t>accompanies</w:t>
      </w:r>
      <w:proofErr w:type="gramEnd"/>
      <w:r w:rsidRPr="004C1A8F">
        <w:rPr>
          <w:rFonts w:ascii="Times New Roman" w:hAnsi="Times New Roman" w:cs="Times New Roman"/>
          <w:i/>
          <w:color w:val="00B0F0"/>
          <w:sz w:val="24"/>
          <w:szCs w:val="24"/>
        </w:rPr>
        <w:t xml:space="preserve"> this discussion paper.</w:t>
      </w:r>
    </w:p>
    <w:p w:rsidR="0026201B" w:rsidRDefault="0026201B" w:rsidP="0026201B">
      <w:pPr>
        <w:autoSpaceDE w:val="0"/>
        <w:autoSpaceDN w:val="0"/>
        <w:adjustRightInd w:val="0"/>
        <w:spacing w:after="0" w:line="240" w:lineRule="auto"/>
        <w:rPr>
          <w:rFonts w:ascii="Times New Roman" w:hAnsi="Times New Roman" w:cs="Times New Roman"/>
          <w:i/>
          <w:sz w:val="24"/>
          <w:szCs w:val="24"/>
        </w:rPr>
      </w:pPr>
    </w:p>
    <w:p w:rsidR="004C1A8F" w:rsidRPr="004C1A8F" w:rsidRDefault="004C1A8F" w:rsidP="0026201B">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C1A8F">
        <w:rPr>
          <w:rFonts w:ascii="Times New Roman" w:hAnsi="Times New Roman" w:cs="Times New Roman"/>
          <w:iCs/>
          <w:color w:val="000000" w:themeColor="text1"/>
          <w:sz w:val="24"/>
          <w:szCs w:val="24"/>
        </w:rPr>
        <w:t>N.A.</w:t>
      </w:r>
      <w:proofErr w:type="gramEnd"/>
    </w:p>
    <w:p w:rsidR="00AA7A95" w:rsidRPr="009B6577" w:rsidRDefault="00AA7A95" w:rsidP="0026201B">
      <w:pPr>
        <w:autoSpaceDE w:val="0"/>
        <w:autoSpaceDN w:val="0"/>
        <w:adjustRightInd w:val="0"/>
        <w:spacing w:after="0" w:line="240" w:lineRule="auto"/>
        <w:rPr>
          <w:rFonts w:ascii="Times New Roman" w:hAnsi="Times New Roman" w:cs="Times New Roman"/>
          <w:i/>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15. What rate of indexing of the CVC dimensioning is required on a basic broadband </w:t>
      </w:r>
      <w:proofErr w:type="gramStart"/>
      <w:r w:rsidRPr="009B6577">
        <w:rPr>
          <w:rFonts w:ascii="Times New Roman" w:hAnsi="Times New Roman" w:cs="Times New Roman"/>
          <w:i/>
          <w:color w:val="00B0F0"/>
          <w:sz w:val="24"/>
          <w:szCs w:val="24"/>
        </w:rPr>
        <w:t>access</w:t>
      </w:r>
      <w:proofErr w:type="gramEnd"/>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service</w:t>
      </w:r>
      <w:proofErr w:type="gramEnd"/>
      <w:r w:rsidRPr="009B6577">
        <w:rPr>
          <w:rFonts w:ascii="Times New Roman" w:hAnsi="Times New Roman" w:cs="Times New Roman"/>
          <w:i/>
          <w:color w:val="00B0F0"/>
          <w:sz w:val="24"/>
          <w:szCs w:val="24"/>
        </w:rPr>
        <w:t xml:space="preserve"> for it to continue to provide for a smooth migration over the course of the rollout?</w:t>
      </w:r>
    </w:p>
    <w:p w:rsidR="0026201B"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Could this same rate of indexing be supported on the ADSL/ADSL2+ network?</w:t>
      </w:r>
    </w:p>
    <w:p w:rsidR="00515151" w:rsidRPr="006924AE" w:rsidRDefault="00515151" w:rsidP="0026201B">
      <w:pPr>
        <w:autoSpaceDE w:val="0"/>
        <w:autoSpaceDN w:val="0"/>
        <w:adjustRightInd w:val="0"/>
        <w:spacing w:after="0" w:line="240" w:lineRule="auto"/>
        <w:rPr>
          <w:rFonts w:ascii="Times New Roman" w:hAnsi="Times New Roman" w:cs="Times New Roman"/>
          <w:i/>
          <w:color w:val="00B0F0"/>
          <w:sz w:val="24"/>
          <w:szCs w:val="24"/>
        </w:rPr>
      </w:pPr>
    </w:p>
    <w:p w:rsidR="00BB4244" w:rsidRDefault="00246950" w:rsidP="0024781E">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has been advised that a significant increase in CVC provisioning is required to constrain the re-emergence of network congestion over the course of the rollout. Although the </w:t>
      </w:r>
      <w:r w:rsidR="007917E7">
        <w:rPr>
          <w:rFonts w:ascii="Times New Roman" w:hAnsi="Times New Roman" w:cs="Times New Roman"/>
          <w:color w:val="000000" w:themeColor="text1"/>
          <w:sz w:val="24"/>
          <w:szCs w:val="24"/>
        </w:rPr>
        <w:t xml:space="preserve">information concerning the required </w:t>
      </w:r>
      <w:r>
        <w:rPr>
          <w:rFonts w:ascii="Times New Roman" w:hAnsi="Times New Roman" w:cs="Times New Roman"/>
          <w:color w:val="000000" w:themeColor="text1"/>
          <w:sz w:val="24"/>
          <w:szCs w:val="24"/>
        </w:rPr>
        <w:t xml:space="preserve">rate of </w:t>
      </w:r>
      <w:r w:rsidR="007917E7">
        <w:rPr>
          <w:rFonts w:ascii="Times New Roman" w:hAnsi="Times New Roman" w:cs="Times New Roman"/>
          <w:color w:val="000000" w:themeColor="text1"/>
          <w:sz w:val="24"/>
          <w:szCs w:val="24"/>
        </w:rPr>
        <w:t>indexing has varied, ACCAN understands that bandwidth demand is projected to increase in the order of 40-50% over the next year.</w:t>
      </w:r>
      <w:r w:rsidR="00DE75F4">
        <w:rPr>
          <w:rFonts w:ascii="Times New Roman" w:hAnsi="Times New Roman" w:cs="Times New Roman"/>
          <w:color w:val="000000" w:themeColor="text1"/>
          <w:sz w:val="24"/>
          <w:szCs w:val="24"/>
        </w:rPr>
        <w:t xml:space="preserve"> This implies uplift in CVC requirements in the order of approximately 1Mbps.</w:t>
      </w:r>
      <w:r w:rsidR="0024781E">
        <w:rPr>
          <w:rFonts w:ascii="Times New Roman" w:hAnsi="Times New Roman" w:cs="Times New Roman"/>
          <w:color w:val="000000" w:themeColor="text1"/>
          <w:sz w:val="24"/>
          <w:szCs w:val="24"/>
        </w:rPr>
        <w:t xml:space="preserve"> </w:t>
      </w:r>
      <w:r w:rsidR="007917E7">
        <w:rPr>
          <w:rFonts w:ascii="Times New Roman" w:hAnsi="Times New Roman" w:cs="Times New Roman"/>
          <w:color w:val="000000" w:themeColor="text1"/>
          <w:sz w:val="24"/>
          <w:szCs w:val="24"/>
        </w:rPr>
        <w:t>ACCAN is un</w:t>
      </w:r>
      <w:r w:rsidR="00DE75F4">
        <w:rPr>
          <w:rFonts w:ascii="Times New Roman" w:hAnsi="Times New Roman" w:cs="Times New Roman"/>
          <w:color w:val="000000" w:themeColor="text1"/>
          <w:sz w:val="24"/>
          <w:szCs w:val="24"/>
        </w:rPr>
        <w:t>a</w:t>
      </w:r>
      <w:r w:rsidR="007917E7">
        <w:rPr>
          <w:rFonts w:ascii="Times New Roman" w:hAnsi="Times New Roman" w:cs="Times New Roman"/>
          <w:color w:val="000000" w:themeColor="text1"/>
          <w:sz w:val="24"/>
          <w:szCs w:val="24"/>
        </w:rPr>
        <w:t>ware whether this rate of indexing could be supported over the ADSL network.</w:t>
      </w:r>
    </w:p>
    <w:p w:rsidR="000100C8" w:rsidRPr="002B7BA8" w:rsidRDefault="000100C8" w:rsidP="0024781E">
      <w:pPr>
        <w:autoSpaceDE w:val="0"/>
        <w:autoSpaceDN w:val="0"/>
        <w:adjustRightInd w:val="0"/>
        <w:spacing w:after="0"/>
        <w:jc w:val="both"/>
        <w:rPr>
          <w:rFonts w:ascii="Times New Roman" w:hAnsi="Times New Roman" w:cs="Times New Roman"/>
          <w:color w:val="000000" w:themeColor="text1"/>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16. How should the required growth in CVC dimensioning be accommodated in developing</w:t>
      </w:r>
      <w:r w:rsidR="00515151">
        <w:rPr>
          <w:rFonts w:ascii="Times New Roman" w:hAnsi="Times New Roman" w:cs="Times New Roman"/>
          <w:i/>
          <w:color w:val="00B0F0"/>
          <w:sz w:val="24"/>
          <w:szCs w:val="24"/>
        </w:rPr>
        <w:t xml:space="preserve"> </w:t>
      </w:r>
      <w:r w:rsidRPr="009B6577">
        <w:rPr>
          <w:rFonts w:ascii="Times New Roman" w:hAnsi="Times New Roman" w:cs="Times New Roman"/>
          <w:i/>
          <w:color w:val="00B0F0"/>
          <w:sz w:val="24"/>
          <w:szCs w:val="24"/>
        </w:rPr>
        <w:t>price related terms for the basic speed access product and does this put the $60 retail</w:t>
      </w:r>
    </w:p>
    <w:p w:rsidR="0026201B" w:rsidRDefault="0026201B" w:rsidP="0026201B">
      <w:pPr>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price</w:t>
      </w:r>
      <w:proofErr w:type="gramEnd"/>
      <w:r w:rsidRPr="009B6577">
        <w:rPr>
          <w:rFonts w:ascii="Times New Roman" w:hAnsi="Times New Roman" w:cs="Times New Roman"/>
          <w:i/>
          <w:color w:val="00B0F0"/>
          <w:sz w:val="24"/>
          <w:szCs w:val="24"/>
        </w:rPr>
        <w:t xml:space="preserve"> point with unlimited data at risk?</w:t>
      </w:r>
    </w:p>
    <w:p w:rsidR="00D16CB2" w:rsidRDefault="008B648E" w:rsidP="00A92CE4">
      <w:pPr>
        <w:jc w:val="both"/>
        <w:rPr>
          <w:rFonts w:ascii="Times New Roman" w:hAnsi="Times New Roman" w:cs="Times New Roman"/>
          <w:color w:val="000000" w:themeColor="text1"/>
          <w:sz w:val="24"/>
          <w:szCs w:val="24"/>
        </w:rPr>
      </w:pPr>
      <w:r w:rsidRPr="00E200E6">
        <w:rPr>
          <w:rFonts w:ascii="Times New Roman" w:hAnsi="Times New Roman" w:cs="Times New Roman"/>
          <w:color w:val="000000" w:themeColor="text1"/>
          <w:sz w:val="24"/>
          <w:szCs w:val="24"/>
        </w:rPr>
        <w:t>ACCAN believes that the required growth</w:t>
      </w:r>
      <w:r w:rsidR="00493E75">
        <w:rPr>
          <w:rFonts w:ascii="Times New Roman" w:hAnsi="Times New Roman" w:cs="Times New Roman"/>
          <w:color w:val="000000" w:themeColor="text1"/>
          <w:sz w:val="24"/>
          <w:szCs w:val="24"/>
        </w:rPr>
        <w:t xml:space="preserve"> in</w:t>
      </w:r>
      <w:r w:rsidRPr="00E200E6">
        <w:rPr>
          <w:rFonts w:ascii="Times New Roman" w:hAnsi="Times New Roman" w:cs="Times New Roman"/>
          <w:color w:val="000000" w:themeColor="text1"/>
          <w:sz w:val="24"/>
          <w:szCs w:val="24"/>
        </w:rPr>
        <w:t xml:space="preserve"> CVC dimensioning should be accommodated through an increase in the </w:t>
      </w:r>
      <w:r w:rsidR="00AD68FA">
        <w:rPr>
          <w:rFonts w:ascii="Times New Roman" w:hAnsi="Times New Roman" w:cs="Times New Roman"/>
          <w:color w:val="000000" w:themeColor="text1"/>
          <w:sz w:val="24"/>
          <w:szCs w:val="24"/>
        </w:rPr>
        <w:t>bundled</w:t>
      </w:r>
      <w:r w:rsidRPr="00E200E6">
        <w:rPr>
          <w:rFonts w:ascii="Times New Roman" w:hAnsi="Times New Roman" w:cs="Times New Roman"/>
          <w:color w:val="000000" w:themeColor="text1"/>
          <w:sz w:val="24"/>
          <w:szCs w:val="24"/>
        </w:rPr>
        <w:t xml:space="preserve"> level of CVC inclusions</w:t>
      </w:r>
      <w:r w:rsidR="00AD68FA">
        <w:rPr>
          <w:rFonts w:ascii="Times New Roman" w:hAnsi="Times New Roman" w:cs="Times New Roman"/>
          <w:color w:val="000000" w:themeColor="text1"/>
          <w:sz w:val="24"/>
          <w:szCs w:val="24"/>
        </w:rPr>
        <w:t xml:space="preserve"> for the service offering. </w:t>
      </w:r>
      <w:r w:rsidR="00B410D7">
        <w:rPr>
          <w:rFonts w:ascii="Times New Roman" w:hAnsi="Times New Roman" w:cs="Times New Roman"/>
          <w:color w:val="000000" w:themeColor="text1"/>
          <w:sz w:val="24"/>
          <w:szCs w:val="24"/>
        </w:rPr>
        <w:t xml:space="preserve">As bandwidth demand increase over time ACCAN believes that it is appropriate for </w:t>
      </w:r>
      <w:r w:rsidR="00EF1109">
        <w:rPr>
          <w:rFonts w:ascii="Times New Roman" w:hAnsi="Times New Roman" w:cs="Times New Roman"/>
          <w:color w:val="000000" w:themeColor="text1"/>
          <w:sz w:val="24"/>
          <w:szCs w:val="24"/>
        </w:rPr>
        <w:t xml:space="preserve">the inclusions to grow in concert with demand. </w:t>
      </w:r>
    </w:p>
    <w:p w:rsidR="008B648E" w:rsidRDefault="00D16CB2" w:rsidP="00A92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ACCAN considers that the efficient cost of providing increased CVC capacity is lower than the current headline price cited by NBN Co</w:t>
      </w:r>
      <w:r w:rsidR="00DA4717">
        <w:rPr>
          <w:rFonts w:ascii="Times New Roman" w:hAnsi="Times New Roman" w:cs="Times New Roman"/>
          <w:color w:val="000000" w:themeColor="text1"/>
          <w:sz w:val="24"/>
          <w:szCs w:val="24"/>
        </w:rPr>
        <w:t xml:space="preserve"> of $8</w:t>
      </w:r>
      <w:r>
        <w:rPr>
          <w:rFonts w:ascii="Times New Roman" w:hAnsi="Times New Roman" w:cs="Times New Roman"/>
          <w:color w:val="000000" w:themeColor="text1"/>
          <w:sz w:val="24"/>
          <w:szCs w:val="24"/>
        </w:rPr>
        <w:t>. Accordingly, ACCAN believes that there is scope for further price reductions for CVC provisioning, and that an unlimited basic speed access product can be offered without compromising the ACCC’s identified price point.</w:t>
      </w:r>
      <w:r w:rsidR="008B648E" w:rsidRPr="0024781E">
        <w:rPr>
          <w:rFonts w:ascii="Times New Roman" w:hAnsi="Times New Roman" w:cs="Times New Roman"/>
          <w:color w:val="000000" w:themeColor="text1"/>
          <w:sz w:val="24"/>
          <w:szCs w:val="24"/>
        </w:rPr>
        <w:t xml:space="preserve">  </w:t>
      </w:r>
    </w:p>
    <w:p w:rsidR="00311E9C" w:rsidRPr="0024781E" w:rsidRDefault="00311E9C" w:rsidP="00A92CE4">
      <w:pPr>
        <w:jc w:val="both"/>
        <w:rPr>
          <w:rFonts w:ascii="Times New Roman" w:hAnsi="Times New Roman" w:cs="Times New Roman"/>
          <w:color w:val="000000" w:themeColor="text1"/>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lastRenderedPageBreak/>
        <w:t>17. What do you see as the pros and cons of establishing the price related terms and</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conditions of access to a basic broadband access product by way of a new product</w:t>
      </w:r>
    </w:p>
    <w:p w:rsidR="00F951C1" w:rsidRPr="00B2113B" w:rsidRDefault="0026201B" w:rsidP="00F951C1">
      <w:pPr>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bundle or being implemented by way of a partial waiver/discount?</w:t>
      </w:r>
    </w:p>
    <w:p w:rsidR="00D16CB2" w:rsidRPr="00B2113B" w:rsidRDefault="00F951C1" w:rsidP="005105C8">
      <w:pPr>
        <w:jc w:val="both"/>
        <w:rPr>
          <w:rFonts w:ascii="Times New Roman" w:hAnsi="Times New Roman" w:cs="Times New Roman"/>
          <w:color w:val="000000" w:themeColor="text1"/>
          <w:sz w:val="24"/>
          <w:szCs w:val="24"/>
        </w:rPr>
      </w:pPr>
      <w:r w:rsidRPr="00B2113B">
        <w:rPr>
          <w:rFonts w:ascii="Times New Roman" w:hAnsi="Times New Roman" w:cs="Times New Roman"/>
          <w:color w:val="000000" w:themeColor="text1"/>
          <w:sz w:val="24"/>
          <w:szCs w:val="24"/>
        </w:rPr>
        <w:t xml:space="preserve">ACCAN is supportive of the ACCC acting to establish price related terms and conditions through the creation of a new product bundle. </w:t>
      </w:r>
      <w:r w:rsidR="00D16CB2">
        <w:rPr>
          <w:rFonts w:ascii="Times New Roman" w:hAnsi="Times New Roman" w:cs="Times New Roman"/>
          <w:color w:val="000000" w:themeColor="text1"/>
          <w:sz w:val="24"/>
          <w:szCs w:val="24"/>
        </w:rPr>
        <w:t xml:space="preserve">The creation of certainty is extremely important for service offerings to price sensitive consumers, and ACCAN is aware that many retailers have moved away from this part of the market due to the significant financial risks associated with unexpected and unpredictable overage charges. As a consequence, </w:t>
      </w:r>
      <w:r w:rsidR="00D16CB2" w:rsidRPr="00B2113B">
        <w:rPr>
          <w:rFonts w:ascii="Times New Roman" w:hAnsi="Times New Roman" w:cs="Times New Roman"/>
          <w:color w:val="000000" w:themeColor="text1"/>
          <w:sz w:val="24"/>
          <w:szCs w:val="24"/>
        </w:rPr>
        <w:t xml:space="preserve">ACCAN believes that the creation of a new product bundle would provide certainty to retailers and is the appropriate mechanism for setting price related terms in the long term. </w:t>
      </w:r>
    </w:p>
    <w:p w:rsidR="00113CD1" w:rsidRPr="005105C8" w:rsidRDefault="008524FD" w:rsidP="005105C8">
      <w:pPr>
        <w:jc w:val="both"/>
        <w:rPr>
          <w:rFonts w:ascii="Times New Roman" w:hAnsi="Times New Roman" w:cs="Times New Roman"/>
          <w:color w:val="000000" w:themeColor="text1"/>
          <w:sz w:val="24"/>
          <w:szCs w:val="24"/>
        </w:rPr>
      </w:pPr>
      <w:r w:rsidRPr="00E45A51">
        <w:rPr>
          <w:rFonts w:ascii="Times New Roman" w:hAnsi="Times New Roman" w:cs="Times New Roman"/>
          <w:color w:val="000000" w:themeColor="text1"/>
          <w:sz w:val="24"/>
          <w:szCs w:val="24"/>
        </w:rPr>
        <w:t xml:space="preserve">However, as an interim step ACCAN supports the implementation of price setting through the use of a partial waiver or discount if this facilitates efficient pricing in the immediate future. </w:t>
      </w:r>
      <w:r w:rsidR="0037275B">
        <w:rPr>
          <w:rFonts w:ascii="Times New Roman" w:hAnsi="Times New Roman" w:cs="Times New Roman"/>
          <w:color w:val="000000" w:themeColor="text1"/>
          <w:sz w:val="24"/>
          <w:szCs w:val="24"/>
        </w:rPr>
        <w:t xml:space="preserve">The use of a waiver may allow for the re-entry of retailers into </w:t>
      </w:r>
      <w:r w:rsidR="00493E75">
        <w:rPr>
          <w:rFonts w:ascii="Times New Roman" w:hAnsi="Times New Roman" w:cs="Times New Roman"/>
          <w:color w:val="000000" w:themeColor="text1"/>
          <w:sz w:val="24"/>
          <w:szCs w:val="24"/>
        </w:rPr>
        <w:t xml:space="preserve">the </w:t>
      </w:r>
      <w:r w:rsidR="0037275B">
        <w:rPr>
          <w:rFonts w:ascii="Times New Roman" w:hAnsi="Times New Roman" w:cs="Times New Roman"/>
          <w:color w:val="000000" w:themeColor="text1"/>
          <w:sz w:val="24"/>
          <w:szCs w:val="24"/>
        </w:rPr>
        <w:t>entry level market, which can be subsequently consolidated through the formulation of a product bundle.</w:t>
      </w:r>
      <w:r w:rsidR="00197E98">
        <w:rPr>
          <w:rFonts w:ascii="Times New Roman" w:hAnsi="Times New Roman" w:cs="Times New Roman"/>
          <w:color w:val="000000" w:themeColor="text1"/>
          <w:sz w:val="24"/>
          <w:szCs w:val="24"/>
        </w:rPr>
        <w:t xml:space="preserve"> </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18. Will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proposed pricing in its second consultation paper allow access seekers to</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E530C6">
        <w:rPr>
          <w:rFonts w:ascii="Times New Roman" w:hAnsi="Times New Roman" w:cs="Times New Roman"/>
          <w:i/>
          <w:color w:val="00B0F0"/>
          <w:sz w:val="24"/>
          <w:szCs w:val="24"/>
          <w:lang w:val="en-AU"/>
        </w:rPr>
        <w:t>rationalise</w:t>
      </w:r>
      <w:proofErr w:type="gramEnd"/>
      <w:r w:rsidRPr="009B6577">
        <w:rPr>
          <w:rFonts w:ascii="Times New Roman" w:hAnsi="Times New Roman" w:cs="Times New Roman"/>
          <w:i/>
          <w:color w:val="00B0F0"/>
          <w:sz w:val="24"/>
          <w:szCs w:val="24"/>
        </w:rPr>
        <w:t xml:space="preserve"> their CVCs?</w:t>
      </w:r>
    </w:p>
    <w:p w:rsidR="0026201B" w:rsidRPr="009C4127" w:rsidRDefault="0026201B" w:rsidP="0026201B">
      <w:pPr>
        <w:autoSpaceDE w:val="0"/>
        <w:autoSpaceDN w:val="0"/>
        <w:adjustRightInd w:val="0"/>
        <w:spacing w:after="0" w:line="240" w:lineRule="auto"/>
        <w:rPr>
          <w:rFonts w:ascii="Times New Roman" w:hAnsi="Times New Roman" w:cs="Times New Roman"/>
          <w:b/>
          <w:i/>
          <w:color w:val="00B0F0"/>
          <w:sz w:val="24"/>
          <w:szCs w:val="24"/>
        </w:rPr>
      </w:pPr>
    </w:p>
    <w:p w:rsidR="009C4127" w:rsidRPr="00311E9C" w:rsidRDefault="00311E9C" w:rsidP="0076532D">
      <w:pPr>
        <w:autoSpaceDE w:val="0"/>
        <w:autoSpaceDN w:val="0"/>
        <w:adjustRightInd w:val="0"/>
        <w:spacing w:after="0"/>
        <w:jc w:val="both"/>
        <w:rPr>
          <w:rFonts w:ascii="Times New Roman" w:hAnsi="Times New Roman" w:cs="Times New Roman"/>
          <w:color w:val="FF0000"/>
          <w:sz w:val="24"/>
          <w:szCs w:val="24"/>
        </w:rPr>
      </w:pPr>
      <w:r w:rsidRPr="005D3B92">
        <w:rPr>
          <w:rFonts w:ascii="Times New Roman" w:hAnsi="Times New Roman" w:cs="Times New Roman"/>
          <w:sz w:val="24"/>
          <w:szCs w:val="24"/>
        </w:rPr>
        <w:t xml:space="preserve">ACCAN believes that the changes outlined in NBN </w:t>
      </w:r>
      <w:proofErr w:type="spellStart"/>
      <w:r w:rsidRPr="005D3B92">
        <w:rPr>
          <w:rFonts w:ascii="Times New Roman" w:hAnsi="Times New Roman" w:cs="Times New Roman"/>
          <w:sz w:val="24"/>
          <w:szCs w:val="24"/>
        </w:rPr>
        <w:t>Co’s</w:t>
      </w:r>
      <w:proofErr w:type="spellEnd"/>
      <w:r w:rsidRPr="005D3B92">
        <w:rPr>
          <w:rFonts w:ascii="Times New Roman" w:hAnsi="Times New Roman" w:cs="Times New Roman"/>
          <w:sz w:val="24"/>
          <w:szCs w:val="24"/>
        </w:rPr>
        <w:t xml:space="preserve"> </w:t>
      </w:r>
      <w:r w:rsidRPr="005D3B92">
        <w:rPr>
          <w:rFonts w:ascii="Times New Roman" w:hAnsi="Times New Roman" w:cs="Times New Roman"/>
          <w:i/>
          <w:iCs/>
          <w:sz w:val="24"/>
          <w:szCs w:val="24"/>
        </w:rPr>
        <w:t xml:space="preserve">RMID0821 </w:t>
      </w:r>
      <w:r>
        <w:rPr>
          <w:rFonts w:ascii="Times New Roman" w:hAnsi="Times New Roman" w:cs="Times New Roman"/>
          <w:i/>
          <w:iCs/>
          <w:sz w:val="24"/>
          <w:szCs w:val="24"/>
        </w:rPr>
        <w:t xml:space="preserve">Pricing Review 2019 Closing Paper </w:t>
      </w:r>
      <w:r>
        <w:rPr>
          <w:rFonts w:ascii="Times New Roman" w:hAnsi="Times New Roman" w:cs="Times New Roman"/>
          <w:iCs/>
          <w:sz w:val="24"/>
          <w:szCs w:val="24"/>
        </w:rPr>
        <w:t>will allow for access seekers to rationalize their CVCs by transitioning all of their services onto bundled CVCs and shutting down their legacy CVCs.</w:t>
      </w:r>
    </w:p>
    <w:p w:rsidR="00311E9C" w:rsidRDefault="00311E9C" w:rsidP="0076532D">
      <w:pPr>
        <w:autoSpaceDE w:val="0"/>
        <w:autoSpaceDN w:val="0"/>
        <w:adjustRightInd w:val="0"/>
        <w:spacing w:after="0"/>
        <w:jc w:val="both"/>
        <w:rPr>
          <w:rFonts w:ascii="Times New Roman" w:hAnsi="Times New Roman" w:cs="Times New Roman"/>
          <w:color w:val="000000" w:themeColor="text1"/>
          <w:sz w:val="24"/>
          <w:szCs w:val="24"/>
        </w:rPr>
      </w:pPr>
    </w:p>
    <w:p w:rsidR="00515151" w:rsidRPr="00395EBB" w:rsidRDefault="00515151" w:rsidP="0076532D">
      <w:pPr>
        <w:autoSpaceDE w:val="0"/>
        <w:autoSpaceDN w:val="0"/>
        <w:adjustRightInd w:val="0"/>
        <w:spacing w:after="0"/>
        <w:jc w:val="both"/>
        <w:rPr>
          <w:rFonts w:ascii="Times New Roman" w:hAnsi="Times New Roman" w:cs="Times New Roman"/>
          <w:color w:val="000000" w:themeColor="text1"/>
          <w:sz w:val="24"/>
          <w:szCs w:val="24"/>
        </w:rPr>
      </w:pPr>
      <w:r w:rsidRPr="0076532D">
        <w:rPr>
          <w:rFonts w:ascii="Times New Roman" w:hAnsi="Times New Roman" w:cs="Times New Roman"/>
          <w:color w:val="000000" w:themeColor="text1"/>
          <w:sz w:val="24"/>
          <w:szCs w:val="24"/>
        </w:rPr>
        <w:t xml:space="preserve">ACCAN has not received any feedback from industry parties concerning the rationalization of </w:t>
      </w:r>
      <w:r w:rsidR="006D7E34">
        <w:rPr>
          <w:rFonts w:ascii="Times New Roman" w:hAnsi="Times New Roman" w:cs="Times New Roman"/>
          <w:color w:val="000000" w:themeColor="text1"/>
          <w:sz w:val="24"/>
          <w:szCs w:val="24"/>
        </w:rPr>
        <w:t>CVCs</w:t>
      </w:r>
      <w:r w:rsidR="00891FB3">
        <w:rPr>
          <w:rFonts w:ascii="Times New Roman" w:hAnsi="Times New Roman" w:cs="Times New Roman"/>
          <w:color w:val="000000" w:themeColor="text1"/>
          <w:sz w:val="24"/>
          <w:szCs w:val="24"/>
        </w:rPr>
        <w:t xml:space="preserve"> in response to </w:t>
      </w:r>
      <w:r w:rsidR="00E112D4">
        <w:rPr>
          <w:rFonts w:ascii="Times New Roman" w:hAnsi="Times New Roman" w:cs="Times New Roman"/>
          <w:color w:val="000000" w:themeColor="text1"/>
          <w:sz w:val="24"/>
          <w:szCs w:val="24"/>
        </w:rPr>
        <w:t xml:space="preserve">NBN </w:t>
      </w:r>
      <w:proofErr w:type="spellStart"/>
      <w:r w:rsidR="00E112D4">
        <w:rPr>
          <w:rFonts w:ascii="Times New Roman" w:hAnsi="Times New Roman" w:cs="Times New Roman"/>
          <w:color w:val="000000" w:themeColor="text1"/>
          <w:sz w:val="24"/>
          <w:szCs w:val="24"/>
        </w:rPr>
        <w:t>Co’s</w:t>
      </w:r>
      <w:proofErr w:type="spellEnd"/>
      <w:r w:rsidR="00E112D4">
        <w:rPr>
          <w:rFonts w:ascii="Times New Roman" w:hAnsi="Times New Roman" w:cs="Times New Roman"/>
          <w:color w:val="000000" w:themeColor="text1"/>
          <w:sz w:val="24"/>
          <w:szCs w:val="24"/>
        </w:rPr>
        <w:t xml:space="preserve"> </w:t>
      </w:r>
      <w:r w:rsidR="00891FB3">
        <w:rPr>
          <w:rFonts w:ascii="Times New Roman" w:hAnsi="Times New Roman" w:cs="Times New Roman"/>
          <w:i/>
          <w:iCs/>
          <w:sz w:val="24"/>
          <w:szCs w:val="24"/>
        </w:rPr>
        <w:t xml:space="preserve">RMID0821 Pricing </w:t>
      </w:r>
      <w:r w:rsidR="00311E9C">
        <w:rPr>
          <w:rFonts w:ascii="Times New Roman" w:hAnsi="Times New Roman" w:cs="Times New Roman"/>
          <w:i/>
          <w:iCs/>
          <w:sz w:val="24"/>
          <w:szCs w:val="24"/>
        </w:rPr>
        <w:t>Review 2019 Closing Paper</w:t>
      </w:r>
      <w:r w:rsidR="00891FB3">
        <w:rPr>
          <w:rFonts w:ascii="Times New Roman" w:hAnsi="Times New Roman" w:cs="Times New Roman"/>
          <w:sz w:val="24"/>
          <w:szCs w:val="24"/>
        </w:rPr>
        <w:t xml:space="preserve">. </w:t>
      </w:r>
      <w:r w:rsidR="00891FB3">
        <w:rPr>
          <w:rFonts w:ascii="Times New Roman" w:hAnsi="Times New Roman" w:cs="Times New Roman"/>
          <w:color w:val="000000" w:themeColor="text1"/>
          <w:sz w:val="24"/>
          <w:szCs w:val="24"/>
        </w:rPr>
        <w:t>However,</w:t>
      </w:r>
      <w:r w:rsidR="006D7E34">
        <w:rPr>
          <w:rFonts w:ascii="Times New Roman" w:hAnsi="Times New Roman" w:cs="Times New Roman"/>
          <w:color w:val="000000" w:themeColor="text1"/>
          <w:sz w:val="24"/>
          <w:szCs w:val="24"/>
        </w:rPr>
        <w:t xml:space="preserve"> ACCAN understands that there is an ongoing drive to move legacy CVCs onto the bundled pricing construct due to the potential savings that can be realized by operating only one system of CVCs. </w:t>
      </w:r>
    </w:p>
    <w:p w:rsidR="00515151" w:rsidRPr="0076532D" w:rsidRDefault="00515151" w:rsidP="0026201B">
      <w:pPr>
        <w:autoSpaceDE w:val="0"/>
        <w:autoSpaceDN w:val="0"/>
        <w:adjustRightInd w:val="0"/>
        <w:spacing w:after="0" w:line="240" w:lineRule="auto"/>
        <w:rPr>
          <w:rFonts w:ascii="Times New Roman" w:hAnsi="Times New Roman" w:cs="Times New Roman"/>
          <w:color w:val="00B0F0"/>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19. What further approaches could be considered to facilitate opportunities to reduce</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transformation</w:t>
      </w:r>
      <w:proofErr w:type="gramEnd"/>
      <w:r w:rsidRPr="009B6577">
        <w:rPr>
          <w:rFonts w:ascii="Times New Roman" w:hAnsi="Times New Roman" w:cs="Times New Roman"/>
          <w:i/>
          <w:color w:val="00B0F0"/>
          <w:sz w:val="24"/>
          <w:szCs w:val="24"/>
        </w:rPr>
        <w:t xml:space="preserve"> costs and/or allow access seekers to exploit scale economies in respect</w:t>
      </w:r>
    </w:p>
    <w:p w:rsidR="0026201B" w:rsidRDefault="0026201B" w:rsidP="0026201B">
      <w:pPr>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of</w:t>
      </w:r>
      <w:proofErr w:type="gramEnd"/>
      <w:r w:rsidRPr="009B6577">
        <w:rPr>
          <w:rFonts w:ascii="Times New Roman" w:hAnsi="Times New Roman" w:cs="Times New Roman"/>
          <w:i/>
          <w:color w:val="00B0F0"/>
          <w:sz w:val="24"/>
          <w:szCs w:val="24"/>
        </w:rPr>
        <w:t xml:space="preserve"> the basic broadband access product?</w:t>
      </w:r>
    </w:p>
    <w:p w:rsidR="00E567DC" w:rsidRPr="00E45A51" w:rsidRDefault="000F01EC" w:rsidP="008971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understands that there are multiple opportunities to reduce the cost of transformation by the </w:t>
      </w:r>
      <w:r w:rsidR="00D658D4">
        <w:rPr>
          <w:rFonts w:ascii="Times New Roman" w:hAnsi="Times New Roman" w:cs="Times New Roman"/>
          <w:color w:val="000000" w:themeColor="text1"/>
          <w:sz w:val="24"/>
          <w:szCs w:val="24"/>
        </w:rPr>
        <w:t>reduction</w:t>
      </w:r>
      <w:r>
        <w:rPr>
          <w:rFonts w:ascii="Times New Roman" w:hAnsi="Times New Roman" w:cs="Times New Roman"/>
          <w:color w:val="000000" w:themeColor="text1"/>
          <w:sz w:val="24"/>
          <w:szCs w:val="24"/>
        </w:rPr>
        <w:t xml:space="preserve"> </w:t>
      </w:r>
      <w:r w:rsidR="00D658D4">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the management costs associated with the existing CVC construct. The implementation of </w:t>
      </w:r>
      <w:r w:rsidR="006740C5">
        <w:rPr>
          <w:rFonts w:ascii="Times New Roman" w:hAnsi="Times New Roman" w:cs="Times New Roman"/>
          <w:color w:val="000000" w:themeColor="text1"/>
          <w:sz w:val="24"/>
          <w:szCs w:val="24"/>
        </w:rPr>
        <w:t xml:space="preserve">simplified </w:t>
      </w:r>
      <w:r>
        <w:rPr>
          <w:rFonts w:ascii="Times New Roman" w:hAnsi="Times New Roman" w:cs="Times New Roman"/>
          <w:color w:val="000000" w:themeColor="text1"/>
          <w:sz w:val="24"/>
          <w:szCs w:val="24"/>
        </w:rPr>
        <w:t xml:space="preserve">billing approaches </w:t>
      </w:r>
      <w:r w:rsidR="006740C5">
        <w:rPr>
          <w:rFonts w:ascii="Times New Roman" w:hAnsi="Times New Roman" w:cs="Times New Roman"/>
          <w:color w:val="000000" w:themeColor="text1"/>
          <w:sz w:val="24"/>
          <w:szCs w:val="24"/>
        </w:rPr>
        <w:t>has</w:t>
      </w:r>
      <w:r>
        <w:rPr>
          <w:rFonts w:ascii="Times New Roman" w:hAnsi="Times New Roman" w:cs="Times New Roman"/>
          <w:color w:val="000000" w:themeColor="text1"/>
          <w:sz w:val="24"/>
          <w:szCs w:val="24"/>
        </w:rPr>
        <w:t xml:space="preserve"> been raised with ACCAN as a mechanism for reducing the costs of CVC management while also providing efficient incentives to invest in capacity and providing sufficient NBN revenues. </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20. What is your preferred approach to preserving sufficient flexibility to offer limited quota</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plans</w:t>
      </w:r>
      <w:proofErr w:type="gramEnd"/>
      <w:r w:rsidRPr="009B6577">
        <w:rPr>
          <w:rFonts w:ascii="Times New Roman" w:hAnsi="Times New Roman" w:cs="Times New Roman"/>
          <w:i/>
          <w:color w:val="00B0F0"/>
          <w:sz w:val="24"/>
          <w:szCs w:val="24"/>
        </w:rPr>
        <w:t xml:space="preserve"> over a basic broadband access product?</w:t>
      </w:r>
    </w:p>
    <w:p w:rsidR="0026201B" w:rsidRDefault="0026201B" w:rsidP="0026201B">
      <w:pPr>
        <w:autoSpaceDE w:val="0"/>
        <w:autoSpaceDN w:val="0"/>
        <w:adjustRightInd w:val="0"/>
        <w:spacing w:after="0" w:line="240" w:lineRule="auto"/>
        <w:rPr>
          <w:rFonts w:ascii="Times New Roman" w:hAnsi="Times New Roman" w:cs="Times New Roman"/>
          <w:i/>
          <w:color w:val="00B0F0"/>
          <w:sz w:val="24"/>
          <w:szCs w:val="24"/>
        </w:rPr>
      </w:pPr>
    </w:p>
    <w:p w:rsidR="00645E79" w:rsidRDefault="00645E79" w:rsidP="009A4117">
      <w:pPr>
        <w:autoSpaceDE w:val="0"/>
        <w:autoSpaceDN w:val="0"/>
        <w:adjustRightInd w:val="0"/>
        <w:spacing w:after="0"/>
        <w:jc w:val="both"/>
        <w:rPr>
          <w:rFonts w:ascii="Times New Roman" w:hAnsi="Times New Roman" w:cs="Times New Roman"/>
          <w:color w:val="000000" w:themeColor="text1"/>
          <w:sz w:val="24"/>
          <w:szCs w:val="24"/>
        </w:rPr>
      </w:pPr>
      <w:r w:rsidRPr="00645E79">
        <w:rPr>
          <w:rFonts w:ascii="Times New Roman" w:hAnsi="Times New Roman" w:cs="Times New Roman"/>
          <w:sz w:val="24"/>
          <w:szCs w:val="24"/>
        </w:rPr>
        <w:t xml:space="preserve">ACCAN does not believe that the re-establishment of data limited service offerings is likely to meet the needs of the majority of consumers and represents a retrograde step. </w:t>
      </w:r>
      <w:r w:rsidRPr="00C303D6">
        <w:rPr>
          <w:rFonts w:ascii="Times New Roman" w:hAnsi="Times New Roman" w:cs="Times New Roman"/>
          <w:color w:val="000000" w:themeColor="text1"/>
          <w:sz w:val="24"/>
          <w:szCs w:val="24"/>
        </w:rPr>
        <w:t xml:space="preserve">In the event that the ACCC wishes to pursue the re-establishment of limited </w:t>
      </w:r>
      <w:r>
        <w:rPr>
          <w:rFonts w:ascii="Times New Roman" w:hAnsi="Times New Roman" w:cs="Times New Roman"/>
          <w:color w:val="000000" w:themeColor="text1"/>
          <w:sz w:val="24"/>
          <w:szCs w:val="24"/>
        </w:rPr>
        <w:t xml:space="preserve">data </w:t>
      </w:r>
      <w:r w:rsidRPr="00C303D6">
        <w:rPr>
          <w:rFonts w:ascii="Times New Roman" w:hAnsi="Times New Roman" w:cs="Times New Roman"/>
          <w:color w:val="000000" w:themeColor="text1"/>
          <w:sz w:val="24"/>
          <w:szCs w:val="24"/>
        </w:rPr>
        <w:t>quota plans ACCAN believes that this could be facilitated through a re-pricing of cost components</w:t>
      </w:r>
      <w:r>
        <w:rPr>
          <w:rFonts w:ascii="Times New Roman" w:hAnsi="Times New Roman" w:cs="Times New Roman"/>
          <w:color w:val="000000" w:themeColor="text1"/>
          <w:sz w:val="24"/>
          <w:szCs w:val="24"/>
        </w:rPr>
        <w:t xml:space="preserve">.  </w:t>
      </w:r>
    </w:p>
    <w:p w:rsidR="00645E79" w:rsidRDefault="00645E79" w:rsidP="009A4117">
      <w:pPr>
        <w:autoSpaceDE w:val="0"/>
        <w:autoSpaceDN w:val="0"/>
        <w:adjustRightInd w:val="0"/>
        <w:spacing w:after="0"/>
        <w:jc w:val="both"/>
        <w:rPr>
          <w:rFonts w:ascii="Times New Roman" w:hAnsi="Times New Roman" w:cs="Times New Roman"/>
          <w:color w:val="000000" w:themeColor="text1"/>
          <w:sz w:val="24"/>
          <w:szCs w:val="24"/>
        </w:rPr>
      </w:pPr>
    </w:p>
    <w:p w:rsidR="003067F6" w:rsidRPr="009A4117" w:rsidRDefault="008B648E" w:rsidP="009A4117">
      <w:pPr>
        <w:autoSpaceDE w:val="0"/>
        <w:autoSpaceDN w:val="0"/>
        <w:adjustRightInd w:val="0"/>
        <w:spacing w:after="0"/>
        <w:jc w:val="both"/>
        <w:rPr>
          <w:rFonts w:ascii="Times New Roman" w:hAnsi="Times New Roman" w:cs="Times New Roman"/>
          <w:color w:val="000000" w:themeColor="text1"/>
          <w:sz w:val="24"/>
          <w:szCs w:val="24"/>
        </w:rPr>
      </w:pPr>
      <w:r w:rsidRPr="009A4117">
        <w:rPr>
          <w:rFonts w:ascii="Times New Roman" w:hAnsi="Times New Roman" w:cs="Times New Roman"/>
          <w:color w:val="000000" w:themeColor="text1"/>
          <w:sz w:val="24"/>
          <w:szCs w:val="24"/>
        </w:rPr>
        <w:t>AC</w:t>
      </w:r>
      <w:r w:rsidR="002C25B2">
        <w:rPr>
          <w:rFonts w:ascii="Times New Roman" w:hAnsi="Times New Roman" w:cs="Times New Roman"/>
          <w:color w:val="000000" w:themeColor="text1"/>
          <w:sz w:val="24"/>
          <w:szCs w:val="24"/>
        </w:rPr>
        <w:t xml:space="preserve">CAN believes that it is possible to price an entry level broadband service with sufficient CVC inclusions to allow for </w:t>
      </w:r>
      <w:r w:rsidR="009A4117">
        <w:rPr>
          <w:rFonts w:ascii="Times New Roman" w:hAnsi="Times New Roman" w:cs="Times New Roman"/>
          <w:color w:val="000000" w:themeColor="text1"/>
          <w:sz w:val="24"/>
          <w:szCs w:val="24"/>
        </w:rPr>
        <w:t xml:space="preserve">the provision of an unlimited data service. </w:t>
      </w:r>
      <w:r w:rsidR="00C303D6">
        <w:rPr>
          <w:rFonts w:ascii="Times New Roman" w:hAnsi="Times New Roman" w:cs="Times New Roman"/>
          <w:color w:val="000000" w:themeColor="text1"/>
          <w:sz w:val="24"/>
          <w:szCs w:val="24"/>
        </w:rPr>
        <w:t xml:space="preserve">ACCAN is of the view that a </w:t>
      </w:r>
      <w:r w:rsidR="00B07171">
        <w:rPr>
          <w:rFonts w:ascii="Times New Roman" w:hAnsi="Times New Roman" w:cs="Times New Roman"/>
          <w:color w:val="000000" w:themeColor="text1"/>
          <w:sz w:val="24"/>
          <w:szCs w:val="24"/>
        </w:rPr>
        <w:t>25/5</w:t>
      </w:r>
      <w:r w:rsidR="00C303D6">
        <w:rPr>
          <w:rFonts w:ascii="Times New Roman" w:hAnsi="Times New Roman" w:cs="Times New Roman"/>
          <w:color w:val="000000" w:themeColor="text1"/>
          <w:sz w:val="24"/>
          <w:szCs w:val="24"/>
        </w:rPr>
        <w:t xml:space="preserve">Mbps service with an inclusion of 2Mbps of CVC could be provisioned at a bundled price of $30. </w:t>
      </w:r>
    </w:p>
    <w:p w:rsidR="008B648E" w:rsidRDefault="008B648E" w:rsidP="0026201B">
      <w:pPr>
        <w:autoSpaceDE w:val="0"/>
        <w:autoSpaceDN w:val="0"/>
        <w:adjustRightInd w:val="0"/>
        <w:spacing w:after="0" w:line="240" w:lineRule="auto"/>
        <w:rPr>
          <w:rFonts w:ascii="Times New Roman" w:hAnsi="Times New Roman" w:cs="Times New Roman"/>
          <w:color w:val="00B0F0"/>
          <w:sz w:val="24"/>
          <w:szCs w:val="24"/>
        </w:rPr>
      </w:pPr>
    </w:p>
    <w:p w:rsidR="008B648E" w:rsidRDefault="00BC192E" w:rsidP="00C303D6">
      <w:pPr>
        <w:autoSpaceDE w:val="0"/>
        <w:autoSpaceDN w:val="0"/>
        <w:adjustRightInd w:val="0"/>
        <w:spacing w:after="0"/>
        <w:jc w:val="both"/>
        <w:rPr>
          <w:rFonts w:ascii="Times New Roman" w:hAnsi="Times New Roman" w:cs="Times New Roman"/>
          <w:color w:val="000000" w:themeColor="text1"/>
          <w:sz w:val="24"/>
          <w:szCs w:val="24"/>
        </w:rPr>
      </w:pPr>
      <w:r w:rsidRPr="00BC192E">
        <w:rPr>
          <w:rFonts w:ascii="Times New Roman" w:hAnsi="Times New Roman" w:cs="Times New Roman"/>
          <w:color w:val="000000" w:themeColor="text1"/>
          <w:sz w:val="24"/>
          <w:szCs w:val="24"/>
        </w:rPr>
        <w:t>For example, this could involve a reduction in the headline AVC price and CVC price to the extent that the CVC</w:t>
      </w:r>
      <w:r w:rsidR="00C303D6">
        <w:rPr>
          <w:rFonts w:ascii="Times New Roman" w:hAnsi="Times New Roman" w:cs="Times New Roman"/>
          <w:color w:val="000000" w:themeColor="text1"/>
          <w:sz w:val="24"/>
          <w:szCs w:val="24"/>
        </w:rPr>
        <w:t xml:space="preserve"> purchased</w:t>
      </w:r>
      <w:r w:rsidRPr="00BC192E">
        <w:rPr>
          <w:rFonts w:ascii="Times New Roman" w:hAnsi="Times New Roman" w:cs="Times New Roman"/>
          <w:color w:val="000000" w:themeColor="text1"/>
          <w:sz w:val="24"/>
          <w:szCs w:val="24"/>
        </w:rPr>
        <w:t xml:space="preserve"> is less than that of</w:t>
      </w:r>
      <w:r w:rsidR="00C303D6">
        <w:rPr>
          <w:rFonts w:ascii="Times New Roman" w:hAnsi="Times New Roman" w:cs="Times New Roman"/>
          <w:color w:val="000000" w:themeColor="text1"/>
          <w:sz w:val="24"/>
          <w:szCs w:val="24"/>
        </w:rPr>
        <w:t xml:space="preserve"> the </w:t>
      </w:r>
      <w:r w:rsidR="00E112D4">
        <w:rPr>
          <w:rFonts w:ascii="Times New Roman" w:hAnsi="Times New Roman" w:cs="Times New Roman"/>
          <w:color w:val="000000" w:themeColor="text1"/>
          <w:sz w:val="24"/>
          <w:szCs w:val="24"/>
        </w:rPr>
        <w:t>25/</w:t>
      </w:r>
      <w:r w:rsidR="00645E79">
        <w:rPr>
          <w:rFonts w:ascii="Times New Roman" w:hAnsi="Times New Roman" w:cs="Times New Roman"/>
          <w:color w:val="000000" w:themeColor="text1"/>
          <w:sz w:val="24"/>
          <w:szCs w:val="24"/>
        </w:rPr>
        <w:t>5Mbps bundle</w:t>
      </w:r>
      <w:r w:rsidR="00C303D6">
        <w:rPr>
          <w:rFonts w:ascii="Times New Roman" w:hAnsi="Times New Roman" w:cs="Times New Roman"/>
          <w:color w:val="000000" w:themeColor="text1"/>
          <w:sz w:val="24"/>
          <w:szCs w:val="24"/>
        </w:rPr>
        <w:t>. Accordingly, if the CVC were repriced to $5 per Mbps under the terms of the bundle (with an AVC charge of $20) a service provisioned with 1Mbps would only cost $</w:t>
      </w:r>
      <w:r w:rsidR="00B07171">
        <w:rPr>
          <w:rFonts w:ascii="Times New Roman" w:hAnsi="Times New Roman" w:cs="Times New Roman"/>
          <w:color w:val="000000" w:themeColor="text1"/>
          <w:sz w:val="24"/>
          <w:szCs w:val="24"/>
        </w:rPr>
        <w:t>25</w:t>
      </w:r>
      <w:r w:rsidR="00C303D6">
        <w:rPr>
          <w:rFonts w:ascii="Times New Roman" w:hAnsi="Times New Roman" w:cs="Times New Roman"/>
          <w:color w:val="000000" w:themeColor="text1"/>
          <w:sz w:val="24"/>
          <w:szCs w:val="24"/>
        </w:rPr>
        <w:t xml:space="preserve">. </w:t>
      </w:r>
    </w:p>
    <w:p w:rsidR="003067F6" w:rsidRPr="00BF30AE" w:rsidRDefault="003067F6" w:rsidP="0026201B">
      <w:pPr>
        <w:autoSpaceDE w:val="0"/>
        <w:autoSpaceDN w:val="0"/>
        <w:adjustRightInd w:val="0"/>
        <w:spacing w:after="0" w:line="240" w:lineRule="auto"/>
        <w:rPr>
          <w:rFonts w:ascii="Times New Roman" w:hAnsi="Times New Roman" w:cs="Times New Roman"/>
          <w:color w:val="00B0F0"/>
          <w:sz w:val="24"/>
          <w:szCs w:val="24"/>
        </w:rPr>
      </w:pPr>
    </w:p>
    <w:p w:rsidR="0026201B"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21. Should this be left to individual dimensioning choices of access seekers acquiring a</w:t>
      </w:r>
      <w:r w:rsidR="00CC117A">
        <w:rPr>
          <w:rFonts w:ascii="Times New Roman" w:hAnsi="Times New Roman" w:cs="Times New Roman"/>
          <w:i/>
          <w:color w:val="00B0F0"/>
          <w:sz w:val="24"/>
          <w:szCs w:val="24"/>
        </w:rPr>
        <w:t xml:space="preserve"> </w:t>
      </w:r>
      <w:r w:rsidRPr="009B6577">
        <w:rPr>
          <w:rFonts w:ascii="Times New Roman" w:hAnsi="Times New Roman" w:cs="Times New Roman"/>
          <w:i/>
          <w:color w:val="00B0F0"/>
          <w:sz w:val="24"/>
          <w:szCs w:val="24"/>
        </w:rPr>
        <w:t>scalable basic access product or should a separate limited quota access product be</w:t>
      </w:r>
      <w:r w:rsidR="00CC117A">
        <w:rPr>
          <w:rFonts w:ascii="Times New Roman" w:hAnsi="Times New Roman" w:cs="Times New Roman"/>
          <w:i/>
          <w:color w:val="00B0F0"/>
          <w:sz w:val="24"/>
          <w:szCs w:val="24"/>
        </w:rPr>
        <w:t xml:space="preserve"> </w:t>
      </w:r>
      <w:r w:rsidRPr="009B6577">
        <w:rPr>
          <w:rFonts w:ascii="Times New Roman" w:hAnsi="Times New Roman" w:cs="Times New Roman"/>
          <w:i/>
          <w:color w:val="00B0F0"/>
          <w:sz w:val="24"/>
          <w:szCs w:val="24"/>
        </w:rPr>
        <w:t>developed?</w:t>
      </w:r>
    </w:p>
    <w:p w:rsidR="002A42C4" w:rsidRPr="0073452C" w:rsidRDefault="002A42C4" w:rsidP="00BF30AE">
      <w:pPr>
        <w:autoSpaceDE w:val="0"/>
        <w:autoSpaceDN w:val="0"/>
        <w:adjustRightInd w:val="0"/>
        <w:spacing w:after="0" w:line="240" w:lineRule="auto"/>
        <w:jc w:val="both"/>
        <w:rPr>
          <w:rFonts w:ascii="Times New Roman" w:hAnsi="Times New Roman" w:cs="Times New Roman"/>
          <w:sz w:val="24"/>
          <w:szCs w:val="24"/>
        </w:rPr>
      </w:pPr>
    </w:p>
    <w:p w:rsidR="005E6985" w:rsidRPr="0037275B" w:rsidRDefault="0037275B" w:rsidP="0037275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ACCAN is supportive of the development of an array of service offerings that meet the differing needs of consumers. Accordingly, although ACCAN is supportive of the creation of a standardized concessional service offering, we consider that the creation of a regulated pricing construct along the lines of that set out </w:t>
      </w:r>
      <w:r w:rsidR="00132D05">
        <w:rPr>
          <w:rFonts w:ascii="Times New Roman" w:hAnsi="Times New Roman" w:cs="Times New Roman"/>
          <w:sz w:val="24"/>
          <w:szCs w:val="24"/>
        </w:rPr>
        <w:t xml:space="preserve">in our response to the </w:t>
      </w:r>
      <w:r w:rsidR="006740C5">
        <w:rPr>
          <w:rFonts w:ascii="Times New Roman" w:hAnsi="Times New Roman" w:cs="Times New Roman"/>
          <w:sz w:val="24"/>
          <w:szCs w:val="24"/>
        </w:rPr>
        <w:t>preceding</w:t>
      </w:r>
      <w:r w:rsidR="00132D05">
        <w:rPr>
          <w:rFonts w:ascii="Times New Roman" w:hAnsi="Times New Roman" w:cs="Times New Roman"/>
          <w:sz w:val="24"/>
          <w:szCs w:val="24"/>
        </w:rPr>
        <w:t xml:space="preserve"> question </w:t>
      </w:r>
      <w:r>
        <w:rPr>
          <w:rFonts w:ascii="Times New Roman" w:hAnsi="Times New Roman" w:cs="Times New Roman"/>
          <w:sz w:val="24"/>
          <w:szCs w:val="24"/>
        </w:rPr>
        <w:t>would allow for the provision of an array of low cost broadband offers that met the needs of consumers.</w:t>
      </w:r>
    </w:p>
    <w:p w:rsidR="00113CD1" w:rsidRPr="00BF30AE" w:rsidRDefault="00113CD1" w:rsidP="00BF30AE">
      <w:pPr>
        <w:autoSpaceDE w:val="0"/>
        <w:autoSpaceDN w:val="0"/>
        <w:adjustRightInd w:val="0"/>
        <w:spacing w:after="0" w:line="240" w:lineRule="auto"/>
        <w:jc w:val="both"/>
        <w:rPr>
          <w:rFonts w:ascii="Times New Roman" w:hAnsi="Times New Roman" w:cs="Times New Roman"/>
          <w:i/>
          <w:color w:val="00B0F0"/>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22. What do you consider to be the level of CVC dimensioning that would support a </w:t>
      </w:r>
      <w:proofErr w:type="gramStart"/>
      <w:r w:rsidRPr="009B6577">
        <w:rPr>
          <w:rFonts w:ascii="Times New Roman" w:hAnsi="Times New Roman" w:cs="Times New Roman"/>
          <w:i/>
          <w:color w:val="00B0F0"/>
          <w:sz w:val="24"/>
          <w:szCs w:val="24"/>
        </w:rPr>
        <w:t>limited</w:t>
      </w:r>
      <w:proofErr w:type="gramEnd"/>
    </w:p>
    <w:p w:rsidR="00041DDD" w:rsidRPr="00DB54FF" w:rsidRDefault="0026201B" w:rsidP="0026201B">
      <w:pPr>
        <w:rPr>
          <w:rFonts w:ascii="Times New Roman" w:hAnsi="Times New Roman" w:cs="Times New Roman"/>
          <w:iCs/>
          <w:color w:val="00B0F0"/>
          <w:sz w:val="24"/>
          <w:szCs w:val="24"/>
        </w:rPr>
      </w:pPr>
      <w:proofErr w:type="gramStart"/>
      <w:r w:rsidRPr="009B6577">
        <w:rPr>
          <w:rFonts w:ascii="Times New Roman" w:hAnsi="Times New Roman" w:cs="Times New Roman"/>
          <w:i/>
          <w:color w:val="00B0F0"/>
          <w:sz w:val="24"/>
          <w:szCs w:val="24"/>
        </w:rPr>
        <w:t>quota</w:t>
      </w:r>
      <w:proofErr w:type="gramEnd"/>
      <w:r w:rsidRPr="009B6577">
        <w:rPr>
          <w:rFonts w:ascii="Times New Roman" w:hAnsi="Times New Roman" w:cs="Times New Roman"/>
          <w:i/>
          <w:color w:val="00B0F0"/>
          <w:sz w:val="24"/>
          <w:szCs w:val="24"/>
        </w:rPr>
        <w:t>, basic speed retail plan?</w:t>
      </w:r>
    </w:p>
    <w:p w:rsidR="009F7E53" w:rsidRPr="00F7607D" w:rsidRDefault="00041DDD" w:rsidP="005D3C9E">
      <w:pPr>
        <w:jc w:val="both"/>
        <w:rPr>
          <w:rFonts w:ascii="Times New Roman" w:hAnsi="Times New Roman" w:cs="Times New Roman"/>
          <w:iCs/>
          <w:color w:val="000000" w:themeColor="text1"/>
          <w:sz w:val="24"/>
          <w:szCs w:val="24"/>
        </w:rPr>
      </w:pPr>
      <w:r w:rsidRPr="00F7607D">
        <w:rPr>
          <w:rFonts w:ascii="Times New Roman" w:hAnsi="Times New Roman" w:cs="Times New Roman"/>
          <w:iCs/>
          <w:color w:val="000000" w:themeColor="text1"/>
          <w:sz w:val="24"/>
          <w:szCs w:val="24"/>
        </w:rPr>
        <w:t xml:space="preserve">ACCAN </w:t>
      </w:r>
      <w:r w:rsidR="009C4127" w:rsidRPr="00F7607D">
        <w:rPr>
          <w:rFonts w:ascii="Times New Roman" w:hAnsi="Times New Roman" w:cs="Times New Roman"/>
          <w:iCs/>
          <w:color w:val="000000" w:themeColor="text1"/>
          <w:sz w:val="24"/>
          <w:szCs w:val="24"/>
        </w:rPr>
        <w:t>has been</w:t>
      </w:r>
      <w:r w:rsidRPr="00F7607D">
        <w:rPr>
          <w:rFonts w:ascii="Times New Roman" w:hAnsi="Times New Roman" w:cs="Times New Roman"/>
          <w:iCs/>
          <w:color w:val="000000" w:themeColor="text1"/>
          <w:sz w:val="24"/>
          <w:szCs w:val="24"/>
        </w:rPr>
        <w:t xml:space="preserve"> advised </w:t>
      </w:r>
      <w:r w:rsidR="00B62CF6">
        <w:rPr>
          <w:rFonts w:ascii="Times New Roman" w:hAnsi="Times New Roman" w:cs="Times New Roman"/>
          <w:iCs/>
          <w:color w:val="000000" w:themeColor="text1"/>
          <w:sz w:val="24"/>
          <w:szCs w:val="24"/>
        </w:rPr>
        <w:t xml:space="preserve">by retailers </w:t>
      </w:r>
      <w:r w:rsidRPr="00F7607D">
        <w:rPr>
          <w:rFonts w:ascii="Times New Roman" w:hAnsi="Times New Roman" w:cs="Times New Roman"/>
          <w:iCs/>
          <w:color w:val="000000" w:themeColor="text1"/>
          <w:sz w:val="24"/>
          <w:szCs w:val="24"/>
        </w:rPr>
        <w:t xml:space="preserve">that a minimum of 1Mbps of CVC inclusion would be required to provide a limited quota </w:t>
      </w:r>
      <w:r w:rsidR="00E17922">
        <w:rPr>
          <w:rFonts w:ascii="Times New Roman" w:hAnsi="Times New Roman" w:cs="Times New Roman"/>
          <w:iCs/>
          <w:color w:val="000000" w:themeColor="text1"/>
          <w:sz w:val="24"/>
          <w:szCs w:val="24"/>
        </w:rPr>
        <w:t>12/1</w:t>
      </w:r>
      <w:r w:rsidRPr="00F7607D">
        <w:rPr>
          <w:rFonts w:ascii="Times New Roman" w:hAnsi="Times New Roman" w:cs="Times New Roman"/>
          <w:iCs/>
          <w:color w:val="000000" w:themeColor="text1"/>
          <w:sz w:val="24"/>
          <w:szCs w:val="24"/>
        </w:rPr>
        <w:t xml:space="preserve">Mbps service offering. </w:t>
      </w:r>
      <w:r w:rsidR="009F7E53" w:rsidRPr="00F7607D">
        <w:rPr>
          <w:rFonts w:ascii="Times New Roman" w:hAnsi="Times New Roman" w:cs="Times New Roman"/>
          <w:iCs/>
          <w:color w:val="000000" w:themeColor="text1"/>
          <w:sz w:val="24"/>
          <w:szCs w:val="24"/>
        </w:rPr>
        <w:t xml:space="preserve">However, ACCAN also </w:t>
      </w:r>
      <w:r w:rsidR="00B62CF6">
        <w:rPr>
          <w:rFonts w:ascii="Times New Roman" w:hAnsi="Times New Roman" w:cs="Times New Roman"/>
          <w:iCs/>
          <w:color w:val="000000" w:themeColor="text1"/>
          <w:sz w:val="24"/>
          <w:szCs w:val="24"/>
        </w:rPr>
        <w:t xml:space="preserve">understands </w:t>
      </w:r>
      <w:r w:rsidR="009F7E53" w:rsidRPr="00F7607D">
        <w:rPr>
          <w:rFonts w:ascii="Times New Roman" w:hAnsi="Times New Roman" w:cs="Times New Roman"/>
          <w:iCs/>
          <w:color w:val="000000" w:themeColor="text1"/>
          <w:sz w:val="24"/>
          <w:szCs w:val="24"/>
        </w:rPr>
        <w:t>that the provision of such a service offering is co-dependent on the level of demand at a given POI and that a 1Mbps inclusion may be insufficient to guarantee performance in the e</w:t>
      </w:r>
      <w:r w:rsidR="00F7607D" w:rsidRPr="00F7607D">
        <w:rPr>
          <w:rFonts w:ascii="Times New Roman" w:hAnsi="Times New Roman" w:cs="Times New Roman"/>
          <w:iCs/>
          <w:color w:val="000000" w:themeColor="text1"/>
          <w:sz w:val="24"/>
          <w:szCs w:val="24"/>
        </w:rPr>
        <w:t>vent of material demand.</w:t>
      </w:r>
    </w:p>
    <w:p w:rsidR="009F7E53" w:rsidRDefault="009F7E53" w:rsidP="005D3C9E">
      <w:pPr>
        <w:jc w:val="both"/>
        <w:rPr>
          <w:rFonts w:ascii="Times New Roman" w:hAnsi="Times New Roman" w:cs="Times New Roman"/>
          <w:iCs/>
          <w:color w:val="000000" w:themeColor="text1"/>
          <w:sz w:val="24"/>
          <w:szCs w:val="24"/>
        </w:rPr>
      </w:pPr>
      <w:r w:rsidRPr="00F7607D">
        <w:rPr>
          <w:rFonts w:ascii="Times New Roman" w:hAnsi="Times New Roman" w:cs="Times New Roman"/>
          <w:iCs/>
          <w:color w:val="000000" w:themeColor="text1"/>
          <w:sz w:val="24"/>
          <w:szCs w:val="24"/>
        </w:rPr>
        <w:t>Retailers have advised ACCAN that the demand profile for services is often in</w:t>
      </w:r>
      <w:r w:rsidR="00F22A13" w:rsidRPr="00F7607D">
        <w:rPr>
          <w:rFonts w:ascii="Times New Roman" w:hAnsi="Times New Roman" w:cs="Times New Roman"/>
          <w:iCs/>
          <w:color w:val="000000" w:themeColor="text1"/>
          <w:sz w:val="24"/>
          <w:szCs w:val="24"/>
        </w:rPr>
        <w:t>di</w:t>
      </w:r>
      <w:r w:rsidRPr="00F7607D">
        <w:rPr>
          <w:rFonts w:ascii="Times New Roman" w:hAnsi="Times New Roman" w:cs="Times New Roman"/>
          <w:iCs/>
          <w:color w:val="000000" w:themeColor="text1"/>
          <w:sz w:val="24"/>
          <w:szCs w:val="24"/>
        </w:rPr>
        <w:t xml:space="preserve">stinguishable between notionally ‘low’ users of </w:t>
      </w:r>
      <w:r w:rsidR="009C4127" w:rsidRPr="00F7607D">
        <w:rPr>
          <w:rFonts w:ascii="Times New Roman" w:hAnsi="Times New Roman" w:cs="Times New Roman"/>
          <w:iCs/>
          <w:color w:val="000000" w:themeColor="text1"/>
          <w:sz w:val="24"/>
          <w:szCs w:val="24"/>
        </w:rPr>
        <w:t>services</w:t>
      </w:r>
      <w:r w:rsidRPr="00F7607D">
        <w:rPr>
          <w:rFonts w:ascii="Times New Roman" w:hAnsi="Times New Roman" w:cs="Times New Roman"/>
          <w:iCs/>
          <w:color w:val="000000" w:themeColor="text1"/>
          <w:sz w:val="24"/>
          <w:szCs w:val="24"/>
        </w:rPr>
        <w:t xml:space="preserve"> and that as access and service offerings improve, consumers typically increase their data demand. </w:t>
      </w:r>
      <w:r w:rsidR="00F22A13" w:rsidRPr="00F7607D">
        <w:rPr>
          <w:rFonts w:ascii="Times New Roman" w:hAnsi="Times New Roman" w:cs="Times New Roman"/>
          <w:iCs/>
          <w:color w:val="000000" w:themeColor="text1"/>
          <w:sz w:val="24"/>
          <w:szCs w:val="24"/>
        </w:rPr>
        <w:t xml:space="preserve">Accordingly, assumptions should not be made </w:t>
      </w:r>
      <w:r w:rsidR="008321C1" w:rsidRPr="00F7607D">
        <w:rPr>
          <w:rFonts w:ascii="Times New Roman" w:hAnsi="Times New Roman" w:cs="Times New Roman"/>
          <w:iCs/>
          <w:color w:val="000000" w:themeColor="text1"/>
          <w:sz w:val="24"/>
          <w:szCs w:val="24"/>
        </w:rPr>
        <w:t>that a specific subset of consumers who seek to purchase low</w:t>
      </w:r>
      <w:r w:rsidR="008321C1">
        <w:rPr>
          <w:rFonts w:ascii="Times New Roman" w:hAnsi="Times New Roman" w:cs="Times New Roman"/>
          <w:iCs/>
          <w:color w:val="000000" w:themeColor="text1"/>
          <w:sz w:val="24"/>
          <w:szCs w:val="24"/>
        </w:rPr>
        <w:t xml:space="preserve"> </w:t>
      </w:r>
      <w:r w:rsidR="00F7607D">
        <w:rPr>
          <w:rFonts w:ascii="Times New Roman" w:hAnsi="Times New Roman" w:cs="Times New Roman"/>
          <w:iCs/>
          <w:color w:val="000000" w:themeColor="text1"/>
          <w:sz w:val="24"/>
          <w:szCs w:val="24"/>
        </w:rPr>
        <w:t>cost services will primarily use applications that do not require material bandwidth.</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23. Are there any features of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new ELB offer that </w:t>
      </w:r>
      <w:r w:rsidRPr="00DB196C">
        <w:rPr>
          <w:rFonts w:ascii="Times New Roman" w:hAnsi="Times New Roman" w:cs="Times New Roman"/>
          <w:i/>
          <w:color w:val="00B0F0"/>
          <w:sz w:val="24"/>
          <w:szCs w:val="24"/>
          <w:lang w:val="en-AU"/>
        </w:rPr>
        <w:t>favours</w:t>
      </w:r>
      <w:r w:rsidRPr="009B6577">
        <w:rPr>
          <w:rFonts w:ascii="Times New Roman" w:hAnsi="Times New Roman" w:cs="Times New Roman"/>
          <w:i/>
          <w:color w:val="00B0F0"/>
          <w:sz w:val="24"/>
          <w:szCs w:val="24"/>
        </w:rPr>
        <w:t xml:space="preserve"> some access seekers or</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business</w:t>
      </w:r>
      <w:proofErr w:type="gramEnd"/>
      <w:r w:rsidRPr="009B6577">
        <w:rPr>
          <w:rFonts w:ascii="Times New Roman" w:hAnsi="Times New Roman" w:cs="Times New Roman"/>
          <w:i/>
          <w:color w:val="00B0F0"/>
          <w:sz w:val="24"/>
          <w:szCs w:val="24"/>
        </w:rPr>
        <w:t xml:space="preserve"> models over others when it is used to supply a basic speed broadband plan?</w:t>
      </w:r>
    </w:p>
    <w:p w:rsidR="0026201B" w:rsidRDefault="0026201B" w:rsidP="0026201B">
      <w:pPr>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What are these features?</w:t>
      </w:r>
    </w:p>
    <w:p w:rsidR="002473B0" w:rsidRPr="00E45A51" w:rsidRDefault="008B648E" w:rsidP="00E45A51">
      <w:pPr>
        <w:jc w:val="both"/>
        <w:rPr>
          <w:rFonts w:ascii="Times New Roman" w:hAnsi="Times New Roman" w:cs="Times New Roman"/>
          <w:color w:val="000000" w:themeColor="text1"/>
          <w:sz w:val="24"/>
          <w:szCs w:val="24"/>
        </w:rPr>
      </w:pPr>
      <w:r w:rsidRPr="00E45A51">
        <w:rPr>
          <w:rFonts w:ascii="Times New Roman" w:hAnsi="Times New Roman" w:cs="Times New Roman"/>
          <w:color w:val="000000" w:themeColor="text1"/>
          <w:sz w:val="24"/>
          <w:szCs w:val="24"/>
        </w:rPr>
        <w:t>ACCAN is not aware of any features of the ELB offer that would favor any particular access seekers over any others. The implementation of the ELB offer is however likely to relieve some of the cost pressures and risks faced by those retailers that sell basic broadband services</w:t>
      </w:r>
      <w:r w:rsidR="0026245D" w:rsidRPr="00E45A51">
        <w:rPr>
          <w:rFonts w:ascii="Times New Roman" w:hAnsi="Times New Roman" w:cs="Times New Roman"/>
          <w:color w:val="000000" w:themeColor="text1"/>
          <w:sz w:val="24"/>
          <w:szCs w:val="24"/>
        </w:rPr>
        <w:t xml:space="preserve"> </w:t>
      </w:r>
      <w:r w:rsidR="00B507B3">
        <w:rPr>
          <w:rFonts w:ascii="Times New Roman" w:hAnsi="Times New Roman" w:cs="Times New Roman"/>
          <w:color w:val="000000" w:themeColor="text1"/>
          <w:sz w:val="24"/>
          <w:szCs w:val="24"/>
        </w:rPr>
        <w:t xml:space="preserve">or have greater exposure to these sub-markets. </w:t>
      </w:r>
    </w:p>
    <w:p w:rsidR="0026245D" w:rsidRPr="00E45A51" w:rsidRDefault="0026245D" w:rsidP="00E45A51">
      <w:pPr>
        <w:jc w:val="both"/>
        <w:rPr>
          <w:rFonts w:ascii="Times New Roman" w:hAnsi="Times New Roman" w:cs="Times New Roman"/>
          <w:sz w:val="24"/>
          <w:szCs w:val="24"/>
        </w:rPr>
      </w:pPr>
      <w:r w:rsidRPr="00E45A51">
        <w:rPr>
          <w:rFonts w:ascii="Times New Roman" w:hAnsi="Times New Roman" w:cs="Times New Roman"/>
          <w:sz w:val="24"/>
          <w:szCs w:val="24"/>
        </w:rPr>
        <w:lastRenderedPageBreak/>
        <w:t xml:space="preserve">ACCAN does not consider that </w:t>
      </w:r>
      <w:r w:rsidR="00E45A51" w:rsidRPr="00E45A51">
        <w:rPr>
          <w:rFonts w:ascii="Times New Roman" w:hAnsi="Times New Roman" w:cs="Times New Roman"/>
          <w:sz w:val="24"/>
          <w:szCs w:val="24"/>
        </w:rPr>
        <w:t xml:space="preserve">the proposed new ELB offering would have the effect of </w:t>
      </w:r>
      <w:r w:rsidR="00E45A51" w:rsidRPr="00621325">
        <w:rPr>
          <w:rFonts w:ascii="Times New Roman" w:hAnsi="Times New Roman" w:cs="Times New Roman"/>
          <w:sz w:val="24"/>
          <w:szCs w:val="24"/>
        </w:rPr>
        <w:t>providing an unfair competitive advantage for retailers offering low cost services. Rather, the proposal appears to reflect a movement to a more normal pricing structure and would reduce some of the existing risks</w:t>
      </w:r>
      <w:r w:rsidR="00621325" w:rsidRPr="00621325">
        <w:rPr>
          <w:rFonts w:ascii="Times New Roman" w:hAnsi="Times New Roman" w:cs="Times New Roman"/>
          <w:sz w:val="24"/>
          <w:szCs w:val="24"/>
        </w:rPr>
        <w:t xml:space="preserve"> associated with offering entry level services.</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24. What approach do you consider should be adopted in respect of basic broadband </w:t>
      </w:r>
      <w:proofErr w:type="gramStart"/>
      <w:r w:rsidRPr="009B6577">
        <w:rPr>
          <w:rFonts w:ascii="Times New Roman" w:hAnsi="Times New Roman" w:cs="Times New Roman"/>
          <w:i/>
          <w:color w:val="00B0F0"/>
          <w:sz w:val="24"/>
          <w:szCs w:val="24"/>
        </w:rPr>
        <w:t>access</w:t>
      </w:r>
      <w:proofErr w:type="gramEnd"/>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 xml:space="preserve">products that are supplied over NBN </w:t>
      </w:r>
      <w:proofErr w:type="spellStart"/>
      <w:r w:rsidRPr="009B6577">
        <w:rPr>
          <w:rFonts w:ascii="Times New Roman" w:hAnsi="Times New Roman" w:cs="Times New Roman"/>
          <w:i/>
          <w:color w:val="00B0F0"/>
          <w:sz w:val="24"/>
          <w:szCs w:val="24"/>
        </w:rPr>
        <w:t>Co’s</w:t>
      </w:r>
      <w:proofErr w:type="spellEnd"/>
      <w:r w:rsidRPr="009B6577">
        <w:rPr>
          <w:rFonts w:ascii="Times New Roman" w:hAnsi="Times New Roman" w:cs="Times New Roman"/>
          <w:i/>
          <w:color w:val="00B0F0"/>
          <w:sz w:val="24"/>
          <w:szCs w:val="24"/>
        </w:rPr>
        <w:t xml:space="preserve"> fixed wireless or satellite access technologies?</w:t>
      </w:r>
    </w:p>
    <w:p w:rsidR="0026201B" w:rsidRDefault="0026201B" w:rsidP="0026201B">
      <w:pPr>
        <w:autoSpaceDE w:val="0"/>
        <w:autoSpaceDN w:val="0"/>
        <w:adjustRightInd w:val="0"/>
        <w:spacing w:after="0" w:line="240" w:lineRule="auto"/>
        <w:rPr>
          <w:rFonts w:ascii="Times New Roman" w:hAnsi="Times New Roman" w:cs="Times New Roman"/>
          <w:i/>
          <w:color w:val="00B0F0"/>
          <w:sz w:val="24"/>
          <w:szCs w:val="24"/>
        </w:rPr>
      </w:pPr>
    </w:p>
    <w:p w:rsidR="004E7799" w:rsidRDefault="009166B3" w:rsidP="00146C24">
      <w:pPr>
        <w:autoSpaceDE w:val="0"/>
        <w:autoSpaceDN w:val="0"/>
        <w:adjustRightInd w:val="0"/>
        <w:spacing w:after="0"/>
        <w:jc w:val="both"/>
        <w:rPr>
          <w:rFonts w:ascii="Times New Roman" w:hAnsi="Times New Roman" w:cs="Times New Roman"/>
          <w:color w:val="000000" w:themeColor="text1"/>
          <w:sz w:val="24"/>
          <w:szCs w:val="24"/>
        </w:rPr>
      </w:pPr>
      <w:r w:rsidRPr="00E45A51">
        <w:rPr>
          <w:rFonts w:ascii="Times New Roman" w:hAnsi="Times New Roman" w:cs="Times New Roman"/>
          <w:color w:val="000000" w:themeColor="text1"/>
          <w:sz w:val="24"/>
          <w:szCs w:val="24"/>
        </w:rPr>
        <w:t xml:space="preserve">ACCAN believes that </w:t>
      </w:r>
      <w:r w:rsidR="00FB6AAC">
        <w:rPr>
          <w:rFonts w:ascii="Times New Roman" w:hAnsi="Times New Roman" w:cs="Times New Roman"/>
          <w:color w:val="000000" w:themeColor="text1"/>
          <w:sz w:val="24"/>
          <w:szCs w:val="24"/>
        </w:rPr>
        <w:t xml:space="preserve">basic broadband services should be provided uniformly across the network irrespective of the technical mode of delivery. </w:t>
      </w:r>
      <w:r w:rsidR="007B6038">
        <w:rPr>
          <w:rFonts w:ascii="Times New Roman" w:hAnsi="Times New Roman" w:cs="Times New Roman"/>
          <w:color w:val="000000" w:themeColor="text1"/>
          <w:sz w:val="24"/>
          <w:szCs w:val="24"/>
        </w:rPr>
        <w:t>In keeping with the statement of expectations</w:t>
      </w:r>
      <w:r w:rsidR="00E6369D">
        <w:rPr>
          <w:rFonts w:ascii="Times New Roman" w:hAnsi="Times New Roman" w:cs="Times New Roman"/>
          <w:color w:val="000000" w:themeColor="text1"/>
          <w:sz w:val="24"/>
          <w:szCs w:val="24"/>
        </w:rPr>
        <w:t>,</w:t>
      </w:r>
      <w:r w:rsidR="007B6038">
        <w:rPr>
          <w:rFonts w:ascii="Times New Roman" w:hAnsi="Times New Roman" w:cs="Times New Roman"/>
          <w:color w:val="000000" w:themeColor="text1"/>
          <w:sz w:val="24"/>
          <w:szCs w:val="24"/>
        </w:rPr>
        <w:t xml:space="preserve"> services should be provided at a uniform national price in order to ensure that Australians residing in regional, rural and remote areas are not disadvantaged through higher prices. </w:t>
      </w:r>
    </w:p>
    <w:p w:rsidR="00113CD1" w:rsidRPr="00311E9C" w:rsidRDefault="007B6038" w:rsidP="00146C24">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ACCAN notes that the proportion of </w:t>
      </w:r>
      <w:r w:rsidR="00C62B1B">
        <w:rPr>
          <w:rFonts w:ascii="Times New Roman" w:hAnsi="Times New Roman" w:cs="Times New Roman"/>
          <w:color w:val="000000" w:themeColor="text1"/>
          <w:sz w:val="24"/>
          <w:szCs w:val="24"/>
        </w:rPr>
        <w:t>low-income</w:t>
      </w:r>
      <w:r>
        <w:rPr>
          <w:rFonts w:ascii="Times New Roman" w:hAnsi="Times New Roman" w:cs="Times New Roman"/>
          <w:color w:val="000000" w:themeColor="text1"/>
          <w:sz w:val="24"/>
          <w:szCs w:val="24"/>
        </w:rPr>
        <w:t xml:space="preserve"> Australians residing in regional areas is higher than th</w:t>
      </w:r>
      <w:r w:rsidR="00DD70C7">
        <w:rPr>
          <w:rFonts w:ascii="Times New Roman" w:hAnsi="Times New Roman" w:cs="Times New Roman"/>
          <w:color w:val="000000" w:themeColor="text1"/>
          <w:sz w:val="24"/>
          <w:szCs w:val="24"/>
        </w:rPr>
        <w:t>at in metropolitan areas.</w:t>
      </w:r>
      <w:r w:rsidR="003745F7">
        <w:rPr>
          <w:rStyle w:val="FootnoteReference"/>
          <w:rFonts w:ascii="Times New Roman" w:hAnsi="Times New Roman" w:cs="Times New Roman"/>
          <w:color w:val="000000" w:themeColor="text1"/>
          <w:sz w:val="24"/>
          <w:szCs w:val="24"/>
        </w:rPr>
        <w:footnoteReference w:id="5"/>
      </w:r>
      <w:r w:rsidR="00DD70C7">
        <w:rPr>
          <w:rFonts w:ascii="Times New Roman" w:hAnsi="Times New Roman" w:cs="Times New Roman"/>
          <w:color w:val="000000" w:themeColor="text1"/>
          <w:sz w:val="24"/>
          <w:szCs w:val="24"/>
        </w:rPr>
        <w:t xml:space="preserve"> </w:t>
      </w:r>
      <w:r w:rsidR="00C62B1B">
        <w:rPr>
          <w:rFonts w:ascii="Times New Roman" w:hAnsi="Times New Roman" w:cs="Times New Roman"/>
          <w:color w:val="000000" w:themeColor="text1"/>
          <w:sz w:val="24"/>
          <w:szCs w:val="24"/>
        </w:rPr>
        <w:t>Accordingly,</w:t>
      </w:r>
      <w:r w:rsidR="00DD70C7">
        <w:rPr>
          <w:rFonts w:ascii="Times New Roman" w:hAnsi="Times New Roman" w:cs="Times New Roman"/>
          <w:color w:val="000000" w:themeColor="text1"/>
          <w:sz w:val="24"/>
          <w:szCs w:val="24"/>
        </w:rPr>
        <w:t xml:space="preserve"> a failure to ensure equitable access for those on fixed wireless or satellite services would further compound the disadvantage that these regional residents face. </w:t>
      </w:r>
    </w:p>
    <w:p w:rsidR="004E7799" w:rsidRPr="009B6577" w:rsidRDefault="004E7799" w:rsidP="0026201B">
      <w:pPr>
        <w:autoSpaceDE w:val="0"/>
        <w:autoSpaceDN w:val="0"/>
        <w:adjustRightInd w:val="0"/>
        <w:spacing w:after="0" w:line="240" w:lineRule="auto"/>
        <w:rPr>
          <w:rFonts w:ascii="Times New Roman" w:hAnsi="Times New Roman" w:cs="Times New Roman"/>
          <w:i/>
          <w:color w:val="00B0F0"/>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25. Are RSPs likely to differentiate their prices based on access technology if the Entry Level</w:t>
      </w:r>
    </w:p>
    <w:p w:rsidR="0026201B" w:rsidRDefault="0026201B" w:rsidP="0026201B">
      <w:pPr>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Bundle is not available over Fixed Wireless networks?</w:t>
      </w:r>
    </w:p>
    <w:p w:rsidR="00565FDA" w:rsidRPr="00F7607D" w:rsidRDefault="007F3D97" w:rsidP="00565FDA">
      <w:pPr>
        <w:jc w:val="both"/>
        <w:rPr>
          <w:rFonts w:ascii="Times New Roman" w:hAnsi="Times New Roman" w:cs="Times New Roman"/>
          <w:color w:val="000000" w:themeColor="text1"/>
          <w:sz w:val="24"/>
          <w:szCs w:val="24"/>
        </w:rPr>
      </w:pPr>
      <w:r w:rsidRPr="00F7607D">
        <w:rPr>
          <w:rFonts w:ascii="Times New Roman" w:hAnsi="Times New Roman" w:cs="Times New Roman"/>
          <w:color w:val="000000" w:themeColor="text1"/>
          <w:sz w:val="24"/>
          <w:szCs w:val="24"/>
        </w:rPr>
        <w:t xml:space="preserve">ACCAN has not received any information indicating that retailers would adopt a differentiated pricing approach if the entry level bundle offering were not made available over the fixed wireless networks. </w:t>
      </w:r>
      <w:r w:rsidR="004B34B4">
        <w:rPr>
          <w:rFonts w:ascii="Times New Roman" w:hAnsi="Times New Roman" w:cs="Times New Roman"/>
          <w:color w:val="000000" w:themeColor="text1"/>
          <w:sz w:val="24"/>
          <w:szCs w:val="24"/>
        </w:rPr>
        <w:t xml:space="preserve">However, ACCAN believes it is unlikely that retailers would offer </w:t>
      </w:r>
      <w:r w:rsidR="00E17922">
        <w:rPr>
          <w:rFonts w:ascii="Times New Roman" w:hAnsi="Times New Roman" w:cs="Times New Roman"/>
          <w:color w:val="000000" w:themeColor="text1"/>
          <w:sz w:val="24"/>
          <w:szCs w:val="24"/>
        </w:rPr>
        <w:t>12/1</w:t>
      </w:r>
      <w:r w:rsidR="004B34B4">
        <w:rPr>
          <w:rFonts w:ascii="Times New Roman" w:hAnsi="Times New Roman" w:cs="Times New Roman"/>
          <w:color w:val="000000" w:themeColor="text1"/>
          <w:sz w:val="24"/>
          <w:szCs w:val="24"/>
        </w:rPr>
        <w:t xml:space="preserve">Mbps services over the fixed wireless or satellite networks in the absence of wholesale input costs below current bundled prices. </w:t>
      </w:r>
    </w:p>
    <w:p w:rsidR="00D331FB" w:rsidRPr="00621325" w:rsidRDefault="00CE476A" w:rsidP="00621325">
      <w:pPr>
        <w:jc w:val="both"/>
        <w:rPr>
          <w:rFonts w:ascii="Times New Roman" w:hAnsi="Times New Roman" w:cs="Times New Roman"/>
          <w:iCs/>
          <w:color w:val="808080" w:themeColor="background1" w:themeShade="80"/>
          <w:sz w:val="24"/>
          <w:szCs w:val="24"/>
        </w:rPr>
      </w:pPr>
      <w:r>
        <w:rPr>
          <w:rFonts w:ascii="Times New Roman" w:hAnsi="Times New Roman" w:cs="Times New Roman"/>
          <w:iCs/>
          <w:sz w:val="24"/>
          <w:szCs w:val="24"/>
        </w:rPr>
        <w:t xml:space="preserve">As </w:t>
      </w:r>
      <w:r w:rsidR="00D331FB" w:rsidRPr="00621325">
        <w:rPr>
          <w:rFonts w:ascii="Times New Roman" w:hAnsi="Times New Roman" w:cs="Times New Roman"/>
          <w:iCs/>
          <w:sz w:val="24"/>
          <w:szCs w:val="24"/>
        </w:rPr>
        <w:t xml:space="preserve">the failure to offer the ELB over fixed wireless networks would be inconsistent with </w:t>
      </w:r>
      <w:r w:rsidR="009C4127" w:rsidRPr="00621325">
        <w:rPr>
          <w:rFonts w:ascii="Times New Roman" w:hAnsi="Times New Roman" w:cs="Times New Roman"/>
          <w:iCs/>
          <w:sz w:val="24"/>
          <w:szCs w:val="24"/>
        </w:rPr>
        <w:t>existing uniform</w:t>
      </w:r>
      <w:r w:rsidR="00D331FB" w:rsidRPr="00621325">
        <w:rPr>
          <w:rFonts w:ascii="Times New Roman" w:hAnsi="Times New Roman" w:cs="Times New Roman"/>
          <w:iCs/>
          <w:sz w:val="24"/>
          <w:szCs w:val="24"/>
        </w:rPr>
        <w:t xml:space="preserve"> national pricing</w:t>
      </w:r>
      <w:r>
        <w:rPr>
          <w:rFonts w:ascii="Times New Roman" w:hAnsi="Times New Roman" w:cs="Times New Roman"/>
          <w:iCs/>
          <w:sz w:val="24"/>
          <w:szCs w:val="24"/>
        </w:rPr>
        <w:t xml:space="preserve"> policies, we </w:t>
      </w:r>
      <w:r w:rsidR="00621325" w:rsidRPr="00621325">
        <w:rPr>
          <w:rFonts w:ascii="Times New Roman" w:hAnsi="Times New Roman" w:cs="Times New Roman"/>
          <w:iCs/>
          <w:sz w:val="24"/>
          <w:szCs w:val="24"/>
        </w:rPr>
        <w:t xml:space="preserve">believe it is unlikely that NBN Co. would fail to offer an equivalent service offering over the fixed wireless network. </w:t>
      </w: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26. Do you consider that NBN Co implementing its revised ELB offer to support a basic</w:t>
      </w:r>
    </w:p>
    <w:p w:rsidR="0026201B" w:rsidRPr="009B6577" w:rsidRDefault="0026201B" w:rsidP="0026201B">
      <w:pPr>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speed</w:t>
      </w:r>
      <w:proofErr w:type="gramEnd"/>
      <w:r w:rsidRPr="009B6577">
        <w:rPr>
          <w:rFonts w:ascii="Times New Roman" w:hAnsi="Times New Roman" w:cs="Times New Roman"/>
          <w:i/>
          <w:color w:val="00B0F0"/>
          <w:sz w:val="24"/>
          <w:szCs w:val="24"/>
        </w:rPr>
        <w:t xml:space="preserve"> broadband product would likely have the effect of inhibiting efficient competition?</w:t>
      </w:r>
    </w:p>
    <w:p w:rsidR="00295072" w:rsidRPr="00250275" w:rsidRDefault="00612DA9" w:rsidP="00250275">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does not believe that the implementation of </w:t>
      </w:r>
      <w:r w:rsidR="00CE476A">
        <w:rPr>
          <w:rFonts w:ascii="Times New Roman" w:hAnsi="Times New Roman" w:cs="Times New Roman"/>
          <w:color w:val="000000" w:themeColor="text1"/>
          <w:sz w:val="24"/>
          <w:szCs w:val="24"/>
        </w:rPr>
        <w:t xml:space="preserve">NBN </w:t>
      </w:r>
      <w:proofErr w:type="spellStart"/>
      <w:r w:rsidR="00CE476A">
        <w:rPr>
          <w:rFonts w:ascii="Times New Roman" w:hAnsi="Times New Roman" w:cs="Times New Roman"/>
          <w:color w:val="000000" w:themeColor="text1"/>
          <w:sz w:val="24"/>
          <w:szCs w:val="24"/>
        </w:rPr>
        <w:t>Co’s</w:t>
      </w:r>
      <w:proofErr w:type="spellEnd"/>
      <w:r>
        <w:rPr>
          <w:rFonts w:ascii="Times New Roman" w:hAnsi="Times New Roman" w:cs="Times New Roman"/>
          <w:color w:val="000000" w:themeColor="text1"/>
          <w:sz w:val="24"/>
          <w:szCs w:val="24"/>
        </w:rPr>
        <w:t xml:space="preserve"> revised ELB offer would have the effect of inhibiting effective competition. </w:t>
      </w:r>
      <w:r w:rsidR="00AD213C">
        <w:rPr>
          <w:rFonts w:ascii="Times New Roman" w:hAnsi="Times New Roman" w:cs="Times New Roman"/>
          <w:color w:val="000000" w:themeColor="text1"/>
          <w:sz w:val="24"/>
          <w:szCs w:val="24"/>
        </w:rPr>
        <w:t>Although some providers have consi</w:t>
      </w:r>
      <w:r w:rsidR="0092612E">
        <w:rPr>
          <w:rFonts w:ascii="Times New Roman" w:hAnsi="Times New Roman" w:cs="Times New Roman"/>
          <w:color w:val="000000" w:themeColor="text1"/>
          <w:sz w:val="24"/>
          <w:szCs w:val="24"/>
        </w:rPr>
        <w:t>derably greater share of the entry level market</w:t>
      </w:r>
      <w:r w:rsidR="00CE476A">
        <w:rPr>
          <w:rFonts w:ascii="Times New Roman" w:hAnsi="Times New Roman" w:cs="Times New Roman"/>
          <w:color w:val="000000" w:themeColor="text1"/>
          <w:sz w:val="24"/>
          <w:szCs w:val="24"/>
        </w:rPr>
        <w:t>,</w:t>
      </w:r>
      <w:r w:rsidR="0092612E">
        <w:rPr>
          <w:rFonts w:ascii="Times New Roman" w:hAnsi="Times New Roman" w:cs="Times New Roman"/>
          <w:color w:val="000000" w:themeColor="text1"/>
          <w:sz w:val="24"/>
          <w:szCs w:val="24"/>
        </w:rPr>
        <w:t xml:space="preserve"> ACCAN </w:t>
      </w:r>
      <w:r w:rsidR="00250275">
        <w:rPr>
          <w:rFonts w:ascii="Times New Roman" w:hAnsi="Times New Roman" w:cs="Times New Roman"/>
          <w:color w:val="000000" w:themeColor="text1"/>
          <w:sz w:val="24"/>
          <w:szCs w:val="24"/>
        </w:rPr>
        <w:t>expects</w:t>
      </w:r>
      <w:r w:rsidR="0092612E">
        <w:rPr>
          <w:rFonts w:ascii="Times New Roman" w:hAnsi="Times New Roman" w:cs="Times New Roman"/>
          <w:color w:val="000000" w:themeColor="text1"/>
          <w:sz w:val="24"/>
          <w:szCs w:val="24"/>
        </w:rPr>
        <w:t xml:space="preserve"> that revisions to the ELB would have the effect of reducing existing and unsustainable cost pressures for these services. </w:t>
      </w:r>
      <w:r w:rsidR="00311233">
        <w:rPr>
          <w:rFonts w:ascii="Times New Roman" w:hAnsi="Times New Roman" w:cs="Times New Roman"/>
          <w:color w:val="000000" w:themeColor="text1"/>
          <w:sz w:val="24"/>
          <w:szCs w:val="24"/>
        </w:rPr>
        <w:t>A revision of the ELB offer is likely to make this sub-segment of the market more attractive to challenger retailers and as a consequence drive stronger competition for entry level users.</w:t>
      </w:r>
    </w:p>
    <w:p w:rsidR="005E288C" w:rsidRPr="002330A0" w:rsidRDefault="005E288C" w:rsidP="0026201B">
      <w:pPr>
        <w:autoSpaceDE w:val="0"/>
        <w:autoSpaceDN w:val="0"/>
        <w:adjustRightInd w:val="0"/>
        <w:spacing w:after="0" w:line="240" w:lineRule="auto"/>
        <w:rPr>
          <w:rFonts w:ascii="Times New Roman" w:hAnsi="Times New Roman" w:cs="Times New Roman"/>
          <w:iCs/>
          <w:color w:val="00B0F0"/>
          <w:sz w:val="24"/>
          <w:szCs w:val="24"/>
        </w:rPr>
      </w:pP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lastRenderedPageBreak/>
        <w:t>27. What changes</w:t>
      </w:r>
      <w:bookmarkStart w:id="6" w:name="_GoBack"/>
      <w:bookmarkEnd w:id="6"/>
      <w:r w:rsidRPr="009B6577">
        <w:rPr>
          <w:rFonts w:ascii="Times New Roman" w:hAnsi="Times New Roman" w:cs="Times New Roman"/>
          <w:i/>
          <w:color w:val="00B0F0"/>
          <w:sz w:val="24"/>
          <w:szCs w:val="24"/>
        </w:rPr>
        <w:t xml:space="preserve">, if any, should we make to this framework for assessing the likely effect </w:t>
      </w:r>
      <w:proofErr w:type="gramStart"/>
      <w:r w:rsidRPr="009B6577">
        <w:rPr>
          <w:rFonts w:ascii="Times New Roman" w:hAnsi="Times New Roman" w:cs="Times New Roman"/>
          <w:i/>
          <w:color w:val="00B0F0"/>
          <w:sz w:val="24"/>
          <w:szCs w:val="24"/>
        </w:rPr>
        <w:t>of</w:t>
      </w:r>
      <w:proofErr w:type="gramEnd"/>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price</w:t>
      </w:r>
      <w:proofErr w:type="gramEnd"/>
      <w:r w:rsidRPr="009B6577">
        <w:rPr>
          <w:rFonts w:ascii="Times New Roman" w:hAnsi="Times New Roman" w:cs="Times New Roman"/>
          <w:i/>
          <w:color w:val="00B0F0"/>
          <w:sz w:val="24"/>
          <w:szCs w:val="24"/>
        </w:rPr>
        <w:t xml:space="preserve"> related terms and conditions for a basic broadband access product on NBN </w:t>
      </w:r>
      <w:proofErr w:type="spellStart"/>
      <w:r w:rsidRPr="009B6577">
        <w:rPr>
          <w:rFonts w:ascii="Times New Roman" w:hAnsi="Times New Roman" w:cs="Times New Roman"/>
          <w:i/>
          <w:color w:val="00B0F0"/>
          <w:sz w:val="24"/>
          <w:szCs w:val="24"/>
        </w:rPr>
        <w:t>Co’s</w:t>
      </w:r>
      <w:proofErr w:type="spellEnd"/>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revenues</w:t>
      </w:r>
      <w:proofErr w:type="gramEnd"/>
      <w:r w:rsidRPr="009B6577">
        <w:rPr>
          <w:rFonts w:ascii="Times New Roman" w:hAnsi="Times New Roman" w:cs="Times New Roman"/>
          <w:i/>
          <w:color w:val="00B0F0"/>
          <w:sz w:val="24"/>
          <w:szCs w:val="24"/>
        </w:rPr>
        <w:t>? What changes to input assumptions should we make?</w:t>
      </w:r>
    </w:p>
    <w:p w:rsidR="0026201B" w:rsidRDefault="0026201B" w:rsidP="0026201B">
      <w:pPr>
        <w:autoSpaceDE w:val="0"/>
        <w:autoSpaceDN w:val="0"/>
        <w:adjustRightInd w:val="0"/>
        <w:spacing w:after="0" w:line="240" w:lineRule="auto"/>
        <w:rPr>
          <w:rFonts w:ascii="Times New Roman" w:hAnsi="Times New Roman" w:cs="Times New Roman"/>
          <w:i/>
          <w:color w:val="00B0F0"/>
          <w:sz w:val="24"/>
          <w:szCs w:val="24"/>
        </w:rPr>
      </w:pPr>
    </w:p>
    <w:p w:rsidR="0006325C" w:rsidRDefault="002D3BEC" w:rsidP="002D3BEC">
      <w:pPr>
        <w:autoSpaceDE w:val="0"/>
        <w:autoSpaceDN w:val="0"/>
        <w:adjustRightInd w:val="0"/>
        <w:spacing w:after="0"/>
        <w:jc w:val="both"/>
        <w:rPr>
          <w:rFonts w:ascii="Times New Roman" w:hAnsi="Times New Roman" w:cs="Times New Roman"/>
          <w:iCs/>
          <w:color w:val="000000" w:themeColor="text1"/>
          <w:sz w:val="24"/>
          <w:szCs w:val="24"/>
        </w:rPr>
      </w:pPr>
      <w:r w:rsidRPr="00B12419">
        <w:rPr>
          <w:rFonts w:ascii="Times New Roman" w:hAnsi="Times New Roman" w:cs="Times New Roman"/>
          <w:iCs/>
          <w:color w:val="000000" w:themeColor="text1"/>
          <w:sz w:val="24"/>
          <w:szCs w:val="24"/>
        </w:rPr>
        <w:t xml:space="preserve">ACCAN believes that the </w:t>
      </w:r>
      <w:r w:rsidR="0006325C">
        <w:rPr>
          <w:rFonts w:ascii="Times New Roman" w:hAnsi="Times New Roman" w:cs="Times New Roman"/>
          <w:iCs/>
          <w:color w:val="000000" w:themeColor="text1"/>
          <w:sz w:val="24"/>
          <w:szCs w:val="24"/>
        </w:rPr>
        <w:t xml:space="preserve">framework </w:t>
      </w:r>
      <w:r w:rsidR="00311E9C" w:rsidRPr="00B12419">
        <w:rPr>
          <w:rFonts w:ascii="Times New Roman" w:hAnsi="Times New Roman" w:cs="Times New Roman"/>
          <w:iCs/>
          <w:color w:val="000000" w:themeColor="text1"/>
          <w:sz w:val="24"/>
          <w:szCs w:val="24"/>
        </w:rPr>
        <w:t xml:space="preserve">outlined in the paper </w:t>
      </w:r>
      <w:r w:rsidR="0006325C">
        <w:rPr>
          <w:rFonts w:ascii="Times New Roman" w:hAnsi="Times New Roman" w:cs="Times New Roman"/>
          <w:iCs/>
          <w:color w:val="000000" w:themeColor="text1"/>
          <w:sz w:val="24"/>
          <w:szCs w:val="24"/>
        </w:rPr>
        <w:t>is appropriate</w:t>
      </w:r>
      <w:r w:rsidRPr="00B12419">
        <w:rPr>
          <w:rFonts w:ascii="Times New Roman" w:hAnsi="Times New Roman" w:cs="Times New Roman"/>
          <w:iCs/>
          <w:color w:val="000000" w:themeColor="text1"/>
          <w:sz w:val="24"/>
          <w:szCs w:val="24"/>
        </w:rPr>
        <w:t>.</w:t>
      </w:r>
      <w:r w:rsidR="0006325C">
        <w:rPr>
          <w:rFonts w:ascii="Times New Roman" w:hAnsi="Times New Roman" w:cs="Times New Roman"/>
          <w:iCs/>
          <w:color w:val="000000" w:themeColor="text1"/>
          <w:sz w:val="24"/>
          <w:szCs w:val="24"/>
        </w:rPr>
        <w:t xml:space="preserve"> ACCAN agrees with the ACCC that the creation of a regulated basic broadband offering may result in a change in the sourcing of CVC allocation inputs and may result in a change in NBN revenue.</w:t>
      </w:r>
    </w:p>
    <w:p w:rsidR="0006325C" w:rsidRDefault="0006325C" w:rsidP="002D3BEC">
      <w:pPr>
        <w:autoSpaceDE w:val="0"/>
        <w:autoSpaceDN w:val="0"/>
        <w:adjustRightInd w:val="0"/>
        <w:spacing w:after="0"/>
        <w:jc w:val="both"/>
        <w:rPr>
          <w:rFonts w:ascii="Times New Roman" w:hAnsi="Times New Roman" w:cs="Times New Roman"/>
          <w:iCs/>
          <w:color w:val="000000" w:themeColor="text1"/>
          <w:sz w:val="24"/>
          <w:szCs w:val="24"/>
        </w:rPr>
      </w:pPr>
    </w:p>
    <w:p w:rsidR="007E5309" w:rsidRDefault="00B12419" w:rsidP="002D3BEC">
      <w:pPr>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factors</w:t>
      </w:r>
      <w:r w:rsidR="0006325C">
        <w:rPr>
          <w:rFonts w:ascii="Times New Roman" w:hAnsi="Times New Roman" w:cs="Times New Roman"/>
          <w:iCs/>
          <w:color w:val="000000" w:themeColor="text1"/>
          <w:sz w:val="24"/>
          <w:szCs w:val="24"/>
        </w:rPr>
        <w:t xml:space="preserve"> driving NBN revenues </w:t>
      </w:r>
      <w:r>
        <w:rPr>
          <w:rFonts w:ascii="Times New Roman" w:hAnsi="Times New Roman" w:cs="Times New Roman"/>
          <w:iCs/>
          <w:color w:val="000000" w:themeColor="text1"/>
          <w:sz w:val="24"/>
          <w:szCs w:val="24"/>
        </w:rPr>
        <w:t>identified by the ACCC</w:t>
      </w:r>
      <w:r w:rsidR="0006325C">
        <w:rPr>
          <w:rFonts w:ascii="Times New Roman" w:hAnsi="Times New Roman" w:cs="Times New Roman"/>
          <w:iCs/>
          <w:color w:val="000000" w:themeColor="text1"/>
          <w:sz w:val="24"/>
          <w:szCs w:val="24"/>
        </w:rPr>
        <w:t xml:space="preserve"> in the paper</w:t>
      </w:r>
      <w:r>
        <w:rPr>
          <w:rFonts w:ascii="Times New Roman" w:hAnsi="Times New Roman" w:cs="Times New Roman"/>
          <w:iCs/>
          <w:color w:val="000000" w:themeColor="text1"/>
          <w:sz w:val="24"/>
          <w:szCs w:val="24"/>
        </w:rPr>
        <w:t xml:space="preserve"> including the </w:t>
      </w:r>
      <w:r w:rsidR="007E5309">
        <w:rPr>
          <w:rFonts w:ascii="Times New Roman" w:hAnsi="Times New Roman" w:cs="Times New Roman"/>
          <w:iCs/>
          <w:color w:val="000000" w:themeColor="text1"/>
          <w:sz w:val="24"/>
          <w:szCs w:val="24"/>
        </w:rPr>
        <w:t>practice</w:t>
      </w:r>
      <w:r>
        <w:rPr>
          <w:rFonts w:ascii="Times New Roman" w:hAnsi="Times New Roman" w:cs="Times New Roman"/>
          <w:iCs/>
          <w:color w:val="000000" w:themeColor="text1"/>
          <w:sz w:val="24"/>
          <w:szCs w:val="24"/>
        </w:rPr>
        <w:t xml:space="preserve"> of RSPs to</w:t>
      </w:r>
      <w:r w:rsidR="007E5309">
        <w:rPr>
          <w:rFonts w:ascii="Times New Roman" w:hAnsi="Times New Roman" w:cs="Times New Roman"/>
          <w:iCs/>
          <w:color w:val="000000" w:themeColor="text1"/>
          <w:sz w:val="24"/>
          <w:szCs w:val="24"/>
        </w:rPr>
        <w:t xml:space="preserve"> purchase an array of wholesale inputs (e.g. 25/5Mbps services) and then shape these services to a 12/1Mbps offering and reallocate bundled CVC to other users is consistent with ACCAN’s observations of market behavior. </w:t>
      </w:r>
    </w:p>
    <w:p w:rsidR="00B12419" w:rsidRPr="009C4127" w:rsidRDefault="007E5309" w:rsidP="002D3BEC">
      <w:pPr>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p>
    <w:p w:rsidR="00C424AB" w:rsidRPr="002D3BEC" w:rsidRDefault="00E455E4" w:rsidP="002D3BEC">
      <w:pPr>
        <w:autoSpaceDE w:val="0"/>
        <w:autoSpaceDN w:val="0"/>
        <w:adjustRightInd w:val="0"/>
        <w:spacing w:after="0"/>
        <w:jc w:val="both"/>
        <w:rPr>
          <w:rFonts w:ascii="Times New Roman" w:hAnsi="Times New Roman" w:cs="Times New Roman"/>
          <w:iCs/>
          <w:color w:val="000000" w:themeColor="text1"/>
          <w:sz w:val="24"/>
          <w:szCs w:val="24"/>
        </w:rPr>
      </w:pPr>
      <w:r w:rsidRPr="007E5309">
        <w:rPr>
          <w:rFonts w:ascii="Times New Roman" w:hAnsi="Times New Roman" w:cs="Times New Roman"/>
          <w:iCs/>
          <w:color w:val="000000" w:themeColor="text1"/>
          <w:sz w:val="24"/>
          <w:szCs w:val="24"/>
        </w:rPr>
        <w:t xml:space="preserve">However, the cost inputs of individual retailers </w:t>
      </w:r>
      <w:r w:rsidR="007E5309" w:rsidRPr="00DB196C">
        <w:rPr>
          <w:rFonts w:ascii="Times New Roman" w:hAnsi="Times New Roman" w:cs="Times New Roman"/>
          <w:iCs/>
          <w:color w:val="000000" w:themeColor="text1"/>
          <w:sz w:val="24"/>
          <w:szCs w:val="24"/>
        </w:rPr>
        <w:t>vary</w:t>
      </w:r>
      <w:r w:rsidRPr="007E5309">
        <w:rPr>
          <w:rFonts w:ascii="Times New Roman" w:hAnsi="Times New Roman" w:cs="Times New Roman"/>
          <w:iCs/>
          <w:color w:val="000000" w:themeColor="text1"/>
          <w:sz w:val="24"/>
          <w:szCs w:val="24"/>
        </w:rPr>
        <w:t xml:space="preserve"> considerably with some parties having sufficient scope to re-allocate CVC within their customer base and other entities having limited ability to do so due to the composition of their customers.</w:t>
      </w:r>
      <w:r w:rsidR="007E5309">
        <w:rPr>
          <w:rFonts w:ascii="Times New Roman" w:hAnsi="Times New Roman" w:cs="Times New Roman"/>
          <w:iCs/>
          <w:color w:val="000000" w:themeColor="text1"/>
          <w:sz w:val="24"/>
          <w:szCs w:val="24"/>
        </w:rPr>
        <w:t xml:space="preserve"> Accordingly, ACCAN is unable to provide comment on the extent to which existing NBN revenues may be influenced by a shift away from </w:t>
      </w:r>
      <w:r w:rsidR="0040595B">
        <w:rPr>
          <w:rFonts w:ascii="Times New Roman" w:hAnsi="Times New Roman" w:cs="Times New Roman"/>
          <w:iCs/>
          <w:color w:val="000000" w:themeColor="text1"/>
          <w:sz w:val="24"/>
          <w:szCs w:val="24"/>
        </w:rPr>
        <w:t>the current composition of whole</w:t>
      </w:r>
      <w:r w:rsidR="008C35D1">
        <w:rPr>
          <w:rFonts w:ascii="Times New Roman" w:hAnsi="Times New Roman" w:cs="Times New Roman"/>
          <w:iCs/>
          <w:color w:val="000000" w:themeColor="text1"/>
          <w:sz w:val="24"/>
          <w:szCs w:val="24"/>
        </w:rPr>
        <w:t>sale demand for an array of service inputs to a more streamlined approach</w:t>
      </w:r>
      <w:r w:rsidR="00C03BD9">
        <w:rPr>
          <w:rFonts w:ascii="Times New Roman" w:hAnsi="Times New Roman" w:cs="Times New Roman"/>
          <w:iCs/>
          <w:color w:val="000000" w:themeColor="text1"/>
          <w:sz w:val="24"/>
          <w:szCs w:val="24"/>
        </w:rPr>
        <w:t xml:space="preserve"> where reallocation of CVC between consumers is less common</w:t>
      </w:r>
      <w:r w:rsidR="00F314F0">
        <w:rPr>
          <w:rFonts w:ascii="Times New Roman" w:hAnsi="Times New Roman" w:cs="Times New Roman"/>
          <w:iCs/>
          <w:color w:val="000000" w:themeColor="text1"/>
          <w:sz w:val="24"/>
          <w:szCs w:val="24"/>
        </w:rPr>
        <w:t>.</w:t>
      </w:r>
    </w:p>
    <w:p w:rsidR="00654886" w:rsidRPr="00FA099A" w:rsidRDefault="00654886" w:rsidP="0026201B">
      <w:pPr>
        <w:autoSpaceDE w:val="0"/>
        <w:autoSpaceDN w:val="0"/>
        <w:adjustRightInd w:val="0"/>
        <w:spacing w:after="0" w:line="240" w:lineRule="auto"/>
        <w:rPr>
          <w:rFonts w:ascii="Times New Roman" w:hAnsi="Times New Roman" w:cs="Times New Roman"/>
          <w:iCs/>
          <w:color w:val="00B0F0"/>
          <w:sz w:val="24"/>
          <w:szCs w:val="24"/>
        </w:rPr>
      </w:pPr>
    </w:p>
    <w:p w:rsidR="00987B67" w:rsidRDefault="00654886" w:rsidP="0026201B">
      <w:pPr>
        <w:rPr>
          <w:rFonts w:ascii="Times New Roman" w:hAnsi="Times New Roman" w:cs="Times New Roman"/>
          <w:iCs/>
          <w:color w:val="000000" w:themeColor="text1"/>
          <w:sz w:val="24"/>
          <w:szCs w:val="24"/>
        </w:rPr>
      </w:pPr>
      <w:r w:rsidRPr="00FA099A">
        <w:rPr>
          <w:rFonts w:ascii="Times New Roman" w:hAnsi="Times New Roman" w:cs="Times New Roman"/>
          <w:i/>
          <w:color w:val="00B0F0"/>
          <w:sz w:val="24"/>
          <w:szCs w:val="24"/>
        </w:rPr>
        <w:t>28. For RSPs supplying a basic broadband access product on the NBN, please complete the migration forecasts contained within the data request accompanying this discussion paper.</w:t>
      </w:r>
    </w:p>
    <w:p w:rsidR="00987B67" w:rsidRPr="00B03B5C" w:rsidRDefault="00654886" w:rsidP="0026201B">
      <w:pPr>
        <w:rPr>
          <w:rFonts w:ascii="Times New Roman" w:hAnsi="Times New Roman" w:cs="Times New Roman"/>
          <w:iCs/>
          <w:color w:val="000000" w:themeColor="text1"/>
          <w:sz w:val="24"/>
          <w:szCs w:val="24"/>
        </w:rPr>
      </w:pPr>
      <w:proofErr w:type="gramStart"/>
      <w:r>
        <w:rPr>
          <w:rFonts w:ascii="Times New Roman" w:hAnsi="Times New Roman" w:cs="Times New Roman"/>
          <w:iCs/>
          <w:color w:val="000000" w:themeColor="text1"/>
          <w:sz w:val="24"/>
          <w:szCs w:val="24"/>
        </w:rPr>
        <w:t>N.A.</w:t>
      </w:r>
      <w:proofErr w:type="gramEnd"/>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t>29. How material a contribution to network provisioning costs would growth in CVC</w:t>
      </w:r>
    </w:p>
    <w:p w:rsidR="0026201B" w:rsidRDefault="0026201B" w:rsidP="0026201B">
      <w:pPr>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dimensioning</w:t>
      </w:r>
      <w:proofErr w:type="gramEnd"/>
      <w:r w:rsidRPr="009B6577">
        <w:rPr>
          <w:rFonts w:ascii="Times New Roman" w:hAnsi="Times New Roman" w:cs="Times New Roman"/>
          <w:i/>
          <w:color w:val="00B0F0"/>
          <w:sz w:val="24"/>
          <w:szCs w:val="24"/>
        </w:rPr>
        <w:t xml:space="preserve"> for basic broadband access services make?</w:t>
      </w:r>
    </w:p>
    <w:p w:rsidR="007512FD" w:rsidRDefault="00CE6B13" w:rsidP="00AC0211">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ACCAN understands that the </w:t>
      </w:r>
      <w:r w:rsidR="00B2384E">
        <w:rPr>
          <w:rFonts w:ascii="Times New Roman" w:hAnsi="Times New Roman" w:cs="Times New Roman"/>
          <w:iCs/>
          <w:color w:val="000000" w:themeColor="text1"/>
          <w:sz w:val="24"/>
          <w:szCs w:val="24"/>
        </w:rPr>
        <w:t xml:space="preserve">network provisioning costs associated with growth in CVC is likely to be a material factor in the cost structure of a basic broadband access service. In ACCAN’s </w:t>
      </w:r>
      <w:r w:rsidR="009C4127">
        <w:rPr>
          <w:rFonts w:ascii="Times New Roman" w:hAnsi="Times New Roman" w:cs="Times New Roman"/>
          <w:iCs/>
          <w:color w:val="000000" w:themeColor="text1"/>
          <w:sz w:val="24"/>
          <w:szCs w:val="24"/>
        </w:rPr>
        <w:t>discussions with</w:t>
      </w:r>
      <w:r w:rsidR="00B2384E">
        <w:rPr>
          <w:rFonts w:ascii="Times New Roman" w:hAnsi="Times New Roman" w:cs="Times New Roman"/>
          <w:iCs/>
          <w:color w:val="000000" w:themeColor="text1"/>
          <w:sz w:val="24"/>
          <w:szCs w:val="24"/>
        </w:rPr>
        <w:t xml:space="preserve"> </w:t>
      </w:r>
      <w:r w:rsidR="008B621F">
        <w:rPr>
          <w:rFonts w:ascii="Times New Roman" w:hAnsi="Times New Roman" w:cs="Times New Roman"/>
          <w:iCs/>
          <w:color w:val="000000" w:themeColor="text1"/>
          <w:sz w:val="24"/>
          <w:szCs w:val="24"/>
        </w:rPr>
        <w:t>NBN retailers,</w:t>
      </w:r>
      <w:r w:rsidR="00B2384E">
        <w:rPr>
          <w:rFonts w:ascii="Times New Roman" w:hAnsi="Times New Roman" w:cs="Times New Roman"/>
          <w:iCs/>
          <w:color w:val="000000" w:themeColor="text1"/>
          <w:sz w:val="24"/>
          <w:szCs w:val="24"/>
        </w:rPr>
        <w:t xml:space="preserve"> the significant growth in CVC costs has been routinely identified as a core driver of the total wholesale cost of service offerings. </w:t>
      </w:r>
    </w:p>
    <w:p w:rsidR="007512FD" w:rsidRDefault="00B2384E" w:rsidP="00AC0211">
      <w:pPr>
        <w:jc w:val="both"/>
        <w:rPr>
          <w:rFonts w:ascii="Times New Roman" w:hAnsi="Times New Roman" w:cs="Times New Roman"/>
          <w:i/>
          <w:color w:val="00B0F0"/>
          <w:sz w:val="24"/>
          <w:szCs w:val="24"/>
        </w:rPr>
      </w:pPr>
      <w:r>
        <w:rPr>
          <w:rFonts w:ascii="Times New Roman" w:hAnsi="Times New Roman" w:cs="Times New Roman"/>
          <w:iCs/>
          <w:color w:val="000000" w:themeColor="text1"/>
          <w:sz w:val="24"/>
          <w:szCs w:val="24"/>
        </w:rPr>
        <w:t xml:space="preserve">The significance of CVC costs as a driver of the total costs of services was </w:t>
      </w:r>
      <w:r w:rsidR="00A62561">
        <w:rPr>
          <w:rFonts w:ascii="Times New Roman" w:hAnsi="Times New Roman" w:cs="Times New Roman"/>
          <w:iCs/>
          <w:color w:val="000000" w:themeColor="text1"/>
          <w:sz w:val="24"/>
          <w:szCs w:val="24"/>
        </w:rPr>
        <w:t xml:space="preserve">most recently relayed to ACCAN in the context of the consultations concerning NBN </w:t>
      </w:r>
      <w:proofErr w:type="spellStart"/>
      <w:r w:rsidR="00A62561">
        <w:rPr>
          <w:rFonts w:ascii="Times New Roman" w:hAnsi="Times New Roman" w:cs="Times New Roman"/>
          <w:iCs/>
          <w:color w:val="000000" w:themeColor="text1"/>
          <w:sz w:val="24"/>
          <w:szCs w:val="24"/>
        </w:rPr>
        <w:t>Co’s</w:t>
      </w:r>
      <w:proofErr w:type="spellEnd"/>
      <w:r w:rsidR="00A62561">
        <w:rPr>
          <w:rFonts w:ascii="Times New Roman" w:hAnsi="Times New Roman" w:cs="Times New Roman"/>
          <w:iCs/>
          <w:color w:val="000000" w:themeColor="text1"/>
          <w:sz w:val="24"/>
          <w:szCs w:val="24"/>
        </w:rPr>
        <w:t xml:space="preserve"> review of pricing where amendments to the </w:t>
      </w:r>
      <w:r w:rsidR="00B07171">
        <w:rPr>
          <w:rFonts w:ascii="Times New Roman" w:hAnsi="Times New Roman" w:cs="Times New Roman"/>
          <w:iCs/>
          <w:color w:val="000000" w:themeColor="text1"/>
          <w:sz w:val="24"/>
          <w:szCs w:val="24"/>
        </w:rPr>
        <w:t>25/5</w:t>
      </w:r>
      <w:r w:rsidR="00A62561">
        <w:rPr>
          <w:rFonts w:ascii="Times New Roman" w:hAnsi="Times New Roman" w:cs="Times New Roman"/>
          <w:iCs/>
          <w:color w:val="000000" w:themeColor="text1"/>
          <w:sz w:val="24"/>
          <w:szCs w:val="24"/>
        </w:rPr>
        <w:t>Mbps bundle have resulted in a reduction in the headline price of these services, whilst simultaneously reducing inclusions, albeit at a lesser rate. Although these changes have resulted in an overall reduction in the cost of service delivery ACCAN was repeated</w:t>
      </w:r>
      <w:r w:rsidR="008B621F">
        <w:rPr>
          <w:rFonts w:ascii="Times New Roman" w:hAnsi="Times New Roman" w:cs="Times New Roman"/>
          <w:iCs/>
          <w:color w:val="000000" w:themeColor="text1"/>
          <w:sz w:val="24"/>
          <w:szCs w:val="24"/>
        </w:rPr>
        <w:t>ly</w:t>
      </w:r>
      <w:r w:rsidR="00A62561">
        <w:rPr>
          <w:rFonts w:ascii="Times New Roman" w:hAnsi="Times New Roman" w:cs="Times New Roman"/>
          <w:iCs/>
          <w:color w:val="000000" w:themeColor="text1"/>
          <w:sz w:val="24"/>
          <w:szCs w:val="24"/>
        </w:rPr>
        <w:t xml:space="preserve"> advised by retailers that these savings would only be realized in the short term (that is Q1 2020) due to increased overage costs.</w:t>
      </w: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9D74C5" w:rsidRDefault="009D74C5" w:rsidP="0026201B">
      <w:pPr>
        <w:autoSpaceDE w:val="0"/>
        <w:autoSpaceDN w:val="0"/>
        <w:adjustRightInd w:val="0"/>
        <w:spacing w:after="0" w:line="240" w:lineRule="auto"/>
        <w:rPr>
          <w:rFonts w:ascii="Times New Roman" w:hAnsi="Times New Roman" w:cs="Times New Roman"/>
          <w:i/>
          <w:color w:val="00B0F0"/>
          <w:sz w:val="24"/>
          <w:szCs w:val="24"/>
        </w:rPr>
      </w:pPr>
    </w:p>
    <w:p w:rsidR="0026201B" w:rsidRPr="009B6577" w:rsidRDefault="0026201B" w:rsidP="0026201B">
      <w:pPr>
        <w:autoSpaceDE w:val="0"/>
        <w:autoSpaceDN w:val="0"/>
        <w:adjustRightInd w:val="0"/>
        <w:spacing w:after="0" w:line="240" w:lineRule="auto"/>
        <w:rPr>
          <w:rFonts w:ascii="Times New Roman" w:hAnsi="Times New Roman" w:cs="Times New Roman"/>
          <w:i/>
          <w:color w:val="00B0F0"/>
          <w:sz w:val="24"/>
          <w:szCs w:val="24"/>
        </w:rPr>
      </w:pPr>
      <w:r w:rsidRPr="009B6577">
        <w:rPr>
          <w:rFonts w:ascii="Times New Roman" w:hAnsi="Times New Roman" w:cs="Times New Roman"/>
          <w:i/>
          <w:color w:val="00B0F0"/>
          <w:sz w:val="24"/>
          <w:szCs w:val="24"/>
        </w:rPr>
        <w:lastRenderedPageBreak/>
        <w:t>30. What level of charges do you consider reasonable for these service transfer and reversal</w:t>
      </w:r>
    </w:p>
    <w:p w:rsidR="0026201B" w:rsidRPr="009B6577" w:rsidRDefault="0026201B" w:rsidP="0026201B">
      <w:pPr>
        <w:rPr>
          <w:rFonts w:ascii="Times New Roman" w:hAnsi="Times New Roman" w:cs="Times New Roman"/>
          <w:i/>
          <w:color w:val="00B0F0"/>
          <w:sz w:val="24"/>
          <w:szCs w:val="24"/>
        </w:rPr>
      </w:pPr>
      <w:proofErr w:type="gramStart"/>
      <w:r w:rsidRPr="009B6577">
        <w:rPr>
          <w:rFonts w:ascii="Times New Roman" w:hAnsi="Times New Roman" w:cs="Times New Roman"/>
          <w:i/>
          <w:color w:val="00B0F0"/>
          <w:sz w:val="24"/>
          <w:szCs w:val="24"/>
        </w:rPr>
        <w:t>charges</w:t>
      </w:r>
      <w:proofErr w:type="gramEnd"/>
      <w:r w:rsidRPr="009B6577">
        <w:rPr>
          <w:rFonts w:ascii="Times New Roman" w:hAnsi="Times New Roman" w:cs="Times New Roman"/>
          <w:i/>
          <w:color w:val="00B0F0"/>
          <w:sz w:val="24"/>
          <w:szCs w:val="24"/>
        </w:rPr>
        <w:t>? Should these be implemented by way of a price change or via a discount?</w:t>
      </w:r>
    </w:p>
    <w:p w:rsidR="003A17FE" w:rsidRDefault="00D23F6E" w:rsidP="00384517">
      <w:pPr>
        <w:jc w:val="both"/>
      </w:pPr>
      <w:r w:rsidRPr="00D23F6E">
        <w:rPr>
          <w:rFonts w:ascii="Times New Roman" w:hAnsi="Times New Roman" w:cs="Times New Roman"/>
          <w:sz w:val="24"/>
        </w:rPr>
        <w:t xml:space="preserve">ACCAN believes that service transfer and reversal charges should be minimized to the extent possible in order to ensure that there are no financial barriers to switching services. The reduction in the cost of switching allows consumers to exercise choice and provides an incentive for competitive behavior by retailers. </w:t>
      </w:r>
    </w:p>
    <w:sectPr w:rsidR="003A17FE"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987C4" w15:done="0"/>
  <w15:commentEx w15:paraId="08190B74" w15:done="0"/>
  <w15:commentEx w15:paraId="039485B4" w15:paraIdParent="08190B74" w15:done="0"/>
  <w15:commentEx w15:paraId="3DADF39A" w15:done="0"/>
  <w15:commentEx w15:paraId="2A320336" w15:paraIdParent="3DADF39A" w15:done="0"/>
  <w15:commentEx w15:paraId="65E81349" w15:done="0"/>
  <w15:commentEx w15:paraId="23926F05" w15:done="0"/>
  <w15:commentEx w15:paraId="77F68408" w15:paraIdParent="23926F05" w15:done="0"/>
  <w15:commentEx w15:paraId="0CFFFF07" w15:done="0"/>
  <w15:commentEx w15:paraId="44B08FD3" w15:done="0"/>
  <w15:commentEx w15:paraId="78A6CBD9" w15:done="0"/>
  <w15:commentEx w15:paraId="2E0BC7CE" w15:done="0"/>
  <w15:commentEx w15:paraId="5E9D2CC2" w15:done="0"/>
  <w15:commentEx w15:paraId="61859608" w15:done="0"/>
  <w15:commentEx w15:paraId="73AEADA7" w15:done="0"/>
  <w15:commentEx w15:paraId="29342392" w15:paraIdParent="73AEADA7" w15:done="0"/>
  <w15:commentEx w15:paraId="0464E4F1" w15:done="0"/>
  <w15:commentEx w15:paraId="34DC588B" w15:done="0"/>
  <w15:commentEx w15:paraId="48E07B7F" w15:paraIdParent="34DC58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987C4" w16cid:durableId="218A0D31"/>
  <w16cid:commentId w16cid:paraId="08190B74" w16cid:durableId="218A0D32"/>
  <w16cid:commentId w16cid:paraId="039485B4" w16cid:durableId="218A6DEC"/>
  <w16cid:commentId w16cid:paraId="3DADF39A" w16cid:durableId="218A0D34"/>
  <w16cid:commentId w16cid:paraId="2A320336" w16cid:durableId="218A55C9"/>
  <w16cid:commentId w16cid:paraId="65E81349" w16cid:durableId="218A0D35"/>
  <w16cid:commentId w16cid:paraId="23926F05" w16cid:durableId="218A0D37"/>
  <w16cid:commentId w16cid:paraId="77F68408" w16cid:durableId="218A559C"/>
  <w16cid:commentId w16cid:paraId="0CFFFF07" w16cid:durableId="218A0D3B"/>
  <w16cid:commentId w16cid:paraId="44B08FD3" w16cid:durableId="218A0D3C"/>
  <w16cid:commentId w16cid:paraId="78A6CBD9" w16cid:durableId="218A0D3D"/>
  <w16cid:commentId w16cid:paraId="2E0BC7CE" w16cid:durableId="218A0D3E"/>
  <w16cid:commentId w16cid:paraId="5E9D2CC2" w16cid:durableId="218A0D40"/>
  <w16cid:commentId w16cid:paraId="61859608" w16cid:durableId="218A0D42"/>
  <w16cid:commentId w16cid:paraId="73AEADA7" w16cid:durableId="218A0D43"/>
  <w16cid:commentId w16cid:paraId="29342392" w16cid:durableId="218A53C2"/>
  <w16cid:commentId w16cid:paraId="0464E4F1" w16cid:durableId="218A0D45"/>
  <w16cid:commentId w16cid:paraId="34DC588B" w16cid:durableId="218A0D46"/>
  <w16cid:commentId w16cid:paraId="48E07B7F" w16cid:durableId="218A0E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47" w:rsidRDefault="00486947" w:rsidP="00DD0AEA">
      <w:pPr>
        <w:spacing w:after="0" w:line="240" w:lineRule="auto"/>
      </w:pPr>
      <w:r>
        <w:separator/>
      </w:r>
    </w:p>
  </w:endnote>
  <w:endnote w:type="continuationSeparator" w:id="0">
    <w:p w:rsidR="00486947" w:rsidRDefault="00486947"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6" w:rsidRDefault="009E1576" w:rsidP="00DD0AEA">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E530C6">
      <w:rPr>
        <w:noProof/>
      </w:rPr>
      <w:t>2</w:t>
    </w:r>
    <w:r w:rsidRPr="00C4251E">
      <w:rPr>
        <w:noProof/>
      </w:rPr>
      <w:fldChar w:fldCharType="end"/>
    </w:r>
  </w:p>
  <w:p w:rsidR="009E1576" w:rsidRPr="000F58CC" w:rsidRDefault="009E1576"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6" w:rsidRDefault="009E1576" w:rsidP="00DD0AEA">
    <w:pPr>
      <w:pStyle w:val="Footerpage1"/>
    </w:pPr>
    <w:r w:rsidRPr="004A0B0A">
      <w:rPr>
        <w:color w:val="44C8F5"/>
      </w:rPr>
      <w:t>Australian Communications Consumer Action Network (ACCAN)</w:t>
    </w:r>
  </w:p>
  <w:p w:rsidR="009E1576" w:rsidRDefault="009E1576" w:rsidP="00DD0AEA">
    <w:pPr>
      <w:pStyle w:val="Footerpage1"/>
      <w:rPr>
        <w:i/>
      </w:rPr>
    </w:pPr>
    <w:r w:rsidRPr="004A0B0A">
      <w:rPr>
        <w:i/>
        <w:color w:val="44C8F5"/>
      </w:rPr>
      <w:t>Australia’s peak telecommunications consumer organisation</w:t>
    </w:r>
  </w:p>
  <w:p w:rsidR="009E1576" w:rsidRDefault="009E1576" w:rsidP="00DD0AEA">
    <w:pPr>
      <w:pStyle w:val="Footerpage1"/>
    </w:pPr>
    <w:r w:rsidRPr="008E763A">
      <w:rPr>
        <w:noProof/>
        <w:lang w:val="en-US"/>
      </w:rPr>
      <mc:AlternateContent>
        <mc:Choice Requires="wps">
          <w:drawing>
            <wp:inline distT="0" distB="0" distL="0" distR="0" wp14:anchorId="33DED8CA" wp14:editId="072F911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9E1576" w:rsidRDefault="009E1576" w:rsidP="00DD0AEA">
    <w:pPr>
      <w:pStyle w:val="Footerpage1"/>
    </w:pPr>
    <w:r w:rsidRPr="008E763A">
      <w:t>Tel: (02) 9288 4000 | TTY: (02) 9281 5322 | Fax: (02) 9288 4019</w:t>
    </w:r>
  </w:p>
  <w:p w:rsidR="009E1576" w:rsidRDefault="009E1576"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47" w:rsidRDefault="00486947" w:rsidP="00DD0AEA">
      <w:pPr>
        <w:spacing w:after="0" w:line="240" w:lineRule="auto"/>
      </w:pPr>
      <w:r>
        <w:separator/>
      </w:r>
    </w:p>
  </w:footnote>
  <w:footnote w:type="continuationSeparator" w:id="0">
    <w:p w:rsidR="00486947" w:rsidRDefault="00486947" w:rsidP="00DD0AEA">
      <w:pPr>
        <w:spacing w:after="0" w:line="240" w:lineRule="auto"/>
      </w:pPr>
      <w:r>
        <w:continuationSeparator/>
      </w:r>
    </w:p>
  </w:footnote>
  <w:footnote w:id="1">
    <w:p w:rsidR="009E1576" w:rsidRPr="00645E79" w:rsidRDefault="009E1576" w:rsidP="00645E79">
      <w:pPr>
        <w:pStyle w:val="FootnoteText"/>
        <w:spacing w:after="0"/>
        <w:rPr>
          <w:rFonts w:ascii="Times New Roman" w:hAnsi="Times New Roman" w:cs="Times New Roman"/>
          <w:lang w:val="en-US"/>
        </w:rPr>
      </w:pPr>
      <w:r w:rsidRPr="00645E79">
        <w:rPr>
          <w:rStyle w:val="FootnoteReference"/>
          <w:rFonts w:ascii="Times New Roman" w:hAnsi="Times New Roman" w:cs="Times New Roman"/>
        </w:rPr>
        <w:footnoteRef/>
      </w:r>
      <w:r w:rsidRPr="00645E79">
        <w:rPr>
          <w:rFonts w:ascii="Times New Roman" w:hAnsi="Times New Roman" w:cs="Times New Roman"/>
        </w:rPr>
        <w:t xml:space="preserve"> </w:t>
      </w:r>
      <w:proofErr w:type="gramStart"/>
      <w:r w:rsidRPr="00645E79">
        <w:rPr>
          <w:rFonts w:ascii="Times New Roman" w:hAnsi="Times New Roman" w:cs="Times New Roman"/>
          <w:szCs w:val="24"/>
        </w:rPr>
        <w:t>‘Statement of Expectations’, Letter from Minister of Communications and the Arts, 2016.</w:t>
      </w:r>
      <w:proofErr w:type="gramEnd"/>
      <w:r w:rsidRPr="00645E79">
        <w:rPr>
          <w:rFonts w:ascii="Times New Roman" w:hAnsi="Times New Roman" w:cs="Times New Roman"/>
          <w:szCs w:val="24"/>
        </w:rPr>
        <w:t xml:space="preserve"> &lt;https://www.communications.gov.au/publications/nbnstatementofexpectations&gt;</w:t>
      </w:r>
      <w:r w:rsidRPr="00645E79">
        <w:rPr>
          <w:rFonts w:ascii="Times New Roman" w:hAnsi="Times New Roman" w:cs="Times New Roman"/>
        </w:rPr>
        <w:t>.</w:t>
      </w:r>
    </w:p>
  </w:footnote>
  <w:footnote w:id="2">
    <w:p w:rsidR="009E1576" w:rsidRPr="00645E79" w:rsidRDefault="009E1576" w:rsidP="00645E79">
      <w:pPr>
        <w:pStyle w:val="FootnoteText"/>
        <w:spacing w:after="0"/>
        <w:rPr>
          <w:rFonts w:ascii="Times New Roman" w:hAnsi="Times New Roman" w:cs="Times New Roman"/>
          <w:lang w:val="en-US"/>
        </w:rPr>
      </w:pPr>
      <w:r w:rsidRPr="00645E79">
        <w:rPr>
          <w:rStyle w:val="FootnoteReference"/>
          <w:rFonts w:ascii="Times New Roman" w:hAnsi="Times New Roman" w:cs="Times New Roman"/>
        </w:rPr>
        <w:footnoteRef/>
      </w:r>
      <w:r w:rsidRPr="00645E79">
        <w:rPr>
          <w:rFonts w:ascii="Times New Roman" w:hAnsi="Times New Roman" w:cs="Times New Roman"/>
        </w:rPr>
        <w:t xml:space="preserve"> </w:t>
      </w:r>
      <w:proofErr w:type="gramStart"/>
      <w:r w:rsidRPr="00645E79">
        <w:rPr>
          <w:rFonts w:ascii="Times New Roman" w:hAnsi="Times New Roman" w:cs="Times New Roman"/>
          <w:szCs w:val="24"/>
        </w:rPr>
        <w:t xml:space="preserve">George </w:t>
      </w:r>
      <w:proofErr w:type="spellStart"/>
      <w:r w:rsidRPr="00645E79">
        <w:rPr>
          <w:rFonts w:ascii="Times New Roman" w:hAnsi="Times New Roman" w:cs="Times New Roman"/>
          <w:szCs w:val="24"/>
        </w:rPr>
        <w:t>Akerlof</w:t>
      </w:r>
      <w:proofErr w:type="spellEnd"/>
      <w:r w:rsidRPr="00645E79">
        <w:rPr>
          <w:rFonts w:ascii="Times New Roman" w:hAnsi="Times New Roman" w:cs="Times New Roman"/>
          <w:szCs w:val="24"/>
        </w:rPr>
        <w:t xml:space="preserve">, ‘The Market for “Lemons” Quality Uncertainty and the Market Mechanism’ (1970) 84(3) </w:t>
      </w:r>
      <w:r w:rsidRPr="00645E79">
        <w:rPr>
          <w:rFonts w:ascii="Times New Roman" w:hAnsi="Times New Roman" w:cs="Times New Roman"/>
          <w:i/>
          <w:iCs/>
          <w:szCs w:val="24"/>
        </w:rPr>
        <w:t>Quarterly Journal of Economics</w:t>
      </w:r>
      <w:r w:rsidRPr="00645E79">
        <w:rPr>
          <w:rFonts w:ascii="Times New Roman" w:hAnsi="Times New Roman" w:cs="Times New Roman"/>
          <w:szCs w:val="24"/>
        </w:rPr>
        <w:t xml:space="preserve"> 488.</w:t>
      </w:r>
      <w:proofErr w:type="gramEnd"/>
    </w:p>
  </w:footnote>
  <w:footnote w:id="3">
    <w:p w:rsidR="009E1576" w:rsidRPr="00645E79" w:rsidRDefault="009E1576" w:rsidP="00645E79">
      <w:pPr>
        <w:pStyle w:val="FootnoteText"/>
        <w:spacing w:after="0"/>
        <w:rPr>
          <w:rFonts w:ascii="Times New Roman" w:hAnsi="Times New Roman" w:cs="Times New Roman"/>
          <w:lang w:val="en-US"/>
        </w:rPr>
      </w:pPr>
      <w:r w:rsidRPr="00645E79">
        <w:rPr>
          <w:rStyle w:val="FootnoteReference"/>
          <w:rFonts w:ascii="Times New Roman" w:hAnsi="Times New Roman" w:cs="Times New Roman"/>
        </w:rPr>
        <w:footnoteRef/>
      </w:r>
      <w:r w:rsidRPr="00645E79">
        <w:rPr>
          <w:rFonts w:ascii="Times New Roman" w:hAnsi="Times New Roman" w:cs="Times New Roman"/>
        </w:rPr>
        <w:t xml:space="preserve"> </w:t>
      </w:r>
      <w:proofErr w:type="gramStart"/>
      <w:r w:rsidRPr="00645E79">
        <w:rPr>
          <w:rFonts w:ascii="Times New Roman" w:hAnsi="Times New Roman" w:cs="Times New Roman"/>
          <w:szCs w:val="24"/>
        </w:rPr>
        <w:t xml:space="preserve">Australian Competition and Consumer Commission, ‘NBN Wholesale Market Indicators Report 2019’, </w:t>
      </w:r>
      <w:r w:rsidRPr="00645E79">
        <w:rPr>
          <w:rFonts w:ascii="Times New Roman" w:hAnsi="Times New Roman" w:cs="Times New Roman"/>
          <w:i/>
          <w:iCs/>
          <w:szCs w:val="24"/>
        </w:rPr>
        <w:t>Australian Competition and Consumer Commission</w:t>
      </w:r>
      <w:r w:rsidRPr="00645E79">
        <w:rPr>
          <w:rFonts w:ascii="Times New Roman" w:hAnsi="Times New Roman" w:cs="Times New Roman"/>
          <w:szCs w:val="24"/>
        </w:rPr>
        <w:t xml:space="preserve"> &lt;https://www.accc.gov.au/regulated-infrastructure/communications/national-broadband-network-nbn/nbn-wholesale-market-indicators-report/march-quarter-2019-report&gt;.</w:t>
      </w:r>
      <w:proofErr w:type="gramEnd"/>
    </w:p>
  </w:footnote>
  <w:footnote w:id="4">
    <w:p w:rsidR="009E1576" w:rsidRPr="00645E79" w:rsidRDefault="009E1576" w:rsidP="00645E79">
      <w:pPr>
        <w:pStyle w:val="FootnoteText"/>
        <w:spacing w:after="0"/>
        <w:rPr>
          <w:rFonts w:ascii="Times New Roman" w:hAnsi="Times New Roman" w:cs="Times New Roman"/>
          <w:lang w:val="en-US"/>
        </w:rPr>
      </w:pPr>
      <w:r w:rsidRPr="00645E79">
        <w:rPr>
          <w:rStyle w:val="FootnoteReference"/>
          <w:rFonts w:ascii="Times New Roman" w:hAnsi="Times New Roman" w:cs="Times New Roman"/>
        </w:rPr>
        <w:footnoteRef/>
      </w:r>
      <w:r w:rsidRPr="00645E79">
        <w:rPr>
          <w:rFonts w:ascii="Times New Roman" w:hAnsi="Times New Roman" w:cs="Times New Roman"/>
        </w:rPr>
        <w:t xml:space="preserve"> </w:t>
      </w:r>
      <w:r w:rsidRPr="00645E79">
        <w:rPr>
          <w:rFonts w:ascii="Times New Roman" w:hAnsi="Times New Roman" w:cs="Times New Roman"/>
          <w:szCs w:val="24"/>
        </w:rPr>
        <w:t>‘Statement of Expectations’ Letter from Minister for Finance and Deregulation the Honourable Penny Wong and Minister for Broadband, Communications and the Digital Economy, the Honourable Stephen Conroy, 2010.</w:t>
      </w:r>
    </w:p>
  </w:footnote>
  <w:footnote w:id="5">
    <w:p w:rsidR="009E1576" w:rsidRPr="00645E79" w:rsidRDefault="009E1576" w:rsidP="00645E79">
      <w:pPr>
        <w:pStyle w:val="FootnoteText"/>
        <w:spacing w:after="0"/>
        <w:rPr>
          <w:rFonts w:ascii="Times New Roman" w:hAnsi="Times New Roman" w:cs="Times New Roman"/>
        </w:rPr>
      </w:pPr>
      <w:r w:rsidRPr="00645E79">
        <w:rPr>
          <w:rStyle w:val="FootnoteReference"/>
          <w:rFonts w:ascii="Times New Roman" w:hAnsi="Times New Roman" w:cs="Times New Roman"/>
        </w:rPr>
        <w:footnoteRef/>
      </w:r>
      <w:r w:rsidRPr="00645E79">
        <w:rPr>
          <w:rFonts w:ascii="Times New Roman" w:hAnsi="Times New Roman" w:cs="Times New Roman"/>
        </w:rPr>
        <w:t xml:space="preserve">. </w:t>
      </w:r>
      <w:proofErr w:type="gramStart"/>
      <w:r w:rsidRPr="00645E79">
        <w:rPr>
          <w:rFonts w:ascii="Times New Roman" w:hAnsi="Times New Roman" w:cs="Times New Roman"/>
        </w:rPr>
        <w:t xml:space="preserve">Department of Social Services, </w:t>
      </w:r>
      <w:r w:rsidRPr="00645E79">
        <w:rPr>
          <w:rFonts w:ascii="Times New Roman" w:hAnsi="Times New Roman" w:cs="Times New Roman"/>
          <w:i/>
          <w:iCs/>
        </w:rPr>
        <w:t>Payment Demographic Data June 2019</w:t>
      </w:r>
      <w:r w:rsidRPr="00645E79">
        <w:rPr>
          <w:rFonts w:ascii="Times New Roman" w:hAnsi="Times New Roman" w:cs="Times New Roman"/>
        </w:rPr>
        <w:t>, &lt;https://data.gov.au/dataset/ds-dga-cff2ae8a-55e4-47db-a66d-e177fe0ac6a0/details&gt;.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6" w:rsidRDefault="009E1576" w:rsidP="00DD0AEA">
    <w:pPr>
      <w:pStyle w:val="Header"/>
      <w:jc w:val="right"/>
    </w:pPr>
    <w:r>
      <w:rPr>
        <w:noProof/>
        <w:lang w:val="en-US"/>
      </w:rPr>
      <w:drawing>
        <wp:inline distT="0" distB="0" distL="0" distR="0" wp14:anchorId="03AE5E95" wp14:editId="536F1C4C">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6" w:rsidRDefault="009E1576" w:rsidP="00DD0AEA">
    <w:pPr>
      <w:pStyle w:val="Header"/>
      <w:jc w:val="center"/>
    </w:pPr>
    <w:r>
      <w:rPr>
        <w:noProof/>
        <w:lang w:val="en-US"/>
      </w:rPr>
      <w:drawing>
        <wp:inline distT="0" distB="0" distL="0" distR="0" wp14:anchorId="689D62DA" wp14:editId="78E63D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6A"/>
    <w:multiLevelType w:val="hybridMultilevel"/>
    <w:tmpl w:val="ABF8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4914"/>
    <w:multiLevelType w:val="hybridMultilevel"/>
    <w:tmpl w:val="9F3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3C4A"/>
    <w:multiLevelType w:val="hybridMultilevel"/>
    <w:tmpl w:val="B6E8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27948"/>
    <w:multiLevelType w:val="hybridMultilevel"/>
    <w:tmpl w:val="173E2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7FE533C"/>
    <w:multiLevelType w:val="hybridMultilevel"/>
    <w:tmpl w:val="E9A0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1E209B8"/>
    <w:multiLevelType w:val="hybridMultilevel"/>
    <w:tmpl w:val="00FE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67144"/>
    <w:multiLevelType w:val="multilevel"/>
    <w:tmpl w:val="989E8E90"/>
    <w:numStyleLink w:val="Appendices"/>
  </w:abstractNum>
  <w:abstractNum w:abstractNumId="10">
    <w:nsid w:val="5CB31000"/>
    <w:multiLevelType w:val="hybridMultilevel"/>
    <w:tmpl w:val="E532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D6231"/>
    <w:multiLevelType w:val="multilevel"/>
    <w:tmpl w:val="F2FC669E"/>
    <w:numStyleLink w:val="Recommendation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4"/>
  </w:num>
  <w:num w:numId="3">
    <w:abstractNumId w:val="7"/>
  </w:num>
  <w:num w:numId="4">
    <w:abstractNumId w:val="9"/>
  </w:num>
  <w:num w:numId="5">
    <w:abstractNumId w:val="12"/>
  </w:num>
  <w:num w:numId="6">
    <w:abstractNumId w:val="5"/>
  </w:num>
  <w:num w:numId="7">
    <w:abstractNumId w:val="11"/>
  </w:num>
  <w:num w:numId="8">
    <w:abstractNumId w:val="2"/>
  </w:num>
  <w:num w:numId="9">
    <w:abstractNumId w:val="1"/>
  </w:num>
  <w:num w:numId="10">
    <w:abstractNumId w:val="10"/>
  </w:num>
  <w:num w:numId="11">
    <w:abstractNumId w:val="0"/>
  </w:num>
  <w:num w:numId="12">
    <w:abstractNumId w:val="6"/>
  </w:num>
  <w:num w:numId="13">
    <w:abstractNumId w:val="8"/>
  </w:num>
  <w:num w:numId="14">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0451E"/>
    <w:rsid w:val="00007AE1"/>
    <w:rsid w:val="000100C8"/>
    <w:rsid w:val="0001367B"/>
    <w:rsid w:val="0001750B"/>
    <w:rsid w:val="00017D12"/>
    <w:rsid w:val="00022E77"/>
    <w:rsid w:val="00022F95"/>
    <w:rsid w:val="000337E8"/>
    <w:rsid w:val="0003483C"/>
    <w:rsid w:val="00034E5E"/>
    <w:rsid w:val="00036947"/>
    <w:rsid w:val="0004080B"/>
    <w:rsid w:val="00041DDD"/>
    <w:rsid w:val="00044B98"/>
    <w:rsid w:val="00051958"/>
    <w:rsid w:val="000523B0"/>
    <w:rsid w:val="00056633"/>
    <w:rsid w:val="00062C78"/>
    <w:rsid w:val="0006325C"/>
    <w:rsid w:val="00065BEC"/>
    <w:rsid w:val="0006600E"/>
    <w:rsid w:val="00066102"/>
    <w:rsid w:val="0007361C"/>
    <w:rsid w:val="00074167"/>
    <w:rsid w:val="000818BE"/>
    <w:rsid w:val="00082334"/>
    <w:rsid w:val="00083629"/>
    <w:rsid w:val="00083D29"/>
    <w:rsid w:val="00084DCC"/>
    <w:rsid w:val="0008639A"/>
    <w:rsid w:val="00086484"/>
    <w:rsid w:val="0008689A"/>
    <w:rsid w:val="00087919"/>
    <w:rsid w:val="00093D9A"/>
    <w:rsid w:val="00094EF3"/>
    <w:rsid w:val="00095ADD"/>
    <w:rsid w:val="000A00FC"/>
    <w:rsid w:val="000A14A9"/>
    <w:rsid w:val="000A57C8"/>
    <w:rsid w:val="000B198C"/>
    <w:rsid w:val="000B1DD7"/>
    <w:rsid w:val="000C0ABF"/>
    <w:rsid w:val="000C1863"/>
    <w:rsid w:val="000C1D8F"/>
    <w:rsid w:val="000C5D23"/>
    <w:rsid w:val="000D180C"/>
    <w:rsid w:val="000D1F3A"/>
    <w:rsid w:val="000D29AC"/>
    <w:rsid w:val="000D480F"/>
    <w:rsid w:val="000D5AB4"/>
    <w:rsid w:val="000D6842"/>
    <w:rsid w:val="000D7DCD"/>
    <w:rsid w:val="000E13B2"/>
    <w:rsid w:val="000E25A5"/>
    <w:rsid w:val="000E263B"/>
    <w:rsid w:val="000E376A"/>
    <w:rsid w:val="000F01EC"/>
    <w:rsid w:val="000F09D8"/>
    <w:rsid w:val="000F1924"/>
    <w:rsid w:val="000F3BEB"/>
    <w:rsid w:val="000F77D0"/>
    <w:rsid w:val="00100637"/>
    <w:rsid w:val="00101747"/>
    <w:rsid w:val="00105960"/>
    <w:rsid w:val="001102CF"/>
    <w:rsid w:val="00111CD8"/>
    <w:rsid w:val="00113CD1"/>
    <w:rsid w:val="001151CE"/>
    <w:rsid w:val="001159BD"/>
    <w:rsid w:val="00121192"/>
    <w:rsid w:val="00125964"/>
    <w:rsid w:val="0012690A"/>
    <w:rsid w:val="00132D05"/>
    <w:rsid w:val="00146C24"/>
    <w:rsid w:val="00146E2D"/>
    <w:rsid w:val="0015460D"/>
    <w:rsid w:val="00154D24"/>
    <w:rsid w:val="0015626A"/>
    <w:rsid w:val="0015711D"/>
    <w:rsid w:val="0016481A"/>
    <w:rsid w:val="00165DA0"/>
    <w:rsid w:val="00165F75"/>
    <w:rsid w:val="00172EAD"/>
    <w:rsid w:val="0017558D"/>
    <w:rsid w:val="001774E7"/>
    <w:rsid w:val="001830CC"/>
    <w:rsid w:val="00187078"/>
    <w:rsid w:val="00196C40"/>
    <w:rsid w:val="00197E98"/>
    <w:rsid w:val="001A0086"/>
    <w:rsid w:val="001A1A1E"/>
    <w:rsid w:val="001A229F"/>
    <w:rsid w:val="001B08FD"/>
    <w:rsid w:val="001B4296"/>
    <w:rsid w:val="001B42B4"/>
    <w:rsid w:val="001C2696"/>
    <w:rsid w:val="001C4F29"/>
    <w:rsid w:val="001C68A5"/>
    <w:rsid w:val="001D0617"/>
    <w:rsid w:val="001D0B0D"/>
    <w:rsid w:val="001D3D15"/>
    <w:rsid w:val="001D552B"/>
    <w:rsid w:val="001D5787"/>
    <w:rsid w:val="001D7852"/>
    <w:rsid w:val="001E0512"/>
    <w:rsid w:val="001E3531"/>
    <w:rsid w:val="001E46BD"/>
    <w:rsid w:val="001E5F9F"/>
    <w:rsid w:val="001E6433"/>
    <w:rsid w:val="001F2AFD"/>
    <w:rsid w:val="001F3652"/>
    <w:rsid w:val="00203B73"/>
    <w:rsid w:val="00205A08"/>
    <w:rsid w:val="0020704C"/>
    <w:rsid w:val="00210600"/>
    <w:rsid w:val="00212487"/>
    <w:rsid w:val="00212B43"/>
    <w:rsid w:val="00217497"/>
    <w:rsid w:val="00217540"/>
    <w:rsid w:val="0022134A"/>
    <w:rsid w:val="00222886"/>
    <w:rsid w:val="0022566E"/>
    <w:rsid w:val="00227B08"/>
    <w:rsid w:val="002330A0"/>
    <w:rsid w:val="00235934"/>
    <w:rsid w:val="002365A0"/>
    <w:rsid w:val="002451FA"/>
    <w:rsid w:val="00246950"/>
    <w:rsid w:val="002473B0"/>
    <w:rsid w:val="0024781E"/>
    <w:rsid w:val="00247CCA"/>
    <w:rsid w:val="00250275"/>
    <w:rsid w:val="00250DA5"/>
    <w:rsid w:val="0026201B"/>
    <w:rsid w:val="0026245D"/>
    <w:rsid w:val="00267445"/>
    <w:rsid w:val="00270BE3"/>
    <w:rsid w:val="0027403A"/>
    <w:rsid w:val="002748FE"/>
    <w:rsid w:val="00274C86"/>
    <w:rsid w:val="0028126E"/>
    <w:rsid w:val="00282219"/>
    <w:rsid w:val="002904AC"/>
    <w:rsid w:val="00292CBF"/>
    <w:rsid w:val="00295072"/>
    <w:rsid w:val="002A1219"/>
    <w:rsid w:val="002A42C4"/>
    <w:rsid w:val="002A50ED"/>
    <w:rsid w:val="002A5FF0"/>
    <w:rsid w:val="002A7693"/>
    <w:rsid w:val="002B2B05"/>
    <w:rsid w:val="002B4478"/>
    <w:rsid w:val="002B4AC3"/>
    <w:rsid w:val="002B6FBC"/>
    <w:rsid w:val="002B7BA8"/>
    <w:rsid w:val="002C25B2"/>
    <w:rsid w:val="002C261E"/>
    <w:rsid w:val="002C281D"/>
    <w:rsid w:val="002C4855"/>
    <w:rsid w:val="002D0759"/>
    <w:rsid w:val="002D0799"/>
    <w:rsid w:val="002D369E"/>
    <w:rsid w:val="002D3BEC"/>
    <w:rsid w:val="002E12DC"/>
    <w:rsid w:val="002E6B87"/>
    <w:rsid w:val="002E7F13"/>
    <w:rsid w:val="002F55F0"/>
    <w:rsid w:val="002F71BB"/>
    <w:rsid w:val="003067F6"/>
    <w:rsid w:val="00307AEC"/>
    <w:rsid w:val="00311233"/>
    <w:rsid w:val="00311E9C"/>
    <w:rsid w:val="0032023C"/>
    <w:rsid w:val="00322533"/>
    <w:rsid w:val="00327EAE"/>
    <w:rsid w:val="00330A81"/>
    <w:rsid w:val="00330DAD"/>
    <w:rsid w:val="00335F12"/>
    <w:rsid w:val="00337C7F"/>
    <w:rsid w:val="0034072B"/>
    <w:rsid w:val="00340F27"/>
    <w:rsid w:val="00345F09"/>
    <w:rsid w:val="00346AB3"/>
    <w:rsid w:val="003576AD"/>
    <w:rsid w:val="003577B7"/>
    <w:rsid w:val="003614F1"/>
    <w:rsid w:val="003644F9"/>
    <w:rsid w:val="00371495"/>
    <w:rsid w:val="00371834"/>
    <w:rsid w:val="0037275B"/>
    <w:rsid w:val="003745F7"/>
    <w:rsid w:val="00380BA3"/>
    <w:rsid w:val="0038231B"/>
    <w:rsid w:val="00382608"/>
    <w:rsid w:val="00384517"/>
    <w:rsid w:val="00385744"/>
    <w:rsid w:val="003871CF"/>
    <w:rsid w:val="00390590"/>
    <w:rsid w:val="003915F3"/>
    <w:rsid w:val="003943D3"/>
    <w:rsid w:val="00395EBB"/>
    <w:rsid w:val="003A17FE"/>
    <w:rsid w:val="003B19DE"/>
    <w:rsid w:val="003C22C2"/>
    <w:rsid w:val="003C3548"/>
    <w:rsid w:val="003C4761"/>
    <w:rsid w:val="003C51E9"/>
    <w:rsid w:val="003C61FD"/>
    <w:rsid w:val="003C7CC0"/>
    <w:rsid w:val="003D0100"/>
    <w:rsid w:val="003D0555"/>
    <w:rsid w:val="003D2DBB"/>
    <w:rsid w:val="003D2ECF"/>
    <w:rsid w:val="003D523B"/>
    <w:rsid w:val="003D64C4"/>
    <w:rsid w:val="003E14FF"/>
    <w:rsid w:val="003E1A55"/>
    <w:rsid w:val="003E3496"/>
    <w:rsid w:val="003E3CC7"/>
    <w:rsid w:val="003E6109"/>
    <w:rsid w:val="003F1361"/>
    <w:rsid w:val="003F1FE0"/>
    <w:rsid w:val="003F5B52"/>
    <w:rsid w:val="003F5E58"/>
    <w:rsid w:val="003F7E4C"/>
    <w:rsid w:val="0040022D"/>
    <w:rsid w:val="00403063"/>
    <w:rsid w:val="00403891"/>
    <w:rsid w:val="004039C7"/>
    <w:rsid w:val="0040561C"/>
    <w:rsid w:val="0040595B"/>
    <w:rsid w:val="00407AB7"/>
    <w:rsid w:val="00410DF3"/>
    <w:rsid w:val="00421C55"/>
    <w:rsid w:val="00422B8E"/>
    <w:rsid w:val="004257FC"/>
    <w:rsid w:val="00436374"/>
    <w:rsid w:val="00437A8D"/>
    <w:rsid w:val="00437AD3"/>
    <w:rsid w:val="00440650"/>
    <w:rsid w:val="0044192C"/>
    <w:rsid w:val="00441C7E"/>
    <w:rsid w:val="00443335"/>
    <w:rsid w:val="0044488A"/>
    <w:rsid w:val="00451697"/>
    <w:rsid w:val="0045705A"/>
    <w:rsid w:val="004573CC"/>
    <w:rsid w:val="00457DAE"/>
    <w:rsid w:val="00465057"/>
    <w:rsid w:val="00467AF1"/>
    <w:rsid w:val="0047399F"/>
    <w:rsid w:val="00475F36"/>
    <w:rsid w:val="004764FA"/>
    <w:rsid w:val="004772E2"/>
    <w:rsid w:val="00480D6E"/>
    <w:rsid w:val="00482FEB"/>
    <w:rsid w:val="00485326"/>
    <w:rsid w:val="00486947"/>
    <w:rsid w:val="00487056"/>
    <w:rsid w:val="00493E75"/>
    <w:rsid w:val="004A0D6F"/>
    <w:rsid w:val="004A357C"/>
    <w:rsid w:val="004B34B4"/>
    <w:rsid w:val="004B4B11"/>
    <w:rsid w:val="004C02F1"/>
    <w:rsid w:val="004C0C9C"/>
    <w:rsid w:val="004C12DD"/>
    <w:rsid w:val="004C1A8F"/>
    <w:rsid w:val="004C4524"/>
    <w:rsid w:val="004C6158"/>
    <w:rsid w:val="004D516D"/>
    <w:rsid w:val="004D617E"/>
    <w:rsid w:val="004D6610"/>
    <w:rsid w:val="004E3834"/>
    <w:rsid w:val="004E5564"/>
    <w:rsid w:val="004E5AAC"/>
    <w:rsid w:val="004E6080"/>
    <w:rsid w:val="004E667F"/>
    <w:rsid w:val="004E7799"/>
    <w:rsid w:val="004F1088"/>
    <w:rsid w:val="004F4CEA"/>
    <w:rsid w:val="00507424"/>
    <w:rsid w:val="005105C8"/>
    <w:rsid w:val="00515151"/>
    <w:rsid w:val="00521BFA"/>
    <w:rsid w:val="0052234E"/>
    <w:rsid w:val="00523612"/>
    <w:rsid w:val="0052628C"/>
    <w:rsid w:val="00526556"/>
    <w:rsid w:val="00527FED"/>
    <w:rsid w:val="00531F45"/>
    <w:rsid w:val="00533360"/>
    <w:rsid w:val="005375B7"/>
    <w:rsid w:val="005413E3"/>
    <w:rsid w:val="00541989"/>
    <w:rsid w:val="00543D43"/>
    <w:rsid w:val="005449A5"/>
    <w:rsid w:val="00550D75"/>
    <w:rsid w:val="00554AE0"/>
    <w:rsid w:val="00557712"/>
    <w:rsid w:val="00560A8A"/>
    <w:rsid w:val="00564CBB"/>
    <w:rsid w:val="00565FDA"/>
    <w:rsid w:val="00566EFC"/>
    <w:rsid w:val="00570374"/>
    <w:rsid w:val="00570E63"/>
    <w:rsid w:val="00580BC4"/>
    <w:rsid w:val="00582651"/>
    <w:rsid w:val="00582DF0"/>
    <w:rsid w:val="005845CE"/>
    <w:rsid w:val="005857B6"/>
    <w:rsid w:val="005859EB"/>
    <w:rsid w:val="0059065A"/>
    <w:rsid w:val="005932C4"/>
    <w:rsid w:val="005938C8"/>
    <w:rsid w:val="005A25BB"/>
    <w:rsid w:val="005A3788"/>
    <w:rsid w:val="005A3934"/>
    <w:rsid w:val="005C554C"/>
    <w:rsid w:val="005C6D65"/>
    <w:rsid w:val="005D0370"/>
    <w:rsid w:val="005D1E12"/>
    <w:rsid w:val="005D3B92"/>
    <w:rsid w:val="005D3C9E"/>
    <w:rsid w:val="005D6603"/>
    <w:rsid w:val="005E288C"/>
    <w:rsid w:val="005E42E6"/>
    <w:rsid w:val="005E43DC"/>
    <w:rsid w:val="005E6985"/>
    <w:rsid w:val="005E6D84"/>
    <w:rsid w:val="005E74AF"/>
    <w:rsid w:val="005F0624"/>
    <w:rsid w:val="005F425C"/>
    <w:rsid w:val="006064C9"/>
    <w:rsid w:val="00611691"/>
    <w:rsid w:val="00612DA9"/>
    <w:rsid w:val="006130B6"/>
    <w:rsid w:val="00613B7C"/>
    <w:rsid w:val="0061431D"/>
    <w:rsid w:val="00614D27"/>
    <w:rsid w:val="0061511F"/>
    <w:rsid w:val="006158F1"/>
    <w:rsid w:val="00616920"/>
    <w:rsid w:val="00621325"/>
    <w:rsid w:val="00622865"/>
    <w:rsid w:val="006237C8"/>
    <w:rsid w:val="00630513"/>
    <w:rsid w:val="00630E80"/>
    <w:rsid w:val="00636C99"/>
    <w:rsid w:val="0063764C"/>
    <w:rsid w:val="0064074E"/>
    <w:rsid w:val="006417DC"/>
    <w:rsid w:val="0064247C"/>
    <w:rsid w:val="00642884"/>
    <w:rsid w:val="00645E79"/>
    <w:rsid w:val="00646F52"/>
    <w:rsid w:val="00647217"/>
    <w:rsid w:val="006514CB"/>
    <w:rsid w:val="00654742"/>
    <w:rsid w:val="00654886"/>
    <w:rsid w:val="00662A4A"/>
    <w:rsid w:val="00670261"/>
    <w:rsid w:val="00672A84"/>
    <w:rsid w:val="006740C5"/>
    <w:rsid w:val="00675287"/>
    <w:rsid w:val="0067534C"/>
    <w:rsid w:val="00676347"/>
    <w:rsid w:val="00684ADA"/>
    <w:rsid w:val="006901F9"/>
    <w:rsid w:val="006916F1"/>
    <w:rsid w:val="006924AE"/>
    <w:rsid w:val="00695488"/>
    <w:rsid w:val="006A0486"/>
    <w:rsid w:val="006A1A0B"/>
    <w:rsid w:val="006A23E2"/>
    <w:rsid w:val="006A5DAC"/>
    <w:rsid w:val="006B142C"/>
    <w:rsid w:val="006B33EA"/>
    <w:rsid w:val="006B4941"/>
    <w:rsid w:val="006B7BFE"/>
    <w:rsid w:val="006C39B5"/>
    <w:rsid w:val="006C74DD"/>
    <w:rsid w:val="006D23C1"/>
    <w:rsid w:val="006D4E36"/>
    <w:rsid w:val="006D58B4"/>
    <w:rsid w:val="006D5F6D"/>
    <w:rsid w:val="006D7E34"/>
    <w:rsid w:val="006E024C"/>
    <w:rsid w:val="006E05E4"/>
    <w:rsid w:val="006F1AB5"/>
    <w:rsid w:val="006F60D0"/>
    <w:rsid w:val="007013B3"/>
    <w:rsid w:val="007018F9"/>
    <w:rsid w:val="0070431F"/>
    <w:rsid w:val="00705508"/>
    <w:rsid w:val="00706895"/>
    <w:rsid w:val="007119D6"/>
    <w:rsid w:val="00720B67"/>
    <w:rsid w:val="00722691"/>
    <w:rsid w:val="00722909"/>
    <w:rsid w:val="00726427"/>
    <w:rsid w:val="00732095"/>
    <w:rsid w:val="0073452C"/>
    <w:rsid w:val="00735B4B"/>
    <w:rsid w:val="007360FD"/>
    <w:rsid w:val="00746CD0"/>
    <w:rsid w:val="007512FD"/>
    <w:rsid w:val="0075519B"/>
    <w:rsid w:val="00755557"/>
    <w:rsid w:val="00761077"/>
    <w:rsid w:val="00761A63"/>
    <w:rsid w:val="0076532D"/>
    <w:rsid w:val="00765A0D"/>
    <w:rsid w:val="00770E13"/>
    <w:rsid w:val="00772030"/>
    <w:rsid w:val="00773169"/>
    <w:rsid w:val="00773358"/>
    <w:rsid w:val="00773C28"/>
    <w:rsid w:val="007767E4"/>
    <w:rsid w:val="007879B0"/>
    <w:rsid w:val="0079012F"/>
    <w:rsid w:val="007917E7"/>
    <w:rsid w:val="00792AB2"/>
    <w:rsid w:val="00794FEE"/>
    <w:rsid w:val="00795854"/>
    <w:rsid w:val="0079721D"/>
    <w:rsid w:val="007A2191"/>
    <w:rsid w:val="007A3A3E"/>
    <w:rsid w:val="007A4395"/>
    <w:rsid w:val="007A65D9"/>
    <w:rsid w:val="007A67DC"/>
    <w:rsid w:val="007B0EED"/>
    <w:rsid w:val="007B5CBD"/>
    <w:rsid w:val="007B6038"/>
    <w:rsid w:val="007B76CE"/>
    <w:rsid w:val="007C7CD3"/>
    <w:rsid w:val="007D0FFC"/>
    <w:rsid w:val="007D349D"/>
    <w:rsid w:val="007E182E"/>
    <w:rsid w:val="007E2D0A"/>
    <w:rsid w:val="007E2E73"/>
    <w:rsid w:val="007E432E"/>
    <w:rsid w:val="007E4A94"/>
    <w:rsid w:val="007E5309"/>
    <w:rsid w:val="007F3D97"/>
    <w:rsid w:val="00804916"/>
    <w:rsid w:val="008067C7"/>
    <w:rsid w:val="00811D0A"/>
    <w:rsid w:val="008134D9"/>
    <w:rsid w:val="008141A5"/>
    <w:rsid w:val="008249FA"/>
    <w:rsid w:val="00824C21"/>
    <w:rsid w:val="0082605E"/>
    <w:rsid w:val="00827677"/>
    <w:rsid w:val="008321C1"/>
    <w:rsid w:val="0083253A"/>
    <w:rsid w:val="00834E49"/>
    <w:rsid w:val="00836EDC"/>
    <w:rsid w:val="00845947"/>
    <w:rsid w:val="00850FB2"/>
    <w:rsid w:val="008524FD"/>
    <w:rsid w:val="0085579C"/>
    <w:rsid w:val="00857337"/>
    <w:rsid w:val="00857828"/>
    <w:rsid w:val="008631F1"/>
    <w:rsid w:val="008670F3"/>
    <w:rsid w:val="00874B33"/>
    <w:rsid w:val="00877C6C"/>
    <w:rsid w:val="00881EE2"/>
    <w:rsid w:val="00883A1B"/>
    <w:rsid w:val="00883AA2"/>
    <w:rsid w:val="00887036"/>
    <w:rsid w:val="008875C1"/>
    <w:rsid w:val="008879DC"/>
    <w:rsid w:val="00887C14"/>
    <w:rsid w:val="00891C88"/>
    <w:rsid w:val="00891FB3"/>
    <w:rsid w:val="0089719F"/>
    <w:rsid w:val="008A11CD"/>
    <w:rsid w:val="008A1591"/>
    <w:rsid w:val="008A52A8"/>
    <w:rsid w:val="008A6E0F"/>
    <w:rsid w:val="008B386B"/>
    <w:rsid w:val="008B52F1"/>
    <w:rsid w:val="008B621F"/>
    <w:rsid w:val="008B648E"/>
    <w:rsid w:val="008B6C6B"/>
    <w:rsid w:val="008C0531"/>
    <w:rsid w:val="008C35D1"/>
    <w:rsid w:val="008C3FB4"/>
    <w:rsid w:val="008D12CC"/>
    <w:rsid w:val="008D252C"/>
    <w:rsid w:val="008D44FB"/>
    <w:rsid w:val="008D79AA"/>
    <w:rsid w:val="008E2B5D"/>
    <w:rsid w:val="008E3695"/>
    <w:rsid w:val="008F061B"/>
    <w:rsid w:val="008F1052"/>
    <w:rsid w:val="008F153E"/>
    <w:rsid w:val="008F40BC"/>
    <w:rsid w:val="00901A34"/>
    <w:rsid w:val="00901B57"/>
    <w:rsid w:val="00904F98"/>
    <w:rsid w:val="00907A3C"/>
    <w:rsid w:val="00911517"/>
    <w:rsid w:val="009139AB"/>
    <w:rsid w:val="00915703"/>
    <w:rsid w:val="00915D9D"/>
    <w:rsid w:val="009166B3"/>
    <w:rsid w:val="00917803"/>
    <w:rsid w:val="00922B52"/>
    <w:rsid w:val="00925928"/>
    <w:rsid w:val="0092612E"/>
    <w:rsid w:val="00930DA7"/>
    <w:rsid w:val="009322EA"/>
    <w:rsid w:val="009336CB"/>
    <w:rsid w:val="0094159A"/>
    <w:rsid w:val="00944B75"/>
    <w:rsid w:val="009513BE"/>
    <w:rsid w:val="009520C8"/>
    <w:rsid w:val="00953A5D"/>
    <w:rsid w:val="00956425"/>
    <w:rsid w:val="00960710"/>
    <w:rsid w:val="00962227"/>
    <w:rsid w:val="00965121"/>
    <w:rsid w:val="009701E2"/>
    <w:rsid w:val="00971E99"/>
    <w:rsid w:val="00973A9D"/>
    <w:rsid w:val="009742DE"/>
    <w:rsid w:val="00975119"/>
    <w:rsid w:val="00976951"/>
    <w:rsid w:val="00981496"/>
    <w:rsid w:val="00983C40"/>
    <w:rsid w:val="00985AB9"/>
    <w:rsid w:val="00987B67"/>
    <w:rsid w:val="009905D5"/>
    <w:rsid w:val="0099108B"/>
    <w:rsid w:val="009937B8"/>
    <w:rsid w:val="009A04AD"/>
    <w:rsid w:val="009A4117"/>
    <w:rsid w:val="009A5AB6"/>
    <w:rsid w:val="009A5DC2"/>
    <w:rsid w:val="009A794A"/>
    <w:rsid w:val="009B278C"/>
    <w:rsid w:val="009B49DB"/>
    <w:rsid w:val="009B5E91"/>
    <w:rsid w:val="009B6577"/>
    <w:rsid w:val="009B67C5"/>
    <w:rsid w:val="009B6A2F"/>
    <w:rsid w:val="009C06FE"/>
    <w:rsid w:val="009C0BF6"/>
    <w:rsid w:val="009C2B58"/>
    <w:rsid w:val="009C4127"/>
    <w:rsid w:val="009C621F"/>
    <w:rsid w:val="009D4024"/>
    <w:rsid w:val="009D5B18"/>
    <w:rsid w:val="009D5DE6"/>
    <w:rsid w:val="009D74C5"/>
    <w:rsid w:val="009D7522"/>
    <w:rsid w:val="009E1576"/>
    <w:rsid w:val="009E1852"/>
    <w:rsid w:val="009E1B5E"/>
    <w:rsid w:val="009E2B3B"/>
    <w:rsid w:val="009E3BA0"/>
    <w:rsid w:val="009E6B6F"/>
    <w:rsid w:val="009E7B97"/>
    <w:rsid w:val="009F7E53"/>
    <w:rsid w:val="00A00F3A"/>
    <w:rsid w:val="00A05F56"/>
    <w:rsid w:val="00A10539"/>
    <w:rsid w:val="00A11CC7"/>
    <w:rsid w:val="00A12992"/>
    <w:rsid w:val="00A129B8"/>
    <w:rsid w:val="00A13849"/>
    <w:rsid w:val="00A2196B"/>
    <w:rsid w:val="00A259B3"/>
    <w:rsid w:val="00A27E2F"/>
    <w:rsid w:val="00A32934"/>
    <w:rsid w:val="00A337F1"/>
    <w:rsid w:val="00A344B4"/>
    <w:rsid w:val="00A42877"/>
    <w:rsid w:val="00A43144"/>
    <w:rsid w:val="00A44B29"/>
    <w:rsid w:val="00A466D1"/>
    <w:rsid w:val="00A46F3B"/>
    <w:rsid w:val="00A51A8C"/>
    <w:rsid w:val="00A51CFE"/>
    <w:rsid w:val="00A62561"/>
    <w:rsid w:val="00A65C95"/>
    <w:rsid w:val="00A65F7F"/>
    <w:rsid w:val="00A76410"/>
    <w:rsid w:val="00A77249"/>
    <w:rsid w:val="00A826D3"/>
    <w:rsid w:val="00A84EC7"/>
    <w:rsid w:val="00A921A4"/>
    <w:rsid w:val="00A92CE4"/>
    <w:rsid w:val="00A950E2"/>
    <w:rsid w:val="00A96071"/>
    <w:rsid w:val="00AA3CFC"/>
    <w:rsid w:val="00AA5423"/>
    <w:rsid w:val="00AA6550"/>
    <w:rsid w:val="00AA7A95"/>
    <w:rsid w:val="00AB0146"/>
    <w:rsid w:val="00AB17C8"/>
    <w:rsid w:val="00AB2806"/>
    <w:rsid w:val="00AB736A"/>
    <w:rsid w:val="00AC0211"/>
    <w:rsid w:val="00AC0564"/>
    <w:rsid w:val="00AC249D"/>
    <w:rsid w:val="00AC4985"/>
    <w:rsid w:val="00AC6463"/>
    <w:rsid w:val="00AD0A95"/>
    <w:rsid w:val="00AD213C"/>
    <w:rsid w:val="00AD45C1"/>
    <w:rsid w:val="00AD68FA"/>
    <w:rsid w:val="00AE1E15"/>
    <w:rsid w:val="00AE215F"/>
    <w:rsid w:val="00AE40AC"/>
    <w:rsid w:val="00AE44AE"/>
    <w:rsid w:val="00AF001C"/>
    <w:rsid w:val="00AF1022"/>
    <w:rsid w:val="00AF2DA6"/>
    <w:rsid w:val="00B01384"/>
    <w:rsid w:val="00B03B5C"/>
    <w:rsid w:val="00B04990"/>
    <w:rsid w:val="00B067A2"/>
    <w:rsid w:val="00B07171"/>
    <w:rsid w:val="00B10B2A"/>
    <w:rsid w:val="00B12419"/>
    <w:rsid w:val="00B13900"/>
    <w:rsid w:val="00B2113B"/>
    <w:rsid w:val="00B22C34"/>
    <w:rsid w:val="00B2384E"/>
    <w:rsid w:val="00B257BB"/>
    <w:rsid w:val="00B258DC"/>
    <w:rsid w:val="00B26D35"/>
    <w:rsid w:val="00B347FF"/>
    <w:rsid w:val="00B36BE9"/>
    <w:rsid w:val="00B410D7"/>
    <w:rsid w:val="00B46990"/>
    <w:rsid w:val="00B46D2C"/>
    <w:rsid w:val="00B507B3"/>
    <w:rsid w:val="00B51879"/>
    <w:rsid w:val="00B5252B"/>
    <w:rsid w:val="00B534AD"/>
    <w:rsid w:val="00B61956"/>
    <w:rsid w:val="00B62CF6"/>
    <w:rsid w:val="00B646B2"/>
    <w:rsid w:val="00B83828"/>
    <w:rsid w:val="00B860BB"/>
    <w:rsid w:val="00B92E5C"/>
    <w:rsid w:val="00B93C5D"/>
    <w:rsid w:val="00B9656A"/>
    <w:rsid w:val="00B96782"/>
    <w:rsid w:val="00BA0586"/>
    <w:rsid w:val="00BA1615"/>
    <w:rsid w:val="00BA5619"/>
    <w:rsid w:val="00BB2E6D"/>
    <w:rsid w:val="00BB4244"/>
    <w:rsid w:val="00BC05EF"/>
    <w:rsid w:val="00BC092F"/>
    <w:rsid w:val="00BC192E"/>
    <w:rsid w:val="00BC224A"/>
    <w:rsid w:val="00BC4B36"/>
    <w:rsid w:val="00BD164E"/>
    <w:rsid w:val="00BD3CF8"/>
    <w:rsid w:val="00BD4DA0"/>
    <w:rsid w:val="00BD72A5"/>
    <w:rsid w:val="00BE29A1"/>
    <w:rsid w:val="00BE40C9"/>
    <w:rsid w:val="00BE464B"/>
    <w:rsid w:val="00BE4E3E"/>
    <w:rsid w:val="00BE51E0"/>
    <w:rsid w:val="00BE5225"/>
    <w:rsid w:val="00BE53C0"/>
    <w:rsid w:val="00BE725E"/>
    <w:rsid w:val="00BF30AE"/>
    <w:rsid w:val="00BF78A2"/>
    <w:rsid w:val="00BF7AFD"/>
    <w:rsid w:val="00BF7DBB"/>
    <w:rsid w:val="00C003B2"/>
    <w:rsid w:val="00C00B28"/>
    <w:rsid w:val="00C03BD9"/>
    <w:rsid w:val="00C135C2"/>
    <w:rsid w:val="00C1481E"/>
    <w:rsid w:val="00C16223"/>
    <w:rsid w:val="00C16E1A"/>
    <w:rsid w:val="00C16FED"/>
    <w:rsid w:val="00C303C4"/>
    <w:rsid w:val="00C303D6"/>
    <w:rsid w:val="00C32372"/>
    <w:rsid w:val="00C366BA"/>
    <w:rsid w:val="00C4009B"/>
    <w:rsid w:val="00C42202"/>
    <w:rsid w:val="00C4245D"/>
    <w:rsid w:val="00C424AB"/>
    <w:rsid w:val="00C466EF"/>
    <w:rsid w:val="00C512C5"/>
    <w:rsid w:val="00C515CA"/>
    <w:rsid w:val="00C5235D"/>
    <w:rsid w:val="00C547F5"/>
    <w:rsid w:val="00C54E8B"/>
    <w:rsid w:val="00C55674"/>
    <w:rsid w:val="00C61980"/>
    <w:rsid w:val="00C62B1B"/>
    <w:rsid w:val="00C632FE"/>
    <w:rsid w:val="00C733A1"/>
    <w:rsid w:val="00C759EF"/>
    <w:rsid w:val="00C76A7D"/>
    <w:rsid w:val="00C85C01"/>
    <w:rsid w:val="00C91197"/>
    <w:rsid w:val="00C9493C"/>
    <w:rsid w:val="00CA0752"/>
    <w:rsid w:val="00CA2067"/>
    <w:rsid w:val="00CA6BB9"/>
    <w:rsid w:val="00CB0F5F"/>
    <w:rsid w:val="00CB2FBD"/>
    <w:rsid w:val="00CC117A"/>
    <w:rsid w:val="00CC1195"/>
    <w:rsid w:val="00CC2C68"/>
    <w:rsid w:val="00CC3BB2"/>
    <w:rsid w:val="00CD0997"/>
    <w:rsid w:val="00CD0C5D"/>
    <w:rsid w:val="00CD4EF2"/>
    <w:rsid w:val="00CE476A"/>
    <w:rsid w:val="00CE55C2"/>
    <w:rsid w:val="00CE591E"/>
    <w:rsid w:val="00CE6076"/>
    <w:rsid w:val="00CE6707"/>
    <w:rsid w:val="00CE6B13"/>
    <w:rsid w:val="00CE76C4"/>
    <w:rsid w:val="00CF01D1"/>
    <w:rsid w:val="00CF02D3"/>
    <w:rsid w:val="00CF6FE1"/>
    <w:rsid w:val="00D00205"/>
    <w:rsid w:val="00D005A2"/>
    <w:rsid w:val="00D005F1"/>
    <w:rsid w:val="00D02F88"/>
    <w:rsid w:val="00D03FB3"/>
    <w:rsid w:val="00D0765F"/>
    <w:rsid w:val="00D129E8"/>
    <w:rsid w:val="00D15F12"/>
    <w:rsid w:val="00D162F1"/>
    <w:rsid w:val="00D16CB2"/>
    <w:rsid w:val="00D229D9"/>
    <w:rsid w:val="00D22A19"/>
    <w:rsid w:val="00D23F6E"/>
    <w:rsid w:val="00D26F1B"/>
    <w:rsid w:val="00D31C0E"/>
    <w:rsid w:val="00D331FB"/>
    <w:rsid w:val="00D35770"/>
    <w:rsid w:val="00D446ED"/>
    <w:rsid w:val="00D47DAD"/>
    <w:rsid w:val="00D526E8"/>
    <w:rsid w:val="00D658D4"/>
    <w:rsid w:val="00D66AC0"/>
    <w:rsid w:val="00D73376"/>
    <w:rsid w:val="00D7386B"/>
    <w:rsid w:val="00D74137"/>
    <w:rsid w:val="00D76534"/>
    <w:rsid w:val="00D86496"/>
    <w:rsid w:val="00D8658C"/>
    <w:rsid w:val="00D9333A"/>
    <w:rsid w:val="00DA4717"/>
    <w:rsid w:val="00DB196C"/>
    <w:rsid w:val="00DB26C9"/>
    <w:rsid w:val="00DB349C"/>
    <w:rsid w:val="00DB54FF"/>
    <w:rsid w:val="00DB7145"/>
    <w:rsid w:val="00DC2D90"/>
    <w:rsid w:val="00DC5B12"/>
    <w:rsid w:val="00DD012C"/>
    <w:rsid w:val="00DD0AEA"/>
    <w:rsid w:val="00DD2BF0"/>
    <w:rsid w:val="00DD70C7"/>
    <w:rsid w:val="00DE3AEE"/>
    <w:rsid w:val="00DE5D17"/>
    <w:rsid w:val="00DE7258"/>
    <w:rsid w:val="00DE75F4"/>
    <w:rsid w:val="00DF10C1"/>
    <w:rsid w:val="00DF1DE3"/>
    <w:rsid w:val="00DF1F91"/>
    <w:rsid w:val="00DF2102"/>
    <w:rsid w:val="00DF3C1D"/>
    <w:rsid w:val="00E01848"/>
    <w:rsid w:val="00E03472"/>
    <w:rsid w:val="00E05171"/>
    <w:rsid w:val="00E066CC"/>
    <w:rsid w:val="00E075D4"/>
    <w:rsid w:val="00E112D4"/>
    <w:rsid w:val="00E16EF0"/>
    <w:rsid w:val="00E17922"/>
    <w:rsid w:val="00E17BCE"/>
    <w:rsid w:val="00E200E6"/>
    <w:rsid w:val="00E21558"/>
    <w:rsid w:val="00E218B9"/>
    <w:rsid w:val="00E21AB5"/>
    <w:rsid w:val="00E23E7A"/>
    <w:rsid w:val="00E24C77"/>
    <w:rsid w:val="00E2673B"/>
    <w:rsid w:val="00E36281"/>
    <w:rsid w:val="00E37887"/>
    <w:rsid w:val="00E4104E"/>
    <w:rsid w:val="00E426F5"/>
    <w:rsid w:val="00E455E4"/>
    <w:rsid w:val="00E45A51"/>
    <w:rsid w:val="00E51C08"/>
    <w:rsid w:val="00E52C6A"/>
    <w:rsid w:val="00E530C6"/>
    <w:rsid w:val="00E54201"/>
    <w:rsid w:val="00E54E91"/>
    <w:rsid w:val="00E553A7"/>
    <w:rsid w:val="00E567DC"/>
    <w:rsid w:val="00E56886"/>
    <w:rsid w:val="00E60661"/>
    <w:rsid w:val="00E60C85"/>
    <w:rsid w:val="00E6369D"/>
    <w:rsid w:val="00E64812"/>
    <w:rsid w:val="00E66BB3"/>
    <w:rsid w:val="00E6790C"/>
    <w:rsid w:val="00E67FFC"/>
    <w:rsid w:val="00E70D7B"/>
    <w:rsid w:val="00E74960"/>
    <w:rsid w:val="00E80B03"/>
    <w:rsid w:val="00E81C50"/>
    <w:rsid w:val="00E8656F"/>
    <w:rsid w:val="00E904A5"/>
    <w:rsid w:val="00E927B8"/>
    <w:rsid w:val="00E92C6D"/>
    <w:rsid w:val="00E92EE4"/>
    <w:rsid w:val="00EA6C4B"/>
    <w:rsid w:val="00EB4C04"/>
    <w:rsid w:val="00EB6481"/>
    <w:rsid w:val="00EB675A"/>
    <w:rsid w:val="00EC0EB7"/>
    <w:rsid w:val="00EC5DD4"/>
    <w:rsid w:val="00ED0C99"/>
    <w:rsid w:val="00ED21D4"/>
    <w:rsid w:val="00ED40F2"/>
    <w:rsid w:val="00ED6DAF"/>
    <w:rsid w:val="00EE01EB"/>
    <w:rsid w:val="00EE1CA4"/>
    <w:rsid w:val="00EE36D2"/>
    <w:rsid w:val="00EE7E5B"/>
    <w:rsid w:val="00EF1109"/>
    <w:rsid w:val="00EF1816"/>
    <w:rsid w:val="00F01989"/>
    <w:rsid w:val="00F03F8C"/>
    <w:rsid w:val="00F041F4"/>
    <w:rsid w:val="00F13A06"/>
    <w:rsid w:val="00F15216"/>
    <w:rsid w:val="00F20A7D"/>
    <w:rsid w:val="00F22A13"/>
    <w:rsid w:val="00F2551A"/>
    <w:rsid w:val="00F30893"/>
    <w:rsid w:val="00F314F0"/>
    <w:rsid w:val="00F31C10"/>
    <w:rsid w:val="00F3388F"/>
    <w:rsid w:val="00F356A6"/>
    <w:rsid w:val="00F3745D"/>
    <w:rsid w:val="00F3762B"/>
    <w:rsid w:val="00F42711"/>
    <w:rsid w:val="00F428F2"/>
    <w:rsid w:val="00F44A53"/>
    <w:rsid w:val="00F4735E"/>
    <w:rsid w:val="00F513E8"/>
    <w:rsid w:val="00F52038"/>
    <w:rsid w:val="00F56FDF"/>
    <w:rsid w:val="00F615FD"/>
    <w:rsid w:val="00F65A4B"/>
    <w:rsid w:val="00F674F8"/>
    <w:rsid w:val="00F73329"/>
    <w:rsid w:val="00F750B4"/>
    <w:rsid w:val="00F7607D"/>
    <w:rsid w:val="00F83432"/>
    <w:rsid w:val="00F8412E"/>
    <w:rsid w:val="00F84849"/>
    <w:rsid w:val="00F849E4"/>
    <w:rsid w:val="00F939AA"/>
    <w:rsid w:val="00F9469B"/>
    <w:rsid w:val="00F951C1"/>
    <w:rsid w:val="00F962FC"/>
    <w:rsid w:val="00F96B80"/>
    <w:rsid w:val="00F971CB"/>
    <w:rsid w:val="00FA099A"/>
    <w:rsid w:val="00FA1764"/>
    <w:rsid w:val="00FA27FE"/>
    <w:rsid w:val="00FA38B4"/>
    <w:rsid w:val="00FA3AD1"/>
    <w:rsid w:val="00FA507F"/>
    <w:rsid w:val="00FB2352"/>
    <w:rsid w:val="00FB46CF"/>
    <w:rsid w:val="00FB6AAC"/>
    <w:rsid w:val="00FC0144"/>
    <w:rsid w:val="00FC25AB"/>
    <w:rsid w:val="00FC2651"/>
    <w:rsid w:val="00FC5357"/>
    <w:rsid w:val="00FC6997"/>
    <w:rsid w:val="00FC6BB7"/>
    <w:rsid w:val="00FC7828"/>
    <w:rsid w:val="00FD7113"/>
    <w:rsid w:val="00FE14A8"/>
    <w:rsid w:val="00FE1982"/>
    <w:rsid w:val="00FE281B"/>
    <w:rsid w:val="00FE3A22"/>
    <w:rsid w:val="00FE415B"/>
    <w:rsid w:val="00FE6785"/>
    <w:rsid w:val="00FF204E"/>
    <w:rsid w:val="00FF4B78"/>
    <w:rsid w:val="00FF5C2C"/>
    <w:rsid w:val="00FF6A4C"/>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FA099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A46F3B"/>
    <w:rPr>
      <w:color w:val="605E5C"/>
      <w:shd w:val="clear" w:color="auto" w:fill="E1DFDD"/>
    </w:rPr>
  </w:style>
  <w:style w:type="character" w:customStyle="1" w:styleId="UnresolvedMention">
    <w:name w:val="Unresolved Mention"/>
    <w:basedOn w:val="DefaultParagraphFont"/>
    <w:uiPriority w:val="99"/>
    <w:semiHidden/>
    <w:unhideWhenUsed/>
    <w:rsid w:val="003745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FA099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A46F3B"/>
    <w:rPr>
      <w:color w:val="605E5C"/>
      <w:shd w:val="clear" w:color="auto" w:fill="E1DFDD"/>
    </w:rPr>
  </w:style>
  <w:style w:type="character" w:customStyle="1" w:styleId="UnresolvedMention">
    <w:name w:val="Unresolved Mention"/>
    <w:basedOn w:val="DefaultParagraphFont"/>
    <w:uiPriority w:val="99"/>
    <w:semiHidden/>
    <w:unhideWhenUsed/>
    <w:rsid w:val="0037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6E09-98AE-4E2F-B574-64BEEA3C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9</cp:revision>
  <dcterms:created xsi:type="dcterms:W3CDTF">2019-11-29T01:16:00Z</dcterms:created>
  <dcterms:modified xsi:type="dcterms:W3CDTF">2019-11-29T03:27:00Z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id="cR71F8RY"/&gt;&lt;style id="http://www.zotero.org/styles/australian-guide-to-legal-citation" hasBibliography="1" bibliographyStyleHasBeenSet="0"/&gt;&lt;prefs&gt;&lt;pref name="fieldType" value="Field"/&gt;&lt;pref name</vt:lpwstr>
  </property>
  <property fmtid="{D5CDD505-2E9C-101B-9397-08002B2CF9AE}" pid="3" name="ZOTERO_PREF_2">
    <vt:lpwstr>="noteType" value="1"/&gt;&lt;/prefs&gt;&lt;/data&gt;</vt:lpwstr>
  </property>
</Properties>
</file>