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E6" w:rsidRDefault="005A7481" w:rsidP="00EA2AB9">
      <w:pPr>
        <w:spacing w:after="0"/>
        <w:ind w:firstLine="283"/>
      </w:pPr>
      <w:r>
        <w:t xml:space="preserve">16 </w:t>
      </w:r>
      <w:r w:rsidR="00EA2AB9">
        <w:t>June 2017</w:t>
      </w:r>
    </w:p>
    <w:p w:rsidR="00EA2AB9" w:rsidRDefault="00EA2AB9" w:rsidP="00CE04DD">
      <w:pPr>
        <w:spacing w:before="240" w:after="0"/>
        <w:ind w:left="283"/>
      </w:pPr>
      <w:r>
        <w:t>ACCC Mobile Roaming</w:t>
      </w:r>
      <w:bookmarkStart w:id="0" w:name="_GoBack"/>
      <w:bookmarkEnd w:id="0"/>
      <w:r>
        <w:t xml:space="preserve"> Inquiry</w:t>
      </w:r>
    </w:p>
    <w:p w:rsidR="00EA2AB9" w:rsidRPr="00F660AD" w:rsidRDefault="0074665B" w:rsidP="0074665B">
      <w:pPr>
        <w:spacing w:after="0"/>
        <w:ind w:left="283"/>
        <w:rPr>
          <w:color w:val="4F81BD" w:themeColor="accent1"/>
          <w:sz w:val="24"/>
          <w:szCs w:val="24"/>
        </w:rPr>
        <w:sectPr w:rsidR="00EA2AB9" w:rsidRPr="00F660AD" w:rsidSect="004201DF">
          <w:headerReference w:type="default" r:id="rId9"/>
          <w:footerReference w:type="default" r:id="rId10"/>
          <w:type w:val="continuous"/>
          <w:pgSz w:w="11906" w:h="16838" w:code="9"/>
          <w:pgMar w:top="1826" w:right="709" w:bottom="567" w:left="1134" w:header="567" w:footer="1474" w:gutter="0"/>
          <w:cols w:space="708"/>
          <w:docGrid w:linePitch="360"/>
        </w:sectPr>
      </w:pPr>
      <w:hyperlink r:id="rId11" w:history="1">
        <w:r w:rsidRPr="00C14CF8">
          <w:rPr>
            <w:rStyle w:val="Hyperlink"/>
          </w:rPr>
          <w:t>mobileroaminginquiry@accc.gov.au</w:t>
        </w:r>
      </w:hyperlink>
      <w:r>
        <w:t xml:space="preserve"> </w:t>
      </w:r>
    </w:p>
    <w:p w:rsidR="00AF7B4D" w:rsidRPr="00A97911" w:rsidRDefault="00AF7B4D" w:rsidP="0075750E">
      <w:pPr>
        <w:spacing w:before="240" w:after="0"/>
      </w:pPr>
      <w:r w:rsidRPr="00D0662B">
        <w:lastRenderedPageBreak/>
        <w:t xml:space="preserve">ACCAN welcomes the opportunity to comment on the ACCC Mobile Roaming draft decision. </w:t>
      </w:r>
    </w:p>
    <w:p w:rsidR="00A97911" w:rsidRPr="00A97911" w:rsidRDefault="001C76FB" w:rsidP="00A97911">
      <w:pPr>
        <w:spacing w:before="240"/>
        <w:rPr>
          <w:rFonts w:eastAsiaTheme="minorHAnsi"/>
          <w:lang w:val="en-US" w:eastAsia="en-US"/>
        </w:rPr>
      </w:pPr>
      <w:r>
        <w:rPr>
          <w:rFonts w:eastAsiaTheme="minorHAnsi"/>
          <w:lang w:val="en-US" w:eastAsia="en-US"/>
        </w:rPr>
        <w:t>Regional, rural and remote consumer</w:t>
      </w:r>
      <w:r w:rsidR="003763B4">
        <w:rPr>
          <w:rFonts w:eastAsiaTheme="minorHAnsi"/>
          <w:lang w:val="en-US" w:eastAsia="en-US"/>
        </w:rPr>
        <w:t>s</w:t>
      </w:r>
      <w:r>
        <w:rPr>
          <w:rFonts w:eastAsiaTheme="minorHAnsi"/>
          <w:lang w:val="en-US" w:eastAsia="en-US"/>
        </w:rPr>
        <w:t xml:space="preserve"> and small business</w:t>
      </w:r>
      <w:r w:rsidR="003763B4">
        <w:rPr>
          <w:rFonts w:eastAsiaTheme="minorHAnsi"/>
          <w:lang w:val="en-US" w:eastAsia="en-US"/>
        </w:rPr>
        <w:t>es</w:t>
      </w:r>
      <w:r>
        <w:rPr>
          <w:rFonts w:eastAsiaTheme="minorHAnsi"/>
          <w:lang w:val="en-US" w:eastAsia="en-US"/>
        </w:rPr>
        <w:t xml:space="preserve"> priorities </w:t>
      </w:r>
      <w:r w:rsidR="000F391B">
        <w:rPr>
          <w:rFonts w:eastAsiaTheme="minorHAnsi"/>
          <w:lang w:val="en-US" w:eastAsia="en-US"/>
        </w:rPr>
        <w:t xml:space="preserve">are </w:t>
      </w:r>
      <w:r w:rsidR="000F391B" w:rsidRPr="00993FF5">
        <w:rPr>
          <w:rFonts w:eastAsiaTheme="minorHAnsi"/>
          <w:lang w:val="en-US" w:eastAsia="en-US"/>
        </w:rPr>
        <w:t>additional</w:t>
      </w:r>
      <w:r w:rsidR="00A97911" w:rsidRPr="00993FF5">
        <w:rPr>
          <w:rFonts w:eastAsiaTheme="minorHAnsi"/>
          <w:lang w:val="en-US" w:eastAsia="en-US"/>
        </w:rPr>
        <w:t xml:space="preserve"> </w:t>
      </w:r>
      <w:r w:rsidR="00A97911">
        <w:rPr>
          <w:rFonts w:eastAsiaTheme="minorHAnsi"/>
          <w:lang w:val="en-US" w:eastAsia="en-US"/>
        </w:rPr>
        <w:t xml:space="preserve">mobile </w:t>
      </w:r>
      <w:r w:rsidR="00A97911" w:rsidRPr="00993FF5">
        <w:rPr>
          <w:rFonts w:eastAsiaTheme="minorHAnsi"/>
          <w:lang w:val="en-US" w:eastAsia="en-US"/>
        </w:rPr>
        <w:t>coverage in areas w</w:t>
      </w:r>
      <w:r w:rsidR="00A97911">
        <w:rPr>
          <w:rFonts w:eastAsiaTheme="minorHAnsi"/>
          <w:lang w:val="en-US" w:eastAsia="en-US"/>
        </w:rPr>
        <w:t xml:space="preserve">here they live, work and travel, and upgrades to existing </w:t>
      </w:r>
      <w:r w:rsidR="00A97911" w:rsidRPr="00993FF5">
        <w:rPr>
          <w:rFonts w:eastAsiaTheme="minorHAnsi"/>
          <w:lang w:val="en-US" w:eastAsia="en-US"/>
        </w:rPr>
        <w:t>mobile network</w:t>
      </w:r>
      <w:r w:rsidR="00A97911">
        <w:rPr>
          <w:rFonts w:eastAsiaTheme="minorHAnsi"/>
          <w:lang w:val="en-US" w:eastAsia="en-US"/>
        </w:rPr>
        <w:t>s</w:t>
      </w:r>
      <w:r w:rsidR="00A97911" w:rsidRPr="00993FF5">
        <w:rPr>
          <w:rFonts w:eastAsiaTheme="minorHAnsi"/>
          <w:lang w:val="en-US" w:eastAsia="en-US"/>
        </w:rPr>
        <w:t xml:space="preserve"> to improve capacity and reduce congestion. </w:t>
      </w:r>
      <w:r w:rsidR="00A97911">
        <w:rPr>
          <w:rFonts w:eastAsiaTheme="minorHAnsi"/>
          <w:lang w:val="en-US" w:eastAsia="en-US"/>
        </w:rPr>
        <w:t xml:space="preserve">ACCAN is not convinced that declaration of mobile roaming is the best way to deliver these outcomes. </w:t>
      </w:r>
    </w:p>
    <w:p w:rsidR="00AF7B4D" w:rsidRPr="00CE061C" w:rsidRDefault="002B1FD2" w:rsidP="00DD1B6E">
      <w:pPr>
        <w:spacing w:after="0"/>
      </w:pPr>
      <w:r>
        <w:t>C</w:t>
      </w:r>
      <w:r w:rsidR="00D0662B" w:rsidRPr="00CE061C">
        <w:t xml:space="preserve">onsultation with </w:t>
      </w:r>
      <w:r w:rsidR="00CE061C" w:rsidRPr="00CE061C">
        <w:t xml:space="preserve">regional, rural and remote members </w:t>
      </w:r>
      <w:r w:rsidR="00D0662B" w:rsidRPr="00CE061C">
        <w:t>last year found that while consumers</w:t>
      </w:r>
      <w:r w:rsidR="00D137B8" w:rsidRPr="00CE061C">
        <w:t xml:space="preserve"> </w:t>
      </w:r>
      <w:r w:rsidR="00603940" w:rsidRPr="00CE061C">
        <w:t>had differing views, the majorit</w:t>
      </w:r>
      <w:r w:rsidR="00CE061C" w:rsidRPr="00CE061C">
        <w:t>y were</w:t>
      </w:r>
      <w:r w:rsidR="001459EE" w:rsidRPr="00CE061C">
        <w:t xml:space="preserve"> concerned</w:t>
      </w:r>
      <w:r w:rsidR="00AF7B4D" w:rsidRPr="00CE061C">
        <w:t xml:space="preserve"> at the potential </w:t>
      </w:r>
      <w:r w:rsidR="00993FF5" w:rsidRPr="00CE061C">
        <w:t xml:space="preserve">neutral or negative </w:t>
      </w:r>
      <w:r w:rsidR="00AF7B4D" w:rsidRPr="00CE061C">
        <w:t>impact of roaming</w:t>
      </w:r>
      <w:r>
        <w:t>, as</w:t>
      </w:r>
      <w:r w:rsidR="00AF7B4D" w:rsidRPr="00CE061C">
        <w:t xml:space="preserve"> outlined in our earlier submission. </w:t>
      </w:r>
      <w:r w:rsidR="00BA171D" w:rsidRPr="00CE061C">
        <w:t xml:space="preserve">We are </w:t>
      </w:r>
      <w:r w:rsidR="00BA171D">
        <w:t xml:space="preserve">therefore </w:t>
      </w:r>
      <w:r w:rsidR="00BA171D" w:rsidRPr="00CE061C">
        <w:t>supportive of the approach taken by the ACCC.</w:t>
      </w:r>
    </w:p>
    <w:p w:rsidR="00AF7B4D" w:rsidRPr="00526181" w:rsidRDefault="004834E4" w:rsidP="00526181">
      <w:pPr>
        <w:spacing w:before="240"/>
        <w:rPr>
          <w:rFonts w:eastAsiaTheme="minorHAnsi"/>
          <w:lang w:val="en-US" w:eastAsia="en-US"/>
        </w:rPr>
      </w:pPr>
      <w:r>
        <w:rPr>
          <w:rFonts w:eastAsiaTheme="minorHAnsi"/>
          <w:lang w:val="en-US" w:eastAsia="en-US"/>
        </w:rPr>
        <w:t xml:space="preserve">However, </w:t>
      </w:r>
      <w:r w:rsidR="00D0662B">
        <w:rPr>
          <w:rFonts w:eastAsiaTheme="minorHAnsi"/>
          <w:lang w:val="en-US" w:eastAsia="en-US"/>
        </w:rPr>
        <w:t>we believe other measures</w:t>
      </w:r>
      <w:r w:rsidR="00B21112">
        <w:rPr>
          <w:rFonts w:eastAsiaTheme="minorHAnsi"/>
          <w:lang w:val="en-US" w:eastAsia="en-US"/>
        </w:rPr>
        <w:t xml:space="preserve"> that </w:t>
      </w:r>
      <w:r w:rsidR="002B1FD2">
        <w:rPr>
          <w:rFonts w:eastAsiaTheme="minorHAnsi"/>
          <w:lang w:val="en-US" w:eastAsia="en-US"/>
        </w:rPr>
        <w:t>aim to</w:t>
      </w:r>
      <w:r w:rsidR="00B21112">
        <w:rPr>
          <w:rFonts w:eastAsiaTheme="minorHAnsi"/>
          <w:lang w:val="en-US" w:eastAsia="en-US"/>
        </w:rPr>
        <w:t xml:space="preserve"> stimulate investment, and encourage </w:t>
      </w:r>
      <w:r w:rsidR="002C3E53">
        <w:rPr>
          <w:rFonts w:eastAsiaTheme="minorHAnsi"/>
          <w:lang w:val="en-US" w:eastAsia="en-US"/>
        </w:rPr>
        <w:t>more competition and choice in the mobile market for regional Australians</w:t>
      </w:r>
      <w:r w:rsidR="002B1FD2" w:rsidRPr="002B1FD2">
        <w:rPr>
          <w:rFonts w:eastAsiaTheme="minorHAnsi"/>
          <w:lang w:val="en-US" w:eastAsia="en-US"/>
        </w:rPr>
        <w:t xml:space="preserve"> </w:t>
      </w:r>
      <w:r w:rsidR="002B1FD2">
        <w:rPr>
          <w:rFonts w:eastAsiaTheme="minorHAnsi"/>
          <w:lang w:val="en-US" w:eastAsia="en-US"/>
        </w:rPr>
        <w:t>should be examined further</w:t>
      </w:r>
      <w:r w:rsidR="002C3E53">
        <w:rPr>
          <w:rFonts w:eastAsiaTheme="minorHAnsi"/>
          <w:lang w:val="en-US" w:eastAsia="en-US"/>
        </w:rPr>
        <w:t xml:space="preserve">. </w:t>
      </w:r>
      <w:r w:rsidR="00B21112" w:rsidRPr="00CE061C">
        <w:t>Consequently, o</w:t>
      </w:r>
      <w:r w:rsidR="002C3E53" w:rsidRPr="00CE061C">
        <w:t>ur comments</w:t>
      </w:r>
      <w:r w:rsidR="00B21112" w:rsidRPr="00CE061C">
        <w:t xml:space="preserve"> below</w:t>
      </w:r>
      <w:r w:rsidR="002C3E53" w:rsidRPr="00CE061C">
        <w:t xml:space="preserve"> focus</w:t>
      </w:r>
      <w:r w:rsidR="00AF7B4D" w:rsidRPr="00CE061C">
        <w:t xml:space="preserve"> on the issues </w:t>
      </w:r>
      <w:r w:rsidR="00F660AD" w:rsidRPr="00CE061C">
        <w:t>for further consideration identified</w:t>
      </w:r>
      <w:r w:rsidR="00AF7B4D" w:rsidRPr="00CE061C">
        <w:t xml:space="preserve"> in t</w:t>
      </w:r>
      <w:r w:rsidR="00017AFE" w:rsidRPr="00CE061C">
        <w:t>he Draft Decision.</w:t>
      </w:r>
    </w:p>
    <w:p w:rsidR="000368C6" w:rsidRDefault="000368C6" w:rsidP="00017AFE">
      <w:pPr>
        <w:keepNext/>
        <w:keepLines/>
        <w:spacing w:before="200" w:after="240"/>
        <w:outlineLvl w:val="1"/>
        <w:rPr>
          <w:rFonts w:eastAsiaTheme="majorEastAsia" w:cstheme="majorBidi"/>
          <w:b/>
          <w:bCs/>
          <w:color w:val="4F81BD" w:themeColor="accent1"/>
          <w:sz w:val="26"/>
          <w:szCs w:val="26"/>
          <w:lang w:val="en-US" w:eastAsia="en-US"/>
        </w:rPr>
      </w:pPr>
      <w:bookmarkStart w:id="1" w:name="_Toc468448445"/>
      <w:r>
        <w:rPr>
          <w:rFonts w:eastAsiaTheme="majorEastAsia" w:cstheme="majorBidi"/>
          <w:b/>
          <w:bCs/>
          <w:color w:val="4F81BD" w:themeColor="accent1"/>
          <w:sz w:val="26"/>
          <w:szCs w:val="26"/>
          <w:lang w:val="en-US" w:eastAsia="en-US"/>
        </w:rPr>
        <w:t>Increasing transparency about network quality, expansions and improvements</w:t>
      </w:r>
    </w:p>
    <w:p w:rsidR="000368C6" w:rsidRPr="005764F0" w:rsidRDefault="002B1FD2" w:rsidP="000368C6">
      <w:pPr>
        <w:pStyle w:val="BodyText1"/>
        <w:numPr>
          <w:ilvl w:val="0"/>
          <w:numId w:val="1"/>
        </w:numPr>
        <w:rPr>
          <w:rFonts w:asciiTheme="minorHAnsi" w:eastAsiaTheme="minorHAnsi" w:hAnsiTheme="minorHAnsi" w:cstheme="minorBidi"/>
          <w:b/>
          <w:color w:val="auto"/>
          <w:lang w:val="en-US"/>
        </w:rPr>
      </w:pPr>
      <w:r>
        <w:rPr>
          <w:rFonts w:asciiTheme="minorHAnsi" w:eastAsiaTheme="minorHAnsi" w:hAnsiTheme="minorHAnsi" w:cstheme="minorBidi"/>
          <w:b/>
          <w:color w:val="auto"/>
          <w:lang w:val="en-US"/>
        </w:rPr>
        <w:t>Mobile Virtual Network Operators (</w:t>
      </w:r>
      <w:r w:rsidR="000368C6" w:rsidRPr="005764F0">
        <w:rPr>
          <w:rFonts w:asciiTheme="minorHAnsi" w:eastAsiaTheme="minorHAnsi" w:hAnsiTheme="minorHAnsi" w:cstheme="minorBidi"/>
          <w:b/>
          <w:color w:val="auto"/>
          <w:lang w:val="en-US"/>
        </w:rPr>
        <w:t>MVNOs</w:t>
      </w:r>
      <w:r>
        <w:rPr>
          <w:rFonts w:asciiTheme="minorHAnsi" w:eastAsiaTheme="minorHAnsi" w:hAnsiTheme="minorHAnsi" w:cstheme="minorBidi"/>
          <w:b/>
          <w:color w:val="auto"/>
          <w:lang w:val="en-US"/>
        </w:rPr>
        <w:t>)</w:t>
      </w:r>
    </w:p>
    <w:p w:rsidR="00C623CB" w:rsidRDefault="000368C6" w:rsidP="000368C6">
      <w:pPr>
        <w:rPr>
          <w:rFonts w:eastAsiaTheme="minorHAnsi"/>
          <w:lang w:val="en-US" w:eastAsia="en-US"/>
        </w:rPr>
      </w:pPr>
      <w:r w:rsidRPr="00C4510D">
        <w:rPr>
          <w:rFonts w:eastAsiaTheme="minorHAnsi"/>
          <w:lang w:val="en-US" w:eastAsia="en-US"/>
        </w:rPr>
        <w:t>ACCAN believes there would be merit in the ACCC monitoring MVNO coverage</w:t>
      </w:r>
      <w:r>
        <w:rPr>
          <w:rFonts w:eastAsiaTheme="minorHAnsi"/>
          <w:lang w:val="en-US" w:eastAsia="en-US"/>
        </w:rPr>
        <w:t xml:space="preserve"> and quality of service</w:t>
      </w:r>
      <w:r w:rsidRPr="00C4510D">
        <w:rPr>
          <w:rFonts w:eastAsiaTheme="minorHAnsi"/>
          <w:lang w:val="en-US" w:eastAsia="en-US"/>
        </w:rPr>
        <w:t xml:space="preserve"> </w:t>
      </w:r>
      <w:r w:rsidR="002B1FD2">
        <w:rPr>
          <w:rFonts w:eastAsiaTheme="minorHAnsi"/>
          <w:lang w:val="en-US" w:eastAsia="en-US"/>
        </w:rPr>
        <w:t xml:space="preserve">claims </w:t>
      </w:r>
      <w:r w:rsidRPr="00C4510D">
        <w:rPr>
          <w:rFonts w:eastAsiaTheme="minorHAnsi"/>
          <w:lang w:val="en-US" w:eastAsia="en-US"/>
        </w:rPr>
        <w:t xml:space="preserve">relative to the </w:t>
      </w:r>
      <w:r w:rsidR="005E4556">
        <w:rPr>
          <w:rFonts w:eastAsiaTheme="minorHAnsi"/>
          <w:lang w:val="en-US" w:eastAsia="en-US"/>
        </w:rPr>
        <w:t>Mobile Network Operator (</w:t>
      </w:r>
      <w:r w:rsidRPr="00C4510D">
        <w:rPr>
          <w:rFonts w:eastAsiaTheme="minorHAnsi"/>
          <w:lang w:val="en-US" w:eastAsia="en-US"/>
        </w:rPr>
        <w:t>MNO</w:t>
      </w:r>
      <w:r w:rsidR="005E4556">
        <w:rPr>
          <w:rFonts w:eastAsiaTheme="minorHAnsi"/>
          <w:lang w:val="en-US" w:eastAsia="en-US"/>
        </w:rPr>
        <w:t>)</w:t>
      </w:r>
      <w:r w:rsidRPr="00C4510D">
        <w:rPr>
          <w:rFonts w:eastAsiaTheme="minorHAnsi"/>
          <w:lang w:val="en-US" w:eastAsia="en-US"/>
        </w:rPr>
        <w:t>. There should also be simpler comparison tools that let consumers compare MVNO coverage with the MNO coverage on the same map (this is not currently available).</w:t>
      </w:r>
      <w:r w:rsidRPr="00C4510D">
        <w:rPr>
          <w:rFonts w:eastAsiaTheme="minorHAnsi"/>
          <w:vertAlign w:val="superscript"/>
          <w:lang w:val="en-US" w:eastAsia="en-US"/>
        </w:rPr>
        <w:footnoteReference w:id="1"/>
      </w:r>
      <w:r w:rsidRPr="00C4510D">
        <w:rPr>
          <w:rFonts w:eastAsiaTheme="minorHAnsi"/>
          <w:lang w:val="en-US" w:eastAsia="en-US"/>
        </w:rPr>
        <w:t xml:space="preserve"> This w</w:t>
      </w:r>
      <w:r w:rsidR="00FE447A">
        <w:rPr>
          <w:rFonts w:eastAsiaTheme="minorHAnsi"/>
          <w:lang w:val="en-US" w:eastAsia="en-US"/>
        </w:rPr>
        <w:t xml:space="preserve">ould allow consumers to make a </w:t>
      </w:r>
      <w:r w:rsidR="001C76FB">
        <w:rPr>
          <w:rFonts w:eastAsiaTheme="minorHAnsi"/>
          <w:lang w:val="en-US" w:eastAsia="en-US"/>
        </w:rPr>
        <w:t>more</w:t>
      </w:r>
      <w:r w:rsidR="00FE447A">
        <w:rPr>
          <w:rFonts w:eastAsiaTheme="minorHAnsi"/>
          <w:lang w:val="en-US" w:eastAsia="en-US"/>
        </w:rPr>
        <w:t xml:space="preserve"> </w:t>
      </w:r>
      <w:r w:rsidRPr="00C4510D">
        <w:rPr>
          <w:rFonts w:eastAsiaTheme="minorHAnsi"/>
          <w:lang w:val="en-US" w:eastAsia="en-US"/>
        </w:rPr>
        <w:t xml:space="preserve">informed choice about whether an MVNO service will meet their coverage needs. </w:t>
      </w:r>
      <w:r>
        <w:rPr>
          <w:rFonts w:eastAsiaTheme="minorHAnsi"/>
          <w:lang w:val="en-US" w:eastAsia="en-US"/>
        </w:rPr>
        <w:t xml:space="preserve"> </w:t>
      </w:r>
    </w:p>
    <w:p w:rsidR="00E16E83" w:rsidRDefault="00FE447A" w:rsidP="0075750E">
      <w:pPr>
        <w:rPr>
          <w:rFonts w:eastAsiaTheme="minorHAnsi"/>
          <w:b/>
          <w:lang w:val="en-US" w:eastAsia="en-US"/>
        </w:rPr>
      </w:pPr>
      <w:r>
        <w:rPr>
          <w:rFonts w:eastAsiaTheme="minorHAnsi"/>
          <w:lang w:val="en-US" w:eastAsia="en-US"/>
        </w:rPr>
        <w:t xml:space="preserve">As an </w:t>
      </w:r>
      <w:r w:rsidR="002A3575">
        <w:rPr>
          <w:rFonts w:eastAsiaTheme="minorHAnsi"/>
          <w:lang w:val="en-US" w:eastAsia="en-US"/>
        </w:rPr>
        <w:t xml:space="preserve">example, this could promote the use of Boost as a viable lower cost alternative for consumers </w:t>
      </w:r>
      <w:r w:rsidR="007548B3">
        <w:rPr>
          <w:rFonts w:eastAsiaTheme="minorHAnsi"/>
          <w:lang w:val="en-US" w:eastAsia="en-US"/>
        </w:rPr>
        <w:t xml:space="preserve">within the Telstra only footprint. It would </w:t>
      </w:r>
      <w:r w:rsidR="002A3575">
        <w:rPr>
          <w:rFonts w:eastAsiaTheme="minorHAnsi"/>
          <w:lang w:val="en-US" w:eastAsia="en-US"/>
        </w:rPr>
        <w:t xml:space="preserve">allow </w:t>
      </w:r>
      <w:r w:rsidR="007548B3">
        <w:rPr>
          <w:rFonts w:eastAsiaTheme="minorHAnsi"/>
          <w:lang w:val="en-US" w:eastAsia="en-US"/>
        </w:rPr>
        <w:t xml:space="preserve">consumers to </w:t>
      </w:r>
      <w:r w:rsidR="001C76FB">
        <w:rPr>
          <w:rFonts w:eastAsiaTheme="minorHAnsi"/>
          <w:lang w:val="en-US" w:eastAsia="en-US"/>
        </w:rPr>
        <w:t>better</w:t>
      </w:r>
      <w:r w:rsidR="007548B3">
        <w:rPr>
          <w:rFonts w:eastAsiaTheme="minorHAnsi"/>
          <w:lang w:val="en-US" w:eastAsia="en-US"/>
        </w:rPr>
        <w:t xml:space="preserve"> assess </w:t>
      </w:r>
      <w:r w:rsidR="002A3575">
        <w:rPr>
          <w:rFonts w:eastAsiaTheme="minorHAnsi"/>
          <w:lang w:val="en-US" w:eastAsia="en-US"/>
        </w:rPr>
        <w:t xml:space="preserve">the benefit </w:t>
      </w:r>
      <w:r w:rsidR="007548B3">
        <w:rPr>
          <w:rFonts w:eastAsiaTheme="minorHAnsi"/>
          <w:lang w:val="en-US" w:eastAsia="en-US"/>
        </w:rPr>
        <w:t xml:space="preserve">of using Boost, </w:t>
      </w:r>
      <w:r w:rsidR="004F03E1">
        <w:rPr>
          <w:rFonts w:eastAsiaTheme="minorHAnsi"/>
          <w:lang w:val="en-US" w:eastAsia="en-US"/>
        </w:rPr>
        <w:t xml:space="preserve">and the different offering </w:t>
      </w:r>
      <w:r w:rsidR="007548B3">
        <w:rPr>
          <w:rFonts w:eastAsiaTheme="minorHAnsi"/>
          <w:lang w:val="en-US" w:eastAsia="en-US"/>
        </w:rPr>
        <w:t>compared to Telstra mobile (</w:t>
      </w:r>
      <w:r w:rsidR="00C623CB">
        <w:rPr>
          <w:rFonts w:eastAsiaTheme="minorHAnsi"/>
          <w:lang w:val="en-US" w:eastAsia="en-US"/>
        </w:rPr>
        <w:t xml:space="preserve">due to </w:t>
      </w:r>
      <w:r w:rsidR="007548B3">
        <w:rPr>
          <w:rFonts w:eastAsiaTheme="minorHAnsi"/>
          <w:lang w:val="en-US" w:eastAsia="en-US"/>
        </w:rPr>
        <w:t>Boost</w:t>
      </w:r>
      <w:r w:rsidR="002A3575">
        <w:rPr>
          <w:rFonts w:eastAsiaTheme="minorHAnsi"/>
          <w:lang w:val="en-US" w:eastAsia="en-US"/>
        </w:rPr>
        <w:t xml:space="preserve"> not hav</w:t>
      </w:r>
      <w:r w:rsidR="00C623CB">
        <w:rPr>
          <w:rFonts w:eastAsiaTheme="minorHAnsi"/>
          <w:lang w:val="en-US" w:eastAsia="en-US"/>
        </w:rPr>
        <w:t>ing</w:t>
      </w:r>
      <w:r w:rsidR="002A3575">
        <w:rPr>
          <w:rFonts w:eastAsiaTheme="minorHAnsi"/>
          <w:lang w:val="en-US" w:eastAsia="en-US"/>
        </w:rPr>
        <w:t xml:space="preserve"> access to the 4GX footprint</w:t>
      </w:r>
      <w:r w:rsidR="007548B3">
        <w:rPr>
          <w:rFonts w:eastAsiaTheme="minorHAnsi"/>
          <w:lang w:val="en-US" w:eastAsia="en-US"/>
        </w:rPr>
        <w:t>)</w:t>
      </w:r>
      <w:r w:rsidR="003763B4">
        <w:rPr>
          <w:rFonts w:eastAsiaTheme="minorHAnsi"/>
          <w:lang w:val="en-US" w:eastAsia="en-US"/>
        </w:rPr>
        <w:t>.</w:t>
      </w:r>
      <w:r w:rsidR="002A3575">
        <w:rPr>
          <w:rStyle w:val="FootnoteReference"/>
          <w:rFonts w:eastAsiaTheme="minorHAnsi"/>
          <w:lang w:val="en-US" w:eastAsia="en-US"/>
        </w:rPr>
        <w:footnoteReference w:id="2"/>
      </w:r>
      <w:r w:rsidR="003763B4">
        <w:rPr>
          <w:rFonts w:eastAsiaTheme="minorHAnsi"/>
          <w:lang w:val="en-US" w:eastAsia="en-US"/>
        </w:rPr>
        <w:t xml:space="preserve"> </w:t>
      </w:r>
      <w:r w:rsidR="002A3575">
        <w:rPr>
          <w:rStyle w:val="FootnoteReference"/>
          <w:rFonts w:eastAsiaTheme="minorHAnsi"/>
          <w:lang w:val="en-US" w:eastAsia="en-US"/>
        </w:rPr>
        <w:footnoteReference w:id="3"/>
      </w:r>
    </w:p>
    <w:p w:rsidR="00C623CB" w:rsidRDefault="00F660AD" w:rsidP="005764F0">
      <w:pPr>
        <w:pStyle w:val="ListParagraph"/>
        <w:numPr>
          <w:ilvl w:val="0"/>
          <w:numId w:val="1"/>
        </w:numPr>
        <w:rPr>
          <w:b/>
          <w:lang w:val="en-US"/>
        </w:rPr>
      </w:pPr>
      <w:r>
        <w:rPr>
          <w:b/>
          <w:lang w:val="en-US"/>
        </w:rPr>
        <w:t>Improved MNO c</w:t>
      </w:r>
      <w:r w:rsidR="00FA3D87" w:rsidRPr="005764F0">
        <w:rPr>
          <w:b/>
          <w:lang w:val="en-US"/>
        </w:rPr>
        <w:t>overage maps</w:t>
      </w:r>
    </w:p>
    <w:p w:rsidR="0004383F" w:rsidRPr="005764F0" w:rsidRDefault="0004383F" w:rsidP="0004383F">
      <w:pPr>
        <w:pStyle w:val="ListParagraph"/>
        <w:rPr>
          <w:b/>
          <w:lang w:val="en-US"/>
        </w:rPr>
      </w:pPr>
    </w:p>
    <w:p w:rsidR="00760CC2" w:rsidRDefault="00FA3D87" w:rsidP="00C623CB">
      <w:pPr>
        <w:rPr>
          <w:rFonts w:eastAsiaTheme="minorHAnsi"/>
          <w:lang w:val="en-US" w:eastAsia="en-US"/>
        </w:rPr>
      </w:pPr>
      <w:r>
        <w:rPr>
          <w:rFonts w:eastAsiaTheme="minorHAnsi"/>
          <w:lang w:val="en-US" w:eastAsia="en-US"/>
        </w:rPr>
        <w:t>Coverage maps published by the</w:t>
      </w:r>
      <w:r w:rsidR="0004383F">
        <w:rPr>
          <w:rFonts w:eastAsiaTheme="minorHAnsi"/>
          <w:lang w:val="en-US" w:eastAsia="en-US"/>
        </w:rPr>
        <w:t xml:space="preserve"> mobile networks can lead </w:t>
      </w:r>
      <w:r>
        <w:rPr>
          <w:rFonts w:eastAsiaTheme="minorHAnsi"/>
          <w:lang w:val="en-US" w:eastAsia="en-US"/>
        </w:rPr>
        <w:t>consumer</w:t>
      </w:r>
      <w:r w:rsidR="00CA0B62">
        <w:rPr>
          <w:rFonts w:eastAsiaTheme="minorHAnsi"/>
          <w:lang w:val="en-US" w:eastAsia="en-US"/>
        </w:rPr>
        <w:t>s</w:t>
      </w:r>
      <w:r w:rsidR="0004383F">
        <w:rPr>
          <w:rFonts w:eastAsiaTheme="minorHAnsi"/>
          <w:lang w:val="en-US" w:eastAsia="en-US"/>
        </w:rPr>
        <w:t xml:space="preserve"> </w:t>
      </w:r>
      <w:r>
        <w:rPr>
          <w:rFonts w:eastAsiaTheme="minorHAnsi"/>
          <w:lang w:val="en-US" w:eastAsia="en-US"/>
        </w:rPr>
        <w:t>to believing that coverage</w:t>
      </w:r>
      <w:r w:rsidR="0004383F">
        <w:rPr>
          <w:rFonts w:eastAsiaTheme="minorHAnsi"/>
          <w:lang w:val="en-US" w:eastAsia="en-US"/>
        </w:rPr>
        <w:t xml:space="preserve"> is</w:t>
      </w:r>
      <w:r>
        <w:rPr>
          <w:rFonts w:eastAsiaTheme="minorHAnsi"/>
          <w:lang w:val="en-US" w:eastAsia="en-US"/>
        </w:rPr>
        <w:t xml:space="preserve"> better than actually experienced.</w:t>
      </w:r>
      <w:r w:rsidR="00760CC2">
        <w:rPr>
          <w:rFonts w:eastAsiaTheme="minorHAnsi"/>
          <w:lang w:val="en-US" w:eastAsia="en-US"/>
        </w:rPr>
        <w:t xml:space="preserve"> Independent</w:t>
      </w:r>
      <w:r>
        <w:rPr>
          <w:rFonts w:eastAsiaTheme="minorHAnsi"/>
          <w:lang w:val="en-US" w:eastAsia="en-US"/>
        </w:rPr>
        <w:t xml:space="preserve"> </w:t>
      </w:r>
      <w:r w:rsidR="00760CC2">
        <w:rPr>
          <w:rFonts w:eastAsiaTheme="minorHAnsi"/>
          <w:lang w:val="en-US" w:eastAsia="en-US"/>
        </w:rPr>
        <w:t>t</w:t>
      </w:r>
      <w:r w:rsidR="004247BB">
        <w:rPr>
          <w:rFonts w:eastAsiaTheme="minorHAnsi"/>
          <w:lang w:val="en-US" w:eastAsia="en-US"/>
        </w:rPr>
        <w:t>esting by organisations such as the Digital Economy Group</w:t>
      </w:r>
      <w:r w:rsidR="00C65007">
        <w:rPr>
          <w:rStyle w:val="FootnoteReference"/>
          <w:rFonts w:eastAsiaTheme="minorHAnsi"/>
          <w:lang w:val="en-US" w:eastAsia="en-US"/>
        </w:rPr>
        <w:footnoteReference w:id="4"/>
      </w:r>
      <w:r w:rsidR="004247BB">
        <w:rPr>
          <w:rFonts w:eastAsiaTheme="minorHAnsi"/>
          <w:lang w:val="en-US" w:eastAsia="en-US"/>
        </w:rPr>
        <w:t xml:space="preserve"> has found that coverage maps have approximately 80% accuracy compared to on the ground </w:t>
      </w:r>
      <w:r w:rsidR="004247BB">
        <w:rPr>
          <w:rFonts w:eastAsiaTheme="minorHAnsi"/>
          <w:lang w:val="en-US" w:eastAsia="en-US"/>
        </w:rPr>
        <w:lastRenderedPageBreak/>
        <w:t xml:space="preserve">experience. </w:t>
      </w:r>
      <w:r w:rsidR="00C65007">
        <w:rPr>
          <w:rFonts w:eastAsiaTheme="minorHAnsi"/>
          <w:lang w:val="en-US" w:eastAsia="en-US"/>
        </w:rPr>
        <w:t xml:space="preserve">While MNO websites </w:t>
      </w:r>
      <w:r w:rsidR="0026381F">
        <w:rPr>
          <w:rFonts w:eastAsiaTheme="minorHAnsi"/>
          <w:lang w:val="en-US" w:eastAsia="en-US"/>
        </w:rPr>
        <w:t xml:space="preserve">include disclaimers that </w:t>
      </w:r>
      <w:r w:rsidR="00C65007">
        <w:rPr>
          <w:rFonts w:eastAsiaTheme="minorHAnsi"/>
          <w:lang w:val="en-US" w:eastAsia="en-US"/>
        </w:rPr>
        <w:t xml:space="preserve">coverage maps are approximate, consumers are reliant </w:t>
      </w:r>
      <w:r w:rsidR="000D204F">
        <w:rPr>
          <w:rFonts w:eastAsiaTheme="minorHAnsi"/>
          <w:lang w:val="en-US" w:eastAsia="en-US"/>
        </w:rPr>
        <w:t xml:space="preserve">on </w:t>
      </w:r>
      <w:r w:rsidR="00C65007">
        <w:rPr>
          <w:rFonts w:eastAsiaTheme="minorHAnsi"/>
          <w:lang w:val="en-US" w:eastAsia="en-US"/>
        </w:rPr>
        <w:t>this data</w:t>
      </w:r>
      <w:r w:rsidR="002737C5">
        <w:rPr>
          <w:rFonts w:eastAsiaTheme="minorHAnsi"/>
          <w:lang w:val="en-US" w:eastAsia="en-US"/>
        </w:rPr>
        <w:t xml:space="preserve"> and personal recommendations</w:t>
      </w:r>
      <w:r w:rsidR="00C65007">
        <w:rPr>
          <w:rFonts w:eastAsiaTheme="minorHAnsi"/>
          <w:lang w:val="en-US" w:eastAsia="en-US"/>
        </w:rPr>
        <w:t xml:space="preserve"> to guide their choice where coverage is a deciding factor. The technology is available to improve the</w:t>
      </w:r>
      <w:r w:rsidR="00FD461D">
        <w:rPr>
          <w:rFonts w:eastAsiaTheme="minorHAnsi"/>
          <w:lang w:val="en-US" w:eastAsia="en-US"/>
        </w:rPr>
        <w:t xml:space="preserve"> accuracy of coverage maps. T</w:t>
      </w:r>
      <w:r w:rsidR="00C65007">
        <w:rPr>
          <w:rFonts w:eastAsiaTheme="minorHAnsi"/>
          <w:lang w:val="en-US" w:eastAsia="en-US"/>
        </w:rPr>
        <w:t xml:space="preserve">his should be used by the MNOs to upgrade </w:t>
      </w:r>
      <w:r w:rsidR="00FD461D">
        <w:rPr>
          <w:rFonts w:eastAsiaTheme="minorHAnsi"/>
          <w:lang w:val="en-US" w:eastAsia="en-US"/>
        </w:rPr>
        <w:t>mapping dat</w:t>
      </w:r>
      <w:r w:rsidR="00760CC2">
        <w:rPr>
          <w:rFonts w:eastAsiaTheme="minorHAnsi"/>
          <w:lang w:val="en-US" w:eastAsia="en-US"/>
        </w:rPr>
        <w:t>a, and allow consumers to access more accurate information about coverage and network upgrades.</w:t>
      </w:r>
    </w:p>
    <w:p w:rsidR="00FA3D87" w:rsidRPr="00156AE7" w:rsidRDefault="00760CC2" w:rsidP="00760CC2">
      <w:pPr>
        <w:pStyle w:val="ListParagraph"/>
        <w:numPr>
          <w:ilvl w:val="0"/>
          <w:numId w:val="1"/>
        </w:numPr>
        <w:rPr>
          <w:b/>
          <w:lang w:val="en-US"/>
        </w:rPr>
      </w:pPr>
      <w:r w:rsidRPr="00156AE7">
        <w:rPr>
          <w:b/>
          <w:lang w:val="en-US"/>
        </w:rPr>
        <w:t>Network investment plans</w:t>
      </w:r>
    </w:p>
    <w:p w:rsidR="002006A5" w:rsidRDefault="00F660AD" w:rsidP="00CE04DD">
      <w:pPr>
        <w:spacing w:before="240"/>
        <w:rPr>
          <w:rFonts w:eastAsiaTheme="minorHAnsi"/>
          <w:lang w:val="en-US" w:eastAsia="en-US"/>
        </w:rPr>
      </w:pPr>
      <w:r>
        <w:rPr>
          <w:rFonts w:eastAsiaTheme="minorHAnsi"/>
          <w:lang w:val="en-US" w:eastAsia="en-US"/>
        </w:rPr>
        <w:t>While the mobile networks have made broad announcements about their intentions for mobile network investment</w:t>
      </w:r>
      <w:r>
        <w:rPr>
          <w:rStyle w:val="FootnoteReference"/>
          <w:rFonts w:eastAsiaTheme="minorHAnsi"/>
          <w:lang w:val="en-US" w:eastAsia="en-US"/>
        </w:rPr>
        <w:footnoteReference w:id="5"/>
      </w:r>
      <w:r>
        <w:rPr>
          <w:rFonts w:eastAsiaTheme="minorHAnsi"/>
          <w:lang w:val="en-US" w:eastAsia="en-US"/>
        </w:rPr>
        <w:t xml:space="preserve">, there is little information about the geographic allocation of these improvements due to commercial sensitivities. </w:t>
      </w:r>
      <w:r w:rsidR="000D204F">
        <w:rPr>
          <w:rFonts w:eastAsiaTheme="minorHAnsi"/>
          <w:lang w:val="en-US" w:eastAsia="en-US"/>
        </w:rPr>
        <w:t>T</w:t>
      </w:r>
      <w:r w:rsidR="00CF44A0">
        <w:rPr>
          <w:rFonts w:eastAsiaTheme="minorHAnsi"/>
          <w:lang w:val="en-US" w:eastAsia="en-US"/>
        </w:rPr>
        <w:t xml:space="preserve">his approach is problematic for communities. Greater disclosure about MNO forward </w:t>
      </w:r>
      <w:r w:rsidR="000F391B">
        <w:rPr>
          <w:rFonts w:eastAsiaTheme="minorHAnsi"/>
          <w:lang w:val="en-US" w:eastAsia="en-US"/>
        </w:rPr>
        <w:t>plans is</w:t>
      </w:r>
      <w:r w:rsidR="000D204F">
        <w:rPr>
          <w:rFonts w:eastAsiaTheme="minorHAnsi"/>
          <w:lang w:val="en-US" w:eastAsia="en-US"/>
        </w:rPr>
        <w:t xml:space="preserve"> </w:t>
      </w:r>
      <w:r w:rsidR="00156AE7">
        <w:rPr>
          <w:rFonts w:eastAsiaTheme="minorHAnsi"/>
          <w:lang w:val="en-US" w:eastAsia="en-US"/>
        </w:rPr>
        <w:t>of great value because it would allow communities to better target resources to areas where need is greatest</w:t>
      </w:r>
      <w:r w:rsidR="002006A5">
        <w:rPr>
          <w:rFonts w:eastAsiaTheme="minorHAnsi"/>
          <w:lang w:val="en-US" w:eastAsia="en-US"/>
        </w:rPr>
        <w:t>. For example, the Central West NSW Regional Development Authority has</w:t>
      </w:r>
      <w:r w:rsidR="00156AE7">
        <w:rPr>
          <w:rFonts w:eastAsiaTheme="minorHAnsi"/>
          <w:lang w:val="en-US" w:eastAsia="en-US"/>
        </w:rPr>
        <w:t xml:space="preserve"> pointed out that projected rollout</w:t>
      </w:r>
      <w:r w:rsidR="00231D98">
        <w:rPr>
          <w:rFonts w:eastAsiaTheme="minorHAnsi"/>
          <w:lang w:val="en-US" w:eastAsia="en-US"/>
        </w:rPr>
        <w:t xml:space="preserve"> </w:t>
      </w:r>
      <w:r w:rsidR="000F391B">
        <w:rPr>
          <w:rFonts w:eastAsiaTheme="minorHAnsi"/>
          <w:lang w:val="en-US" w:eastAsia="en-US"/>
        </w:rPr>
        <w:t>information</w:t>
      </w:r>
      <w:r w:rsidR="000F391B" w:rsidDel="00231D98">
        <w:rPr>
          <w:rFonts w:eastAsiaTheme="minorHAnsi"/>
          <w:lang w:val="en-US" w:eastAsia="en-US"/>
        </w:rPr>
        <w:t xml:space="preserve"> </w:t>
      </w:r>
      <w:r w:rsidR="000F391B">
        <w:rPr>
          <w:rFonts w:eastAsiaTheme="minorHAnsi"/>
          <w:lang w:val="en-US" w:eastAsia="en-US"/>
        </w:rPr>
        <w:t>would</w:t>
      </w:r>
      <w:r w:rsidR="002006A5">
        <w:rPr>
          <w:rFonts w:eastAsiaTheme="minorHAnsi"/>
          <w:lang w:val="en-US" w:eastAsia="en-US"/>
        </w:rPr>
        <w:t xml:space="preserve"> allow commu</w:t>
      </w:r>
      <w:r w:rsidR="00B9266E">
        <w:rPr>
          <w:rFonts w:eastAsiaTheme="minorHAnsi"/>
          <w:lang w:val="en-US" w:eastAsia="en-US"/>
        </w:rPr>
        <w:t>nities to focus</w:t>
      </w:r>
      <w:r w:rsidR="002006A5">
        <w:rPr>
          <w:rFonts w:eastAsiaTheme="minorHAnsi"/>
          <w:lang w:val="en-US" w:eastAsia="en-US"/>
        </w:rPr>
        <w:t xml:space="preserve"> </w:t>
      </w:r>
      <w:r w:rsidR="002D1E71">
        <w:rPr>
          <w:rFonts w:eastAsiaTheme="minorHAnsi"/>
          <w:lang w:val="en-US" w:eastAsia="en-US"/>
        </w:rPr>
        <w:t xml:space="preserve">resources </w:t>
      </w:r>
      <w:r w:rsidR="002006A5">
        <w:rPr>
          <w:rFonts w:eastAsiaTheme="minorHAnsi"/>
          <w:lang w:val="en-US" w:eastAsia="en-US"/>
        </w:rPr>
        <w:t xml:space="preserve">more effectively on developing business plans and incentives for areas that are outside </w:t>
      </w:r>
      <w:r w:rsidR="00156AE7">
        <w:rPr>
          <w:rFonts w:eastAsiaTheme="minorHAnsi"/>
          <w:lang w:val="en-US" w:eastAsia="en-US"/>
        </w:rPr>
        <w:t xml:space="preserve">the </w:t>
      </w:r>
      <w:r w:rsidR="00B9266E">
        <w:rPr>
          <w:rFonts w:eastAsiaTheme="minorHAnsi"/>
          <w:lang w:val="en-US" w:eastAsia="en-US"/>
        </w:rPr>
        <w:t xml:space="preserve">proposed </w:t>
      </w:r>
      <w:r w:rsidR="002006A5">
        <w:rPr>
          <w:rFonts w:eastAsiaTheme="minorHAnsi"/>
          <w:lang w:val="en-US" w:eastAsia="en-US"/>
        </w:rPr>
        <w:t xml:space="preserve">commercial </w:t>
      </w:r>
      <w:r w:rsidR="00156AE7">
        <w:rPr>
          <w:rFonts w:eastAsiaTheme="minorHAnsi"/>
          <w:lang w:val="en-US" w:eastAsia="en-US"/>
        </w:rPr>
        <w:t>footprint</w:t>
      </w:r>
      <w:r w:rsidR="002D1E71">
        <w:rPr>
          <w:rFonts w:eastAsiaTheme="minorHAnsi"/>
          <w:lang w:val="en-US" w:eastAsia="en-US"/>
        </w:rPr>
        <w:t>.</w:t>
      </w:r>
    </w:p>
    <w:p w:rsidR="00B658FC" w:rsidRPr="00B658FC" w:rsidRDefault="002E5966" w:rsidP="00B658FC">
      <w:pPr>
        <w:pStyle w:val="ListParagraph"/>
        <w:numPr>
          <w:ilvl w:val="0"/>
          <w:numId w:val="1"/>
        </w:numPr>
        <w:spacing w:before="240"/>
        <w:rPr>
          <w:lang w:val="en-US"/>
        </w:rPr>
      </w:pPr>
      <w:bookmarkStart w:id="2" w:name="_Toc468448471"/>
      <w:bookmarkStart w:id="3" w:name="_Toc468448470"/>
      <w:r>
        <w:rPr>
          <w:rFonts w:eastAsiaTheme="majorEastAsia" w:cstheme="majorBidi"/>
          <w:b/>
          <w:bCs/>
          <w:lang w:val="en-US"/>
        </w:rPr>
        <w:t>C</w:t>
      </w:r>
      <w:r w:rsidR="00B658FC" w:rsidRPr="00B658FC">
        <w:rPr>
          <w:rFonts w:eastAsiaTheme="majorEastAsia" w:cstheme="majorBidi"/>
          <w:b/>
          <w:bCs/>
          <w:lang w:val="en-US"/>
        </w:rPr>
        <w:t>overage</w:t>
      </w:r>
      <w:r>
        <w:rPr>
          <w:rFonts w:eastAsiaTheme="majorEastAsia" w:cstheme="majorBidi"/>
          <w:b/>
          <w:bCs/>
          <w:lang w:val="en-US"/>
        </w:rPr>
        <w:t xml:space="preserve"> and network improvement</w:t>
      </w:r>
      <w:r w:rsidR="00B658FC" w:rsidRPr="00B658FC">
        <w:rPr>
          <w:rFonts w:eastAsiaTheme="majorEastAsia" w:cstheme="majorBidi"/>
          <w:b/>
          <w:bCs/>
          <w:lang w:val="en-US"/>
        </w:rPr>
        <w:t xml:space="preserve"> reporting obligations</w:t>
      </w:r>
      <w:bookmarkEnd w:id="2"/>
    </w:p>
    <w:p w:rsidR="00B658FC" w:rsidRPr="005A222A" w:rsidRDefault="00B658FC" w:rsidP="00B658FC">
      <w:pPr>
        <w:spacing w:before="240"/>
        <w:rPr>
          <w:rFonts w:eastAsiaTheme="minorHAnsi"/>
          <w:lang w:eastAsia="en-US"/>
        </w:rPr>
      </w:pPr>
      <w:r>
        <w:rPr>
          <w:rFonts w:eastAsiaTheme="minorHAnsi"/>
          <w:lang w:val="en-US" w:eastAsia="en-US"/>
        </w:rPr>
        <w:t xml:space="preserve">The ACCC’s Draft Decision notes the lack of comprehensive information about current network coverage and future network rollout and upgrade plans (at page 77). </w:t>
      </w:r>
      <w:r w:rsidR="008065AB">
        <w:rPr>
          <w:rFonts w:eastAsiaTheme="minorHAnsi"/>
          <w:lang w:val="en-US" w:eastAsia="en-US"/>
        </w:rPr>
        <w:t>ACCAN</w:t>
      </w:r>
      <w:r w:rsidR="00B9266E">
        <w:rPr>
          <w:rFonts w:eastAsiaTheme="minorHAnsi"/>
          <w:lang w:val="en-US" w:eastAsia="en-US"/>
        </w:rPr>
        <w:t xml:space="preserve"> is supportive of the</w:t>
      </w:r>
      <w:r w:rsidRPr="005A222A">
        <w:rPr>
          <w:rFonts w:eastAsiaTheme="minorHAnsi"/>
          <w:lang w:val="en-US" w:eastAsia="en-US"/>
        </w:rPr>
        <w:t xml:space="preserve"> ACCC </w:t>
      </w:r>
      <w:r w:rsidR="00B9266E">
        <w:rPr>
          <w:rFonts w:eastAsiaTheme="minorHAnsi"/>
          <w:lang w:val="en-US" w:eastAsia="en-US"/>
        </w:rPr>
        <w:t>using</w:t>
      </w:r>
      <w:r>
        <w:rPr>
          <w:rFonts w:eastAsiaTheme="minorHAnsi"/>
          <w:lang w:val="en-US" w:eastAsia="en-US"/>
        </w:rPr>
        <w:t xml:space="preserve"> its record keeping powers to </w:t>
      </w:r>
      <w:r w:rsidRPr="005A222A">
        <w:rPr>
          <w:rFonts w:eastAsiaTheme="minorHAnsi"/>
          <w:lang w:val="en-US" w:eastAsia="en-US"/>
        </w:rPr>
        <w:t>require that MNOs provide</w:t>
      </w:r>
      <w:r w:rsidR="002E5966">
        <w:rPr>
          <w:rFonts w:eastAsiaTheme="minorHAnsi"/>
          <w:lang w:val="en-US" w:eastAsia="en-US"/>
        </w:rPr>
        <w:t xml:space="preserve"> this information </w:t>
      </w:r>
      <w:r w:rsidR="008065AB">
        <w:rPr>
          <w:rFonts w:eastAsiaTheme="minorHAnsi"/>
          <w:lang w:val="en-US" w:eastAsia="en-US"/>
        </w:rPr>
        <w:t xml:space="preserve">on an annual basis </w:t>
      </w:r>
      <w:r w:rsidR="002E5966">
        <w:rPr>
          <w:rFonts w:eastAsiaTheme="minorHAnsi"/>
          <w:lang w:val="en-US" w:eastAsia="en-US"/>
        </w:rPr>
        <w:t xml:space="preserve">so that a reliable picture of the current mobile footprint can be obtained. This would also allow for ready identification of future network improvements and expansion, and should include sufficient detail to identify specific locations of </w:t>
      </w:r>
      <w:r w:rsidRPr="005A222A">
        <w:rPr>
          <w:rFonts w:eastAsiaTheme="minorHAnsi"/>
          <w:lang w:val="en-US" w:eastAsia="en-US"/>
        </w:rPr>
        <w:t xml:space="preserve">new coverage. The current situation of manually logging onto MNO public websites to see if coverage has expanded is an unacceptable approach. As public MNO websites do not show historical coverage, having MNOs provide updated coverage data on an incremental basis would </w:t>
      </w:r>
      <w:r w:rsidRPr="005A222A">
        <w:rPr>
          <w:rFonts w:eastAsiaTheme="minorHAnsi"/>
          <w:lang w:eastAsia="en-US"/>
        </w:rPr>
        <w:t>ensure that government can evaluate the effectiveness of government funding in expanding coverage, separate from MNO’s private investments.</w:t>
      </w:r>
    </w:p>
    <w:p w:rsidR="00C623CB" w:rsidRPr="00B658FC" w:rsidRDefault="00156AE7" w:rsidP="00B658FC">
      <w:pPr>
        <w:pStyle w:val="ListParagraph"/>
        <w:keepNext/>
        <w:keepLines/>
        <w:numPr>
          <w:ilvl w:val="0"/>
          <w:numId w:val="1"/>
        </w:numPr>
        <w:spacing w:before="200" w:after="240"/>
        <w:outlineLvl w:val="2"/>
        <w:rPr>
          <w:rFonts w:eastAsiaTheme="majorEastAsia" w:cstheme="majorBidi"/>
          <w:b/>
          <w:bCs/>
          <w:lang w:val="en-US"/>
        </w:rPr>
      </w:pPr>
      <w:r w:rsidRPr="00B658FC">
        <w:rPr>
          <w:rFonts w:eastAsiaTheme="majorEastAsia" w:cstheme="majorBidi"/>
          <w:b/>
          <w:bCs/>
          <w:lang w:val="en-US"/>
        </w:rPr>
        <w:t>Data sharing with A</w:t>
      </w:r>
      <w:r w:rsidR="00B9266E">
        <w:rPr>
          <w:rFonts w:eastAsiaTheme="majorEastAsia" w:cstheme="majorBidi"/>
          <w:b/>
          <w:bCs/>
          <w:lang w:val="en-US"/>
        </w:rPr>
        <w:t>ustralian Communications and Media Authority</w:t>
      </w:r>
      <w:r w:rsidRPr="00B658FC">
        <w:rPr>
          <w:rFonts w:eastAsiaTheme="majorEastAsia" w:cstheme="majorBidi"/>
          <w:b/>
          <w:bCs/>
          <w:lang w:val="en-US"/>
        </w:rPr>
        <w:t xml:space="preserve"> </w:t>
      </w:r>
      <w:r w:rsidR="00B9266E">
        <w:rPr>
          <w:rFonts w:eastAsiaTheme="majorEastAsia" w:cstheme="majorBidi"/>
          <w:b/>
          <w:bCs/>
          <w:lang w:val="en-US"/>
        </w:rPr>
        <w:t xml:space="preserve">(ACMA) </w:t>
      </w:r>
      <w:r w:rsidRPr="00B658FC">
        <w:rPr>
          <w:rFonts w:eastAsiaTheme="majorEastAsia" w:cstheme="majorBidi"/>
          <w:b/>
          <w:bCs/>
          <w:lang w:val="en-US"/>
        </w:rPr>
        <w:t>and the Department of Communications</w:t>
      </w:r>
      <w:bookmarkEnd w:id="3"/>
      <w:r w:rsidRPr="00B658FC">
        <w:rPr>
          <w:rFonts w:eastAsiaTheme="majorEastAsia" w:cstheme="majorBidi"/>
          <w:b/>
          <w:bCs/>
          <w:lang w:val="en-US"/>
        </w:rPr>
        <w:t xml:space="preserve"> (DoCA)</w:t>
      </w:r>
    </w:p>
    <w:p w:rsidR="00C623CB" w:rsidRPr="005A222A" w:rsidRDefault="00C623CB" w:rsidP="00C623CB">
      <w:pPr>
        <w:rPr>
          <w:rFonts w:eastAsiaTheme="majorEastAsia" w:cstheme="majorBidi"/>
          <w:b/>
          <w:bCs/>
          <w:color w:val="4F81BD" w:themeColor="accent1"/>
          <w:lang w:val="en-US" w:eastAsia="en-US"/>
        </w:rPr>
      </w:pPr>
      <w:r w:rsidRPr="005A222A">
        <w:rPr>
          <w:rFonts w:eastAsiaTheme="minorHAnsi"/>
          <w:lang w:val="en-US" w:eastAsia="en-US"/>
        </w:rPr>
        <w:t>ACCAN recommend</w:t>
      </w:r>
      <w:r w:rsidR="00156AE7">
        <w:rPr>
          <w:rFonts w:eastAsiaTheme="minorHAnsi"/>
          <w:lang w:val="en-US" w:eastAsia="en-US"/>
        </w:rPr>
        <w:t>s that the ACCC share with the D</w:t>
      </w:r>
      <w:r w:rsidRPr="005A222A">
        <w:rPr>
          <w:rFonts w:eastAsiaTheme="minorHAnsi"/>
          <w:lang w:val="en-US" w:eastAsia="en-US"/>
        </w:rPr>
        <w:t xml:space="preserve">oCA and the ACMA all the </w:t>
      </w:r>
      <w:r w:rsidR="00B9266E">
        <w:rPr>
          <w:rFonts w:eastAsiaTheme="minorHAnsi"/>
          <w:lang w:val="en-US" w:eastAsia="en-US"/>
        </w:rPr>
        <w:t>mobile coverage data that it may have</w:t>
      </w:r>
      <w:r w:rsidRPr="005A222A">
        <w:rPr>
          <w:rFonts w:eastAsiaTheme="minorHAnsi"/>
          <w:lang w:val="en-US" w:eastAsia="en-US"/>
        </w:rPr>
        <w:t xml:space="preserve"> received from MNOs as part of the roaming inquiry process. Government has not collected any coverage data from MNOs since 2011.</w:t>
      </w:r>
      <w:r w:rsidRPr="005A222A">
        <w:rPr>
          <w:rFonts w:eastAsiaTheme="minorHAnsi"/>
          <w:vertAlign w:val="superscript"/>
          <w:lang w:val="en-US" w:eastAsia="en-US"/>
        </w:rPr>
        <w:footnoteReference w:id="6"/>
      </w:r>
      <w:r w:rsidRPr="005A222A">
        <w:rPr>
          <w:rFonts w:eastAsiaTheme="minorHAnsi"/>
          <w:lang w:val="en-US" w:eastAsia="en-US"/>
        </w:rPr>
        <w:t xml:space="preserve"> This data will be immensely useful to the DoCA’s Bureau of Communication</w:t>
      </w:r>
      <w:r w:rsidR="00B9266E">
        <w:rPr>
          <w:rFonts w:eastAsiaTheme="minorHAnsi"/>
          <w:lang w:val="en-US" w:eastAsia="en-US"/>
        </w:rPr>
        <w:t>s Research and the ACMA</w:t>
      </w:r>
      <w:r w:rsidRPr="005A222A">
        <w:rPr>
          <w:rFonts w:eastAsiaTheme="minorHAnsi"/>
          <w:lang w:val="en-US" w:eastAsia="en-US"/>
        </w:rPr>
        <w:t xml:space="preserve"> when advising government about future policy approaches in this area. The data need not be made available</w:t>
      </w:r>
      <w:r w:rsidR="00981565" w:rsidRPr="00981565">
        <w:rPr>
          <w:rFonts w:eastAsiaTheme="minorHAnsi"/>
          <w:lang w:val="en-US" w:eastAsia="en-US"/>
        </w:rPr>
        <w:t xml:space="preserve"> </w:t>
      </w:r>
      <w:r w:rsidR="00981565" w:rsidRPr="005A222A">
        <w:rPr>
          <w:rFonts w:eastAsiaTheme="minorHAnsi"/>
          <w:lang w:val="en-US" w:eastAsia="en-US"/>
        </w:rPr>
        <w:t>publically</w:t>
      </w:r>
      <w:r w:rsidRPr="005A222A">
        <w:rPr>
          <w:rFonts w:eastAsiaTheme="minorHAnsi"/>
          <w:lang w:val="en-US" w:eastAsia="en-US"/>
        </w:rPr>
        <w:t>.</w:t>
      </w:r>
    </w:p>
    <w:p w:rsidR="00017AFE" w:rsidRPr="00017AFE" w:rsidRDefault="00017AFE" w:rsidP="00017AFE">
      <w:pPr>
        <w:keepNext/>
        <w:keepLines/>
        <w:spacing w:before="200" w:after="240"/>
        <w:outlineLvl w:val="1"/>
        <w:rPr>
          <w:rFonts w:eastAsiaTheme="majorEastAsia" w:cstheme="majorBidi"/>
          <w:b/>
          <w:bCs/>
          <w:color w:val="4F81BD" w:themeColor="accent1"/>
          <w:sz w:val="26"/>
          <w:szCs w:val="26"/>
          <w:lang w:val="en-US" w:eastAsia="en-US"/>
        </w:rPr>
      </w:pPr>
      <w:r w:rsidRPr="00017AFE">
        <w:rPr>
          <w:rFonts w:eastAsiaTheme="majorEastAsia" w:cstheme="majorBidi"/>
          <w:b/>
          <w:bCs/>
          <w:color w:val="4F81BD" w:themeColor="accent1"/>
          <w:sz w:val="26"/>
          <w:szCs w:val="26"/>
          <w:lang w:val="en-US" w:eastAsia="en-US"/>
        </w:rPr>
        <w:t>Co-location, facilities access and transmission</w:t>
      </w:r>
      <w:bookmarkEnd w:id="1"/>
    </w:p>
    <w:p w:rsidR="00017AFE" w:rsidRPr="00017AFE" w:rsidRDefault="00017AFE" w:rsidP="00017AFE">
      <w:pPr>
        <w:rPr>
          <w:rFonts w:eastAsiaTheme="minorHAnsi"/>
          <w:lang w:val="en-US" w:eastAsia="en-US"/>
        </w:rPr>
      </w:pPr>
      <w:r w:rsidRPr="00017AFE">
        <w:rPr>
          <w:rFonts w:eastAsiaTheme="minorHAnsi"/>
          <w:lang w:val="en-US" w:eastAsia="en-US"/>
        </w:rPr>
        <w:t xml:space="preserve">ACCAN believes there </w:t>
      </w:r>
      <w:r w:rsidR="007949B7">
        <w:rPr>
          <w:rFonts w:eastAsiaTheme="minorHAnsi"/>
          <w:lang w:val="en-US" w:eastAsia="en-US"/>
        </w:rPr>
        <w:t>is</w:t>
      </w:r>
      <w:r w:rsidRPr="00017AFE">
        <w:rPr>
          <w:rFonts w:eastAsiaTheme="minorHAnsi"/>
          <w:lang w:val="en-US" w:eastAsia="en-US"/>
        </w:rPr>
        <w:t xml:space="preserve"> scope to adjust existing regulatory settings around co-location, facilities access and transmission services to improve the likelihood of competition in mobile networks in non-metro areas. While the suggested changes may only make a small difference, ACCAN believes that consumers in regional Australi</w:t>
      </w:r>
      <w:r w:rsidR="00871412">
        <w:rPr>
          <w:rFonts w:eastAsiaTheme="minorHAnsi"/>
          <w:lang w:val="en-US" w:eastAsia="en-US"/>
        </w:rPr>
        <w:t>a would benefit from incremental</w:t>
      </w:r>
      <w:r w:rsidRPr="00017AFE">
        <w:rPr>
          <w:rFonts w:eastAsiaTheme="minorHAnsi"/>
          <w:lang w:val="en-US" w:eastAsia="en-US"/>
        </w:rPr>
        <w:t xml:space="preserve"> increases in competition.</w:t>
      </w:r>
    </w:p>
    <w:p w:rsidR="00017AFE" w:rsidRPr="007949B7" w:rsidRDefault="007949B7" w:rsidP="007949B7">
      <w:pPr>
        <w:pStyle w:val="ListParagraph"/>
        <w:keepNext/>
        <w:keepLines/>
        <w:numPr>
          <w:ilvl w:val="0"/>
          <w:numId w:val="1"/>
        </w:numPr>
        <w:spacing w:before="200"/>
        <w:outlineLvl w:val="2"/>
        <w:rPr>
          <w:rFonts w:eastAsiaTheme="majorEastAsia" w:cstheme="majorBidi"/>
          <w:b/>
          <w:bCs/>
          <w:lang w:val="en-US"/>
        </w:rPr>
      </w:pPr>
      <w:bookmarkStart w:id="4" w:name="_Toc468448446"/>
      <w:r w:rsidRPr="007949B7">
        <w:rPr>
          <w:rFonts w:eastAsiaTheme="majorEastAsia" w:cstheme="majorBidi"/>
          <w:b/>
          <w:bCs/>
          <w:lang w:val="en-US"/>
        </w:rPr>
        <w:lastRenderedPageBreak/>
        <w:t xml:space="preserve">Co-location </w:t>
      </w:r>
      <w:bookmarkEnd w:id="4"/>
      <w:r w:rsidR="00414950">
        <w:rPr>
          <w:rFonts w:eastAsiaTheme="majorEastAsia" w:cstheme="majorBidi"/>
          <w:b/>
          <w:bCs/>
          <w:lang w:val="en-US"/>
        </w:rPr>
        <w:t>and facilities access</w:t>
      </w:r>
    </w:p>
    <w:p w:rsidR="0072041D" w:rsidRPr="00DE5812" w:rsidRDefault="0072041D" w:rsidP="0072041D">
      <w:pPr>
        <w:spacing w:before="240"/>
        <w:rPr>
          <w:rFonts w:eastAsiaTheme="minorHAnsi"/>
          <w:lang w:eastAsia="en-US"/>
        </w:rPr>
      </w:pPr>
      <w:r w:rsidRPr="00DE5812">
        <w:rPr>
          <w:rFonts w:eastAsiaTheme="minorHAnsi"/>
          <w:lang w:eastAsia="en-US"/>
        </w:rPr>
        <w:t xml:space="preserve">The Facilities Access Code and the </w:t>
      </w:r>
      <w:r w:rsidRPr="00DE5812">
        <w:rPr>
          <w:rFonts w:eastAsiaTheme="minorHAnsi"/>
          <w:i/>
          <w:lang w:eastAsia="en-US"/>
        </w:rPr>
        <w:t>Telecommunications Act</w:t>
      </w:r>
      <w:r w:rsidRPr="00DE5812">
        <w:rPr>
          <w:rFonts w:eastAsiaTheme="minorHAnsi"/>
          <w:lang w:eastAsia="en-US"/>
        </w:rPr>
        <w:t xml:space="preserve"> provide a low level of regulation for access to transmission towers, tower sites and underground facilities. As part of the 2013 Code review, all three MNOs agreed that the Code generally facilitated efficient commercial outcomes between carriers</w:t>
      </w:r>
      <w:r w:rsidR="00CB5DFF">
        <w:rPr>
          <w:rFonts w:eastAsiaTheme="minorHAnsi"/>
          <w:lang w:eastAsia="en-US"/>
        </w:rPr>
        <w:t>.</w:t>
      </w:r>
      <w:r w:rsidR="009C295E">
        <w:rPr>
          <w:rFonts w:eastAsiaTheme="minorHAnsi"/>
          <w:lang w:eastAsia="en-US"/>
        </w:rPr>
        <w:t xml:space="preserve"> Their responses to the current Inquiry are consistent with this approach. However, it is revealing that they all agree that the regime could be improved.</w:t>
      </w:r>
    </w:p>
    <w:p w:rsidR="003514E6" w:rsidRDefault="0072041D" w:rsidP="007949B7">
      <w:pPr>
        <w:spacing w:before="240"/>
        <w:rPr>
          <w:rFonts w:eastAsiaTheme="minorHAnsi"/>
          <w:lang w:val="en-US" w:eastAsia="en-US"/>
        </w:rPr>
      </w:pPr>
      <w:r>
        <w:rPr>
          <w:rFonts w:eastAsiaTheme="minorHAnsi"/>
          <w:lang w:val="en-US" w:eastAsia="en-US"/>
        </w:rPr>
        <w:t xml:space="preserve">As </w:t>
      </w:r>
      <w:r w:rsidR="007949B7">
        <w:rPr>
          <w:rFonts w:eastAsiaTheme="minorHAnsi"/>
          <w:lang w:val="en-US" w:eastAsia="en-US"/>
        </w:rPr>
        <w:t>noted in our submission to the initial ACCC Declaration Inquiry</w:t>
      </w:r>
      <w:r w:rsidR="007949B7">
        <w:rPr>
          <w:rStyle w:val="FootnoteReference"/>
          <w:rFonts w:eastAsiaTheme="minorHAnsi"/>
          <w:lang w:val="en-US" w:eastAsia="en-US"/>
        </w:rPr>
        <w:footnoteReference w:id="7"/>
      </w:r>
      <w:r w:rsidR="007949B7">
        <w:rPr>
          <w:rFonts w:eastAsiaTheme="minorHAnsi"/>
          <w:lang w:val="en-US" w:eastAsia="en-US"/>
        </w:rPr>
        <w:t>, t</w:t>
      </w:r>
      <w:r w:rsidR="00017AFE" w:rsidRPr="00017AFE">
        <w:rPr>
          <w:rFonts w:eastAsiaTheme="minorHAnsi"/>
          <w:lang w:val="en-US" w:eastAsia="en-US"/>
        </w:rPr>
        <w:t xml:space="preserve">here is little public information on the extent of co-location of infrastructure </w:t>
      </w:r>
      <w:r>
        <w:rPr>
          <w:rFonts w:eastAsiaTheme="minorHAnsi"/>
          <w:lang w:val="en-US" w:eastAsia="en-US"/>
        </w:rPr>
        <w:t>ov</w:t>
      </w:r>
      <w:r w:rsidR="00F77EBF">
        <w:rPr>
          <w:rFonts w:eastAsiaTheme="minorHAnsi"/>
          <w:lang w:val="en-US" w:eastAsia="en-US"/>
        </w:rPr>
        <w:t>erall, and no publically available</w:t>
      </w:r>
      <w:r>
        <w:rPr>
          <w:rFonts w:eastAsiaTheme="minorHAnsi"/>
          <w:lang w:val="en-US" w:eastAsia="en-US"/>
        </w:rPr>
        <w:t xml:space="preserve"> breakdown by regional, rural, </w:t>
      </w:r>
      <w:r w:rsidR="00F77EBF">
        <w:rPr>
          <w:rFonts w:eastAsiaTheme="minorHAnsi"/>
          <w:lang w:val="en-US" w:eastAsia="en-US"/>
        </w:rPr>
        <w:t>remote and metropolitan areas. A</w:t>
      </w:r>
      <w:r w:rsidR="00017AFE" w:rsidRPr="00017AFE">
        <w:rPr>
          <w:rFonts w:eastAsiaTheme="minorHAnsi"/>
          <w:lang w:val="en-US" w:eastAsia="en-US"/>
        </w:rPr>
        <w:t>ccording to a Vodafone-commissioned study, co-location of mobile facilities is not common in regional areas where Telstra owns the vast majority of mobile base stations.</w:t>
      </w:r>
      <w:r w:rsidR="00017AFE" w:rsidRPr="00017AFE">
        <w:rPr>
          <w:rFonts w:eastAsiaTheme="minorHAnsi"/>
          <w:vertAlign w:val="superscript"/>
          <w:lang w:val="en-US" w:eastAsia="en-US"/>
        </w:rPr>
        <w:footnoteReference w:id="8"/>
      </w:r>
      <w:r w:rsidR="00F77EBF">
        <w:rPr>
          <w:rFonts w:eastAsiaTheme="minorHAnsi"/>
          <w:lang w:val="en-US" w:eastAsia="en-US"/>
        </w:rPr>
        <w:t xml:space="preserve"> We are also aware</w:t>
      </w:r>
      <w:r w:rsidR="007949B7">
        <w:rPr>
          <w:rFonts w:eastAsiaTheme="minorHAnsi"/>
          <w:lang w:val="en-US" w:eastAsia="en-US"/>
        </w:rPr>
        <w:t xml:space="preserve"> that Optus and Voda</w:t>
      </w:r>
      <w:r w:rsidR="00017AFE" w:rsidRPr="00017AFE">
        <w:rPr>
          <w:rFonts w:eastAsiaTheme="minorHAnsi"/>
          <w:lang w:val="en-US" w:eastAsia="en-US"/>
        </w:rPr>
        <w:t xml:space="preserve">fone have a number of co-location agreements. </w:t>
      </w:r>
      <w:r w:rsidR="003514E6">
        <w:rPr>
          <w:rFonts w:eastAsiaTheme="minorHAnsi"/>
          <w:lang w:val="en-US" w:eastAsia="en-US"/>
        </w:rPr>
        <w:t xml:space="preserve">Due to the lack of transparency of the current situation, it is impossible to for ACCAN to assess the effectiveness </w:t>
      </w:r>
      <w:r w:rsidR="000F391B">
        <w:rPr>
          <w:rFonts w:eastAsiaTheme="minorHAnsi"/>
          <w:lang w:val="en-US" w:eastAsia="en-US"/>
        </w:rPr>
        <w:t>of the regime.</w:t>
      </w:r>
    </w:p>
    <w:p w:rsidR="00017AFE" w:rsidRPr="00F77EBF" w:rsidRDefault="003514E6" w:rsidP="007949B7">
      <w:pPr>
        <w:spacing w:before="240"/>
        <w:rPr>
          <w:rFonts w:eastAsiaTheme="minorHAnsi"/>
          <w:lang w:val="en-US" w:eastAsia="en-US"/>
        </w:rPr>
      </w:pPr>
      <w:r>
        <w:rPr>
          <w:rFonts w:eastAsiaTheme="minorHAnsi"/>
          <w:lang w:val="en-US" w:eastAsia="en-US"/>
        </w:rPr>
        <w:t xml:space="preserve">However, anecdotally </w:t>
      </w:r>
      <w:r w:rsidR="00F77EBF">
        <w:rPr>
          <w:rFonts w:eastAsiaTheme="minorHAnsi"/>
          <w:lang w:val="en-US" w:eastAsia="en-US"/>
        </w:rPr>
        <w:t xml:space="preserve">ACCAN has been told of cases where co-location has been significantly delayed due to the inability of MNOs to reach agreement on terms and conditions of access. One such example </w:t>
      </w:r>
      <w:r w:rsidR="00EB1FD2">
        <w:rPr>
          <w:rFonts w:eastAsiaTheme="minorHAnsi"/>
          <w:lang w:val="en-US" w:eastAsia="en-US"/>
        </w:rPr>
        <w:t xml:space="preserve">is </w:t>
      </w:r>
      <w:r w:rsidR="00F77EBF">
        <w:rPr>
          <w:rFonts w:eastAsiaTheme="minorHAnsi"/>
          <w:lang w:val="en-US" w:eastAsia="en-US"/>
        </w:rPr>
        <w:t>in the Mooloolaba</w:t>
      </w:r>
      <w:r w:rsidR="00EB1FD2">
        <w:rPr>
          <w:rFonts w:eastAsiaTheme="minorHAnsi"/>
          <w:lang w:val="en-US" w:eastAsia="en-US"/>
        </w:rPr>
        <w:t xml:space="preserve"> area on the Sunshine Coast, </w:t>
      </w:r>
      <w:r w:rsidR="00F77EBF">
        <w:rPr>
          <w:rFonts w:eastAsiaTheme="minorHAnsi"/>
          <w:lang w:val="en-US" w:eastAsia="en-US"/>
        </w:rPr>
        <w:t xml:space="preserve">where </w:t>
      </w:r>
      <w:r>
        <w:rPr>
          <w:rFonts w:eastAsiaTheme="minorHAnsi"/>
          <w:lang w:val="en-US" w:eastAsia="en-US"/>
        </w:rPr>
        <w:t xml:space="preserve">we understand </w:t>
      </w:r>
      <w:r w:rsidR="00F77EBF">
        <w:rPr>
          <w:rFonts w:eastAsiaTheme="minorHAnsi"/>
          <w:lang w:val="en-US" w:eastAsia="en-US"/>
        </w:rPr>
        <w:t xml:space="preserve">two MNOs have been in dispute for approximately 5 years, </w:t>
      </w:r>
      <w:r w:rsidR="00181419">
        <w:rPr>
          <w:rFonts w:eastAsiaTheme="minorHAnsi"/>
          <w:lang w:val="en-US" w:eastAsia="en-US"/>
        </w:rPr>
        <w:t>a delay which is clearly not in the interests</w:t>
      </w:r>
      <w:r w:rsidR="00F77EBF">
        <w:rPr>
          <w:rFonts w:eastAsiaTheme="minorHAnsi"/>
          <w:lang w:val="en-US" w:eastAsia="en-US"/>
        </w:rPr>
        <w:t xml:space="preserve"> of the community.</w:t>
      </w:r>
    </w:p>
    <w:p w:rsidR="006D36A3" w:rsidRDefault="0016680F" w:rsidP="007949B7">
      <w:pPr>
        <w:spacing w:before="240"/>
        <w:rPr>
          <w:rFonts w:eastAsiaTheme="minorHAnsi"/>
          <w:lang w:val="en-US" w:eastAsia="en-US"/>
        </w:rPr>
      </w:pPr>
      <w:r>
        <w:rPr>
          <w:rFonts w:eastAsiaTheme="minorHAnsi"/>
          <w:lang w:val="en-US" w:eastAsia="en-US"/>
        </w:rPr>
        <w:t xml:space="preserve">There is strong support in regional Australia for greater co-location of network infrastructure as a viable means of improving choice of provider and competition. </w:t>
      </w:r>
      <w:r w:rsidR="000A69D1">
        <w:rPr>
          <w:rFonts w:eastAsiaTheme="minorHAnsi"/>
          <w:lang w:val="en-US" w:eastAsia="en-US"/>
        </w:rPr>
        <w:t>Communities want improved mobile</w:t>
      </w:r>
      <w:r w:rsidR="006D36A3">
        <w:rPr>
          <w:rFonts w:eastAsiaTheme="minorHAnsi"/>
          <w:lang w:val="en-US" w:eastAsia="en-US"/>
        </w:rPr>
        <w:t xml:space="preserve"> coverage, but </w:t>
      </w:r>
      <w:r w:rsidR="00F77EBF">
        <w:rPr>
          <w:rFonts w:eastAsiaTheme="minorHAnsi"/>
          <w:lang w:val="en-US" w:eastAsia="en-US"/>
        </w:rPr>
        <w:t>at the same time there is concern for environmental considerations. T</w:t>
      </w:r>
      <w:r w:rsidR="006D36A3">
        <w:rPr>
          <w:rFonts w:eastAsiaTheme="minorHAnsi"/>
          <w:lang w:val="en-US" w:eastAsia="en-US"/>
        </w:rPr>
        <w:t xml:space="preserve">hey do not want a plethora of </w:t>
      </w:r>
      <w:r w:rsidR="00981565">
        <w:rPr>
          <w:rFonts w:eastAsiaTheme="minorHAnsi"/>
          <w:lang w:val="en-US" w:eastAsia="en-US"/>
        </w:rPr>
        <w:t xml:space="preserve">duplicating </w:t>
      </w:r>
      <w:r w:rsidR="000F391B">
        <w:rPr>
          <w:rFonts w:eastAsiaTheme="minorHAnsi"/>
          <w:lang w:val="en-US" w:eastAsia="en-US"/>
        </w:rPr>
        <w:t>towers scattered</w:t>
      </w:r>
      <w:r w:rsidR="006D36A3">
        <w:rPr>
          <w:rFonts w:eastAsiaTheme="minorHAnsi"/>
          <w:lang w:val="en-US" w:eastAsia="en-US"/>
        </w:rPr>
        <w:t xml:space="preserve"> across the countryside. </w:t>
      </w:r>
      <w:r>
        <w:rPr>
          <w:rFonts w:eastAsiaTheme="minorHAnsi"/>
          <w:lang w:val="en-US" w:eastAsia="en-US"/>
        </w:rPr>
        <w:t xml:space="preserve">Additionally, there is support for the </w:t>
      </w:r>
      <w:r w:rsidR="000A69D1">
        <w:rPr>
          <w:rFonts w:eastAsiaTheme="minorHAnsi"/>
          <w:lang w:val="en-US" w:eastAsia="en-US"/>
        </w:rPr>
        <w:t xml:space="preserve">location of base stations on </w:t>
      </w:r>
      <w:r w:rsidR="00F9357B">
        <w:rPr>
          <w:rFonts w:eastAsiaTheme="minorHAnsi"/>
          <w:lang w:val="en-US" w:eastAsia="en-US"/>
        </w:rPr>
        <w:t xml:space="preserve">existing </w:t>
      </w:r>
      <w:r>
        <w:rPr>
          <w:rFonts w:eastAsiaTheme="minorHAnsi"/>
          <w:lang w:val="en-US" w:eastAsia="en-US"/>
        </w:rPr>
        <w:t>local infrastructu</w:t>
      </w:r>
      <w:r w:rsidR="000A69D1">
        <w:rPr>
          <w:rFonts w:eastAsiaTheme="minorHAnsi"/>
          <w:lang w:val="en-US" w:eastAsia="en-US"/>
        </w:rPr>
        <w:t>re to reduce costs and incentivize investment in expanding network coverage.</w:t>
      </w:r>
    </w:p>
    <w:p w:rsidR="00EB1FD2" w:rsidRDefault="00DE5812" w:rsidP="00DE5812">
      <w:pPr>
        <w:spacing w:before="240"/>
        <w:rPr>
          <w:rFonts w:eastAsiaTheme="minorHAnsi"/>
          <w:lang w:eastAsia="en-US"/>
        </w:rPr>
      </w:pPr>
      <w:r w:rsidRPr="00DE5812">
        <w:rPr>
          <w:rFonts w:eastAsiaTheme="minorHAnsi"/>
          <w:lang w:eastAsia="en-US"/>
        </w:rPr>
        <w:t>ACCA</w:t>
      </w:r>
      <w:r w:rsidR="00EB1FD2">
        <w:rPr>
          <w:rFonts w:eastAsiaTheme="minorHAnsi"/>
          <w:lang w:eastAsia="en-US"/>
        </w:rPr>
        <w:t>N believes that greater transparency and oversight is needed about the current extent of co-location, and</w:t>
      </w:r>
      <w:r w:rsidRPr="00DE5812">
        <w:rPr>
          <w:rFonts w:eastAsiaTheme="minorHAnsi"/>
          <w:lang w:eastAsia="en-US"/>
        </w:rPr>
        <w:t xml:space="preserve"> </w:t>
      </w:r>
      <w:r w:rsidR="00EB1FD2">
        <w:rPr>
          <w:rFonts w:eastAsiaTheme="minorHAnsi"/>
          <w:lang w:eastAsia="en-US"/>
        </w:rPr>
        <w:t xml:space="preserve">the effectiveness of the Facilities Access Code in the mobile market in regional Australia. </w:t>
      </w:r>
      <w:r w:rsidR="003514E6">
        <w:rPr>
          <w:rFonts w:eastAsiaTheme="minorHAnsi"/>
          <w:lang w:eastAsia="en-US"/>
        </w:rPr>
        <w:t>We are strongly supportive of the ACCC reviewing the facilities access regime, and using its record keeping powers if necessary to obtain information about the extent of co-location in regional Australi</w:t>
      </w:r>
      <w:r w:rsidR="00087163">
        <w:rPr>
          <w:rFonts w:eastAsiaTheme="minorHAnsi"/>
          <w:lang w:eastAsia="en-US"/>
        </w:rPr>
        <w:t>a in order to assess and monitor the extent to which infrastructure is being used efficiently in the mobile market.</w:t>
      </w:r>
    </w:p>
    <w:p w:rsidR="00017C61" w:rsidRPr="00017C61" w:rsidRDefault="00017AFE" w:rsidP="00017C61">
      <w:pPr>
        <w:pStyle w:val="ListParagraph"/>
        <w:keepNext/>
        <w:keepLines/>
        <w:numPr>
          <w:ilvl w:val="0"/>
          <w:numId w:val="1"/>
        </w:numPr>
        <w:spacing w:before="200"/>
        <w:outlineLvl w:val="2"/>
        <w:rPr>
          <w:rFonts w:eastAsiaTheme="majorEastAsia" w:cstheme="majorBidi"/>
          <w:b/>
          <w:bCs/>
          <w:lang w:val="en-US"/>
        </w:rPr>
      </w:pPr>
      <w:bookmarkStart w:id="5" w:name="_Toc468448447"/>
      <w:r w:rsidRPr="00017C61">
        <w:rPr>
          <w:rFonts w:eastAsiaTheme="majorEastAsia" w:cstheme="majorBidi"/>
          <w:b/>
          <w:bCs/>
          <w:lang w:val="en-US"/>
        </w:rPr>
        <w:lastRenderedPageBreak/>
        <w:t>Domestic Transm</w:t>
      </w:r>
      <w:r w:rsidR="00017C61" w:rsidRPr="00017C61">
        <w:rPr>
          <w:rFonts w:eastAsiaTheme="majorEastAsia" w:cstheme="majorBidi"/>
          <w:b/>
          <w:bCs/>
          <w:lang w:val="en-US"/>
        </w:rPr>
        <w:t xml:space="preserve">ission Capacity Service (DTCS) </w:t>
      </w:r>
      <w:bookmarkEnd w:id="5"/>
    </w:p>
    <w:p w:rsidR="00CE04DD" w:rsidRDefault="00017C61" w:rsidP="00650C02">
      <w:pPr>
        <w:keepNext/>
        <w:keepLines/>
        <w:spacing w:before="200" w:after="0"/>
        <w:outlineLvl w:val="2"/>
        <w:rPr>
          <w:rFonts w:eastAsiaTheme="minorHAnsi"/>
          <w:lang w:val="en-US" w:eastAsia="en-US"/>
        </w:rPr>
      </w:pPr>
      <w:r>
        <w:rPr>
          <w:rFonts w:eastAsiaTheme="minorHAnsi"/>
          <w:lang w:val="en-US" w:eastAsia="en-US"/>
        </w:rPr>
        <w:t xml:space="preserve">One of the current barriers to co-location is access to backhaul. If a MNO does not have ready access to backhaul in an area, it will be less incentivized to invest due to the additional costs involved. </w:t>
      </w:r>
      <w:r w:rsidR="00650C02">
        <w:rPr>
          <w:rFonts w:eastAsiaTheme="minorHAnsi"/>
          <w:lang w:val="en-US" w:eastAsia="en-US"/>
        </w:rPr>
        <w:t>Incidents of this nature have been reported to ACCAN by the Central West NSW Regional Development Authority.</w:t>
      </w:r>
      <w:r w:rsidR="004D0BB3">
        <w:rPr>
          <w:rFonts w:eastAsiaTheme="minorHAnsi"/>
          <w:lang w:val="en-US" w:eastAsia="en-US"/>
        </w:rPr>
        <w:t xml:space="preserve"> </w:t>
      </w:r>
      <w:r w:rsidR="00017AFE" w:rsidRPr="00017AFE">
        <w:rPr>
          <w:rFonts w:eastAsiaTheme="minorHAnsi"/>
          <w:lang w:val="en-US" w:eastAsia="en-US"/>
        </w:rPr>
        <w:t>As the ACCC noted in 2015, backhaul is likely to be the most significant constraint to smaller incumbent MNOs competing in regional areas.</w:t>
      </w:r>
      <w:r w:rsidR="00017AFE" w:rsidRPr="00017AFE">
        <w:rPr>
          <w:rFonts w:eastAsiaTheme="minorHAnsi"/>
          <w:vertAlign w:val="superscript"/>
          <w:lang w:val="en-US" w:eastAsia="en-US"/>
        </w:rPr>
        <w:footnoteReference w:id="9"/>
      </w:r>
    </w:p>
    <w:p w:rsidR="00650C02" w:rsidRPr="00017AFE" w:rsidRDefault="00017AFE" w:rsidP="00650C02">
      <w:pPr>
        <w:keepNext/>
        <w:keepLines/>
        <w:spacing w:before="200" w:after="0"/>
        <w:outlineLvl w:val="2"/>
        <w:rPr>
          <w:rFonts w:eastAsiaTheme="minorHAnsi"/>
          <w:lang w:val="en-US" w:eastAsia="en-US"/>
        </w:rPr>
      </w:pPr>
      <w:r w:rsidRPr="00017AFE">
        <w:rPr>
          <w:rFonts w:eastAsiaTheme="minorHAnsi"/>
          <w:lang w:val="en-US" w:eastAsia="en-US"/>
        </w:rPr>
        <w:t>The recent reduction in DTCS pricing is likely to extend coverage by the other providers; a representative from Vodafone commented that the reduction in prices meant that it would now be able to bid on MBSP sites that would have otherwise been “previously unattainable”.</w:t>
      </w:r>
      <w:r w:rsidRPr="00017AFE">
        <w:rPr>
          <w:rFonts w:eastAsiaTheme="minorHAnsi"/>
          <w:vertAlign w:val="superscript"/>
          <w:lang w:val="en-US" w:eastAsia="en-US"/>
        </w:rPr>
        <w:footnoteReference w:id="10"/>
      </w:r>
      <w:r w:rsidRPr="00017AFE">
        <w:rPr>
          <w:rFonts w:eastAsiaTheme="minorHAnsi"/>
          <w:lang w:val="en-US" w:eastAsia="en-US"/>
        </w:rPr>
        <w:t xml:space="preserve"> </w:t>
      </w:r>
      <w:r w:rsidR="00650C02">
        <w:rPr>
          <w:rFonts w:eastAsiaTheme="minorHAnsi"/>
          <w:lang w:val="en-US" w:eastAsia="en-US"/>
        </w:rPr>
        <w:t>However, i</w:t>
      </w:r>
      <w:r w:rsidRPr="00017AFE">
        <w:rPr>
          <w:rFonts w:eastAsiaTheme="minorHAnsi"/>
          <w:lang w:val="en-US" w:eastAsia="en-US"/>
        </w:rPr>
        <w:t>t will take several years to see the pricing effects in the marketplace.</w:t>
      </w:r>
    </w:p>
    <w:p w:rsidR="00017AFE" w:rsidRPr="00017AFE" w:rsidRDefault="00017AFE" w:rsidP="004D0BB3">
      <w:pPr>
        <w:spacing w:before="240"/>
        <w:rPr>
          <w:rFonts w:eastAsiaTheme="minorHAnsi"/>
          <w:lang w:val="en-US" w:eastAsia="en-US"/>
        </w:rPr>
      </w:pPr>
      <w:r w:rsidRPr="00017AFE">
        <w:rPr>
          <w:rFonts w:eastAsiaTheme="minorHAnsi"/>
          <w:lang w:val="en-US" w:eastAsia="en-US"/>
        </w:rPr>
        <w:t>It is also important to note that the DTCS does not apply to all backhaul transmission. ACCAN is aware that Telstra has developed a specific product to offer other MNOs for backhaul from MBSP Round 1 sites to the local exchange. Given that prices for this new fibre is not regulated, Telstra is able to charge whatever amount it wishes, particularly in areas where it is the only backhaul provider. The Guidelines for Round 2 have been updated to say that MBSP backhaul must be provided at a price that is “more favourable than the regulated prices set under the ACCC Domestic Transmission Capacity Service Final Access Determination (DTCS FAD)”.</w:t>
      </w:r>
      <w:r w:rsidRPr="00017AFE">
        <w:rPr>
          <w:rFonts w:eastAsiaTheme="minorHAnsi"/>
          <w:vertAlign w:val="superscript"/>
          <w:lang w:val="en-US" w:eastAsia="en-US"/>
        </w:rPr>
        <w:footnoteReference w:id="11"/>
      </w:r>
      <w:r w:rsidRPr="00017AFE">
        <w:rPr>
          <w:rFonts w:eastAsiaTheme="minorHAnsi"/>
          <w:lang w:val="en-US" w:eastAsia="en-US"/>
        </w:rPr>
        <w:t xml:space="preserve"> One sugge</w:t>
      </w:r>
      <w:r w:rsidR="00860EEA">
        <w:rPr>
          <w:rFonts w:eastAsiaTheme="minorHAnsi"/>
          <w:lang w:val="en-US" w:eastAsia="en-US"/>
        </w:rPr>
        <w:t>stion may be for DoCA</w:t>
      </w:r>
      <w:r w:rsidRPr="00017AFE">
        <w:rPr>
          <w:rFonts w:eastAsiaTheme="minorHAnsi"/>
          <w:lang w:val="en-US" w:eastAsia="en-US"/>
        </w:rPr>
        <w:t xml:space="preserve"> to update the guidelines to say that the discount must be applied on a permanent basis and not as a once-off. There may also be scope for the ACCC to take other action, for example through ongoing monitoring of MBSP tower-to-exchange fibre pricing. Given that backhaul is the largest ongoing cost for a tower, it is important that the market operates fairly.  </w:t>
      </w:r>
    </w:p>
    <w:p w:rsidR="00E16E83" w:rsidRDefault="00017AFE" w:rsidP="0075750E">
      <w:pPr>
        <w:rPr>
          <w:rFonts w:eastAsiaTheme="minorHAnsi"/>
          <w:b/>
          <w:lang w:val="en-GB" w:eastAsia="en-US"/>
        </w:rPr>
      </w:pPr>
      <w:r w:rsidRPr="00017AFE">
        <w:rPr>
          <w:rFonts w:eastAsiaTheme="minorHAnsi"/>
          <w:lang w:val="en-US" w:eastAsia="en-US"/>
        </w:rPr>
        <w:t xml:space="preserve">It is also useful to note other limitations </w:t>
      </w:r>
      <w:r w:rsidR="00F9357B">
        <w:rPr>
          <w:rFonts w:eastAsiaTheme="minorHAnsi"/>
          <w:lang w:val="en-US" w:eastAsia="en-US"/>
        </w:rPr>
        <w:t xml:space="preserve">in the scope </w:t>
      </w:r>
      <w:r w:rsidRPr="00017AFE">
        <w:rPr>
          <w:rFonts w:eastAsiaTheme="minorHAnsi"/>
          <w:lang w:val="en-US" w:eastAsia="en-US"/>
        </w:rPr>
        <w:t>of the DTCS</w:t>
      </w:r>
      <w:r w:rsidR="00F9357B">
        <w:rPr>
          <w:rFonts w:eastAsiaTheme="minorHAnsi"/>
          <w:lang w:val="en-US" w:eastAsia="en-US"/>
        </w:rPr>
        <w:t xml:space="preserve"> in </w:t>
      </w:r>
      <w:r w:rsidR="00CE175A">
        <w:rPr>
          <w:rFonts w:eastAsiaTheme="minorHAnsi"/>
          <w:lang w:val="en-US" w:eastAsia="en-US"/>
        </w:rPr>
        <w:t xml:space="preserve">ensuring access to </w:t>
      </w:r>
      <w:r w:rsidR="00F9357B">
        <w:rPr>
          <w:rFonts w:eastAsiaTheme="minorHAnsi"/>
          <w:lang w:val="en-US" w:eastAsia="en-US"/>
        </w:rPr>
        <w:t xml:space="preserve">all potential transmission </w:t>
      </w:r>
      <w:r w:rsidR="00CE175A">
        <w:rPr>
          <w:rFonts w:eastAsiaTheme="minorHAnsi"/>
          <w:lang w:val="en-US" w:eastAsia="en-US"/>
        </w:rPr>
        <w:t>networks</w:t>
      </w:r>
      <w:r w:rsidRPr="00017AFE">
        <w:rPr>
          <w:rFonts w:eastAsiaTheme="minorHAnsi"/>
          <w:lang w:val="en-US" w:eastAsia="en-US"/>
        </w:rPr>
        <w:t xml:space="preserve">. </w:t>
      </w:r>
      <w:r w:rsidR="00CE175A">
        <w:rPr>
          <w:rFonts w:eastAsiaTheme="minorHAnsi"/>
          <w:lang w:val="en-US" w:eastAsia="en-US"/>
        </w:rPr>
        <w:t>For example ACCAN is aware that</w:t>
      </w:r>
      <w:r w:rsidRPr="00017AFE">
        <w:rPr>
          <w:rFonts w:eastAsiaTheme="minorHAnsi"/>
          <w:lang w:val="en-US" w:eastAsia="en-US"/>
        </w:rPr>
        <w:t xml:space="preserve"> Optus leverage</w:t>
      </w:r>
      <w:r w:rsidR="00CE175A">
        <w:rPr>
          <w:rFonts w:eastAsiaTheme="minorHAnsi"/>
          <w:lang w:val="en-US" w:eastAsia="en-US"/>
        </w:rPr>
        <w:t>s</w:t>
      </w:r>
      <w:r w:rsidRPr="00017AFE">
        <w:rPr>
          <w:rFonts w:eastAsiaTheme="minorHAnsi"/>
          <w:lang w:val="en-US" w:eastAsia="en-US"/>
        </w:rPr>
        <w:t xml:space="preserve"> its ownership of core satellite assets to provide satellite backhaul, whereas Telstra only uses satellite backhaul in emergency situations.</w:t>
      </w:r>
      <w:r w:rsidR="000F391B">
        <w:rPr>
          <w:rStyle w:val="FootnoteReference"/>
          <w:rFonts w:eastAsiaTheme="minorHAnsi"/>
          <w:lang w:val="en-US" w:eastAsia="en-US"/>
        </w:rPr>
        <w:footnoteReference w:id="12"/>
      </w:r>
      <w:r w:rsidRPr="00017AFE">
        <w:rPr>
          <w:rFonts w:eastAsiaTheme="minorHAnsi"/>
          <w:lang w:val="en-US" w:eastAsia="en-US"/>
        </w:rPr>
        <w:t xml:space="preserve"> </w:t>
      </w:r>
      <w:r w:rsidR="00CE175A">
        <w:rPr>
          <w:rFonts w:eastAsiaTheme="minorHAnsi"/>
          <w:lang w:val="en-US" w:eastAsia="en-US"/>
        </w:rPr>
        <w:t xml:space="preserve">Other MNOs may not have similar access to </w:t>
      </w:r>
      <w:r w:rsidR="003257D3">
        <w:rPr>
          <w:rFonts w:eastAsiaTheme="minorHAnsi"/>
          <w:lang w:val="en-US" w:eastAsia="en-US"/>
        </w:rPr>
        <w:t xml:space="preserve">other transmission networks. </w:t>
      </w:r>
      <w:r w:rsidRPr="00017AFE">
        <w:rPr>
          <w:rFonts w:eastAsiaTheme="minorHAnsi"/>
          <w:lang w:eastAsia="en-US"/>
        </w:rPr>
        <w:t>ACCAN is also aware of issues in Round 1 of MBSP that affected the ability of an MNO to co-locate.</w:t>
      </w:r>
      <w:r w:rsidR="00CE04DD">
        <w:rPr>
          <w:rFonts w:eastAsiaTheme="minorHAnsi"/>
          <w:lang w:eastAsia="en-US"/>
        </w:rPr>
        <w:t xml:space="preserve"> </w:t>
      </w:r>
      <w:r w:rsidRPr="00017AFE">
        <w:rPr>
          <w:rFonts w:eastAsiaTheme="minorHAnsi"/>
          <w:lang w:eastAsia="en-US"/>
        </w:rPr>
        <w:t>Specifically, it is important that technical requirements for co-location are based on the needs of all three MNOs, and cannot be unreasonably confined by the lead MNO. It is critical that the DoCA monitors these situations to ensure that MNOs are not intentionally undermining the ability for another MNO to co-locate on government subsidised tower sites.</w:t>
      </w:r>
      <w:r w:rsidR="004A47BC">
        <w:rPr>
          <w:rFonts w:eastAsiaTheme="minorHAnsi"/>
          <w:lang w:eastAsia="en-US"/>
        </w:rPr>
        <w:t xml:space="preserve"> </w:t>
      </w:r>
    </w:p>
    <w:p w:rsidR="00FC3CBC" w:rsidRPr="00CE04DD" w:rsidRDefault="00860EEA" w:rsidP="00DD1B6E">
      <w:pPr>
        <w:pStyle w:val="ListParagraph"/>
        <w:numPr>
          <w:ilvl w:val="0"/>
          <w:numId w:val="2"/>
        </w:numPr>
        <w:rPr>
          <w:b/>
          <w:sz w:val="23"/>
          <w:szCs w:val="23"/>
        </w:rPr>
      </w:pPr>
      <w:r w:rsidRPr="00CE04DD">
        <w:rPr>
          <w:b/>
        </w:rPr>
        <w:t>Access fee b</w:t>
      </w:r>
      <w:r w:rsidR="00FC3CBC" w:rsidRPr="00CE04DD">
        <w:rPr>
          <w:b/>
        </w:rPr>
        <w:t>arriers to co-location</w:t>
      </w:r>
    </w:p>
    <w:p w:rsidR="00FC3CBC" w:rsidRDefault="00FC3CBC" w:rsidP="00CE04DD">
      <w:pPr>
        <w:spacing w:before="240"/>
        <w:rPr>
          <w:rFonts w:eastAsiaTheme="minorHAnsi"/>
          <w:lang w:eastAsia="en-US"/>
        </w:rPr>
      </w:pPr>
      <w:r w:rsidRPr="00FC3CBC">
        <w:rPr>
          <w:rFonts w:eastAsiaTheme="minorHAnsi"/>
          <w:lang w:eastAsia="en-US"/>
        </w:rPr>
        <w:t xml:space="preserve">In </w:t>
      </w:r>
      <w:r w:rsidR="0060106B">
        <w:rPr>
          <w:rFonts w:eastAsiaTheme="minorHAnsi"/>
          <w:lang w:eastAsia="en-US"/>
        </w:rPr>
        <w:t>addition to</w:t>
      </w:r>
      <w:r w:rsidRPr="00FC3CBC">
        <w:rPr>
          <w:rFonts w:eastAsiaTheme="minorHAnsi"/>
          <w:lang w:eastAsia="en-US"/>
        </w:rPr>
        <w:t xml:space="preserve"> upfront costs, a co-locating MNO will face ongoing access fees which are not regulated.</w:t>
      </w:r>
      <w:r w:rsidRPr="00FC3CBC">
        <w:rPr>
          <w:rFonts w:eastAsiaTheme="minorHAnsi"/>
          <w:vertAlign w:val="superscript"/>
          <w:lang w:val="en-US" w:eastAsia="en-US"/>
        </w:rPr>
        <w:footnoteReference w:id="13"/>
      </w:r>
      <w:r w:rsidRPr="00FC3CBC">
        <w:rPr>
          <w:rFonts w:eastAsiaTheme="minorHAnsi"/>
          <w:vertAlign w:val="superscript"/>
          <w:lang w:eastAsia="en-US"/>
        </w:rPr>
        <w:t xml:space="preserve"> </w:t>
      </w:r>
      <w:r w:rsidRPr="00FC3CBC">
        <w:rPr>
          <w:rFonts w:eastAsiaTheme="minorHAnsi"/>
          <w:lang w:eastAsia="en-US"/>
        </w:rPr>
        <w:t>Telstra owns most of the towers in non-metro areas and does not provide much opportunity for co-location.</w:t>
      </w:r>
      <w:r w:rsidRPr="00FC3CBC">
        <w:rPr>
          <w:rFonts w:eastAsiaTheme="minorHAnsi"/>
          <w:vertAlign w:val="superscript"/>
          <w:lang w:val="en-US" w:eastAsia="en-US"/>
        </w:rPr>
        <w:footnoteReference w:id="14"/>
      </w:r>
      <w:r w:rsidRPr="00FC3CBC">
        <w:rPr>
          <w:rFonts w:eastAsiaTheme="minorHAnsi"/>
          <w:lang w:eastAsia="en-US"/>
        </w:rPr>
        <w:t xml:space="preserve"> Because of its monopoly status in many mobile markets, Telstra can set the price for co-location. ACCAN suggests that the ACCC seek information from all three MNOs </w:t>
      </w:r>
      <w:r w:rsidRPr="00FC3CBC">
        <w:rPr>
          <w:rFonts w:eastAsiaTheme="minorHAnsi"/>
          <w:lang w:eastAsia="en-US"/>
        </w:rPr>
        <w:lastRenderedPageBreak/>
        <w:t>about the rates offered for regional co-location and the reasons for refusal to co-locate. This information should be collected on an ongoing basis and would be useful in determining if an MNO was acting anti-competitively in setting rates or refusing access to a site.</w:t>
      </w:r>
    </w:p>
    <w:p w:rsidR="00860EEA" w:rsidRDefault="00860EEA" w:rsidP="00203C14">
      <w:pPr>
        <w:pStyle w:val="ListParagraph"/>
        <w:numPr>
          <w:ilvl w:val="0"/>
          <w:numId w:val="2"/>
        </w:numPr>
        <w:rPr>
          <w:b/>
        </w:rPr>
      </w:pPr>
      <w:r w:rsidRPr="00203C14">
        <w:rPr>
          <w:b/>
        </w:rPr>
        <w:t>Co-building</w:t>
      </w:r>
    </w:p>
    <w:p w:rsidR="005A222A" w:rsidRPr="00860EEA" w:rsidRDefault="00FC3CBC" w:rsidP="00CE04DD">
      <w:pPr>
        <w:spacing w:before="240"/>
        <w:rPr>
          <w:rFonts w:eastAsiaTheme="minorHAnsi"/>
          <w:lang w:eastAsia="en-US"/>
        </w:rPr>
      </w:pPr>
      <w:r w:rsidRPr="00FC3CBC">
        <w:rPr>
          <w:rFonts w:eastAsiaTheme="minorHAnsi"/>
          <w:lang w:eastAsia="en-US"/>
        </w:rPr>
        <w:t>Many of the difficulties with co-location could potentially be avoided if MNOs agree to co-build sites. ACCAN understands that there is no regulation requiring MNOs to engage in good faith negotiations to achieve co-building. Under an Industry Code registered with ACMA, it is suggested that MNOs consult one another when proposing to build a new mobile facility.</w:t>
      </w:r>
      <w:r w:rsidRPr="00FC3CBC">
        <w:rPr>
          <w:rFonts w:eastAsiaTheme="minorHAnsi"/>
          <w:vertAlign w:val="superscript"/>
          <w:lang w:val="en-US" w:eastAsia="en-US"/>
        </w:rPr>
        <w:footnoteReference w:id="15"/>
      </w:r>
      <w:r w:rsidRPr="00FC3CBC">
        <w:rPr>
          <w:rFonts w:eastAsiaTheme="minorHAnsi"/>
          <w:lang w:eastAsia="en-US"/>
        </w:rPr>
        <w:t xml:space="preserve"> MNOs do this on a periodic basis through the Mobile Carriers Forum.</w:t>
      </w:r>
      <w:r w:rsidRPr="00FC3CBC">
        <w:rPr>
          <w:rFonts w:eastAsiaTheme="minorHAnsi"/>
          <w:vertAlign w:val="superscript"/>
          <w:lang w:val="en-US" w:eastAsia="en-US"/>
        </w:rPr>
        <w:footnoteReference w:id="16"/>
      </w:r>
      <w:r w:rsidRPr="00FC3CBC">
        <w:rPr>
          <w:rFonts w:eastAsiaTheme="minorHAnsi"/>
          <w:lang w:eastAsia="en-US"/>
        </w:rPr>
        <w:t xml:space="preserve"> Co-building should be promoted, especially for sites funded through governm</w:t>
      </w:r>
      <w:r w:rsidR="00860EEA">
        <w:rPr>
          <w:rFonts w:eastAsiaTheme="minorHAnsi"/>
          <w:lang w:eastAsia="en-US"/>
        </w:rPr>
        <w:t>ent co-investment, to</w:t>
      </w:r>
      <w:r w:rsidRPr="00FC3CBC">
        <w:rPr>
          <w:rFonts w:eastAsiaTheme="minorHAnsi"/>
          <w:lang w:eastAsia="en-US"/>
        </w:rPr>
        <w:t xml:space="preserve"> allow a greater return on government investment as MNOs would share the build costs.</w:t>
      </w:r>
    </w:p>
    <w:p w:rsidR="00860EEA" w:rsidRPr="00860EEA" w:rsidRDefault="00860EEA" w:rsidP="00860EEA">
      <w:pPr>
        <w:spacing w:before="240"/>
        <w:rPr>
          <w:rFonts w:eastAsiaTheme="minorHAnsi"/>
          <w:b/>
          <w:color w:val="4F81BD" w:themeColor="accent1"/>
          <w:sz w:val="26"/>
          <w:szCs w:val="26"/>
          <w:lang w:eastAsia="en-US"/>
        </w:rPr>
      </w:pPr>
      <w:r w:rsidRPr="00860EEA">
        <w:rPr>
          <w:rFonts w:eastAsiaTheme="minorHAnsi"/>
          <w:b/>
          <w:color w:val="4F81BD" w:themeColor="accent1"/>
          <w:sz w:val="26"/>
          <w:szCs w:val="26"/>
          <w:lang w:eastAsia="en-US"/>
        </w:rPr>
        <w:t>Mobile Black Spots Program</w:t>
      </w:r>
      <w:r w:rsidR="00203C14">
        <w:rPr>
          <w:rFonts w:eastAsiaTheme="minorHAnsi"/>
          <w:b/>
          <w:color w:val="4F81BD" w:themeColor="accent1"/>
          <w:sz w:val="26"/>
          <w:szCs w:val="26"/>
          <w:lang w:eastAsia="en-US"/>
        </w:rPr>
        <w:t xml:space="preserve"> and the</w:t>
      </w:r>
      <w:r w:rsidR="005D674C">
        <w:rPr>
          <w:rFonts w:eastAsiaTheme="minorHAnsi"/>
          <w:b/>
          <w:color w:val="4F81BD" w:themeColor="accent1"/>
          <w:sz w:val="26"/>
          <w:szCs w:val="26"/>
          <w:lang w:eastAsia="en-US"/>
        </w:rPr>
        <w:t xml:space="preserve"> need for ongoing public subsidies</w:t>
      </w:r>
    </w:p>
    <w:p w:rsidR="00860EEA" w:rsidRDefault="00860EEA" w:rsidP="00860EEA">
      <w:pPr>
        <w:spacing w:before="240"/>
        <w:rPr>
          <w:rFonts w:eastAsiaTheme="minorHAnsi"/>
          <w:lang w:eastAsia="en-US"/>
        </w:rPr>
      </w:pPr>
      <w:r>
        <w:rPr>
          <w:rFonts w:eastAsiaTheme="minorHAnsi"/>
          <w:lang w:eastAsia="en-US"/>
        </w:rPr>
        <w:t>In particular, ACCAN considers there is a strong argument for regulatory oversight of access to towers for</w:t>
      </w:r>
      <w:r w:rsidRPr="00DE5812">
        <w:rPr>
          <w:rFonts w:eastAsiaTheme="minorHAnsi"/>
          <w:lang w:eastAsia="en-US"/>
        </w:rPr>
        <w:t xml:space="preserve"> government funded mobile sites. There is a strong public interest in MNOs being prevented from leveraging their ownership of tower sites to charge unfair ongoing access fees in cases where the site has been substantially funded by government investment. On the other hand, the increased requirement to share the publically funded infrastructure may affect decisions of MNOs to extend coverage. In these circumstances, increased public subsidies may be required to ensure that the investment is still attractive to MNOs.</w:t>
      </w:r>
    </w:p>
    <w:p w:rsidR="004D0BB3" w:rsidRDefault="004D0BB3" w:rsidP="00860EEA">
      <w:pPr>
        <w:spacing w:before="240"/>
        <w:rPr>
          <w:rFonts w:eastAsiaTheme="minorHAnsi"/>
          <w:lang w:eastAsia="en-US"/>
        </w:rPr>
      </w:pPr>
      <w:r>
        <w:rPr>
          <w:lang w:val="en-US"/>
        </w:rPr>
        <w:t>In areas where there is strong consumer demand and public safety reason for expanding coverage, but no commercial incentive to invest, the full construction and maintenance costs of base stations may need to be publically funded. In such circumstances, access should be available for all MNOs to ensure public infrastructure is used as efficiently as possible, and maximum benefit delivered to the community.</w:t>
      </w:r>
      <w:r>
        <w:rPr>
          <w:rStyle w:val="FootnoteReference"/>
          <w:lang w:val="en-US"/>
        </w:rPr>
        <w:footnoteReference w:id="17"/>
      </w:r>
    </w:p>
    <w:p w:rsidR="004A0069" w:rsidRDefault="001B15A6" w:rsidP="001B15A6">
      <w:pPr>
        <w:pStyle w:val="ListParagraph"/>
        <w:numPr>
          <w:ilvl w:val="0"/>
          <w:numId w:val="2"/>
        </w:numPr>
        <w:rPr>
          <w:b/>
          <w:lang w:val="en-US"/>
        </w:rPr>
      </w:pPr>
      <w:r w:rsidRPr="001B15A6">
        <w:rPr>
          <w:b/>
          <w:lang w:val="en-US"/>
        </w:rPr>
        <w:t>Ongoing programs to support mobile network expansion</w:t>
      </w:r>
    </w:p>
    <w:p w:rsidR="004A0069" w:rsidRDefault="00BA171D" w:rsidP="00CE04DD">
      <w:pPr>
        <w:spacing w:before="240"/>
        <w:rPr>
          <w:rFonts w:eastAsiaTheme="minorHAnsi"/>
          <w:lang w:val="en-US" w:eastAsia="en-US"/>
        </w:rPr>
      </w:pPr>
      <w:r>
        <w:rPr>
          <w:rFonts w:eastAsiaTheme="minorHAnsi"/>
          <w:lang w:val="en-US" w:eastAsia="en-US"/>
        </w:rPr>
        <w:t xml:space="preserve">The ACCC’s Draft Decision notes that </w:t>
      </w:r>
      <w:r w:rsidR="00A27575">
        <w:rPr>
          <w:rFonts w:eastAsiaTheme="minorHAnsi"/>
          <w:lang w:val="en-US" w:eastAsia="en-US"/>
        </w:rPr>
        <w:t>Telstra is unlikely to expand its mobile footprint without co-investments programs and public subsidies (at p. 47), but it is likely to invest in improving its network wi</w:t>
      </w:r>
      <w:r w:rsidR="00EE13AF">
        <w:rPr>
          <w:rFonts w:eastAsiaTheme="minorHAnsi"/>
          <w:lang w:val="en-US" w:eastAsia="en-US"/>
        </w:rPr>
        <w:t>thin its</w:t>
      </w:r>
      <w:r w:rsidR="00A27575">
        <w:rPr>
          <w:rFonts w:eastAsiaTheme="minorHAnsi"/>
          <w:lang w:val="en-US" w:eastAsia="en-US"/>
        </w:rPr>
        <w:t xml:space="preserve"> current footprint. </w:t>
      </w:r>
      <w:r w:rsidR="002D0AB9">
        <w:rPr>
          <w:rFonts w:eastAsiaTheme="minorHAnsi"/>
          <w:lang w:val="en-US" w:eastAsia="en-US"/>
        </w:rPr>
        <w:t>ACCAN’s discussions with Telstra support this conclusion.</w:t>
      </w:r>
    </w:p>
    <w:p w:rsidR="00EE13AF" w:rsidRDefault="00EE13AF" w:rsidP="00C4510D">
      <w:pPr>
        <w:rPr>
          <w:rFonts w:eastAsiaTheme="minorHAnsi"/>
          <w:lang w:val="en-US" w:eastAsia="en-US"/>
        </w:rPr>
      </w:pPr>
      <w:r>
        <w:rPr>
          <w:rFonts w:eastAsiaTheme="minorHAnsi"/>
          <w:lang w:val="en-US" w:eastAsia="en-US"/>
        </w:rPr>
        <w:t>Without an ongoing commitment by governments to programs such as the Mobile Black Spots Program, there is likely to be little significant expansion of the mobile footprint in regional Au</w:t>
      </w:r>
      <w:r w:rsidR="00463CB6">
        <w:rPr>
          <w:rFonts w:eastAsiaTheme="minorHAnsi"/>
          <w:lang w:val="en-US" w:eastAsia="en-US"/>
        </w:rPr>
        <w:t>stralia. One of the key policy proposals</w:t>
      </w:r>
      <w:r>
        <w:rPr>
          <w:rFonts w:eastAsiaTheme="minorHAnsi"/>
          <w:lang w:val="en-US" w:eastAsia="en-US"/>
        </w:rPr>
        <w:t xml:space="preserve"> of the Regional, Rural and Remote Communications Coalition</w:t>
      </w:r>
      <w:r w:rsidR="005D674C">
        <w:rPr>
          <w:rStyle w:val="FootnoteReference"/>
          <w:rFonts w:eastAsiaTheme="minorHAnsi"/>
          <w:lang w:val="en-US" w:eastAsia="en-US"/>
        </w:rPr>
        <w:footnoteReference w:id="18"/>
      </w:r>
      <w:r>
        <w:rPr>
          <w:rFonts w:eastAsiaTheme="minorHAnsi"/>
          <w:lang w:val="en-US" w:eastAsia="en-US"/>
        </w:rPr>
        <w:t>, of</w:t>
      </w:r>
      <w:r w:rsidR="00762081">
        <w:rPr>
          <w:rFonts w:eastAsiaTheme="minorHAnsi"/>
          <w:lang w:val="en-US" w:eastAsia="en-US"/>
        </w:rPr>
        <w:t xml:space="preserve"> which ACCAN is a member, is for an ongoing</w:t>
      </w:r>
      <w:r w:rsidR="00463CB6">
        <w:rPr>
          <w:rFonts w:eastAsiaTheme="minorHAnsi"/>
          <w:lang w:val="en-US" w:eastAsia="en-US"/>
        </w:rPr>
        <w:t xml:space="preserve"> public funding commitment for mobile network expansion in rural and regional Australia. This should prioritise community identified areas and </w:t>
      </w:r>
      <w:r w:rsidR="009325C5">
        <w:rPr>
          <w:rFonts w:eastAsiaTheme="minorHAnsi"/>
          <w:lang w:val="en-US" w:eastAsia="en-US"/>
        </w:rPr>
        <w:t>promote competition to the maximum extent possible.</w:t>
      </w:r>
    </w:p>
    <w:p w:rsidR="009325C5" w:rsidRPr="00BA171D" w:rsidRDefault="009325C5" w:rsidP="009325C5">
      <w:pPr>
        <w:spacing w:before="240"/>
        <w:rPr>
          <w:rFonts w:eastAsiaTheme="minorHAnsi"/>
          <w:lang w:val="en-US" w:eastAsia="en-US"/>
        </w:rPr>
      </w:pPr>
      <w:r w:rsidRPr="00DE5812">
        <w:rPr>
          <w:rFonts w:eastAsiaTheme="minorHAnsi"/>
          <w:lang w:eastAsia="en-US"/>
        </w:rPr>
        <w:lastRenderedPageBreak/>
        <w:t xml:space="preserve">ACCAN considers that the ACCC </w:t>
      </w:r>
      <w:r>
        <w:rPr>
          <w:rFonts w:eastAsiaTheme="minorHAnsi"/>
          <w:lang w:eastAsia="en-US"/>
        </w:rPr>
        <w:t>should have</w:t>
      </w:r>
      <w:r w:rsidRPr="00DE5812">
        <w:rPr>
          <w:rFonts w:eastAsiaTheme="minorHAnsi"/>
          <w:lang w:eastAsia="en-US"/>
        </w:rPr>
        <w:t xml:space="preserve"> a role in approving guidelines for future government investment programs in mobile coverage (including </w:t>
      </w:r>
      <w:r>
        <w:rPr>
          <w:rFonts w:eastAsiaTheme="minorHAnsi"/>
          <w:lang w:eastAsia="en-US"/>
        </w:rPr>
        <w:t xml:space="preserve">any </w:t>
      </w:r>
      <w:r w:rsidRPr="00DE5812">
        <w:rPr>
          <w:rFonts w:eastAsiaTheme="minorHAnsi"/>
          <w:lang w:eastAsia="en-US"/>
        </w:rPr>
        <w:t xml:space="preserve">future rounds of the MBSP). </w:t>
      </w:r>
      <w:r w:rsidRPr="00DE5812">
        <w:rPr>
          <w:rFonts w:eastAsiaTheme="minorHAnsi"/>
          <w:lang w:val="en-US" w:eastAsia="en-US"/>
        </w:rPr>
        <w:t>The ACCC, as the competition regulator, holds the institutional knowledge and expertise to determine the appropriate framework to reduce anti</w:t>
      </w:r>
      <w:r>
        <w:rPr>
          <w:rFonts w:eastAsiaTheme="minorHAnsi"/>
          <w:lang w:val="en-US" w:eastAsia="en-US"/>
        </w:rPr>
        <w:t>-</w:t>
      </w:r>
      <w:r w:rsidRPr="00DE5812">
        <w:rPr>
          <w:rFonts w:eastAsiaTheme="minorHAnsi"/>
          <w:lang w:val="en-US" w:eastAsia="en-US"/>
        </w:rPr>
        <w:t>competitive outcomes.</w:t>
      </w:r>
    </w:p>
    <w:p w:rsidR="00C4510D" w:rsidRDefault="001A0D89" w:rsidP="00C32DD1">
      <w:pPr>
        <w:pStyle w:val="BodyText1"/>
        <w:rPr>
          <w:rFonts w:asciiTheme="minorHAnsi" w:eastAsiaTheme="minorEastAsia" w:hAnsiTheme="minorHAnsi" w:cstheme="minorHAnsi"/>
          <w:b/>
          <w:color w:val="4F81BD" w:themeColor="accent1"/>
          <w:sz w:val="26"/>
          <w:szCs w:val="26"/>
          <w:lang w:eastAsia="en-AU"/>
        </w:rPr>
      </w:pPr>
      <w:r>
        <w:rPr>
          <w:rFonts w:asciiTheme="minorHAnsi" w:eastAsiaTheme="minorEastAsia" w:hAnsiTheme="minorHAnsi" w:cstheme="minorHAnsi"/>
          <w:b/>
          <w:color w:val="4F81BD" w:themeColor="accent1"/>
          <w:sz w:val="26"/>
          <w:szCs w:val="26"/>
          <w:lang w:eastAsia="en-AU"/>
        </w:rPr>
        <w:t>Competition issues and sp</w:t>
      </w:r>
      <w:r w:rsidR="00670871">
        <w:rPr>
          <w:rFonts w:asciiTheme="minorHAnsi" w:eastAsiaTheme="minorEastAsia" w:hAnsiTheme="minorHAnsi" w:cstheme="minorHAnsi"/>
          <w:b/>
          <w:color w:val="4F81BD" w:themeColor="accent1"/>
          <w:sz w:val="26"/>
          <w:szCs w:val="26"/>
          <w:lang w:eastAsia="en-AU"/>
        </w:rPr>
        <w:t>ectrum management and allocation</w:t>
      </w:r>
    </w:p>
    <w:p w:rsidR="00670871" w:rsidRPr="00063F18" w:rsidRDefault="00670871" w:rsidP="00670871">
      <w:pPr>
        <w:pStyle w:val="BodyText1"/>
        <w:rPr>
          <w:rFonts w:asciiTheme="minorHAnsi" w:hAnsiTheme="minorHAnsi"/>
        </w:rPr>
      </w:pPr>
      <w:r>
        <w:rPr>
          <w:rFonts w:asciiTheme="minorHAnsi" w:hAnsiTheme="minorHAnsi"/>
        </w:rPr>
        <w:t xml:space="preserve">ACCAN is supportive of a greater role for the ACCC in ensuring competition and efficiency in the spectrum regulatory regime, to ensure that the interests of end users </w:t>
      </w:r>
      <w:r w:rsidR="00961F56">
        <w:rPr>
          <w:rFonts w:asciiTheme="minorHAnsi" w:hAnsiTheme="minorHAnsi"/>
        </w:rPr>
        <w:t xml:space="preserve">are taken into account in </w:t>
      </w:r>
      <w:r w:rsidR="00961F56" w:rsidRPr="00007412">
        <w:rPr>
          <w:rFonts w:asciiTheme="minorHAnsi" w:hAnsiTheme="minorHAnsi"/>
        </w:rPr>
        <w:t>spectrum management decisions.</w:t>
      </w:r>
    </w:p>
    <w:p w:rsidR="00C32DD1" w:rsidRDefault="00E81954" w:rsidP="00C32DD1">
      <w:pPr>
        <w:pStyle w:val="BodyText1"/>
        <w:rPr>
          <w:rFonts w:asciiTheme="minorHAnsi" w:hAnsiTheme="minorHAnsi"/>
        </w:rPr>
      </w:pPr>
      <w:r w:rsidRPr="00F9357B">
        <w:rPr>
          <w:rFonts w:asciiTheme="minorHAnsi" w:hAnsiTheme="minorHAnsi"/>
        </w:rPr>
        <w:t xml:space="preserve">We note that this is consistent with the </w:t>
      </w:r>
      <w:r w:rsidR="00961F56" w:rsidRPr="00F9357B">
        <w:rPr>
          <w:rFonts w:asciiTheme="minorHAnsi" w:hAnsiTheme="minorHAnsi"/>
        </w:rPr>
        <w:t>recommendations of the recent Commonwealth Government review of the ACMA</w:t>
      </w:r>
      <w:r w:rsidR="007E148B" w:rsidRPr="00F9357B">
        <w:rPr>
          <w:rStyle w:val="FootnoteReference"/>
          <w:rFonts w:asciiTheme="minorHAnsi" w:hAnsiTheme="minorHAnsi"/>
        </w:rPr>
        <w:footnoteReference w:id="19"/>
      </w:r>
      <w:r w:rsidR="009C09EC" w:rsidRPr="00F9357B">
        <w:rPr>
          <w:rFonts w:asciiTheme="minorHAnsi" w:hAnsiTheme="minorHAnsi"/>
        </w:rPr>
        <w:t xml:space="preserve"> </w:t>
      </w:r>
      <w:r w:rsidR="009A6B76" w:rsidRPr="00F9357B">
        <w:rPr>
          <w:rFonts w:asciiTheme="minorHAnsi" w:hAnsiTheme="minorHAnsi"/>
        </w:rPr>
        <w:t>of greater cooperation between</w:t>
      </w:r>
      <w:r w:rsidR="009A6B76" w:rsidRPr="003257D3">
        <w:rPr>
          <w:rFonts w:asciiTheme="minorHAnsi" w:hAnsiTheme="minorHAnsi"/>
        </w:rPr>
        <w:t xml:space="preserve"> </w:t>
      </w:r>
      <w:r w:rsidR="009A6B76" w:rsidRPr="0075750E">
        <w:rPr>
          <w:rFonts w:asciiTheme="minorHAnsi" w:hAnsiTheme="minorHAnsi"/>
        </w:rPr>
        <w:t>the ACMA and ACCC and</w:t>
      </w:r>
      <w:r w:rsidR="009C09EC" w:rsidRPr="0075750E">
        <w:rPr>
          <w:rFonts w:asciiTheme="minorHAnsi" w:hAnsiTheme="minorHAnsi"/>
        </w:rPr>
        <w:t xml:space="preserve"> that a</w:t>
      </w:r>
      <w:r w:rsidR="00961F56" w:rsidRPr="0075750E">
        <w:rPr>
          <w:rFonts w:asciiTheme="minorHAnsi" w:hAnsiTheme="minorHAnsi"/>
        </w:rPr>
        <w:t xml:space="preserve"> princip</w:t>
      </w:r>
      <w:r w:rsidR="009C09EC" w:rsidRPr="0075750E">
        <w:rPr>
          <w:rFonts w:asciiTheme="minorHAnsi" w:hAnsiTheme="minorHAnsi"/>
        </w:rPr>
        <w:t>le be included in the ACMA Act to ensure ACMA decisions take account of competition, innovation and efficient investment.</w:t>
      </w:r>
    </w:p>
    <w:p w:rsidR="005A7481" w:rsidRDefault="005A7481" w:rsidP="00C32DD1">
      <w:pPr>
        <w:pStyle w:val="BodyText1"/>
        <w:rPr>
          <w:rFonts w:asciiTheme="minorHAnsi" w:hAnsiTheme="minorHAnsi"/>
        </w:rPr>
      </w:pPr>
      <w:r>
        <w:rPr>
          <w:rFonts w:asciiTheme="minorHAnsi" w:hAnsiTheme="minorHAnsi"/>
        </w:rPr>
        <w:t>Yours sincerely</w:t>
      </w:r>
    </w:p>
    <w:p w:rsidR="005A7481" w:rsidRDefault="005A7481" w:rsidP="00C32DD1">
      <w:pPr>
        <w:pStyle w:val="BodyText1"/>
        <w:rPr>
          <w:rFonts w:asciiTheme="minorHAnsi" w:hAnsiTheme="minorHAnsi"/>
        </w:rPr>
      </w:pPr>
      <w:r>
        <w:rPr>
          <w:rFonts w:asciiTheme="minorHAnsi" w:hAnsiTheme="minorHAnsi"/>
          <w:noProof/>
          <w:lang w:val="en-IE" w:eastAsia="en-IE"/>
        </w:rPr>
        <w:drawing>
          <wp:inline distT="0" distB="0" distL="0" distR="0">
            <wp:extent cx="2043573" cy="61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esa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4635" cy="616270"/>
                    </a:xfrm>
                    <a:prstGeom prst="rect">
                      <a:avLst/>
                    </a:prstGeom>
                  </pic:spPr>
                </pic:pic>
              </a:graphicData>
            </a:graphic>
          </wp:inline>
        </w:drawing>
      </w:r>
    </w:p>
    <w:p w:rsidR="005A7481" w:rsidRDefault="005A7481" w:rsidP="005A7481">
      <w:pPr>
        <w:pStyle w:val="BodyText1"/>
        <w:spacing w:after="0"/>
        <w:rPr>
          <w:rFonts w:asciiTheme="minorHAnsi" w:hAnsiTheme="minorHAnsi"/>
        </w:rPr>
      </w:pPr>
      <w:r>
        <w:rPr>
          <w:rFonts w:asciiTheme="minorHAnsi" w:hAnsiTheme="minorHAnsi"/>
        </w:rPr>
        <w:t>Teresa Corbin</w:t>
      </w:r>
    </w:p>
    <w:p w:rsidR="005A7481" w:rsidRDefault="005A7481" w:rsidP="005A7481">
      <w:pPr>
        <w:pStyle w:val="BodyText1"/>
        <w:spacing w:after="0"/>
        <w:rPr>
          <w:rFonts w:asciiTheme="minorHAnsi" w:hAnsiTheme="minorHAnsi"/>
        </w:rPr>
      </w:pPr>
      <w:r>
        <w:rPr>
          <w:rFonts w:asciiTheme="minorHAnsi" w:hAnsiTheme="minorHAnsi"/>
        </w:rPr>
        <w:t>CEO</w:t>
      </w:r>
    </w:p>
    <w:p w:rsidR="005A7481" w:rsidRDefault="005A7481" w:rsidP="005A7481">
      <w:pPr>
        <w:pStyle w:val="BodyText1"/>
        <w:spacing w:after="0"/>
        <w:rPr>
          <w:rFonts w:asciiTheme="minorHAnsi" w:hAnsiTheme="minorHAnsi" w:cstheme="minorHAnsi"/>
          <w:color w:val="auto"/>
        </w:rPr>
      </w:pPr>
      <w:r>
        <w:rPr>
          <w:rFonts w:asciiTheme="minorHAnsi" w:hAnsiTheme="minorHAnsi"/>
        </w:rPr>
        <w:t>ACCAN</w:t>
      </w:r>
    </w:p>
    <w:sectPr w:rsidR="005A7481" w:rsidSect="00084A5B">
      <w:headerReference w:type="default" r:id="rId13"/>
      <w:footerReference w:type="default" r:id="rId14"/>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19" w:rsidRDefault="00BA7819" w:rsidP="005820C9">
      <w:pPr>
        <w:spacing w:after="0" w:line="240" w:lineRule="auto"/>
      </w:pPr>
      <w:r>
        <w:separator/>
      </w:r>
    </w:p>
  </w:endnote>
  <w:endnote w:type="continuationSeparator" w:id="0">
    <w:p w:rsidR="00BA7819" w:rsidRDefault="00BA7819"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61" w:rsidRDefault="00017C61" w:rsidP="00002D94">
    <w:pPr>
      <w:pStyle w:val="Footer"/>
    </w:pPr>
    <w:r>
      <w:rPr>
        <w:noProof/>
        <w:lang w:val="en-IE" w:eastAsia="en-IE"/>
      </w:rPr>
      <mc:AlternateContent>
        <mc:Choice Requires="wpg">
          <w:drawing>
            <wp:anchor distT="0" distB="0" distL="114300" distR="114300" simplePos="0" relativeHeight="251659264" behindDoc="1" locked="0" layoutInCell="1" allowOverlap="1" wp14:anchorId="7681496D" wp14:editId="58EACF1C">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17C61" w:rsidRDefault="00017C61" w:rsidP="001C28E7">
                            <w:pPr>
                              <w:spacing w:after="0" w:line="240" w:lineRule="auto"/>
                              <w:rPr>
                                <w:color w:val="23B0E6"/>
                                <w:sz w:val="20"/>
                                <w:szCs w:val="20"/>
                              </w:rPr>
                            </w:pPr>
                          </w:p>
                          <w:p w:rsidR="00017C61" w:rsidRPr="00002D94" w:rsidRDefault="00017C61" w:rsidP="001C28E7">
                            <w:pPr>
                              <w:spacing w:after="0" w:line="240" w:lineRule="auto"/>
                              <w:rPr>
                                <w:color w:val="23B0E6"/>
                                <w:sz w:val="20"/>
                                <w:szCs w:val="20"/>
                              </w:rPr>
                            </w:pPr>
                            <w:r w:rsidRPr="00002D94">
                              <w:rPr>
                                <w:color w:val="23B0E6"/>
                                <w:sz w:val="20"/>
                                <w:szCs w:val="20"/>
                              </w:rPr>
                              <w:t>Australian Communications Consumer Action Network (ACCAN)</w:t>
                            </w:r>
                          </w:p>
                          <w:p w:rsidR="00017C61" w:rsidRPr="00002D94" w:rsidRDefault="00017C61" w:rsidP="007D3F16">
                            <w:pPr>
                              <w:spacing w:after="0" w:line="240" w:lineRule="auto"/>
                              <w:rPr>
                                <w:i/>
                                <w:color w:val="23B0E6"/>
                                <w:sz w:val="20"/>
                                <w:szCs w:val="20"/>
                              </w:rPr>
                            </w:pPr>
                            <w:r w:rsidRPr="00002D94">
                              <w:rPr>
                                <w:i/>
                                <w:color w:val="23B0E6"/>
                                <w:sz w:val="20"/>
                                <w:szCs w:val="20"/>
                              </w:rPr>
                              <w:t>Australia’s peak telecommunications consumer organisation</w:t>
                            </w:r>
                          </w:p>
                          <w:p w:rsidR="00017C61" w:rsidRPr="00002D94" w:rsidRDefault="00017C61" w:rsidP="007D3F16">
                            <w:pPr>
                              <w:spacing w:after="0" w:line="240" w:lineRule="auto"/>
                              <w:rPr>
                                <w:sz w:val="20"/>
                                <w:szCs w:val="20"/>
                              </w:rPr>
                            </w:pPr>
                            <w:r w:rsidRPr="00002D94">
                              <w:rPr>
                                <w:sz w:val="20"/>
                                <w:szCs w:val="20"/>
                              </w:rPr>
                              <w:t>Suite 4.02, 55 Mountain St, Ultimo NSW 2007</w:t>
                            </w:r>
                          </w:p>
                          <w:p w:rsidR="00017C61" w:rsidRPr="00002D94" w:rsidRDefault="00017C61" w:rsidP="007D3F16">
                            <w:pPr>
                              <w:spacing w:after="0" w:line="240" w:lineRule="auto"/>
                              <w:rPr>
                                <w:sz w:val="20"/>
                                <w:szCs w:val="20"/>
                              </w:rPr>
                            </w:pPr>
                            <w:r w:rsidRPr="00002D94">
                              <w:rPr>
                                <w:sz w:val="20"/>
                                <w:szCs w:val="20"/>
                              </w:rPr>
                              <w:t>Tel: (02) 9288 4000 | TTY: (02) 9281 5322 | Fax: (02) 9288 4019</w:t>
                            </w:r>
                          </w:p>
                          <w:p w:rsidR="00017C61" w:rsidRPr="00002D94" w:rsidRDefault="00017C61"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17C61" w:rsidRDefault="00017C61" w:rsidP="001C28E7">
                      <w:pPr>
                        <w:spacing w:after="0" w:line="240" w:lineRule="auto"/>
                        <w:rPr>
                          <w:color w:val="23B0E6"/>
                          <w:sz w:val="20"/>
                          <w:szCs w:val="20"/>
                        </w:rPr>
                      </w:pPr>
                    </w:p>
                    <w:p w:rsidR="00017C61" w:rsidRPr="00002D94" w:rsidRDefault="00017C61" w:rsidP="001C28E7">
                      <w:pPr>
                        <w:spacing w:after="0" w:line="240" w:lineRule="auto"/>
                        <w:rPr>
                          <w:color w:val="23B0E6"/>
                          <w:sz w:val="20"/>
                          <w:szCs w:val="20"/>
                        </w:rPr>
                      </w:pPr>
                      <w:r w:rsidRPr="00002D94">
                        <w:rPr>
                          <w:color w:val="23B0E6"/>
                          <w:sz w:val="20"/>
                          <w:szCs w:val="20"/>
                        </w:rPr>
                        <w:t>Australian Communications Consumer Action Network (ACCAN)</w:t>
                      </w:r>
                    </w:p>
                    <w:p w:rsidR="00017C61" w:rsidRPr="00002D94" w:rsidRDefault="00017C61" w:rsidP="007D3F16">
                      <w:pPr>
                        <w:spacing w:after="0" w:line="240" w:lineRule="auto"/>
                        <w:rPr>
                          <w:i/>
                          <w:color w:val="23B0E6"/>
                          <w:sz w:val="20"/>
                          <w:szCs w:val="20"/>
                        </w:rPr>
                      </w:pPr>
                      <w:r w:rsidRPr="00002D94">
                        <w:rPr>
                          <w:i/>
                          <w:color w:val="23B0E6"/>
                          <w:sz w:val="20"/>
                          <w:szCs w:val="20"/>
                        </w:rPr>
                        <w:t>Australia’s peak telecommunications consumer organisation</w:t>
                      </w:r>
                    </w:p>
                    <w:p w:rsidR="00017C61" w:rsidRPr="00002D94" w:rsidRDefault="00017C61" w:rsidP="007D3F16">
                      <w:pPr>
                        <w:spacing w:after="0" w:line="240" w:lineRule="auto"/>
                        <w:rPr>
                          <w:sz w:val="20"/>
                          <w:szCs w:val="20"/>
                        </w:rPr>
                      </w:pPr>
                      <w:r w:rsidRPr="00002D94">
                        <w:rPr>
                          <w:sz w:val="20"/>
                          <w:szCs w:val="20"/>
                        </w:rPr>
                        <w:t>Suite 4.02, 55 Mountain St, Ultimo NSW 2007</w:t>
                      </w:r>
                    </w:p>
                    <w:p w:rsidR="00017C61" w:rsidRPr="00002D94" w:rsidRDefault="00017C61" w:rsidP="007D3F16">
                      <w:pPr>
                        <w:spacing w:after="0" w:line="240" w:lineRule="auto"/>
                        <w:rPr>
                          <w:sz w:val="20"/>
                          <w:szCs w:val="20"/>
                        </w:rPr>
                      </w:pPr>
                      <w:r w:rsidRPr="00002D94">
                        <w:rPr>
                          <w:sz w:val="20"/>
                          <w:szCs w:val="20"/>
                        </w:rPr>
                        <w:t>Tel: (02) 9288 4000 | TTY: (02) 9281 5322 | Fax: (02) 9288 4019</w:t>
                      </w:r>
                    </w:p>
                    <w:p w:rsidR="00017C61" w:rsidRPr="00002D94" w:rsidRDefault="00017C61"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61" w:rsidRPr="00E05115" w:rsidRDefault="00017C61"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0D6065">
      <w:rPr>
        <w:noProof/>
      </w:rPr>
      <w:t>6</w:t>
    </w:r>
    <w:r w:rsidRPr="00C4251E">
      <w:rPr>
        <w:noProof/>
      </w:rPr>
      <w:fldChar w:fldCharType="end"/>
    </w:r>
  </w:p>
  <w:p w:rsidR="00017C61" w:rsidRDefault="00017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19" w:rsidRDefault="00BA7819" w:rsidP="005820C9">
      <w:pPr>
        <w:spacing w:after="0" w:line="240" w:lineRule="auto"/>
      </w:pPr>
      <w:r>
        <w:separator/>
      </w:r>
    </w:p>
  </w:footnote>
  <w:footnote w:type="continuationSeparator" w:id="0">
    <w:p w:rsidR="00BA7819" w:rsidRDefault="00BA7819" w:rsidP="005820C9">
      <w:pPr>
        <w:spacing w:after="0" w:line="240" w:lineRule="auto"/>
      </w:pPr>
      <w:r>
        <w:continuationSeparator/>
      </w:r>
    </w:p>
  </w:footnote>
  <w:footnote w:id="1">
    <w:p w:rsidR="00017C61" w:rsidRPr="0075750E" w:rsidRDefault="00017C61" w:rsidP="000368C6">
      <w:pPr>
        <w:pStyle w:val="FootnoteText"/>
        <w:rPr>
          <w:sz w:val="16"/>
          <w:szCs w:val="16"/>
          <w:lang w:val="en-AU"/>
        </w:rPr>
      </w:pPr>
      <w:r w:rsidRPr="004F03E1">
        <w:rPr>
          <w:rStyle w:val="FootnoteReference"/>
          <w:sz w:val="16"/>
          <w:szCs w:val="16"/>
        </w:rPr>
        <w:footnoteRef/>
      </w:r>
      <w:r w:rsidRPr="004F03E1">
        <w:rPr>
          <w:sz w:val="16"/>
          <w:szCs w:val="16"/>
        </w:rPr>
        <w:t xml:space="preserve"> </w:t>
      </w:r>
      <w:r w:rsidRPr="004F03E1">
        <w:rPr>
          <w:sz w:val="16"/>
          <w:szCs w:val="16"/>
          <w:lang w:val="en-AU"/>
        </w:rPr>
        <w:t xml:space="preserve">See for example </w:t>
      </w:r>
      <w:hyperlink r:id="rId1" w:anchor="collapse-three" w:tooltip="Opens in new (or separate) window" w:history="1">
        <w:r w:rsidRPr="0075750E">
          <w:rPr>
            <w:rStyle w:val="Hyperlink"/>
            <w:sz w:val="16"/>
            <w:szCs w:val="16"/>
          </w:rPr>
          <w:t>ALDI Mobile Coverage map (Telstra MVNO).</w:t>
        </w:r>
      </w:hyperlink>
    </w:p>
  </w:footnote>
  <w:footnote w:id="2">
    <w:p w:rsidR="00017C61" w:rsidRPr="007548B3" w:rsidRDefault="00017C61">
      <w:pPr>
        <w:pStyle w:val="FootnoteText"/>
        <w:rPr>
          <w:sz w:val="16"/>
          <w:szCs w:val="16"/>
          <w:lang w:val="en-AU"/>
        </w:rPr>
      </w:pPr>
      <w:r w:rsidRPr="0075750E">
        <w:rPr>
          <w:rStyle w:val="FootnoteReference"/>
          <w:sz w:val="16"/>
          <w:szCs w:val="16"/>
        </w:rPr>
        <w:footnoteRef/>
      </w:r>
      <w:r w:rsidRPr="0075750E">
        <w:rPr>
          <w:sz w:val="16"/>
          <w:szCs w:val="16"/>
        </w:rPr>
        <w:t xml:space="preserve"> </w:t>
      </w:r>
      <w:hyperlink r:id="rId2" w:history="1">
        <w:r w:rsidRPr="0075750E">
          <w:rPr>
            <w:rStyle w:val="Hyperlink"/>
            <w:sz w:val="16"/>
            <w:szCs w:val="16"/>
          </w:rPr>
          <w:t>http://boost.com.au/coverage-map/</w:t>
        </w:r>
      </w:hyperlink>
      <w:r w:rsidRPr="0075750E">
        <w:rPr>
          <w:sz w:val="16"/>
          <w:szCs w:val="16"/>
        </w:rPr>
        <w:t xml:space="preserve"> (checked 9 June 2017)</w:t>
      </w:r>
    </w:p>
  </w:footnote>
  <w:footnote w:id="3">
    <w:p w:rsidR="00017C61" w:rsidRPr="0075750E" w:rsidRDefault="00017C61">
      <w:pPr>
        <w:pStyle w:val="FootnoteText"/>
        <w:rPr>
          <w:sz w:val="16"/>
          <w:szCs w:val="16"/>
          <w:vertAlign w:val="subscript"/>
          <w:lang w:val="en-AU"/>
        </w:rPr>
      </w:pPr>
      <w:r w:rsidRPr="0075750E">
        <w:rPr>
          <w:rStyle w:val="FootnoteReference"/>
          <w:sz w:val="16"/>
          <w:szCs w:val="16"/>
          <w:vertAlign w:val="subscript"/>
        </w:rPr>
        <w:footnoteRef/>
      </w:r>
      <w:r w:rsidRPr="0075750E">
        <w:rPr>
          <w:sz w:val="16"/>
          <w:szCs w:val="16"/>
          <w:vertAlign w:val="subscript"/>
        </w:rPr>
        <w:t xml:space="preserve"> </w:t>
      </w:r>
      <w:hyperlink r:id="rId3" w:history="1">
        <w:r w:rsidRPr="0075750E">
          <w:rPr>
            <w:rStyle w:val="Hyperlink"/>
            <w:sz w:val="16"/>
            <w:szCs w:val="16"/>
          </w:rPr>
          <w:t>https://www.telstra.com.au/coverage-networks/our-coverage</w:t>
        </w:r>
      </w:hyperlink>
      <w:r w:rsidRPr="0075750E">
        <w:rPr>
          <w:sz w:val="16"/>
          <w:szCs w:val="16"/>
        </w:rPr>
        <w:t xml:space="preserve"> (checked 9 June 2017)</w:t>
      </w:r>
    </w:p>
  </w:footnote>
  <w:footnote w:id="4">
    <w:p w:rsidR="00017C61" w:rsidRPr="0075750E" w:rsidRDefault="00017C61">
      <w:pPr>
        <w:pStyle w:val="FootnoteText"/>
        <w:rPr>
          <w:sz w:val="16"/>
          <w:szCs w:val="16"/>
          <w:lang w:val="en-AU"/>
        </w:rPr>
      </w:pPr>
      <w:r w:rsidRPr="0075750E">
        <w:rPr>
          <w:rStyle w:val="FootnoteReference"/>
          <w:sz w:val="16"/>
          <w:szCs w:val="16"/>
        </w:rPr>
        <w:footnoteRef/>
      </w:r>
      <w:r w:rsidRPr="0075750E">
        <w:rPr>
          <w:sz w:val="16"/>
          <w:szCs w:val="16"/>
        </w:rPr>
        <w:t xml:space="preserve"> </w:t>
      </w:r>
      <w:hyperlink r:id="rId4" w:history="1">
        <w:r w:rsidRPr="0075750E">
          <w:rPr>
            <w:rStyle w:val="Hyperlink"/>
            <w:sz w:val="16"/>
            <w:szCs w:val="16"/>
          </w:rPr>
          <w:t>http://www.digitaleconomygroup.com.au/overview.html</w:t>
        </w:r>
      </w:hyperlink>
    </w:p>
  </w:footnote>
  <w:footnote w:id="5">
    <w:p w:rsidR="00017C61" w:rsidRPr="0075750E" w:rsidRDefault="00017C61">
      <w:pPr>
        <w:pStyle w:val="FootnoteText"/>
        <w:rPr>
          <w:sz w:val="16"/>
          <w:szCs w:val="16"/>
          <w:lang w:val="en-AU"/>
        </w:rPr>
      </w:pPr>
      <w:r w:rsidRPr="0075750E">
        <w:rPr>
          <w:rStyle w:val="FootnoteReference"/>
          <w:sz w:val="16"/>
          <w:szCs w:val="16"/>
        </w:rPr>
        <w:footnoteRef/>
      </w:r>
      <w:r w:rsidRPr="0075750E">
        <w:rPr>
          <w:sz w:val="16"/>
          <w:szCs w:val="16"/>
        </w:rPr>
        <w:t xml:space="preserve"> </w:t>
      </w:r>
      <w:hyperlink r:id="rId5" w:history="1">
        <w:r w:rsidRPr="0075750E">
          <w:rPr>
            <w:rStyle w:val="Hyperlink"/>
            <w:sz w:val="16"/>
            <w:szCs w:val="16"/>
          </w:rPr>
          <w:t>https://www.businessinsider.com.au/telstra-is-pouring-an-extra-3-billion-into-its-network-after-painful-outages-2016-8</w:t>
        </w:r>
      </w:hyperlink>
    </w:p>
  </w:footnote>
  <w:footnote w:id="6">
    <w:p w:rsidR="00017C61" w:rsidRPr="00C92D8F" w:rsidRDefault="00017C61" w:rsidP="00C623CB">
      <w:pPr>
        <w:pStyle w:val="FootnoteText"/>
        <w:rPr>
          <w:rFonts w:ascii="Calibri" w:hAnsi="Calibri"/>
          <w:sz w:val="16"/>
          <w:szCs w:val="16"/>
        </w:rPr>
      </w:pPr>
      <w:r w:rsidRPr="00981565">
        <w:rPr>
          <w:rStyle w:val="FootnoteReference"/>
          <w:rFonts w:ascii="Calibri" w:hAnsi="Calibri"/>
          <w:sz w:val="16"/>
          <w:szCs w:val="16"/>
        </w:rPr>
        <w:footnoteRef/>
      </w:r>
      <w:r w:rsidRPr="00981565">
        <w:rPr>
          <w:rFonts w:ascii="Calibri" w:hAnsi="Calibri"/>
          <w:sz w:val="16"/>
          <w:szCs w:val="16"/>
        </w:rPr>
        <w:t xml:space="preserve"> </w:t>
      </w:r>
      <w:hyperlink r:id="rId6" w:tooltip="Opens in new (or separate) window" w:history="1">
        <w:r w:rsidRPr="0075750E">
          <w:rPr>
            <w:rStyle w:val="Hyperlink"/>
            <w:rFonts w:ascii="Calibri" w:hAnsi="Calibri"/>
            <w:sz w:val="16"/>
            <w:szCs w:val="16"/>
          </w:rPr>
          <w:t>ACMA, ‘Communications Report 2010-11’ at p. 38.</w:t>
        </w:r>
      </w:hyperlink>
    </w:p>
  </w:footnote>
  <w:footnote w:id="7">
    <w:p w:rsidR="00017C61" w:rsidRPr="0075750E" w:rsidRDefault="00017C61">
      <w:pPr>
        <w:pStyle w:val="FootnoteText"/>
        <w:rPr>
          <w:sz w:val="16"/>
          <w:szCs w:val="16"/>
          <w:lang w:val="en-AU"/>
        </w:rPr>
      </w:pPr>
      <w:r w:rsidRPr="0075750E">
        <w:rPr>
          <w:rStyle w:val="FootnoteReference"/>
          <w:sz w:val="16"/>
          <w:szCs w:val="16"/>
        </w:rPr>
        <w:footnoteRef/>
      </w:r>
      <w:r w:rsidRPr="0075750E">
        <w:rPr>
          <w:sz w:val="16"/>
          <w:szCs w:val="16"/>
        </w:rPr>
        <w:t xml:space="preserve"> </w:t>
      </w:r>
      <w:hyperlink r:id="rId7" w:history="1">
        <w:r w:rsidRPr="0075750E">
          <w:rPr>
            <w:rStyle w:val="Hyperlink"/>
            <w:sz w:val="16"/>
            <w:szCs w:val="16"/>
          </w:rPr>
          <w:t>http://accan.org.au/our-work/submissions/1339-accc-inquiry-into-domestic-mobile-roaming</w:t>
        </w:r>
      </w:hyperlink>
    </w:p>
  </w:footnote>
  <w:footnote w:id="8">
    <w:p w:rsidR="00017C61" w:rsidRPr="00C92D8F" w:rsidRDefault="00017C61" w:rsidP="00017AFE">
      <w:pPr>
        <w:pStyle w:val="FootnoteText"/>
        <w:rPr>
          <w:rFonts w:ascii="Calibri" w:hAnsi="Calibri"/>
          <w:sz w:val="16"/>
          <w:szCs w:val="16"/>
          <w:lang w:val="en-AU"/>
        </w:rPr>
      </w:pPr>
      <w:r w:rsidRPr="00981565">
        <w:rPr>
          <w:rStyle w:val="FootnoteReference"/>
          <w:rFonts w:ascii="Calibri" w:hAnsi="Calibri"/>
          <w:sz w:val="16"/>
          <w:szCs w:val="16"/>
        </w:rPr>
        <w:footnoteRef/>
      </w:r>
      <w:r w:rsidRPr="00981565">
        <w:rPr>
          <w:rFonts w:ascii="Calibri" w:hAnsi="Calibri"/>
          <w:sz w:val="16"/>
          <w:szCs w:val="16"/>
        </w:rPr>
        <w:t xml:space="preserve"> </w:t>
      </w:r>
      <w:hyperlink r:id="rId8" w:tooltip="Opens in new (or separate) window" w:history="1">
        <w:r w:rsidRPr="0075750E">
          <w:rPr>
            <w:rStyle w:val="Hyperlink"/>
            <w:rFonts w:ascii="Calibri" w:hAnsi="Calibri"/>
            <w:sz w:val="16"/>
            <w:szCs w:val="16"/>
          </w:rPr>
          <w:t>The Centre for International Economics, ‘Australia’s telecommunications market structure – the price premium paid by consumers - prepared for Vodafone Hutchison Australia’, June 2015</w:t>
        </w:r>
      </w:hyperlink>
      <w:r w:rsidRPr="0075750E">
        <w:rPr>
          <w:rFonts w:ascii="Calibri" w:hAnsi="Calibri"/>
          <w:sz w:val="16"/>
          <w:szCs w:val="16"/>
          <w:lang w:val="en-AU"/>
        </w:rPr>
        <w:t>, at p. 12.</w:t>
      </w:r>
    </w:p>
  </w:footnote>
  <w:footnote w:id="9">
    <w:p w:rsidR="00017C61" w:rsidRPr="0075750E" w:rsidRDefault="00017C61" w:rsidP="00017AFE">
      <w:pPr>
        <w:pStyle w:val="FootnoteText"/>
        <w:rPr>
          <w:rFonts w:ascii="Calibri" w:hAnsi="Calibri"/>
          <w:sz w:val="16"/>
          <w:szCs w:val="16"/>
        </w:rPr>
      </w:pPr>
      <w:r w:rsidRPr="00981565">
        <w:rPr>
          <w:rStyle w:val="FootnoteReference"/>
          <w:sz w:val="16"/>
          <w:szCs w:val="16"/>
        </w:rPr>
        <w:footnoteRef/>
      </w:r>
      <w:r w:rsidRPr="00981565">
        <w:rPr>
          <w:sz w:val="16"/>
          <w:szCs w:val="16"/>
        </w:rPr>
        <w:t xml:space="preserve"> </w:t>
      </w:r>
      <w:hyperlink r:id="rId9" w:tooltip="Opens in new (or separate) window" w:history="1">
        <w:r w:rsidRPr="0075750E">
          <w:rPr>
            <w:rStyle w:val="Hyperlink"/>
            <w:rFonts w:ascii="Calibri" w:hAnsi="Calibri"/>
            <w:sz w:val="16"/>
            <w:szCs w:val="16"/>
          </w:rPr>
          <w:t>ACCC, ‘Competition limits advice for 1800 MHz spectrum in regional areas’, May 2015 at para [3.4.2]</w:t>
        </w:r>
      </w:hyperlink>
    </w:p>
  </w:footnote>
  <w:footnote w:id="10">
    <w:p w:rsidR="00017C61" w:rsidRPr="0075750E" w:rsidRDefault="00017C61" w:rsidP="00017AFE">
      <w:pPr>
        <w:pStyle w:val="FootnoteText"/>
        <w:rPr>
          <w:rFonts w:ascii="Calibri" w:hAnsi="Calibri"/>
          <w:sz w:val="16"/>
          <w:szCs w:val="16"/>
          <w:lang w:val="en-AU"/>
        </w:rPr>
      </w:pPr>
      <w:r w:rsidRPr="0075750E">
        <w:rPr>
          <w:rStyle w:val="FootnoteReference"/>
          <w:rFonts w:ascii="Calibri" w:hAnsi="Calibri"/>
          <w:sz w:val="16"/>
          <w:szCs w:val="16"/>
        </w:rPr>
        <w:footnoteRef/>
      </w:r>
      <w:r w:rsidRPr="0075750E">
        <w:rPr>
          <w:rFonts w:ascii="Calibri" w:hAnsi="Calibri"/>
          <w:sz w:val="16"/>
          <w:szCs w:val="16"/>
        </w:rPr>
        <w:t xml:space="preserve"> </w:t>
      </w:r>
      <w:hyperlink r:id="rId10" w:tooltip="Opens in new (or separate) window" w:history="1">
        <w:r w:rsidRPr="0075750E">
          <w:rPr>
            <w:rStyle w:val="Hyperlink"/>
            <w:rFonts w:ascii="Calibri" w:hAnsi="Calibri"/>
            <w:sz w:val="16"/>
            <w:szCs w:val="16"/>
          </w:rPr>
          <w:t xml:space="preserve">Simon Thomsen, ‘The ACCC's just opened the door for mobile from Optus and Vodafone in regional Australia’ </w:t>
        </w:r>
        <w:r w:rsidRPr="0075750E">
          <w:rPr>
            <w:rStyle w:val="Hyperlink"/>
            <w:rFonts w:ascii="Calibri" w:hAnsi="Calibri"/>
            <w:i/>
            <w:sz w:val="16"/>
            <w:szCs w:val="16"/>
          </w:rPr>
          <w:t xml:space="preserve">Business Insider Australia, </w:t>
        </w:r>
        <w:r w:rsidRPr="0075750E">
          <w:rPr>
            <w:rStyle w:val="Hyperlink"/>
            <w:rFonts w:ascii="Calibri" w:hAnsi="Calibri"/>
            <w:sz w:val="16"/>
            <w:szCs w:val="16"/>
          </w:rPr>
          <w:t>21 April 2016</w:t>
        </w:r>
      </w:hyperlink>
      <w:r w:rsidRPr="0075750E">
        <w:rPr>
          <w:rFonts w:ascii="Calibri" w:hAnsi="Calibri"/>
          <w:sz w:val="16"/>
          <w:szCs w:val="16"/>
        </w:rPr>
        <w:t>.</w:t>
      </w:r>
    </w:p>
  </w:footnote>
  <w:footnote w:id="11">
    <w:p w:rsidR="00017C61" w:rsidRPr="0075750E" w:rsidRDefault="00017C61" w:rsidP="00017AFE">
      <w:pPr>
        <w:pStyle w:val="FootnoteText"/>
        <w:rPr>
          <w:rFonts w:ascii="Calibri" w:hAnsi="Calibri"/>
          <w:sz w:val="16"/>
          <w:szCs w:val="16"/>
          <w:lang w:val="en-AU"/>
        </w:rPr>
      </w:pPr>
      <w:r w:rsidRPr="0075750E">
        <w:rPr>
          <w:rStyle w:val="FootnoteReference"/>
          <w:rFonts w:ascii="Calibri" w:hAnsi="Calibri"/>
          <w:sz w:val="16"/>
          <w:szCs w:val="16"/>
        </w:rPr>
        <w:footnoteRef/>
      </w:r>
      <w:r w:rsidRPr="0075750E">
        <w:rPr>
          <w:rFonts w:ascii="Calibri" w:hAnsi="Calibri"/>
          <w:sz w:val="16"/>
          <w:szCs w:val="16"/>
        </w:rPr>
        <w:t xml:space="preserve"> </w:t>
      </w:r>
      <w:hyperlink r:id="rId11" w:tooltip="Opens in new (or separate) window" w:history="1">
        <w:r w:rsidRPr="0075750E">
          <w:rPr>
            <w:rStyle w:val="Hyperlink"/>
            <w:rFonts w:ascii="Calibri" w:hAnsi="Calibri"/>
            <w:sz w:val="16"/>
            <w:szCs w:val="16"/>
          </w:rPr>
          <w:t>Department of Communications and the Arts, Mobile Black Spot Programme—round 2 guidelines, version 1.1</w:t>
        </w:r>
      </w:hyperlink>
      <w:r w:rsidRPr="0075750E">
        <w:rPr>
          <w:rFonts w:ascii="Calibri" w:hAnsi="Calibri"/>
          <w:sz w:val="16"/>
          <w:szCs w:val="16"/>
        </w:rPr>
        <w:t xml:space="preserve"> at p. 18  at para [5.4.4].</w:t>
      </w:r>
    </w:p>
  </w:footnote>
  <w:footnote w:id="12">
    <w:p w:rsidR="000F391B" w:rsidRPr="000F391B" w:rsidRDefault="000F391B">
      <w:pPr>
        <w:pStyle w:val="FootnoteText"/>
        <w:rPr>
          <w:sz w:val="16"/>
          <w:szCs w:val="16"/>
          <w:lang w:val="en-AU"/>
        </w:rPr>
      </w:pPr>
      <w:r w:rsidRPr="000F391B">
        <w:rPr>
          <w:rStyle w:val="FootnoteReference"/>
          <w:sz w:val="16"/>
          <w:szCs w:val="16"/>
        </w:rPr>
        <w:footnoteRef/>
      </w:r>
      <w:r w:rsidRPr="000F391B">
        <w:rPr>
          <w:sz w:val="16"/>
          <w:szCs w:val="16"/>
        </w:rPr>
        <w:t xml:space="preserve"> </w:t>
      </w:r>
      <w:r w:rsidRPr="000F391B">
        <w:rPr>
          <w:sz w:val="16"/>
          <w:szCs w:val="16"/>
          <w:lang w:val="en-AU"/>
        </w:rPr>
        <w:t>Telstra, Submission to the Productivity Commission Issues Paper on Natural Disaster Funding Arrangements, 6 June 2014, at p.8</w:t>
      </w:r>
    </w:p>
  </w:footnote>
  <w:footnote w:id="13">
    <w:p w:rsidR="00017C61" w:rsidRPr="0075750E" w:rsidRDefault="00017C61" w:rsidP="00FC3CBC">
      <w:pPr>
        <w:pStyle w:val="FootnoteText"/>
        <w:rPr>
          <w:rFonts w:ascii="Calibri" w:hAnsi="Calibri"/>
          <w:sz w:val="16"/>
          <w:szCs w:val="16"/>
        </w:rPr>
      </w:pPr>
      <w:r w:rsidRPr="009A6B76">
        <w:rPr>
          <w:rStyle w:val="FootnoteReference"/>
          <w:rFonts w:ascii="Calibri" w:hAnsi="Calibri"/>
          <w:sz w:val="16"/>
          <w:szCs w:val="16"/>
        </w:rPr>
        <w:footnoteRef/>
      </w:r>
      <w:r w:rsidRPr="009A6B76">
        <w:rPr>
          <w:rFonts w:ascii="Calibri" w:hAnsi="Calibri"/>
          <w:sz w:val="16"/>
          <w:szCs w:val="16"/>
        </w:rPr>
        <w:t xml:space="preserve"> </w:t>
      </w:r>
      <w:hyperlink r:id="rId12" w:tooltip="Opens in new (or separate) window" w:history="1">
        <w:r w:rsidRPr="0075750E">
          <w:rPr>
            <w:rStyle w:val="Hyperlink"/>
            <w:rFonts w:ascii="Calibri" w:hAnsi="Calibri"/>
            <w:sz w:val="16"/>
            <w:szCs w:val="16"/>
          </w:rPr>
          <w:t>Optus, Submission in response to Mobile Coverage Programme Discussion Paper, February 2014</w:t>
        </w:r>
      </w:hyperlink>
      <w:r w:rsidRPr="0075750E">
        <w:rPr>
          <w:rFonts w:ascii="Calibri" w:hAnsi="Calibri"/>
          <w:sz w:val="16"/>
          <w:szCs w:val="16"/>
        </w:rPr>
        <w:t xml:space="preserve"> at p. 9 at para [2.17].</w:t>
      </w:r>
    </w:p>
  </w:footnote>
  <w:footnote w:id="14">
    <w:p w:rsidR="00017C61" w:rsidRPr="0075750E" w:rsidRDefault="00017C61" w:rsidP="00FC3CBC">
      <w:pPr>
        <w:pStyle w:val="FootnoteText"/>
        <w:rPr>
          <w:rFonts w:ascii="Calibri" w:hAnsi="Calibri"/>
          <w:sz w:val="16"/>
          <w:szCs w:val="16"/>
          <w:lang w:val="en-AU"/>
        </w:rPr>
      </w:pPr>
      <w:r w:rsidRPr="0075750E">
        <w:rPr>
          <w:rStyle w:val="FootnoteReference"/>
          <w:rFonts w:ascii="Calibri" w:hAnsi="Calibri"/>
          <w:sz w:val="16"/>
          <w:szCs w:val="16"/>
        </w:rPr>
        <w:footnoteRef/>
      </w:r>
      <w:r w:rsidRPr="0075750E">
        <w:rPr>
          <w:rFonts w:ascii="Calibri" w:hAnsi="Calibri"/>
          <w:sz w:val="16"/>
          <w:szCs w:val="16"/>
        </w:rPr>
        <w:t xml:space="preserve"> </w:t>
      </w:r>
      <w:hyperlink r:id="rId13" w:tooltip="Opens in new (or separate) window" w:history="1">
        <w:r w:rsidRPr="0075750E">
          <w:rPr>
            <w:rStyle w:val="Hyperlink"/>
            <w:rFonts w:ascii="Calibri" w:hAnsi="Calibri"/>
            <w:sz w:val="16"/>
            <w:szCs w:val="16"/>
          </w:rPr>
          <w:t>The Centre for International Economics, ‘Australia’s telecommunications market structure - the price premium paid by consumers’, prepared for Vodafone Hutchinson Australia, June 2013 at page 12.</w:t>
        </w:r>
      </w:hyperlink>
    </w:p>
  </w:footnote>
  <w:footnote w:id="15">
    <w:p w:rsidR="00017C61" w:rsidRPr="009A6B76" w:rsidRDefault="00017C61" w:rsidP="00FC3CBC">
      <w:pPr>
        <w:pStyle w:val="FootnoteText"/>
        <w:rPr>
          <w:rFonts w:ascii="Calibri" w:hAnsi="Calibri"/>
          <w:sz w:val="16"/>
          <w:szCs w:val="16"/>
          <w:lang w:val="en-AU"/>
        </w:rPr>
      </w:pPr>
      <w:r w:rsidRPr="0075750E">
        <w:rPr>
          <w:rStyle w:val="FootnoteReference"/>
          <w:rFonts w:ascii="Calibri" w:hAnsi="Calibri"/>
          <w:sz w:val="16"/>
          <w:szCs w:val="16"/>
        </w:rPr>
        <w:footnoteRef/>
      </w:r>
      <w:r w:rsidRPr="0075750E">
        <w:rPr>
          <w:rFonts w:ascii="Calibri" w:hAnsi="Calibri"/>
          <w:sz w:val="16"/>
          <w:szCs w:val="16"/>
        </w:rPr>
        <w:t xml:space="preserve"> Clause </w:t>
      </w:r>
      <w:r w:rsidRPr="0075750E">
        <w:rPr>
          <w:rFonts w:ascii="Calibri" w:hAnsi="Calibri"/>
          <w:sz w:val="16"/>
          <w:szCs w:val="16"/>
          <w:lang w:val="en-AU"/>
        </w:rPr>
        <w:t xml:space="preserve">3.1.2(e) in </w:t>
      </w:r>
      <w:hyperlink r:id="rId14" w:tooltip="Opens in new (or separate) window" w:history="1">
        <w:r w:rsidRPr="0075750E">
          <w:rPr>
            <w:rStyle w:val="Hyperlink"/>
            <w:rFonts w:ascii="Calibri" w:hAnsi="Calibri"/>
            <w:sz w:val="16"/>
            <w:szCs w:val="16"/>
          </w:rPr>
          <w:t>Communications Alliance, ‘Industry Code C564:2011 Mobile Phone Base Station Deployment’, December 2011</w:t>
        </w:r>
      </w:hyperlink>
      <w:r w:rsidRPr="0075750E">
        <w:rPr>
          <w:rFonts w:ascii="Calibri" w:hAnsi="Calibri"/>
          <w:sz w:val="16"/>
          <w:szCs w:val="16"/>
        </w:rPr>
        <w:t xml:space="preserve">, at page </w:t>
      </w:r>
      <w:r w:rsidRPr="0075750E">
        <w:rPr>
          <w:sz w:val="16"/>
          <w:szCs w:val="16"/>
        </w:rPr>
        <w:t>12.</w:t>
      </w:r>
    </w:p>
  </w:footnote>
  <w:footnote w:id="16">
    <w:p w:rsidR="00017C61" w:rsidRPr="0075750E" w:rsidRDefault="00017C61" w:rsidP="00FC3CBC">
      <w:pPr>
        <w:pStyle w:val="FootnoteText"/>
        <w:rPr>
          <w:rFonts w:ascii="Calibri" w:hAnsi="Calibri"/>
          <w:sz w:val="16"/>
          <w:szCs w:val="16"/>
        </w:rPr>
      </w:pPr>
      <w:r w:rsidRPr="009A6B76">
        <w:rPr>
          <w:rStyle w:val="FootnoteReference"/>
          <w:rFonts w:ascii="Calibri" w:hAnsi="Calibri"/>
          <w:sz w:val="16"/>
          <w:szCs w:val="16"/>
        </w:rPr>
        <w:footnoteRef/>
      </w:r>
      <w:r w:rsidRPr="00007412">
        <w:rPr>
          <w:rFonts w:ascii="Calibri" w:hAnsi="Calibri"/>
          <w:sz w:val="16"/>
          <w:szCs w:val="16"/>
        </w:rPr>
        <w:t xml:space="preserve"> </w:t>
      </w:r>
      <w:hyperlink r:id="rId15" w:tooltip="Opens in new (or separate) window" w:history="1">
        <w:r w:rsidRPr="0075750E">
          <w:rPr>
            <w:rStyle w:val="Hyperlink"/>
            <w:rFonts w:ascii="Calibri" w:hAnsi="Calibri"/>
            <w:sz w:val="16"/>
            <w:szCs w:val="16"/>
          </w:rPr>
          <w:t>AMTA, Submission to the Regional Telecommunications Infrastructure Review Committee Issues Paper</w:t>
        </w:r>
      </w:hyperlink>
      <w:r w:rsidRPr="0075750E">
        <w:rPr>
          <w:rFonts w:ascii="Calibri" w:hAnsi="Calibri"/>
          <w:sz w:val="16"/>
          <w:szCs w:val="16"/>
        </w:rPr>
        <w:t>, at p.9.</w:t>
      </w:r>
    </w:p>
  </w:footnote>
  <w:footnote w:id="17">
    <w:p w:rsidR="004D0BB3" w:rsidRPr="004D0BB3" w:rsidRDefault="004D0BB3">
      <w:pPr>
        <w:pStyle w:val="FootnoteText"/>
        <w:rPr>
          <w:lang w:val="en-AU"/>
        </w:rPr>
      </w:pPr>
      <w:r w:rsidRPr="0075750E">
        <w:rPr>
          <w:rStyle w:val="FootnoteReference"/>
          <w:sz w:val="16"/>
          <w:szCs w:val="16"/>
        </w:rPr>
        <w:footnoteRef/>
      </w:r>
      <w:r w:rsidRPr="0075750E">
        <w:rPr>
          <w:sz w:val="16"/>
          <w:szCs w:val="16"/>
        </w:rPr>
        <w:t xml:space="preserve"> </w:t>
      </w:r>
      <w:hyperlink r:id="rId16" w:history="1">
        <w:r w:rsidRPr="0075750E">
          <w:rPr>
            <w:rStyle w:val="Hyperlink"/>
            <w:sz w:val="16"/>
            <w:szCs w:val="16"/>
          </w:rPr>
          <w:t>https://accan.org.au/files/Position_Statements/RRRCC%20goals%20document%20-%20Canberra%20delegation%20-%20web%20version.pdf</w:t>
        </w:r>
      </w:hyperlink>
      <w:r w:rsidRPr="0075750E">
        <w:rPr>
          <w:sz w:val="16"/>
          <w:szCs w:val="16"/>
        </w:rPr>
        <w:t xml:space="preserve"> </w:t>
      </w:r>
    </w:p>
  </w:footnote>
  <w:footnote w:id="18">
    <w:p w:rsidR="005D674C" w:rsidRPr="0075750E" w:rsidRDefault="005D674C">
      <w:pPr>
        <w:pStyle w:val="FootnoteText"/>
        <w:rPr>
          <w:sz w:val="16"/>
          <w:szCs w:val="16"/>
          <w:lang w:val="en-AU"/>
        </w:rPr>
      </w:pPr>
      <w:r w:rsidRPr="0075750E">
        <w:rPr>
          <w:rStyle w:val="FootnoteReference"/>
          <w:sz w:val="16"/>
          <w:szCs w:val="16"/>
        </w:rPr>
        <w:footnoteRef/>
      </w:r>
      <w:r w:rsidRPr="0075750E">
        <w:rPr>
          <w:sz w:val="16"/>
          <w:szCs w:val="16"/>
        </w:rPr>
        <w:t xml:space="preserve"> </w:t>
      </w:r>
      <w:hyperlink r:id="rId17" w:history="1">
        <w:r w:rsidR="000F391B" w:rsidRPr="00C14CF8">
          <w:rPr>
            <w:rStyle w:val="Hyperlink"/>
            <w:sz w:val="16"/>
            <w:szCs w:val="16"/>
          </w:rPr>
          <w:t>https://www.farmers.org.au/content/nff/en/news-updates/nff-news/data-drought-coalition-launch-301116.html</w:t>
        </w:r>
      </w:hyperlink>
      <w:r w:rsidR="000F391B">
        <w:rPr>
          <w:sz w:val="16"/>
          <w:szCs w:val="16"/>
        </w:rPr>
        <w:t xml:space="preserve"> </w:t>
      </w:r>
    </w:p>
  </w:footnote>
  <w:footnote w:id="19">
    <w:p w:rsidR="007E148B" w:rsidRPr="007E148B" w:rsidRDefault="007E148B">
      <w:pPr>
        <w:pStyle w:val="FootnoteText"/>
        <w:rPr>
          <w:lang w:val="en-AU"/>
        </w:rPr>
      </w:pPr>
      <w:r w:rsidRPr="0075750E">
        <w:rPr>
          <w:rStyle w:val="FootnoteReference"/>
          <w:sz w:val="16"/>
          <w:szCs w:val="16"/>
        </w:rPr>
        <w:footnoteRef/>
      </w:r>
      <w:r w:rsidRPr="0075750E">
        <w:rPr>
          <w:sz w:val="16"/>
          <w:szCs w:val="16"/>
        </w:rPr>
        <w:t xml:space="preserve"> </w:t>
      </w:r>
      <w:hyperlink r:id="rId18" w:history="1">
        <w:r w:rsidR="000F391B" w:rsidRPr="00C14CF8">
          <w:rPr>
            <w:rStyle w:val="Hyperlink"/>
            <w:sz w:val="16"/>
            <w:szCs w:val="16"/>
          </w:rPr>
          <w:t>https://www.communications.gov.au/documents/review-australian-communications-and-media-authority-final-report</w:t>
        </w:r>
      </w:hyperlink>
      <w:r w:rsidR="000F391B">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61" w:rsidRDefault="00017C61" w:rsidP="00DD7C1C">
    <w:pPr>
      <w:pStyle w:val="Header"/>
      <w:tabs>
        <w:tab w:val="clear" w:pos="4513"/>
        <w:tab w:val="clear" w:pos="9026"/>
      </w:tabs>
      <w:ind w:right="-1"/>
      <w:jc w:val="right"/>
    </w:pPr>
    <w:r>
      <w:rPr>
        <w:noProof/>
        <w:lang w:val="en-IE" w:eastAsia="en-IE"/>
      </w:rPr>
      <w:drawing>
        <wp:anchor distT="0" distB="0" distL="114300" distR="114300" simplePos="0" relativeHeight="251660288" behindDoc="1" locked="0" layoutInCell="1" allowOverlap="1" wp14:anchorId="1F8079A8" wp14:editId="1EC7EAA4">
          <wp:simplePos x="0" y="0"/>
          <wp:positionH relativeFrom="column">
            <wp:posOffset>4785360</wp:posOffset>
          </wp:positionH>
          <wp:positionV relativeFrom="paragraph">
            <wp:posOffset>-92075</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61" w:rsidRDefault="00017C61"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2B37D4"/>
    <w:multiLevelType w:val="hybridMultilevel"/>
    <w:tmpl w:val="75D8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64219"/>
    <w:multiLevelType w:val="hybridMultilevel"/>
    <w:tmpl w:val="2A06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DC"/>
    <w:rsid w:val="00002D94"/>
    <w:rsid w:val="00007412"/>
    <w:rsid w:val="00017AFE"/>
    <w:rsid w:val="00017C61"/>
    <w:rsid w:val="00023C5A"/>
    <w:rsid w:val="00027253"/>
    <w:rsid w:val="000368C6"/>
    <w:rsid w:val="00043807"/>
    <w:rsid w:val="0004383F"/>
    <w:rsid w:val="00063F18"/>
    <w:rsid w:val="00084A5B"/>
    <w:rsid w:val="00087163"/>
    <w:rsid w:val="000A69D1"/>
    <w:rsid w:val="000D204F"/>
    <w:rsid w:val="000D6065"/>
    <w:rsid w:val="000F391B"/>
    <w:rsid w:val="001459EE"/>
    <w:rsid w:val="00156AE7"/>
    <w:rsid w:val="001627E8"/>
    <w:rsid w:val="0016680F"/>
    <w:rsid w:val="00181419"/>
    <w:rsid w:val="001A0D89"/>
    <w:rsid w:val="001B15A6"/>
    <w:rsid w:val="001C28E7"/>
    <w:rsid w:val="001C76FB"/>
    <w:rsid w:val="002006A5"/>
    <w:rsid w:val="00203C14"/>
    <w:rsid w:val="00231D98"/>
    <w:rsid w:val="00234042"/>
    <w:rsid w:val="00243C8C"/>
    <w:rsid w:val="0026381F"/>
    <w:rsid w:val="002737C5"/>
    <w:rsid w:val="002A3575"/>
    <w:rsid w:val="002B1FD2"/>
    <w:rsid w:val="002C3E53"/>
    <w:rsid w:val="002D0AB9"/>
    <w:rsid w:val="002D1E71"/>
    <w:rsid w:val="002E5966"/>
    <w:rsid w:val="003257D3"/>
    <w:rsid w:val="003514E6"/>
    <w:rsid w:val="00353C27"/>
    <w:rsid w:val="003763B4"/>
    <w:rsid w:val="003B1499"/>
    <w:rsid w:val="003E40E2"/>
    <w:rsid w:val="003E6503"/>
    <w:rsid w:val="00414950"/>
    <w:rsid w:val="004201DF"/>
    <w:rsid w:val="004247BB"/>
    <w:rsid w:val="00445D77"/>
    <w:rsid w:val="004552EA"/>
    <w:rsid w:val="00463CB6"/>
    <w:rsid w:val="00472C7E"/>
    <w:rsid w:val="004834E4"/>
    <w:rsid w:val="004850E4"/>
    <w:rsid w:val="004A0069"/>
    <w:rsid w:val="004A01EB"/>
    <w:rsid w:val="004A47BC"/>
    <w:rsid w:val="004B5F63"/>
    <w:rsid w:val="004C3886"/>
    <w:rsid w:val="004D0BB3"/>
    <w:rsid w:val="004F03E1"/>
    <w:rsid w:val="005150DC"/>
    <w:rsid w:val="00526181"/>
    <w:rsid w:val="005735F7"/>
    <w:rsid w:val="005764F0"/>
    <w:rsid w:val="005820C9"/>
    <w:rsid w:val="005A222A"/>
    <w:rsid w:val="005A673E"/>
    <w:rsid w:val="005A7481"/>
    <w:rsid w:val="005B55A8"/>
    <w:rsid w:val="005D674C"/>
    <w:rsid w:val="005E4556"/>
    <w:rsid w:val="006000D1"/>
    <w:rsid w:val="0060106B"/>
    <w:rsid w:val="00603940"/>
    <w:rsid w:val="006378AD"/>
    <w:rsid w:val="00650C02"/>
    <w:rsid w:val="00670871"/>
    <w:rsid w:val="006D36A3"/>
    <w:rsid w:val="0072041D"/>
    <w:rsid w:val="0074665B"/>
    <w:rsid w:val="007506AE"/>
    <w:rsid w:val="007548B3"/>
    <w:rsid w:val="0075750E"/>
    <w:rsid w:val="00760CC2"/>
    <w:rsid w:val="00762081"/>
    <w:rsid w:val="00781657"/>
    <w:rsid w:val="007949B7"/>
    <w:rsid w:val="007A3E1A"/>
    <w:rsid w:val="007D3F16"/>
    <w:rsid w:val="007D549C"/>
    <w:rsid w:val="007E148B"/>
    <w:rsid w:val="008065AB"/>
    <w:rsid w:val="0081763D"/>
    <w:rsid w:val="00833E74"/>
    <w:rsid w:val="00860EEA"/>
    <w:rsid w:val="00871412"/>
    <w:rsid w:val="00874727"/>
    <w:rsid w:val="008A19E7"/>
    <w:rsid w:val="008F16C5"/>
    <w:rsid w:val="008F7E90"/>
    <w:rsid w:val="00901F24"/>
    <w:rsid w:val="009126E6"/>
    <w:rsid w:val="009325C5"/>
    <w:rsid w:val="00961F56"/>
    <w:rsid w:val="00981565"/>
    <w:rsid w:val="00993FF5"/>
    <w:rsid w:val="009A227B"/>
    <w:rsid w:val="009A6B76"/>
    <w:rsid w:val="009C09EC"/>
    <w:rsid w:val="009C295E"/>
    <w:rsid w:val="00A11305"/>
    <w:rsid w:val="00A27575"/>
    <w:rsid w:val="00A4447D"/>
    <w:rsid w:val="00A97911"/>
    <w:rsid w:val="00AA686C"/>
    <w:rsid w:val="00AE2840"/>
    <w:rsid w:val="00AF7B4D"/>
    <w:rsid w:val="00B12A60"/>
    <w:rsid w:val="00B21112"/>
    <w:rsid w:val="00B4140A"/>
    <w:rsid w:val="00B418A0"/>
    <w:rsid w:val="00B658FC"/>
    <w:rsid w:val="00B87233"/>
    <w:rsid w:val="00B9266E"/>
    <w:rsid w:val="00B94449"/>
    <w:rsid w:val="00BA171D"/>
    <w:rsid w:val="00BA7819"/>
    <w:rsid w:val="00C32DD1"/>
    <w:rsid w:val="00C4251E"/>
    <w:rsid w:val="00C43644"/>
    <w:rsid w:val="00C4510D"/>
    <w:rsid w:val="00C613FC"/>
    <w:rsid w:val="00C623CB"/>
    <w:rsid w:val="00C65007"/>
    <w:rsid w:val="00CA0B62"/>
    <w:rsid w:val="00CB5DFF"/>
    <w:rsid w:val="00CE04DD"/>
    <w:rsid w:val="00CE061C"/>
    <w:rsid w:val="00CE175A"/>
    <w:rsid w:val="00CF44A0"/>
    <w:rsid w:val="00CF5B31"/>
    <w:rsid w:val="00D0662B"/>
    <w:rsid w:val="00D137B8"/>
    <w:rsid w:val="00D1792A"/>
    <w:rsid w:val="00D3636E"/>
    <w:rsid w:val="00D66450"/>
    <w:rsid w:val="00D66D95"/>
    <w:rsid w:val="00DD1B6E"/>
    <w:rsid w:val="00DD7C1C"/>
    <w:rsid w:val="00DE5812"/>
    <w:rsid w:val="00E05115"/>
    <w:rsid w:val="00E16E83"/>
    <w:rsid w:val="00E54047"/>
    <w:rsid w:val="00E64425"/>
    <w:rsid w:val="00E804B9"/>
    <w:rsid w:val="00E81954"/>
    <w:rsid w:val="00E81ECD"/>
    <w:rsid w:val="00E82556"/>
    <w:rsid w:val="00EA2AB9"/>
    <w:rsid w:val="00EB1FD2"/>
    <w:rsid w:val="00ED37F5"/>
    <w:rsid w:val="00EE13AF"/>
    <w:rsid w:val="00EE247B"/>
    <w:rsid w:val="00F47C64"/>
    <w:rsid w:val="00F61950"/>
    <w:rsid w:val="00F660AD"/>
    <w:rsid w:val="00F76853"/>
    <w:rsid w:val="00F77EBF"/>
    <w:rsid w:val="00F860D4"/>
    <w:rsid w:val="00F9357B"/>
    <w:rsid w:val="00FA3D87"/>
    <w:rsid w:val="00FC3CBC"/>
    <w:rsid w:val="00FD461D"/>
    <w:rsid w:val="00FE44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aliases w:val="ALTS FOOTNOTE,Footnote Text Char1 Char,Footnote Text Char2 Char Char,Footnote Text Char Char1 Char Char,Footnote Text Char1 Char Char Char Char,Footnote Text Char Char Char Char Char Char,(NECG) Footnote Text,Footnote text,AR Footnote Text"/>
    <w:basedOn w:val="Normal"/>
    <w:link w:val="FootnoteTextChar"/>
    <w:uiPriority w:val="2"/>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aliases w:val="ALTS FOOTNOTE Char,Footnote Text Char1 Char Char,Footnote Text Char2 Char Char Char,Footnote Text Char Char1 Char Char Char,Footnote Text Char1 Char Char Char Char Char,Footnote Text Char Char Char Char Char Char Char"/>
    <w:basedOn w:val="DefaultParagraphFont"/>
    <w:link w:val="FootnoteText"/>
    <w:uiPriority w:val="2"/>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aliases w:val="(NECG) Footnote Reference,(NECG) Footnote Reference1,(NECG) Footnote Reference2,o,Style 3,Style 12,fr,Appel note de bas de p,Style 124,Appel n,Style 6 + 12 pt"/>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aliases w:val="ALTS FOOTNOTE,Footnote Text Char1 Char,Footnote Text Char2 Char Char,Footnote Text Char Char1 Char Char,Footnote Text Char1 Char Char Char Char,Footnote Text Char Char Char Char Char Char,(NECG) Footnote Text,Footnote text,AR Footnote Text"/>
    <w:basedOn w:val="Normal"/>
    <w:link w:val="FootnoteTextChar"/>
    <w:uiPriority w:val="2"/>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aliases w:val="ALTS FOOTNOTE Char,Footnote Text Char1 Char Char,Footnote Text Char2 Char Char Char,Footnote Text Char Char1 Char Char Char,Footnote Text Char1 Char Char Char Char Char,Footnote Text Char Char Char Char Char Char Char"/>
    <w:basedOn w:val="DefaultParagraphFont"/>
    <w:link w:val="FootnoteText"/>
    <w:uiPriority w:val="2"/>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aliases w:val="(NECG) Footnote Reference,(NECG) Footnote Reference1,(NECG) Footnote Reference2,o,Style 3,Style 12,fr,Appel note de bas de p,Style 124,Appel n,Style 6 + 12 pt"/>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bileroaminginquiry@acc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ommunications.gov.au/sites/g/files/net301/f/Vodafone%20-%20Attachment%20E.pdf" TargetMode="External"/><Relationship Id="rId13" Type="http://schemas.openxmlformats.org/officeDocument/2006/relationships/hyperlink" Target="http://www.thecie.com.au/wp-content/uploads/2015/06/CIE-Report_VHA_Consumer-outcomes-in-communications-markets-FINAL.pdf" TargetMode="External"/><Relationship Id="rId18" Type="http://schemas.openxmlformats.org/officeDocument/2006/relationships/hyperlink" Target="https://www.communications.gov.au/documents/review-australian-communications-and-media-authority-final-report" TargetMode="External"/><Relationship Id="rId3" Type="http://schemas.openxmlformats.org/officeDocument/2006/relationships/hyperlink" Target="https://www.telstra.com.au/coverage-networks/our-coverage" TargetMode="External"/><Relationship Id="rId7" Type="http://schemas.openxmlformats.org/officeDocument/2006/relationships/hyperlink" Target="http://accan.org.au/our-work/submissions/1339-accc-inquiry-into-domestic-mobile-roaming" TargetMode="External"/><Relationship Id="rId12" Type="http://schemas.openxmlformats.org/officeDocument/2006/relationships/hyperlink" Target="https://www.communications.gov.au/sites/g/files/net301/f/submissions/Optus_4.pdf" TargetMode="External"/><Relationship Id="rId17" Type="http://schemas.openxmlformats.org/officeDocument/2006/relationships/hyperlink" Target="https://www.farmers.org.au/content/nff/en/news-updates/nff-news/data-drought-coalition-launch-301116.html" TargetMode="External"/><Relationship Id="rId2" Type="http://schemas.openxmlformats.org/officeDocument/2006/relationships/hyperlink" Target="http://boost.com.au/coverage-map/" TargetMode="External"/><Relationship Id="rId16" Type="http://schemas.openxmlformats.org/officeDocument/2006/relationships/hyperlink" Target="https://accan.org.au/files/Position_Statements/RRRCC%20goals%20document%20-%20Canberra%20delegation%20-%20web%20version.pdf" TargetMode="External"/><Relationship Id="rId1" Type="http://schemas.openxmlformats.org/officeDocument/2006/relationships/hyperlink" Target="https://www.aldimobile.com.au/faq/" TargetMode="External"/><Relationship Id="rId6" Type="http://schemas.openxmlformats.org/officeDocument/2006/relationships/hyperlink" Target="http://www.acma.gov.au/~/media/Research%20and%20Analysis/Publication/Comms%20Report%202010%2011/PDF/communications_report_201011%20pdf.pdf" TargetMode="External"/><Relationship Id="rId11" Type="http://schemas.openxmlformats.org/officeDocument/2006/relationships/hyperlink" Target="https://www.communications.gov.au/file/15406/download?token=h7GYN-jy" TargetMode="External"/><Relationship Id="rId5" Type="http://schemas.openxmlformats.org/officeDocument/2006/relationships/hyperlink" Target="https://www.businessinsider.com.au/telstra-is-pouring-an-extra-3-billion-into-its-network-after-painful-outages-2016-8" TargetMode="External"/><Relationship Id="rId15" Type="http://schemas.openxmlformats.org/officeDocument/2006/relationships/hyperlink" Target="http://www.amta.org.au/files/AMTA-RTR-Submission-2015.pdf" TargetMode="External"/><Relationship Id="rId10" Type="http://schemas.openxmlformats.org/officeDocument/2006/relationships/hyperlink" Target="http://www.businessinsider.com.au/the-acccs-just-opened-the-door-for-mobile-from-optus-and-vodafone-in-regional-australia-2016-4" TargetMode="External"/><Relationship Id="rId4" Type="http://schemas.openxmlformats.org/officeDocument/2006/relationships/hyperlink" Target="http://www.digitaleconomygroup.com.au/overview.html" TargetMode="External"/><Relationship Id="rId9" Type="http://schemas.openxmlformats.org/officeDocument/2006/relationships/hyperlink" Target="https://www.communications.gov.au/file/5591/download?token=A81buKbY" TargetMode="External"/><Relationship Id="rId14" Type="http://schemas.openxmlformats.org/officeDocument/2006/relationships/hyperlink" Target="http://www.commsalliance.com.au/__data/assets/pdf_file/0018/32634/C564_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F215-AAFF-4FF0-9743-9807DFE2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34</TotalTime>
  <Pages>6</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Rachel Thomas</cp:lastModifiedBy>
  <cp:revision>6</cp:revision>
  <cp:lastPrinted>2017-06-16T06:41:00Z</cp:lastPrinted>
  <dcterms:created xsi:type="dcterms:W3CDTF">2017-06-16T05:52:00Z</dcterms:created>
  <dcterms:modified xsi:type="dcterms:W3CDTF">2017-06-16T06:41:00Z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