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7B" w:rsidRDefault="00763774" w:rsidP="002A17B6">
      <w:pPr>
        <w:pStyle w:val="BodyText1"/>
      </w:pPr>
      <w:r>
        <w:t>2</w:t>
      </w:r>
      <w:r w:rsidR="00D77571">
        <w:t>5</w:t>
      </w:r>
      <w:bookmarkStart w:id="0" w:name="_GoBack"/>
      <w:bookmarkEnd w:id="0"/>
      <w:r w:rsidR="00D4388E" w:rsidRPr="00D4388E">
        <w:rPr>
          <w:vertAlign w:val="superscript"/>
        </w:rPr>
        <w:t>th</w:t>
      </w:r>
      <w:r w:rsidR="00D4388E">
        <w:t xml:space="preserve"> </w:t>
      </w:r>
      <w:r>
        <w:t>October 2016</w:t>
      </w:r>
    </w:p>
    <w:p w:rsidR="00C7127B" w:rsidRDefault="00763774" w:rsidP="002A17B6">
      <w:pPr>
        <w:pStyle w:val="BodyText1"/>
        <w:spacing w:after="0"/>
      </w:pPr>
      <w:r>
        <w:t>Nicole Ross</w:t>
      </w:r>
    </w:p>
    <w:p w:rsidR="00763774" w:rsidRDefault="00763774" w:rsidP="002A17B6">
      <w:pPr>
        <w:pStyle w:val="BodyText1"/>
      </w:pPr>
      <w:r>
        <w:t>Australian Competition and Consumer Commission</w:t>
      </w:r>
    </w:p>
    <w:p w:rsidR="00C7127B" w:rsidRDefault="00763774" w:rsidP="002A17B6">
      <w:pPr>
        <w:pStyle w:val="BodyText1"/>
      </w:pPr>
      <w:r>
        <w:t xml:space="preserve">Via email: </w:t>
      </w:r>
      <w:hyperlink r:id="rId8" w:history="1">
        <w:r w:rsidRPr="00EC5F1B">
          <w:rPr>
            <w:rStyle w:val="Hyperlink"/>
            <w:sz w:val="23"/>
            <w:szCs w:val="23"/>
          </w:rPr>
          <w:t>superfastbroadbandinquiry@accc.gov.au</w:t>
        </w:r>
      </w:hyperlink>
      <w:r>
        <w:t xml:space="preserve">; </w:t>
      </w:r>
      <w:hyperlink r:id="rId9" w:history="1">
        <w:r w:rsidRPr="00EC5F1B">
          <w:rPr>
            <w:rStyle w:val="Hyperlink"/>
            <w:sz w:val="23"/>
            <w:szCs w:val="23"/>
          </w:rPr>
          <w:t>Nicole.Ross@accc.gov.au</w:t>
        </w:r>
      </w:hyperlink>
      <w:r>
        <w:t xml:space="preserve">; </w:t>
      </w:r>
    </w:p>
    <w:p w:rsidR="002A17B6" w:rsidRPr="00763774" w:rsidRDefault="00C7127B" w:rsidP="002A17B6">
      <w:pPr>
        <w:pStyle w:val="BodyText1"/>
        <w:rPr>
          <w:rFonts w:cstheme="minorHAnsi"/>
        </w:rPr>
      </w:pPr>
      <w:r>
        <w:t xml:space="preserve">ACCAN thanks the </w:t>
      </w:r>
      <w:r w:rsidR="00763774">
        <w:t>ACCC</w:t>
      </w:r>
      <w:r>
        <w:t xml:space="preserve"> for the </w:t>
      </w:r>
      <w:r w:rsidRPr="00DD1B6E">
        <w:t>opportunity</w:t>
      </w:r>
      <w:r w:rsidR="00763774">
        <w:t xml:space="preserve"> to contribute to its Superfast Broadband </w:t>
      </w:r>
      <w:r w:rsidR="00763774" w:rsidRPr="00763774">
        <w:t>Access</w:t>
      </w:r>
      <w:r w:rsidR="00763774">
        <w:t xml:space="preserve"> Service</w:t>
      </w:r>
      <w:r w:rsidR="0075124A">
        <w:t xml:space="preserve"> (SBAS)</w:t>
      </w:r>
      <w:r w:rsidR="00763774">
        <w:t xml:space="preserve"> and Local </w:t>
      </w:r>
      <w:proofErr w:type="spellStart"/>
      <w:r w:rsidR="00763774">
        <w:t>Bitstream</w:t>
      </w:r>
      <w:proofErr w:type="spellEnd"/>
      <w:r w:rsidR="00763774">
        <w:t xml:space="preserve"> Access Service </w:t>
      </w:r>
      <w:r w:rsidR="0075124A">
        <w:t xml:space="preserve">(LBAS) </w:t>
      </w:r>
      <w:r w:rsidR="00763774">
        <w:t xml:space="preserve">Final Access Determination Joint Inquiry. </w:t>
      </w:r>
    </w:p>
    <w:p w:rsidR="00983414" w:rsidRDefault="00983414" w:rsidP="002A17B6">
      <w:pPr>
        <w:pStyle w:val="BodyText1"/>
        <w:rPr>
          <w:rFonts w:cstheme="minorHAnsi"/>
        </w:rPr>
      </w:pPr>
      <w:r>
        <w:rPr>
          <w:rFonts w:cstheme="minorHAnsi"/>
        </w:rPr>
        <w:t xml:space="preserve">ACCAN </w:t>
      </w:r>
      <w:r w:rsidR="002A17B6" w:rsidRPr="00763774">
        <w:rPr>
          <w:rFonts w:cstheme="minorHAnsi"/>
        </w:rPr>
        <w:t>regular</w:t>
      </w:r>
      <w:r w:rsidR="00344743">
        <w:rPr>
          <w:rFonts w:cstheme="minorHAnsi"/>
        </w:rPr>
        <w:t>ly</w:t>
      </w:r>
      <w:r w:rsidR="002A17B6" w:rsidRPr="00763774">
        <w:rPr>
          <w:rFonts w:cstheme="minorHAnsi"/>
        </w:rPr>
        <w:t xml:space="preserve"> </w:t>
      </w:r>
      <w:r>
        <w:rPr>
          <w:rFonts w:cstheme="minorHAnsi"/>
        </w:rPr>
        <w:t xml:space="preserve">hears </w:t>
      </w:r>
      <w:r w:rsidR="002A17B6" w:rsidRPr="00763774">
        <w:rPr>
          <w:rFonts w:cstheme="minorHAnsi"/>
        </w:rPr>
        <w:t xml:space="preserve">about the effect and harm which results from being served by a monopoly network that restricts </w:t>
      </w:r>
      <w:r w:rsidR="00F41068">
        <w:rPr>
          <w:rFonts w:cstheme="minorHAnsi"/>
        </w:rPr>
        <w:t xml:space="preserve">end users </w:t>
      </w:r>
      <w:r w:rsidR="002A17B6" w:rsidRPr="00763774">
        <w:rPr>
          <w:rFonts w:cstheme="minorHAnsi"/>
        </w:rPr>
        <w:t>choice and services.</w:t>
      </w:r>
      <w:r w:rsidR="002A17B6" w:rsidRPr="00763774">
        <w:rPr>
          <w:rFonts w:cstheme="minorHAnsi"/>
          <w:vertAlign w:val="superscript"/>
        </w:rPr>
        <w:footnoteReference w:id="1"/>
      </w:r>
      <w:r w:rsidR="002A17B6">
        <w:rPr>
          <w:rFonts w:cstheme="minorHAnsi"/>
        </w:rPr>
        <w:t xml:space="preserve"> </w:t>
      </w:r>
      <w:r w:rsidR="0075124A">
        <w:rPr>
          <w:rFonts w:cstheme="minorHAnsi"/>
        </w:rPr>
        <w:t xml:space="preserve">This includes frustration about not being able to access </w:t>
      </w:r>
      <w:r w:rsidR="004F20FD">
        <w:rPr>
          <w:rFonts w:cstheme="minorHAnsi"/>
        </w:rPr>
        <w:t xml:space="preserve">the range of </w:t>
      </w:r>
      <w:r w:rsidR="0075124A">
        <w:rPr>
          <w:rFonts w:cstheme="minorHAnsi"/>
        </w:rPr>
        <w:t>offers</w:t>
      </w:r>
      <w:r w:rsidR="004F20FD">
        <w:rPr>
          <w:rFonts w:cstheme="minorHAnsi"/>
        </w:rPr>
        <w:t xml:space="preserve"> available </w:t>
      </w:r>
      <w:r w:rsidR="0075124A">
        <w:rPr>
          <w:rFonts w:cstheme="minorHAnsi"/>
        </w:rPr>
        <w:t>in the market, bundled plans (fixed and mobile services)</w:t>
      </w:r>
      <w:proofErr w:type="gramStart"/>
      <w:r w:rsidR="0075124A">
        <w:rPr>
          <w:rFonts w:cstheme="minorHAnsi"/>
        </w:rPr>
        <w:t>,</w:t>
      </w:r>
      <w:proofErr w:type="gramEnd"/>
      <w:r w:rsidR="0075124A">
        <w:rPr>
          <w:rFonts w:cstheme="minorHAnsi"/>
        </w:rPr>
        <w:t xml:space="preserve"> content </w:t>
      </w:r>
      <w:r w:rsidR="00D013F6">
        <w:rPr>
          <w:rFonts w:cstheme="minorHAnsi"/>
        </w:rPr>
        <w:t xml:space="preserve">that is tied to certain providers </w:t>
      </w:r>
      <w:r w:rsidR="0075124A">
        <w:rPr>
          <w:rFonts w:cstheme="minorHAnsi"/>
        </w:rPr>
        <w:t xml:space="preserve">and a </w:t>
      </w:r>
      <w:r w:rsidR="00344743">
        <w:rPr>
          <w:rFonts w:cstheme="minorHAnsi"/>
        </w:rPr>
        <w:t xml:space="preserve">wide </w:t>
      </w:r>
      <w:r w:rsidR="0075124A">
        <w:rPr>
          <w:rFonts w:cstheme="minorHAnsi"/>
        </w:rPr>
        <w:t xml:space="preserve">range of download and upload speeds. </w:t>
      </w:r>
      <w:r w:rsidR="00763774" w:rsidRPr="00763774">
        <w:rPr>
          <w:rFonts w:cstheme="minorHAnsi"/>
        </w:rPr>
        <w:t xml:space="preserve">The level of service guaranteed, the </w:t>
      </w:r>
      <w:r w:rsidR="0075124A">
        <w:rPr>
          <w:rFonts w:cstheme="minorHAnsi"/>
        </w:rPr>
        <w:t xml:space="preserve">connection and repair </w:t>
      </w:r>
      <w:r w:rsidR="00763774" w:rsidRPr="00763774">
        <w:rPr>
          <w:rFonts w:cstheme="minorHAnsi"/>
        </w:rPr>
        <w:t>timeframes, the complaint systems, safeguards</w:t>
      </w:r>
      <w:r w:rsidR="004F20FD">
        <w:rPr>
          <w:rFonts w:cstheme="minorHAnsi"/>
        </w:rPr>
        <w:t xml:space="preserve"> </w:t>
      </w:r>
      <w:r w:rsidR="00763774" w:rsidRPr="00763774">
        <w:rPr>
          <w:rFonts w:cstheme="minorHAnsi"/>
        </w:rPr>
        <w:t>and the ability to compare services</w:t>
      </w:r>
      <w:r w:rsidR="0075124A">
        <w:rPr>
          <w:rFonts w:cstheme="minorHAnsi"/>
        </w:rPr>
        <w:t xml:space="preserve"> on offer</w:t>
      </w:r>
      <w:r w:rsidR="00763774" w:rsidRPr="00763774">
        <w:rPr>
          <w:rFonts w:cstheme="minorHAnsi"/>
        </w:rPr>
        <w:t xml:space="preserve"> are also important for these </w:t>
      </w:r>
      <w:r w:rsidR="0075124A">
        <w:rPr>
          <w:rFonts w:cstheme="minorHAnsi"/>
        </w:rPr>
        <w:t>end users</w:t>
      </w:r>
      <w:r w:rsidR="00763774" w:rsidRPr="00763774">
        <w:rPr>
          <w:rFonts w:cstheme="minorHAnsi"/>
        </w:rPr>
        <w:t xml:space="preserve">. </w:t>
      </w:r>
      <w:r w:rsidR="0075124A" w:rsidRPr="00763774">
        <w:rPr>
          <w:rFonts w:cstheme="minorHAnsi"/>
        </w:rPr>
        <w:t xml:space="preserve">The prices </w:t>
      </w:r>
      <w:r w:rsidR="0075124A">
        <w:rPr>
          <w:rFonts w:cstheme="minorHAnsi"/>
        </w:rPr>
        <w:t xml:space="preserve">and terms and conditions </w:t>
      </w:r>
      <w:r w:rsidR="0075124A" w:rsidRPr="00763774">
        <w:rPr>
          <w:rFonts w:cstheme="minorHAnsi"/>
        </w:rPr>
        <w:t xml:space="preserve">set </w:t>
      </w:r>
      <w:r w:rsidR="0075124A">
        <w:rPr>
          <w:rFonts w:cstheme="minorHAnsi"/>
        </w:rPr>
        <w:t xml:space="preserve">through this inquiry are likely to </w:t>
      </w:r>
      <w:r w:rsidR="0075124A" w:rsidRPr="00763774">
        <w:rPr>
          <w:rFonts w:cstheme="minorHAnsi"/>
        </w:rPr>
        <w:t>have a pivotal role in the level of retail competition over these networks</w:t>
      </w:r>
      <w:r w:rsidR="004F20FD">
        <w:rPr>
          <w:rFonts w:cstheme="minorHAnsi"/>
        </w:rPr>
        <w:t xml:space="preserve"> and meeting the needs of these end users</w:t>
      </w:r>
      <w:r w:rsidR="0075124A" w:rsidRPr="00763774">
        <w:rPr>
          <w:rFonts w:cstheme="minorHAnsi"/>
        </w:rPr>
        <w:t>.</w:t>
      </w:r>
      <w:r w:rsidR="0075124A" w:rsidRPr="00763774">
        <w:rPr>
          <w:rFonts w:cstheme="minorHAnsi"/>
          <w:vertAlign w:val="superscript"/>
        </w:rPr>
        <w:footnoteReference w:id="2"/>
      </w:r>
      <w:r w:rsidR="0075124A">
        <w:rPr>
          <w:rFonts w:cstheme="minorHAnsi"/>
        </w:rPr>
        <w:t xml:space="preserve"> Due to the range of concerns received from end users</w:t>
      </w:r>
      <w:r w:rsidR="001E4939">
        <w:rPr>
          <w:rFonts w:cstheme="minorHAnsi"/>
        </w:rPr>
        <w:t xml:space="preserve">, </w:t>
      </w:r>
      <w:r w:rsidR="0075124A">
        <w:rPr>
          <w:rFonts w:cstheme="minorHAnsi"/>
        </w:rPr>
        <w:t xml:space="preserve">ACCAN would </w:t>
      </w:r>
      <w:r w:rsidR="00D013F6">
        <w:rPr>
          <w:rFonts w:cstheme="minorHAnsi"/>
        </w:rPr>
        <w:t xml:space="preserve">like </w:t>
      </w:r>
      <w:r w:rsidR="0075124A">
        <w:rPr>
          <w:rFonts w:cstheme="minorHAnsi"/>
        </w:rPr>
        <w:t xml:space="preserve">to </w:t>
      </w:r>
      <w:r w:rsidR="001E4939">
        <w:rPr>
          <w:rFonts w:cstheme="minorHAnsi"/>
        </w:rPr>
        <w:t>highlight some of</w:t>
      </w:r>
      <w:r>
        <w:rPr>
          <w:rFonts w:cstheme="minorHAnsi"/>
        </w:rPr>
        <w:t xml:space="preserve"> the i</w:t>
      </w:r>
      <w:r w:rsidR="0075124A">
        <w:rPr>
          <w:rFonts w:cstheme="minorHAnsi"/>
        </w:rPr>
        <w:t>mportant outcome</w:t>
      </w:r>
      <w:r>
        <w:rPr>
          <w:rFonts w:cstheme="minorHAnsi"/>
        </w:rPr>
        <w:t>s needed</w:t>
      </w:r>
    </w:p>
    <w:p w:rsidR="00F41068" w:rsidRDefault="00F41068" w:rsidP="00F41068">
      <w:pPr>
        <w:pStyle w:val="Heading2"/>
      </w:pPr>
      <w:r>
        <w:t>Pricing Approaches – anchor pricing and product tiers</w:t>
      </w:r>
    </w:p>
    <w:p w:rsidR="00D013F6" w:rsidRDefault="00333D45" w:rsidP="002A17B6">
      <w:pPr>
        <w:pStyle w:val="BodyText1"/>
        <w:rPr>
          <w:rFonts w:cstheme="minorHAnsi"/>
        </w:rPr>
      </w:pPr>
      <w:r>
        <w:rPr>
          <w:rFonts w:cstheme="minorHAnsi"/>
        </w:rPr>
        <w:t xml:space="preserve">A key concern that is raised by end users is the lack of access to the range of </w:t>
      </w:r>
      <w:r w:rsidR="00CB3DB0">
        <w:rPr>
          <w:rFonts w:cstheme="minorHAnsi"/>
        </w:rPr>
        <w:t>Retail Service Provider</w:t>
      </w:r>
      <w:r w:rsidR="001E4939">
        <w:rPr>
          <w:rFonts w:cstheme="minorHAnsi"/>
        </w:rPr>
        <w:t>s</w:t>
      </w:r>
      <w:r w:rsidR="00CB3DB0">
        <w:rPr>
          <w:rFonts w:cstheme="minorHAnsi"/>
        </w:rPr>
        <w:t xml:space="preserve"> (</w:t>
      </w:r>
      <w:r>
        <w:rPr>
          <w:rFonts w:cstheme="minorHAnsi"/>
        </w:rPr>
        <w:t>RSPs</w:t>
      </w:r>
      <w:r w:rsidR="00CB3DB0">
        <w:rPr>
          <w:rFonts w:cstheme="minorHAnsi"/>
        </w:rPr>
        <w:t>)</w:t>
      </w:r>
      <w:r>
        <w:rPr>
          <w:rFonts w:cstheme="minorHAnsi"/>
        </w:rPr>
        <w:t xml:space="preserve"> that are offered on other networks. In order to address this ACCAN believes that the p</w:t>
      </w:r>
      <w:r w:rsidR="00763774" w:rsidRPr="00763774">
        <w:rPr>
          <w:rFonts w:cstheme="minorHAnsi"/>
        </w:rPr>
        <w:t>rices, product design, i</w:t>
      </w:r>
      <w:r>
        <w:rPr>
          <w:rFonts w:cstheme="minorHAnsi"/>
        </w:rPr>
        <w:t>nterfaces and c</w:t>
      </w:r>
      <w:r w:rsidR="00A9042B">
        <w:rPr>
          <w:rFonts w:cstheme="minorHAnsi"/>
        </w:rPr>
        <w:t>onditions should,</w:t>
      </w:r>
      <w:r>
        <w:rPr>
          <w:rFonts w:cstheme="minorHAnsi"/>
        </w:rPr>
        <w:t xml:space="preserve"> </w:t>
      </w:r>
      <w:r w:rsidR="00763774" w:rsidRPr="00763774">
        <w:rPr>
          <w:rFonts w:cstheme="minorHAnsi"/>
        </w:rPr>
        <w:t>at least</w:t>
      </w:r>
      <w:r w:rsidR="00A9042B">
        <w:rPr>
          <w:rFonts w:cstheme="minorHAnsi"/>
        </w:rPr>
        <w:t>,</w:t>
      </w:r>
      <w:r>
        <w:rPr>
          <w:rFonts w:cstheme="minorHAnsi"/>
        </w:rPr>
        <w:t xml:space="preserve"> be</w:t>
      </w:r>
      <w:r w:rsidR="00763774" w:rsidRPr="00763774">
        <w:rPr>
          <w:rFonts w:cstheme="minorHAnsi"/>
        </w:rPr>
        <w:t xml:space="preserve"> consistent with NBN Co to encourage RSPs to operate across all networks</w:t>
      </w:r>
      <w:r w:rsidR="00A9042B">
        <w:rPr>
          <w:rFonts w:cstheme="minorHAnsi"/>
        </w:rPr>
        <w:t xml:space="preserve"> with national plans</w:t>
      </w:r>
      <w:r w:rsidR="00763774" w:rsidRPr="00763774">
        <w:rPr>
          <w:rFonts w:cstheme="minorHAnsi"/>
        </w:rPr>
        <w:t xml:space="preserve">. </w:t>
      </w:r>
      <w:r w:rsidR="004F20FD">
        <w:rPr>
          <w:rFonts w:cstheme="minorHAnsi"/>
        </w:rPr>
        <w:t>Additionally, r</w:t>
      </w:r>
      <w:r w:rsidR="00D013F6">
        <w:rPr>
          <w:rFonts w:cstheme="minorHAnsi"/>
        </w:rPr>
        <w:t>egulation that applies solely to a base anchor product is not likely to fully address the barriers that face RSPs in offering se</w:t>
      </w:r>
      <w:r w:rsidR="004F20FD">
        <w:rPr>
          <w:rFonts w:cstheme="minorHAnsi"/>
        </w:rPr>
        <w:t xml:space="preserve">rvices in these areas. </w:t>
      </w:r>
      <w:r w:rsidR="00CB3DB0">
        <w:rPr>
          <w:rFonts w:cstheme="minorHAnsi"/>
        </w:rPr>
        <w:t xml:space="preserve">If the range </w:t>
      </w:r>
      <w:r w:rsidR="004F20FD">
        <w:rPr>
          <w:rFonts w:cstheme="minorHAnsi"/>
        </w:rPr>
        <w:t xml:space="preserve">of services </w:t>
      </w:r>
      <w:r w:rsidR="00CB3DB0">
        <w:rPr>
          <w:rFonts w:cstheme="minorHAnsi"/>
        </w:rPr>
        <w:t xml:space="preserve">are not part of the regulation then choice of RSP and plans </w:t>
      </w:r>
      <w:r w:rsidR="004F20FD">
        <w:rPr>
          <w:rFonts w:cstheme="minorHAnsi"/>
        </w:rPr>
        <w:t>at equivalent prices</w:t>
      </w:r>
      <w:r w:rsidR="00983414">
        <w:rPr>
          <w:rFonts w:cstheme="minorHAnsi"/>
        </w:rPr>
        <w:t xml:space="preserve"> is also likely to be limited.</w:t>
      </w:r>
      <w:r w:rsidR="00983414">
        <w:rPr>
          <w:rStyle w:val="FootnoteReference"/>
          <w:rFonts w:cstheme="minorHAnsi"/>
        </w:rPr>
        <w:footnoteReference w:id="3"/>
      </w:r>
    </w:p>
    <w:p w:rsidR="00F41068" w:rsidRDefault="00F41068" w:rsidP="00F41068">
      <w:pPr>
        <w:pStyle w:val="Heading2"/>
        <w:rPr>
          <w:rFonts w:cstheme="minorHAnsi"/>
        </w:rPr>
      </w:pPr>
      <w:r>
        <w:t xml:space="preserve">Retail minus </w:t>
      </w:r>
      <w:r w:rsidR="00E946F9">
        <w:t>a</w:t>
      </w:r>
      <w:r>
        <w:t>pproach</w:t>
      </w:r>
    </w:p>
    <w:p w:rsidR="002A17B6" w:rsidRDefault="00F41068" w:rsidP="002A17B6">
      <w:pPr>
        <w:pStyle w:val="BodyText1"/>
        <w:rPr>
          <w:rFonts w:cstheme="minorHAnsi"/>
        </w:rPr>
      </w:pPr>
      <w:r>
        <w:rPr>
          <w:rFonts w:cstheme="minorHAnsi"/>
        </w:rPr>
        <w:t>ACCAN understands the attractiveness of the retail minus approach</w:t>
      </w:r>
      <w:r w:rsidR="00E946F9">
        <w:rPr>
          <w:rFonts w:cstheme="minorHAnsi"/>
        </w:rPr>
        <w:t>.</w:t>
      </w:r>
      <w:r w:rsidR="00B0680D">
        <w:rPr>
          <w:rStyle w:val="FootnoteReference"/>
          <w:rFonts w:cstheme="minorHAnsi"/>
        </w:rPr>
        <w:footnoteReference w:id="4"/>
      </w:r>
      <w:r w:rsidR="00B0680D">
        <w:rPr>
          <w:rFonts w:cstheme="minorHAnsi"/>
        </w:rPr>
        <w:t xml:space="preserve"> </w:t>
      </w:r>
      <w:r>
        <w:rPr>
          <w:rFonts w:cstheme="minorHAnsi"/>
        </w:rPr>
        <w:t>However, o</w:t>
      </w:r>
      <w:r w:rsidR="002A17B6" w:rsidRPr="00763774">
        <w:rPr>
          <w:rFonts w:cstheme="minorHAnsi"/>
        </w:rPr>
        <w:t xml:space="preserve">ne of the </w:t>
      </w:r>
      <w:r w:rsidR="00A9042B">
        <w:rPr>
          <w:rFonts w:cstheme="minorHAnsi"/>
        </w:rPr>
        <w:t xml:space="preserve">proposed </w:t>
      </w:r>
      <w:r w:rsidR="002A17B6" w:rsidRPr="00763774">
        <w:rPr>
          <w:rFonts w:cstheme="minorHAnsi"/>
        </w:rPr>
        <w:t xml:space="preserve">benefits for </w:t>
      </w:r>
      <w:r w:rsidR="00AD240E">
        <w:rPr>
          <w:rFonts w:cstheme="minorHAnsi"/>
        </w:rPr>
        <w:t xml:space="preserve">having a number of access providers </w:t>
      </w:r>
      <w:r w:rsidR="004F20FD">
        <w:rPr>
          <w:rFonts w:cstheme="minorHAnsi"/>
        </w:rPr>
        <w:t xml:space="preserve">is </w:t>
      </w:r>
      <w:r w:rsidR="00AD240E">
        <w:rPr>
          <w:rFonts w:cstheme="minorHAnsi"/>
        </w:rPr>
        <w:t xml:space="preserve">to promote </w:t>
      </w:r>
      <w:r w:rsidR="002A17B6" w:rsidRPr="00763774">
        <w:rPr>
          <w:rFonts w:cstheme="minorHAnsi"/>
        </w:rPr>
        <w:t>competition</w:t>
      </w:r>
      <w:r w:rsidR="004F20FD">
        <w:rPr>
          <w:rFonts w:cstheme="minorHAnsi"/>
        </w:rPr>
        <w:t>,</w:t>
      </w:r>
      <w:r w:rsidR="00AD240E">
        <w:rPr>
          <w:rFonts w:cstheme="minorHAnsi"/>
        </w:rPr>
        <w:t xml:space="preserve"> to</w:t>
      </w:r>
      <w:r w:rsidR="002A17B6" w:rsidRPr="00763774">
        <w:rPr>
          <w:rFonts w:cstheme="minorHAnsi"/>
        </w:rPr>
        <w:t xml:space="preserve"> </w:t>
      </w:r>
      <w:r w:rsidR="002A17B6" w:rsidRPr="00763774">
        <w:rPr>
          <w:rFonts w:cstheme="minorHAnsi"/>
        </w:rPr>
        <w:lastRenderedPageBreak/>
        <w:t>promote downward pressure on prices</w:t>
      </w:r>
      <w:r w:rsidR="00A9042B">
        <w:rPr>
          <w:rFonts w:cstheme="minorHAnsi"/>
        </w:rPr>
        <w:t xml:space="preserve"> and to provide a comparison to NBN</w:t>
      </w:r>
      <w:r w:rsidR="001A4E64">
        <w:rPr>
          <w:rFonts w:cstheme="minorHAnsi"/>
        </w:rPr>
        <w:t xml:space="preserve"> pricing</w:t>
      </w:r>
      <w:r w:rsidR="002A17B6" w:rsidRPr="00763774">
        <w:rPr>
          <w:rFonts w:cstheme="minorHAnsi"/>
        </w:rPr>
        <w:t>.</w:t>
      </w:r>
      <w:r w:rsidR="002A17B6" w:rsidRPr="00763774">
        <w:rPr>
          <w:rFonts w:cstheme="minorHAnsi"/>
          <w:vertAlign w:val="superscript"/>
        </w:rPr>
        <w:footnoteReference w:id="5"/>
      </w:r>
      <w:r w:rsidR="00A9042B">
        <w:rPr>
          <w:rFonts w:cstheme="minorHAnsi"/>
        </w:rPr>
        <w:t xml:space="preserve"> </w:t>
      </w:r>
      <w:r w:rsidR="004F20FD">
        <w:rPr>
          <w:rFonts w:cstheme="minorHAnsi"/>
        </w:rPr>
        <w:t xml:space="preserve">As </w:t>
      </w:r>
      <w:r w:rsidR="00CB3DB0">
        <w:rPr>
          <w:rFonts w:cstheme="minorHAnsi"/>
        </w:rPr>
        <w:t xml:space="preserve">the </w:t>
      </w:r>
      <w:r w:rsidR="004F20FD">
        <w:rPr>
          <w:rFonts w:cstheme="minorHAnsi"/>
        </w:rPr>
        <w:t>retail minus</w:t>
      </w:r>
      <w:r w:rsidR="00CB3DB0">
        <w:rPr>
          <w:rFonts w:cstheme="minorHAnsi"/>
        </w:rPr>
        <w:t xml:space="preserve"> approach</w:t>
      </w:r>
      <w:r w:rsidR="004F20FD">
        <w:rPr>
          <w:rFonts w:cstheme="minorHAnsi"/>
        </w:rPr>
        <w:t xml:space="preserve"> can maintain monopoly profits, </w:t>
      </w:r>
      <w:r w:rsidR="00020199" w:rsidRPr="00763774">
        <w:rPr>
          <w:rFonts w:cstheme="minorHAnsi"/>
        </w:rPr>
        <w:t xml:space="preserve">ACCAN has concerns </w:t>
      </w:r>
      <w:r w:rsidR="00470FDC">
        <w:rPr>
          <w:rFonts w:cstheme="minorHAnsi"/>
        </w:rPr>
        <w:t xml:space="preserve">that </w:t>
      </w:r>
      <w:r w:rsidR="004F20FD">
        <w:rPr>
          <w:rFonts w:cstheme="minorHAnsi"/>
        </w:rPr>
        <w:t>this</w:t>
      </w:r>
      <w:r w:rsidR="00065F15">
        <w:rPr>
          <w:rFonts w:cstheme="minorHAnsi"/>
        </w:rPr>
        <w:t xml:space="preserve"> approach </w:t>
      </w:r>
      <w:r w:rsidR="00400E79">
        <w:rPr>
          <w:rFonts w:cstheme="minorHAnsi"/>
        </w:rPr>
        <w:t>will have</w:t>
      </w:r>
      <w:r w:rsidR="00CD5459">
        <w:rPr>
          <w:rFonts w:cstheme="minorHAnsi"/>
        </w:rPr>
        <w:t xml:space="preserve"> limited effect</w:t>
      </w:r>
      <w:r w:rsidR="00400E79">
        <w:rPr>
          <w:rFonts w:cstheme="minorHAnsi"/>
        </w:rPr>
        <w:t xml:space="preserve"> </w:t>
      </w:r>
      <w:r w:rsidR="00983414">
        <w:rPr>
          <w:rFonts w:cstheme="minorHAnsi"/>
        </w:rPr>
        <w:t>in</w:t>
      </w:r>
      <w:r w:rsidR="00E946F9">
        <w:rPr>
          <w:rFonts w:cstheme="minorHAnsi"/>
        </w:rPr>
        <w:t xml:space="preserve"> achieving these</w:t>
      </w:r>
      <w:r w:rsidR="00B65EEF">
        <w:rPr>
          <w:rFonts w:cstheme="minorHAnsi"/>
        </w:rPr>
        <w:t xml:space="preserve"> or ensuring that the wholesale services are delivered in an economically efficient manner</w:t>
      </w:r>
      <w:r w:rsidR="00065F15">
        <w:rPr>
          <w:rFonts w:cstheme="minorHAnsi"/>
        </w:rPr>
        <w:t xml:space="preserve">, or being relied on for this purpose. </w:t>
      </w:r>
      <w:r w:rsidR="00CB3DB0">
        <w:rPr>
          <w:rFonts w:cstheme="minorHAnsi"/>
        </w:rPr>
        <w:t xml:space="preserve">Furthermore, </w:t>
      </w:r>
      <w:r w:rsidR="00D4388E">
        <w:rPr>
          <w:rFonts w:cstheme="minorHAnsi"/>
        </w:rPr>
        <w:t>ACCAN is keen to see stronger guarantees and reliability for end users broadband services.</w:t>
      </w:r>
      <w:r w:rsidR="00D4388E">
        <w:rPr>
          <w:rStyle w:val="FootnoteReference"/>
          <w:rFonts w:cstheme="minorHAnsi"/>
        </w:rPr>
        <w:footnoteReference w:id="6"/>
      </w:r>
      <w:r w:rsidR="00D4388E">
        <w:rPr>
          <w:rFonts w:cstheme="minorHAnsi"/>
        </w:rPr>
        <w:t xml:space="preserve"> Financial incentives to encourage quality services through the pricing mechanism is one aspect which we would like the ACCC to consider</w:t>
      </w:r>
      <w:r w:rsidR="00E946F9">
        <w:rPr>
          <w:rFonts w:cstheme="minorHAnsi"/>
        </w:rPr>
        <w:t>,</w:t>
      </w:r>
      <w:r w:rsidR="00CB3DB0">
        <w:rPr>
          <w:rFonts w:cstheme="minorHAnsi"/>
        </w:rPr>
        <w:t xml:space="preserve"> but which may not be possible with </w:t>
      </w:r>
      <w:proofErr w:type="gramStart"/>
      <w:r w:rsidR="00CB3DB0">
        <w:rPr>
          <w:rFonts w:cstheme="minorHAnsi"/>
        </w:rPr>
        <w:t>a retail</w:t>
      </w:r>
      <w:proofErr w:type="gramEnd"/>
      <w:r w:rsidR="00CB3DB0">
        <w:rPr>
          <w:rFonts w:cstheme="minorHAnsi"/>
        </w:rPr>
        <w:t xml:space="preserve"> minus approach</w:t>
      </w:r>
      <w:r w:rsidR="00D4388E">
        <w:rPr>
          <w:rFonts w:cstheme="minorHAnsi"/>
        </w:rPr>
        <w:t>.</w:t>
      </w:r>
    </w:p>
    <w:p w:rsidR="00F41068" w:rsidRDefault="00F41068" w:rsidP="00F41068">
      <w:pPr>
        <w:pStyle w:val="Heading2"/>
      </w:pPr>
      <w:r>
        <w:t>Components included in pricing</w:t>
      </w:r>
    </w:p>
    <w:p w:rsidR="002A17B6" w:rsidRPr="00763774" w:rsidRDefault="003A3227" w:rsidP="002A17B6">
      <w:pPr>
        <w:pStyle w:val="BodyText1"/>
        <w:rPr>
          <w:rFonts w:cstheme="minorHAnsi"/>
        </w:rPr>
      </w:pPr>
      <w:r>
        <w:rPr>
          <w:rFonts w:cstheme="minorHAnsi"/>
        </w:rPr>
        <w:t xml:space="preserve">One of the reasons given for </w:t>
      </w:r>
      <w:r w:rsidR="00333D45">
        <w:rPr>
          <w:rFonts w:cstheme="minorHAnsi"/>
        </w:rPr>
        <w:t xml:space="preserve">RSPs not to offer services over </w:t>
      </w:r>
      <w:r w:rsidR="00983414">
        <w:rPr>
          <w:rFonts w:cstheme="minorHAnsi"/>
        </w:rPr>
        <w:t xml:space="preserve">these </w:t>
      </w:r>
      <w:r w:rsidR="00333D45">
        <w:rPr>
          <w:rFonts w:cstheme="minorHAnsi"/>
        </w:rPr>
        <w:t xml:space="preserve">networks </w:t>
      </w:r>
      <w:r>
        <w:rPr>
          <w:rFonts w:cstheme="minorHAnsi"/>
        </w:rPr>
        <w:t>is the cost and difficulty for RSPs to connect to multiple networks.</w:t>
      </w:r>
      <w:r>
        <w:rPr>
          <w:rStyle w:val="FootnoteReference"/>
          <w:rFonts w:cstheme="minorHAnsi"/>
        </w:rPr>
        <w:footnoteReference w:id="7"/>
      </w:r>
      <w:r>
        <w:rPr>
          <w:rFonts w:cstheme="minorHAnsi"/>
        </w:rPr>
        <w:t xml:space="preserve"> For this reason we are supportive of other components, such as access and usage prices, </w:t>
      </w:r>
      <w:r w:rsidR="00333D45">
        <w:rPr>
          <w:rFonts w:cstheme="minorHAnsi"/>
        </w:rPr>
        <w:t>to</w:t>
      </w:r>
      <w:r>
        <w:rPr>
          <w:rFonts w:cstheme="minorHAnsi"/>
        </w:rPr>
        <w:t xml:space="preserve"> be included in the</w:t>
      </w:r>
      <w:r w:rsidR="0072701F">
        <w:rPr>
          <w:rFonts w:cstheme="minorHAnsi"/>
        </w:rPr>
        <w:t xml:space="preserve"> scope of </w:t>
      </w:r>
      <w:r w:rsidR="00F41068">
        <w:rPr>
          <w:rFonts w:cstheme="minorHAnsi"/>
        </w:rPr>
        <w:t>the inquiry</w:t>
      </w:r>
      <w:r>
        <w:rPr>
          <w:rFonts w:cstheme="minorHAnsi"/>
        </w:rPr>
        <w:t>.</w:t>
      </w:r>
      <w:r w:rsidR="002A17B6" w:rsidRPr="00763774">
        <w:rPr>
          <w:rFonts w:cstheme="minorHAnsi"/>
        </w:rPr>
        <w:t xml:space="preserve"> These elements may affect the decision by RSPs to offer services over these networks. Access to a range of providers is an aim of ACCAN</w:t>
      </w:r>
      <w:r w:rsidR="002E4166">
        <w:rPr>
          <w:rFonts w:cstheme="minorHAnsi"/>
        </w:rPr>
        <w:t xml:space="preserve"> as it benefits </w:t>
      </w:r>
      <w:r w:rsidR="00F41068">
        <w:rPr>
          <w:rFonts w:cstheme="minorHAnsi"/>
        </w:rPr>
        <w:t>end users</w:t>
      </w:r>
      <w:r w:rsidR="002E4166">
        <w:rPr>
          <w:rFonts w:cstheme="minorHAnsi"/>
        </w:rPr>
        <w:t xml:space="preserve">. </w:t>
      </w:r>
      <w:r w:rsidR="00F41068">
        <w:rPr>
          <w:rFonts w:cstheme="minorHAnsi"/>
        </w:rPr>
        <w:t xml:space="preserve">If </w:t>
      </w:r>
      <w:r w:rsidR="00F41068" w:rsidRPr="00763774">
        <w:rPr>
          <w:rFonts w:cstheme="minorHAnsi"/>
        </w:rPr>
        <w:t>these</w:t>
      </w:r>
      <w:r w:rsidR="002A17B6" w:rsidRPr="00763774">
        <w:rPr>
          <w:rFonts w:cstheme="minorHAnsi"/>
        </w:rPr>
        <w:t xml:space="preserve"> other elements </w:t>
      </w:r>
      <w:r w:rsidR="002E4166">
        <w:rPr>
          <w:rFonts w:cstheme="minorHAnsi"/>
        </w:rPr>
        <w:t xml:space="preserve">are likely </w:t>
      </w:r>
      <w:r w:rsidR="00F41068">
        <w:rPr>
          <w:rFonts w:cstheme="minorHAnsi"/>
        </w:rPr>
        <w:t xml:space="preserve">to </w:t>
      </w:r>
      <w:r w:rsidR="00F41068" w:rsidRPr="00763774">
        <w:rPr>
          <w:rFonts w:cstheme="minorHAnsi"/>
        </w:rPr>
        <w:t>limit</w:t>
      </w:r>
      <w:r w:rsidR="002A17B6" w:rsidRPr="00763774">
        <w:rPr>
          <w:rFonts w:cstheme="minorHAnsi"/>
        </w:rPr>
        <w:t xml:space="preserve"> the range of choice</w:t>
      </w:r>
      <w:r w:rsidR="00983414">
        <w:rPr>
          <w:rFonts w:cstheme="minorHAnsi"/>
        </w:rPr>
        <w:t>,</w:t>
      </w:r>
      <w:r w:rsidR="002A17B6" w:rsidRPr="00763774">
        <w:rPr>
          <w:rFonts w:cstheme="minorHAnsi"/>
        </w:rPr>
        <w:t xml:space="preserve"> then th</w:t>
      </w:r>
      <w:r w:rsidR="002E4166">
        <w:rPr>
          <w:rFonts w:cstheme="minorHAnsi"/>
        </w:rPr>
        <w:t>ey</w:t>
      </w:r>
      <w:r w:rsidR="002A17B6" w:rsidRPr="00763774">
        <w:rPr>
          <w:rFonts w:cstheme="minorHAnsi"/>
        </w:rPr>
        <w:t xml:space="preserve"> should </w:t>
      </w:r>
      <w:r w:rsidR="00F41068">
        <w:rPr>
          <w:rFonts w:cstheme="minorHAnsi"/>
        </w:rPr>
        <w:t xml:space="preserve">be </w:t>
      </w:r>
      <w:r w:rsidR="002A17B6" w:rsidRPr="00763774">
        <w:rPr>
          <w:rFonts w:cstheme="minorHAnsi"/>
        </w:rPr>
        <w:t xml:space="preserve">considered as part of the </w:t>
      </w:r>
      <w:r>
        <w:rPr>
          <w:rFonts w:cstheme="minorHAnsi"/>
        </w:rPr>
        <w:t>inquiry.</w:t>
      </w:r>
    </w:p>
    <w:p w:rsidR="00F41068" w:rsidRDefault="00F41068" w:rsidP="00F41068">
      <w:pPr>
        <w:pStyle w:val="Heading2"/>
      </w:pPr>
      <w:r>
        <w:t>Small network exclusion</w:t>
      </w:r>
    </w:p>
    <w:p w:rsidR="003A3227" w:rsidRPr="00763774" w:rsidRDefault="003A3227" w:rsidP="003A3227">
      <w:pPr>
        <w:pStyle w:val="BodyText1"/>
        <w:rPr>
          <w:rFonts w:cstheme="minorHAnsi"/>
        </w:rPr>
      </w:pPr>
      <w:r w:rsidRPr="00763774">
        <w:rPr>
          <w:rFonts w:cstheme="minorHAnsi"/>
        </w:rPr>
        <w:t xml:space="preserve">As previously submitted, ACCAN believes that all superfast networks should be </w:t>
      </w:r>
      <w:r>
        <w:rPr>
          <w:rFonts w:cstheme="minorHAnsi"/>
        </w:rPr>
        <w:t xml:space="preserve">considered </w:t>
      </w:r>
      <w:r w:rsidRPr="00763774">
        <w:rPr>
          <w:rFonts w:cstheme="minorHAnsi"/>
        </w:rPr>
        <w:t xml:space="preserve">in this inquiry. Consumers that are served by smaller networks are likely to need the guarantees and protection offered by this regulation </w:t>
      </w:r>
      <w:r>
        <w:rPr>
          <w:rFonts w:cstheme="minorHAnsi"/>
        </w:rPr>
        <w:t xml:space="preserve">to a greater extent </w:t>
      </w:r>
      <w:r w:rsidRPr="00763774">
        <w:rPr>
          <w:rFonts w:cstheme="minorHAnsi"/>
        </w:rPr>
        <w:t xml:space="preserve">than if they are served by the larger </w:t>
      </w:r>
      <w:r w:rsidR="00CB3DB0">
        <w:rPr>
          <w:rFonts w:cstheme="minorHAnsi"/>
        </w:rPr>
        <w:t>networks</w:t>
      </w:r>
      <w:r w:rsidRPr="00763774">
        <w:rPr>
          <w:rFonts w:cstheme="minorHAnsi"/>
        </w:rPr>
        <w:t xml:space="preserve">. This is because the </w:t>
      </w:r>
      <w:r>
        <w:rPr>
          <w:rFonts w:cstheme="minorHAnsi"/>
        </w:rPr>
        <w:t xml:space="preserve">size of the </w:t>
      </w:r>
      <w:r w:rsidRPr="00763774">
        <w:rPr>
          <w:rFonts w:cstheme="minorHAnsi"/>
        </w:rPr>
        <w:t>market</w:t>
      </w:r>
      <w:r>
        <w:rPr>
          <w:rFonts w:cstheme="minorHAnsi"/>
        </w:rPr>
        <w:t xml:space="preserve"> on the smaller network is likely to make it less</w:t>
      </w:r>
      <w:r w:rsidRPr="00763774">
        <w:rPr>
          <w:rFonts w:cstheme="minorHAnsi"/>
        </w:rPr>
        <w:t xml:space="preserve"> commercia</w:t>
      </w:r>
      <w:r w:rsidR="00C97391">
        <w:rPr>
          <w:rFonts w:cstheme="minorHAnsi"/>
        </w:rPr>
        <w:t>l</w:t>
      </w:r>
      <w:r w:rsidRPr="00763774">
        <w:rPr>
          <w:rFonts w:cstheme="minorHAnsi"/>
        </w:rPr>
        <w:t>l</w:t>
      </w:r>
      <w:r w:rsidR="00C97391">
        <w:rPr>
          <w:rFonts w:cstheme="minorHAnsi"/>
        </w:rPr>
        <w:t xml:space="preserve">y </w:t>
      </w:r>
      <w:r w:rsidR="00F41068" w:rsidRPr="00763774">
        <w:rPr>
          <w:rFonts w:cstheme="minorHAnsi"/>
        </w:rPr>
        <w:t>advantag</w:t>
      </w:r>
      <w:r w:rsidR="00F41068">
        <w:rPr>
          <w:rFonts w:cstheme="minorHAnsi"/>
        </w:rPr>
        <w:t>eou</w:t>
      </w:r>
      <w:r w:rsidR="00F41068" w:rsidRPr="00763774">
        <w:rPr>
          <w:rFonts w:cstheme="minorHAnsi"/>
        </w:rPr>
        <w:t>s</w:t>
      </w:r>
      <w:r w:rsidRPr="00763774">
        <w:rPr>
          <w:rFonts w:cstheme="minorHAnsi"/>
        </w:rPr>
        <w:t xml:space="preserve"> for the range of RSPs to o</w:t>
      </w:r>
      <w:r w:rsidR="00C97391">
        <w:rPr>
          <w:rFonts w:cstheme="minorHAnsi"/>
        </w:rPr>
        <w:t>ffer services</w:t>
      </w:r>
      <w:r w:rsidRPr="00763774">
        <w:rPr>
          <w:rFonts w:cstheme="minorHAnsi"/>
        </w:rPr>
        <w:t>.</w:t>
      </w:r>
    </w:p>
    <w:p w:rsidR="00763774" w:rsidRPr="00763774" w:rsidRDefault="004F20FD" w:rsidP="00763774">
      <w:pPr>
        <w:pStyle w:val="BodyText1"/>
        <w:rPr>
          <w:rFonts w:cstheme="minorHAnsi"/>
        </w:rPr>
      </w:pPr>
      <w:r>
        <w:rPr>
          <w:rFonts w:cstheme="minorHAnsi"/>
        </w:rPr>
        <w:t>End users</w:t>
      </w:r>
      <w:r w:rsidRPr="00763774">
        <w:rPr>
          <w:rFonts w:cstheme="minorHAnsi"/>
        </w:rPr>
        <w:t xml:space="preserve"> served by LBAS</w:t>
      </w:r>
      <w:r>
        <w:rPr>
          <w:rFonts w:cstheme="minorHAnsi"/>
        </w:rPr>
        <w:t xml:space="preserve"> and</w:t>
      </w:r>
      <w:r w:rsidRPr="00763774">
        <w:rPr>
          <w:rFonts w:cstheme="minorHAnsi"/>
        </w:rPr>
        <w:t xml:space="preserve"> SBAS </w:t>
      </w:r>
      <w:r>
        <w:rPr>
          <w:rFonts w:cstheme="minorHAnsi"/>
        </w:rPr>
        <w:t xml:space="preserve">networks </w:t>
      </w:r>
      <w:r w:rsidRPr="00763774">
        <w:rPr>
          <w:rFonts w:cstheme="minorHAnsi"/>
        </w:rPr>
        <w:t>want access to a range of retail service provide</w:t>
      </w:r>
      <w:r>
        <w:rPr>
          <w:rFonts w:cstheme="minorHAnsi"/>
        </w:rPr>
        <w:t>rs</w:t>
      </w:r>
      <w:r w:rsidRPr="00763774">
        <w:rPr>
          <w:rFonts w:cstheme="minorHAnsi"/>
        </w:rPr>
        <w:t xml:space="preserve"> </w:t>
      </w:r>
      <w:r>
        <w:rPr>
          <w:rFonts w:cstheme="minorHAnsi"/>
        </w:rPr>
        <w:t>and plans that are equivalent in terms of prices</w:t>
      </w:r>
      <w:r w:rsidR="00C97391">
        <w:rPr>
          <w:rFonts w:cstheme="minorHAnsi"/>
        </w:rPr>
        <w:t>, service guarantees</w:t>
      </w:r>
      <w:r>
        <w:rPr>
          <w:rFonts w:cstheme="minorHAnsi"/>
        </w:rPr>
        <w:t xml:space="preserve"> and inclusions offered generally on the market to other end users</w:t>
      </w:r>
      <w:r w:rsidRPr="00763774">
        <w:rPr>
          <w:rFonts w:cstheme="minorHAnsi"/>
        </w:rPr>
        <w:t>.</w:t>
      </w:r>
      <w:r w:rsidRPr="004F20FD">
        <w:rPr>
          <w:rFonts w:cstheme="minorHAnsi"/>
        </w:rPr>
        <w:t xml:space="preserve"> </w:t>
      </w:r>
      <w:r w:rsidR="00763774" w:rsidRPr="00763774">
        <w:rPr>
          <w:rFonts w:cstheme="minorHAnsi"/>
        </w:rPr>
        <w:t xml:space="preserve">This regulation should ensure </w:t>
      </w:r>
      <w:r w:rsidR="00E81332">
        <w:rPr>
          <w:rFonts w:cstheme="minorHAnsi"/>
        </w:rPr>
        <w:t xml:space="preserve">access </w:t>
      </w:r>
      <w:r w:rsidR="00763774" w:rsidRPr="00763774">
        <w:rPr>
          <w:rFonts w:cstheme="minorHAnsi"/>
        </w:rPr>
        <w:t>to a high standard and choice</w:t>
      </w:r>
      <w:r w:rsidR="00E81332">
        <w:rPr>
          <w:rFonts w:cstheme="minorHAnsi"/>
        </w:rPr>
        <w:t xml:space="preserve"> of services</w:t>
      </w:r>
      <w:r w:rsidR="00344743">
        <w:rPr>
          <w:rFonts w:cstheme="minorHAnsi"/>
        </w:rPr>
        <w:t xml:space="preserve"> for end users</w:t>
      </w:r>
      <w:r w:rsidR="00763774" w:rsidRPr="00763774">
        <w:rPr>
          <w:rFonts w:cstheme="minorHAnsi"/>
        </w:rPr>
        <w:t>.</w:t>
      </w:r>
      <w:r w:rsidRPr="004F20FD">
        <w:rPr>
          <w:rFonts w:cstheme="minorHAnsi"/>
        </w:rPr>
        <w:t xml:space="preserve"> </w:t>
      </w:r>
    </w:p>
    <w:p w:rsidR="00C7127B" w:rsidRPr="002A17B6" w:rsidRDefault="00763774" w:rsidP="002A17B6">
      <w:pPr>
        <w:pStyle w:val="BodyText1"/>
      </w:pPr>
      <w:r w:rsidRPr="002A17B6">
        <w:t>Sincerely</w:t>
      </w:r>
    </w:p>
    <w:p w:rsidR="00C7127B" w:rsidRPr="002A17B6" w:rsidRDefault="00763774" w:rsidP="002A17B6">
      <w:pPr>
        <w:pStyle w:val="BodyText1"/>
      </w:pPr>
      <w:r w:rsidRPr="002A17B6">
        <w:rPr>
          <w:noProof/>
          <w:lang w:val="en-IE" w:eastAsia="en-IE"/>
        </w:rPr>
        <w:drawing>
          <wp:inline distT="0" distB="0" distL="0" distR="0" wp14:anchorId="65D26773" wp14:editId="53D7A0E9">
            <wp:extent cx="1200150" cy="326052"/>
            <wp:effectExtent l="0" t="0" r="0" b="0"/>
            <wp:docPr id="6" name="Picture 6" descr="Rachel 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50" cy="32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774" w:rsidRPr="002A17B6" w:rsidRDefault="00763774" w:rsidP="00333D45">
      <w:pPr>
        <w:pStyle w:val="BodyText1"/>
        <w:spacing w:after="0"/>
      </w:pPr>
      <w:r w:rsidRPr="002A17B6">
        <w:t>Rachel Thomas</w:t>
      </w:r>
    </w:p>
    <w:p w:rsidR="00763774" w:rsidRPr="002A17B6" w:rsidRDefault="00763774" w:rsidP="00333D45">
      <w:pPr>
        <w:pStyle w:val="BodyText1"/>
        <w:spacing w:after="0"/>
      </w:pPr>
      <w:r w:rsidRPr="002A17B6">
        <w:t>Policy Officer</w:t>
      </w:r>
    </w:p>
    <w:sectPr w:rsidR="00763774" w:rsidRPr="002A17B6" w:rsidSect="00E946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361" w:bottom="2552" w:left="136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B5" w:rsidRDefault="000E7AB5" w:rsidP="00C7127B">
      <w:pPr>
        <w:spacing w:after="0" w:line="240" w:lineRule="auto"/>
      </w:pPr>
      <w:r>
        <w:separator/>
      </w:r>
    </w:p>
  </w:endnote>
  <w:endnote w:type="continuationSeparator" w:id="0">
    <w:p w:rsidR="000E7AB5" w:rsidRDefault="000E7AB5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Pr="00E05115" w:rsidRDefault="00C7127B" w:rsidP="00C7127B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5339E0">
      <w:rPr>
        <w:noProof/>
      </w:rPr>
      <w:t>2</w:t>
    </w:r>
    <w:r w:rsidRPr="00C4251E">
      <w:rPr>
        <w:noProof/>
      </w:rPr>
      <w:fldChar w:fldCharType="end"/>
    </w:r>
  </w:p>
  <w:p w:rsidR="00C7127B" w:rsidRDefault="00C71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Default="00C7127B">
    <w:pPr>
      <w:pStyle w:val="Footer"/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55ACD03" wp14:editId="57779CDE">
              <wp:simplePos x="0" y="0"/>
              <wp:positionH relativeFrom="column">
                <wp:posOffset>-400050</wp:posOffset>
              </wp:positionH>
              <wp:positionV relativeFrom="paragraph">
                <wp:posOffset>-927735</wp:posOffset>
              </wp:positionV>
              <wp:extent cx="7142480" cy="1526540"/>
              <wp:effectExtent l="0" t="0" r="0" b="0"/>
              <wp:wrapNone/>
              <wp:docPr id="3" name="Group 3" descr="PO Box 639, Broadway NSW 2007&#10;Tel: (02) 9288 4000 | Fax: (02) 9288 4019 | Contact us through the National Relay Service&#10;www.accan.org.au | info@accan.org.au | twitter: @ACCAN_AU | www.facebook.com/accanau&#10;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2480" cy="1526540"/>
                        <a:chOff x="-220992" y="-210997"/>
                        <a:chExt cx="7142480" cy="1432678"/>
                      </a:xfrm>
                    </wpg:grpSpPr>
                    <wps:wsp>
                      <wps:cNvPr id="2" name="Text Box 2" descr="ACCAN contact details:&#10;Address: PO Box 639, Broadway NSW 2007&#10;Tel: (02) 9288 4000 | Fax: (02) 9288 4019 | Contact us through the National Relay Service&#10;www.accan.org.au | info@accan.org.au | twitter: @ACCAN_AU | www.facebook.com/accanau&#10;"/>
                      <wps:cNvSpPr txBox="1">
                        <a:spLocks noChangeArrowheads="1"/>
                      </wps:cNvSpPr>
                      <wps:spPr bwMode="auto">
                        <a:xfrm>
                          <a:off x="-220992" y="-210997"/>
                          <a:ext cx="7142480" cy="143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:rsidR="00C7127B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:rsidR="00C7127B" w:rsidRPr="00E05115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:rsidR="00C7127B" w:rsidRDefault="00C7127B" w:rsidP="00C7127B">
                            <w:pPr>
                              <w:spacing w:after="0"/>
                            </w:pPr>
                            <w:r>
                              <w:t>PO Box 639, Broadway NSW 2007</w:t>
                            </w:r>
                          </w:p>
                          <w:p w:rsidR="00C7127B" w:rsidRDefault="00C7127B" w:rsidP="00C7127B">
                            <w:pPr>
                              <w:spacing w:after="0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alt="PO Box 639, Broadway NSW 2007&#10;Tel: (02) 9288 4000 | Fax: (02) 9288 4019 | Contact us through the National Relay Service&#10;www.accan.org.au | info@accan.org.au | twitter: @ACCAN_AU | www.facebook.com/accanau&#10;" style="position:absolute;margin-left:-31.5pt;margin-top:-73.05pt;width:562.4pt;height:120.2pt;z-index:-251655168;mso-width-relative:margin;mso-height-relative:margin" coordorigin="-2209,-2109" coordsize="71424,14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alt="ACCAN contact details:&#10;Address: PO Box 639, Broadway NSW 2007&#10;Tel: (02) 9288 4000 | Fax: (02) 9288 4019 | Contact us through the National Relay Service&#10;www.accan.org.au | info@accan.org.au | twitter: @ACCAN_AU | www.facebook.com/accanau&#10;" style="position:absolute;left:-2209;top:-2109;width:71423;height:1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:rsidR="00C7127B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:rsidR="00C7127B" w:rsidRPr="00E05115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</w:p>
                    <w:p w:rsidR="00C7127B" w:rsidRDefault="00C7127B" w:rsidP="00C7127B">
                      <w:pPr>
                        <w:spacing w:after="0"/>
                      </w:pPr>
                      <w:r>
                        <w:t>PO Box 639, Broadway NSW 2007</w:t>
                      </w:r>
                    </w:p>
                    <w:p w:rsidR="00C7127B" w:rsidRDefault="00C7127B" w:rsidP="00C7127B">
                      <w:pPr>
                        <w:spacing w:after="0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2chsEAAADaAAAADwAAAGRycy9kb3ducmV2LnhtbERPS2rDMBDdF3oHMYXuGjmhmOBaCU3A&#10;paumcXOAqTX+YGtkLDmxe/ooUMhqeLzvpNvJdOJMg2ssK1guIhDEhdUNVwpOP9nLGoTzyBo7y6Rg&#10;JgfbzeNDiom2Fz7SOfeVCCHsElRQe98nUrqiJoNuYXviwJV2MOgDHCqpB7yEcNPJVRTF0mDDoaHG&#10;nvY1FW0+GgUH2Y5/r8U8lr+ZNx+nr138LY9KPT9N728gPE3+Lv53f+owH26v3K7c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nZyGwQAAANoAAAAPAAAAAAAAAAAAAAAA&#10;AKECAABkcnMvZG93bnJldi54bWxQSwUGAAAAAAQABAD5AAAAjwMAAAAA&#10;" strokecolor="#23b0e6" strokeweight="3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B5" w:rsidRDefault="000E7AB5" w:rsidP="00C7127B">
      <w:pPr>
        <w:spacing w:after="0" w:line="240" w:lineRule="auto"/>
      </w:pPr>
      <w:r>
        <w:separator/>
      </w:r>
    </w:p>
  </w:footnote>
  <w:footnote w:type="continuationSeparator" w:id="0">
    <w:p w:rsidR="000E7AB5" w:rsidRDefault="000E7AB5" w:rsidP="00C7127B">
      <w:pPr>
        <w:spacing w:after="0" w:line="240" w:lineRule="auto"/>
      </w:pPr>
      <w:r>
        <w:continuationSeparator/>
      </w:r>
    </w:p>
  </w:footnote>
  <w:footnote w:id="1">
    <w:p w:rsidR="0075124A" w:rsidRPr="001310EF" w:rsidRDefault="002A17B6" w:rsidP="002A17B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ACCAN </w:t>
      </w:r>
      <w:r w:rsidR="004F20FD">
        <w:rPr>
          <w:lang w:val="en-AU"/>
        </w:rPr>
        <w:t>has been contacted by a range of consumers served by SBAS and LBAS networks.</w:t>
      </w:r>
      <w:r w:rsidR="004F20FD" w:rsidRPr="004F20FD">
        <w:rPr>
          <w:lang w:val="en-AU"/>
        </w:rPr>
        <w:t xml:space="preserve"> </w:t>
      </w:r>
      <w:proofErr w:type="gramStart"/>
      <w:r w:rsidR="004F20FD">
        <w:rPr>
          <w:lang w:val="en-AU"/>
        </w:rPr>
        <w:t>Some examples previously given in December 2015 submission to SBAS.</w:t>
      </w:r>
      <w:proofErr w:type="gramEnd"/>
      <w:r w:rsidR="004F20FD" w:rsidRPr="0075124A">
        <w:t xml:space="preserve"> </w:t>
      </w:r>
      <w:hyperlink r:id="rId1" w:tooltip="ACCCAN submission [opens in a seperate window]" w:history="1">
        <w:r w:rsidR="004F20FD" w:rsidRPr="00EC5F1B">
          <w:rPr>
            <w:rStyle w:val="Hyperlink"/>
            <w:lang w:val="en-AU"/>
          </w:rPr>
          <w:t>https://accan.org.au/our-work/submissions/1168-superfast-broadband</w:t>
        </w:r>
      </w:hyperlink>
      <w:r w:rsidR="004F20FD">
        <w:rPr>
          <w:lang w:val="en-AU"/>
        </w:rPr>
        <w:t>. We have also commented in the media in response to end user concerns</w:t>
      </w:r>
      <w:r>
        <w:rPr>
          <w:lang w:val="en-AU"/>
        </w:rPr>
        <w:t xml:space="preserve">. </w:t>
      </w:r>
      <w:hyperlink r:id="rId2" w:tooltip="Visit SMH [opens in a seperate window]" w:history="1">
        <w:r w:rsidR="008E48E2" w:rsidRPr="00EC5F1B">
          <w:rPr>
            <w:rStyle w:val="Hyperlink"/>
            <w:lang w:val="en-AU"/>
          </w:rPr>
          <w:t>http://www.smh.com.au/business/consumer-affairs/poor-internet-service-can-break-a-real-estatel-deal-wentworth-point-agent-says-20161013-gs1b7x.html?utm_source=newsletter_91&amp;utm_medium=email&amp;utm_campaign=webnews355</w:t>
        </w:r>
      </w:hyperlink>
    </w:p>
  </w:footnote>
  <w:footnote w:id="2">
    <w:p w:rsidR="0075124A" w:rsidRPr="00F366F0" w:rsidRDefault="0075124A" w:rsidP="0075124A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Rod Sims speech at ACCAN conference, 1</w:t>
      </w:r>
      <w:r w:rsidRPr="0075124A">
        <w:rPr>
          <w:vertAlign w:val="superscript"/>
        </w:rPr>
        <w:t>st</w:t>
      </w:r>
      <w:r>
        <w:t xml:space="preserve"> September 2015.</w:t>
      </w:r>
      <w:proofErr w:type="gramEnd"/>
      <w:r>
        <w:t xml:space="preserve"> </w:t>
      </w:r>
      <w:hyperlink r:id="rId3" w:tooltip="Visit ACCC [opens in a seperate window]" w:history="1">
        <w:r w:rsidRPr="00EC5F1B">
          <w:rPr>
            <w:rStyle w:val="Hyperlink"/>
          </w:rPr>
          <w:t>https://www.accc.gov.au/speech/communications-affordability-and-the-role-of-efficient-markets</w:t>
        </w:r>
      </w:hyperlink>
    </w:p>
  </w:footnote>
  <w:footnote w:id="3">
    <w:p w:rsidR="00983414" w:rsidRPr="00983414" w:rsidRDefault="00983414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lang w:val="en-AU"/>
        </w:rPr>
        <w:t>ACCC discussion paper.</w:t>
      </w:r>
      <w:proofErr w:type="gramEnd"/>
      <w:r>
        <w:rPr>
          <w:lang w:val="en-AU"/>
        </w:rPr>
        <w:t xml:space="preserve"> Pg20.</w:t>
      </w:r>
    </w:p>
  </w:footnote>
  <w:footnote w:id="4">
    <w:p w:rsidR="00B0680D" w:rsidRPr="00C430CC" w:rsidRDefault="00B0680D" w:rsidP="00B0680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Sarmento</w:t>
      </w:r>
      <w:proofErr w:type="spellEnd"/>
      <w:r>
        <w:t xml:space="preserve">, P and </w:t>
      </w:r>
      <w:proofErr w:type="spellStart"/>
      <w:r>
        <w:t>Brandao</w:t>
      </w:r>
      <w:proofErr w:type="spellEnd"/>
      <w:r>
        <w:t>, A. 2004.</w:t>
      </w:r>
      <w:proofErr w:type="gramEnd"/>
      <w:r>
        <w:t xml:space="preserve"> </w:t>
      </w:r>
      <w:r w:rsidRPr="00C430CC">
        <w:rPr>
          <w:i/>
        </w:rPr>
        <w:t xml:space="preserve">Access Pricing: A Comparison </w:t>
      </w:r>
      <w:proofErr w:type="gramStart"/>
      <w:r w:rsidRPr="00C430CC">
        <w:rPr>
          <w:i/>
        </w:rPr>
        <w:t>Between</w:t>
      </w:r>
      <w:proofErr w:type="gramEnd"/>
      <w:r w:rsidRPr="00C430CC">
        <w:rPr>
          <w:i/>
        </w:rPr>
        <w:t xml:space="preserve"> Full deregulation and Two Alternative Instruments of Access Price Regulation, Cost Based Regulation and Retail Minus Regulation.</w:t>
      </w:r>
      <w:r>
        <w:t xml:space="preserve"> </w:t>
      </w:r>
      <w:hyperlink r:id="rId4" w:tooltip="Access article [opens in a seperate window]" w:history="1">
        <w:r w:rsidRPr="00EC5F1B">
          <w:rPr>
            <w:rStyle w:val="Hyperlink"/>
          </w:rPr>
          <w:t>http://userpage.fu-berlin.de/~jmueller/its/conf/berlin04/Papers/Brandao_Sarmento.pdf</w:t>
        </w:r>
      </w:hyperlink>
    </w:p>
  </w:footnote>
  <w:footnote w:id="5">
    <w:p w:rsidR="002A17B6" w:rsidRPr="006A52EE" w:rsidRDefault="002A17B6" w:rsidP="002A17B6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="004F20FD">
        <w:t>Department of Communications and Arts, Telecommunications in New Developments Policy.</w:t>
      </w:r>
      <w:proofErr w:type="gramEnd"/>
      <w:r w:rsidR="004F20FD">
        <w:t xml:space="preserve"> </w:t>
      </w:r>
      <w:proofErr w:type="gramStart"/>
      <w:r w:rsidR="00983414">
        <w:t>Malcolm Turnbull Media Release.</w:t>
      </w:r>
      <w:proofErr w:type="gramEnd"/>
      <w:r w:rsidR="00983414">
        <w:t xml:space="preserve"> </w:t>
      </w:r>
      <w:hyperlink r:id="rId5" w:anchor=".WARnVjVCxf4" w:history="1">
        <w:r w:rsidR="0075124A" w:rsidRPr="00EC5F1B">
          <w:rPr>
            <w:rStyle w:val="Hyperlink"/>
          </w:rPr>
          <w:t>http://www.minister.communications.gov.au/malcolm_turnbull/news/telecommunications_in_new_developments_a_new_approach_to_competition#.WARnVjVCxf4</w:t>
        </w:r>
      </w:hyperlink>
      <w:r>
        <w:t xml:space="preserve"> (accessed 10</w:t>
      </w:r>
      <w:r w:rsidRPr="00F366F0">
        <w:rPr>
          <w:vertAlign w:val="superscript"/>
        </w:rPr>
        <w:t>th</w:t>
      </w:r>
      <w:r>
        <w:t xml:space="preserve"> October 2016)</w:t>
      </w:r>
    </w:p>
  </w:footnote>
  <w:footnote w:id="6">
    <w:p w:rsidR="00D4388E" w:rsidRPr="00D4388E" w:rsidRDefault="00D4388E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ACCAN Policy Position on Customer Service and Reliability Standard (February 2016). </w:t>
      </w:r>
      <w:hyperlink r:id="rId6" w:history="1">
        <w:r w:rsidRPr="00EC5F1B">
          <w:rPr>
            <w:rStyle w:val="Hyperlink"/>
            <w:lang w:val="en-AU"/>
          </w:rPr>
          <w:t>http://accan.org.au/election-2016/election-issues/1166-future-guarantee</w:t>
        </w:r>
      </w:hyperlink>
    </w:p>
  </w:footnote>
  <w:footnote w:id="7">
    <w:p w:rsidR="003A3227" w:rsidRPr="003A3227" w:rsidRDefault="003A3227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ACCC </w:t>
      </w:r>
      <w:r w:rsidR="00983414">
        <w:rPr>
          <w:lang w:val="en-AU"/>
        </w:rPr>
        <w:t>Discussion</w:t>
      </w:r>
      <w:r>
        <w:rPr>
          <w:lang w:val="en-AU"/>
        </w:rPr>
        <w:t xml:space="preserve"> paper pg.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Default="00C7127B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64EDA33F" wp14:editId="0B9C96B6">
          <wp:simplePos x="0" y="0"/>
          <wp:positionH relativeFrom="column">
            <wp:posOffset>4749029</wp:posOffset>
          </wp:positionH>
          <wp:positionV relativeFrom="paragraph">
            <wp:posOffset>-353060</wp:posOffset>
          </wp:positionV>
          <wp:extent cx="1630800" cy="756000"/>
          <wp:effectExtent l="0" t="0" r="7620" b="6350"/>
          <wp:wrapNone/>
          <wp:docPr id="10" name="Picture 10" descr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7B" w:rsidRDefault="00C7127B" w:rsidP="00C7127B">
    <w:pPr>
      <w:pStyle w:val="Header"/>
      <w:jc w:val="right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114E6A09" wp14:editId="08468B4D">
          <wp:simplePos x="0" y="0"/>
          <wp:positionH relativeFrom="column">
            <wp:posOffset>4848225</wp:posOffset>
          </wp:positionH>
          <wp:positionV relativeFrom="paragraph">
            <wp:posOffset>-276860</wp:posOffset>
          </wp:positionV>
          <wp:extent cx="1630800" cy="756000"/>
          <wp:effectExtent l="0" t="0" r="7620" b="6350"/>
          <wp:wrapNone/>
          <wp:docPr id="4" name="Picture 4" descr="AC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8C"/>
    <w:rsid w:val="00020199"/>
    <w:rsid w:val="00065F15"/>
    <w:rsid w:val="000E7AB5"/>
    <w:rsid w:val="001A4E64"/>
    <w:rsid w:val="001E4939"/>
    <w:rsid w:val="001F338C"/>
    <w:rsid w:val="002A17B6"/>
    <w:rsid w:val="002E4166"/>
    <w:rsid w:val="00333D45"/>
    <w:rsid w:val="00344743"/>
    <w:rsid w:val="003A3227"/>
    <w:rsid w:val="00400E79"/>
    <w:rsid w:val="00470FDC"/>
    <w:rsid w:val="004F20FD"/>
    <w:rsid w:val="00506DA9"/>
    <w:rsid w:val="005339E0"/>
    <w:rsid w:val="00545597"/>
    <w:rsid w:val="005A25BA"/>
    <w:rsid w:val="0072701F"/>
    <w:rsid w:val="0075124A"/>
    <w:rsid w:val="00763774"/>
    <w:rsid w:val="0077602E"/>
    <w:rsid w:val="008E48E2"/>
    <w:rsid w:val="00983414"/>
    <w:rsid w:val="00A702EC"/>
    <w:rsid w:val="00A9042B"/>
    <w:rsid w:val="00AD240E"/>
    <w:rsid w:val="00B0680D"/>
    <w:rsid w:val="00B65EEF"/>
    <w:rsid w:val="00B937FF"/>
    <w:rsid w:val="00C430CC"/>
    <w:rsid w:val="00C7127B"/>
    <w:rsid w:val="00C97391"/>
    <w:rsid w:val="00CB3DB0"/>
    <w:rsid w:val="00CD5459"/>
    <w:rsid w:val="00D013F6"/>
    <w:rsid w:val="00D24F24"/>
    <w:rsid w:val="00D4388E"/>
    <w:rsid w:val="00D77571"/>
    <w:rsid w:val="00E81332"/>
    <w:rsid w:val="00E946F9"/>
    <w:rsid w:val="00F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763774"/>
    <w:pPr>
      <w:jc w:val="both"/>
    </w:pPr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74"/>
    <w:pPr>
      <w:spacing w:after="0" w:line="240" w:lineRule="auto"/>
    </w:pPr>
    <w:rPr>
      <w:rFonts w:eastAsiaTheme="minorHAnsi"/>
      <w:sz w:val="20"/>
      <w:szCs w:val="20"/>
      <w:lang w:val="en-I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74"/>
    <w:rPr>
      <w:rFonts w:eastAsiaTheme="minorHAnsi"/>
      <w:sz w:val="20"/>
      <w:szCs w:val="20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377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637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3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0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763774"/>
    <w:pPr>
      <w:jc w:val="both"/>
    </w:pPr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774"/>
    <w:pPr>
      <w:spacing w:after="0" w:line="240" w:lineRule="auto"/>
    </w:pPr>
    <w:rPr>
      <w:rFonts w:eastAsiaTheme="minorHAnsi"/>
      <w:sz w:val="20"/>
      <w:szCs w:val="20"/>
      <w:lang w:val="en-I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774"/>
    <w:rPr>
      <w:rFonts w:eastAsiaTheme="minorHAnsi"/>
      <w:sz w:val="20"/>
      <w:szCs w:val="20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377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637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4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9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3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fastbroadbandinquiry@accc.gov.a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icole.Ross@accc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ccc.gov.au/speech/communications-affordability-and-the-role-of-efficient-markets" TargetMode="External"/><Relationship Id="rId2" Type="http://schemas.openxmlformats.org/officeDocument/2006/relationships/hyperlink" Target="http://www.smh.com.au/business/consumer-affairs/poor-internet-service-can-break-a-real-estatel-deal-wentworth-point-agent-says-20161013-gs1b7x.html?utm_source=newsletter_91&amp;utm_medium=email&amp;utm_campaign=webnews355" TargetMode="External"/><Relationship Id="rId1" Type="http://schemas.openxmlformats.org/officeDocument/2006/relationships/hyperlink" Target="https://accan.org.au/our-work/submissions/1168-superfast-broadband" TargetMode="External"/><Relationship Id="rId6" Type="http://schemas.openxmlformats.org/officeDocument/2006/relationships/hyperlink" Target="http://accan.org.au/election-2016/election-issues/1166-future-guarantee" TargetMode="External"/><Relationship Id="rId5" Type="http://schemas.openxmlformats.org/officeDocument/2006/relationships/hyperlink" Target="http://www.minister.communications.gov.au/malcolm_turnbull/news/telecommunications_in_new_developments_a_new_approach_to_competition" TargetMode="External"/><Relationship Id="rId4" Type="http://schemas.openxmlformats.org/officeDocument/2006/relationships/hyperlink" Target="http://userpage.fu-berlin.de/~jmueller/its/conf/berlin04/Papers/Brandao_Sarment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6%20as%20at%20August%202016\Short%20Submi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D340-BF56-4074-8331-038D798C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</Template>
  <TotalTime>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Rachel Thomas</cp:lastModifiedBy>
  <cp:revision>4</cp:revision>
  <cp:lastPrinted>2016-10-25T04:40:00Z</cp:lastPrinted>
  <dcterms:created xsi:type="dcterms:W3CDTF">2016-10-25T05:52:00Z</dcterms:created>
  <dcterms:modified xsi:type="dcterms:W3CDTF">2016-10-25T05:57:00Z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