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50" w:rsidRPr="00761F71" w:rsidRDefault="00041050" w:rsidP="00B3447F">
      <w:pPr>
        <w:spacing w:line="360" w:lineRule="auto"/>
        <w:rPr>
          <w:rFonts w:ascii="Times New Roman" w:hAnsi="Times New Roman" w:cs="Times New Roman"/>
          <w:sz w:val="24"/>
          <w:szCs w:val="24"/>
        </w:rPr>
      </w:pPr>
    </w:p>
    <w:p w:rsidR="00041050" w:rsidRPr="0049467F" w:rsidRDefault="00041050" w:rsidP="00B3447F">
      <w:pPr>
        <w:spacing w:line="360" w:lineRule="auto"/>
        <w:rPr>
          <w:rFonts w:ascii="Times New Roman" w:hAnsi="Times New Roman" w:cs="Times New Roman"/>
          <w:sz w:val="24"/>
          <w:szCs w:val="24"/>
        </w:rPr>
      </w:pPr>
      <w:r w:rsidRPr="0049467F">
        <w:rPr>
          <w:rFonts w:ascii="Times New Roman" w:hAnsi="Times New Roman" w:cs="Times New Roman"/>
          <w:sz w:val="24"/>
          <w:szCs w:val="24"/>
        </w:rPr>
        <w:t>27 September 2019</w:t>
      </w:r>
    </w:p>
    <w:p w:rsidR="00602D85" w:rsidRPr="0049467F" w:rsidRDefault="0049467F" w:rsidP="00B3447F">
      <w:pPr>
        <w:spacing w:after="0" w:line="360" w:lineRule="auto"/>
        <w:rPr>
          <w:rFonts w:ascii="Times New Roman" w:hAnsi="Times New Roman" w:cs="Times New Roman"/>
          <w:sz w:val="24"/>
          <w:szCs w:val="24"/>
        </w:rPr>
      </w:pPr>
      <w:r w:rsidRPr="0049467F">
        <w:rPr>
          <w:rFonts w:ascii="Times New Roman" w:hAnsi="Times New Roman" w:cs="Times New Roman"/>
          <w:sz w:val="24"/>
          <w:szCs w:val="24"/>
        </w:rPr>
        <w:t>Tara Morice</w:t>
      </w:r>
    </w:p>
    <w:p w:rsidR="008E3905" w:rsidRPr="0049467F" w:rsidRDefault="008E3905" w:rsidP="00B3447F">
      <w:pPr>
        <w:spacing w:after="0" w:line="360" w:lineRule="auto"/>
        <w:rPr>
          <w:rFonts w:ascii="Times New Roman" w:hAnsi="Times New Roman" w:cs="Times New Roman"/>
          <w:sz w:val="24"/>
          <w:szCs w:val="24"/>
        </w:rPr>
      </w:pPr>
      <w:r w:rsidRPr="0049467F">
        <w:rPr>
          <w:rFonts w:ascii="Times New Roman" w:hAnsi="Times New Roman" w:cs="Times New Roman"/>
          <w:sz w:val="24"/>
          <w:szCs w:val="24"/>
        </w:rPr>
        <w:t xml:space="preserve">Director </w:t>
      </w:r>
    </w:p>
    <w:p w:rsidR="008E3905" w:rsidRPr="0049467F" w:rsidRDefault="008E3905" w:rsidP="00B3447F">
      <w:pPr>
        <w:spacing w:after="0" w:line="360" w:lineRule="auto"/>
        <w:rPr>
          <w:rFonts w:ascii="Times New Roman" w:hAnsi="Times New Roman" w:cs="Times New Roman"/>
          <w:sz w:val="24"/>
          <w:szCs w:val="24"/>
        </w:rPr>
      </w:pPr>
      <w:r w:rsidRPr="0049467F">
        <w:rPr>
          <w:rFonts w:ascii="Times New Roman" w:hAnsi="Times New Roman" w:cs="Times New Roman"/>
          <w:sz w:val="24"/>
          <w:szCs w:val="24"/>
        </w:rPr>
        <w:t>Infrastructure Regulation Division</w:t>
      </w:r>
    </w:p>
    <w:p w:rsidR="00041050" w:rsidRPr="0049467F" w:rsidRDefault="00041050" w:rsidP="00B3447F">
      <w:pPr>
        <w:spacing w:after="0" w:line="360" w:lineRule="auto"/>
        <w:rPr>
          <w:rFonts w:ascii="Times New Roman" w:hAnsi="Times New Roman" w:cs="Times New Roman"/>
          <w:sz w:val="24"/>
          <w:szCs w:val="24"/>
        </w:rPr>
      </w:pPr>
      <w:r w:rsidRPr="0049467F">
        <w:rPr>
          <w:rFonts w:ascii="Times New Roman" w:hAnsi="Times New Roman" w:cs="Times New Roman"/>
          <w:sz w:val="24"/>
          <w:szCs w:val="24"/>
        </w:rPr>
        <w:t>Domestic Mobile Terminating Access Service Declaration Inquiry</w:t>
      </w:r>
    </w:p>
    <w:p w:rsidR="00041050" w:rsidRPr="0049467F" w:rsidRDefault="00041050" w:rsidP="00B3447F">
      <w:pPr>
        <w:spacing w:after="0" w:line="360" w:lineRule="auto"/>
        <w:rPr>
          <w:rFonts w:ascii="Times New Roman" w:hAnsi="Times New Roman" w:cs="Times New Roman"/>
          <w:sz w:val="24"/>
          <w:szCs w:val="24"/>
        </w:rPr>
      </w:pPr>
      <w:r w:rsidRPr="0049467F">
        <w:rPr>
          <w:rFonts w:ascii="Times New Roman" w:hAnsi="Times New Roman" w:cs="Times New Roman"/>
          <w:sz w:val="24"/>
          <w:szCs w:val="24"/>
        </w:rPr>
        <w:t>Australian Competition and Consumer Commission</w:t>
      </w:r>
    </w:p>
    <w:p w:rsidR="00041050" w:rsidRPr="00761F71" w:rsidRDefault="00843B15" w:rsidP="00B3447F">
      <w:pPr>
        <w:spacing w:after="0" w:line="360" w:lineRule="auto"/>
        <w:rPr>
          <w:rFonts w:ascii="Times New Roman" w:hAnsi="Times New Roman" w:cs="Times New Roman"/>
          <w:sz w:val="24"/>
          <w:szCs w:val="24"/>
        </w:rPr>
      </w:pPr>
      <w:hyperlink r:id="rId9" w:history="1">
        <w:r w:rsidR="00041050" w:rsidRPr="0049467F">
          <w:rPr>
            <w:rStyle w:val="Hyperlink"/>
            <w:rFonts w:ascii="Times New Roman" w:hAnsi="Times New Roman" w:cs="Times New Roman"/>
            <w:sz w:val="24"/>
            <w:szCs w:val="24"/>
          </w:rPr>
          <w:t>MTASinquiry@accc.gov.au</w:t>
        </w:r>
      </w:hyperlink>
      <w:r w:rsidR="00041050" w:rsidRPr="00761F71">
        <w:rPr>
          <w:rFonts w:ascii="Times New Roman" w:hAnsi="Times New Roman" w:cs="Times New Roman"/>
          <w:sz w:val="24"/>
          <w:szCs w:val="24"/>
        </w:rPr>
        <w:t xml:space="preserve"> </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center"/>
        <w:rPr>
          <w:rFonts w:ascii="Times New Roman" w:hAnsi="Times New Roman" w:cs="Times New Roman"/>
          <w:b/>
          <w:sz w:val="24"/>
          <w:szCs w:val="24"/>
        </w:rPr>
      </w:pPr>
      <w:r w:rsidRPr="00761F71">
        <w:rPr>
          <w:rFonts w:ascii="Times New Roman" w:hAnsi="Times New Roman" w:cs="Times New Roman"/>
          <w:b/>
          <w:sz w:val="24"/>
          <w:szCs w:val="24"/>
        </w:rPr>
        <w:t>Re: Public inquiry on the access determination for the Domestic Mobile Terminating Access Service</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49467F" w:rsidP="00B34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Dear Ms Morice</w:t>
      </w:r>
      <w:r w:rsidR="00041050" w:rsidRPr="00761F71">
        <w:rPr>
          <w:rFonts w:ascii="Times New Roman" w:hAnsi="Times New Roman" w:cs="Times New Roman"/>
          <w:sz w:val="24"/>
          <w:szCs w:val="24"/>
        </w:rPr>
        <w:t>,</w:t>
      </w:r>
    </w:p>
    <w:p w:rsidR="00041050" w:rsidRPr="00761F71" w:rsidRDefault="00041050" w:rsidP="00B3447F">
      <w:pPr>
        <w:spacing w:after="0" w:line="360" w:lineRule="auto"/>
        <w:jc w:val="both"/>
        <w:rPr>
          <w:rFonts w:ascii="Times New Roman" w:hAnsi="Times New Roman" w:cs="Times New Roman"/>
          <w:sz w:val="24"/>
          <w:szCs w:val="24"/>
        </w:rPr>
      </w:pPr>
    </w:p>
    <w:p w:rsidR="00041050"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 xml:space="preserve">ACCAN thanks the ACCC for the opportunity to contribute to its Domestic Mobile Terminating Access Service (MTAS) Declaration Inquiry Final Access Determination (FAD) consultation. </w:t>
      </w:r>
    </w:p>
    <w:p w:rsidR="00761F71" w:rsidRDefault="00761F71" w:rsidP="00B3447F">
      <w:pPr>
        <w:spacing w:after="0" w:line="360" w:lineRule="auto"/>
        <w:jc w:val="both"/>
        <w:rPr>
          <w:rFonts w:ascii="Times New Roman" w:hAnsi="Times New Roman" w:cs="Times New Roman"/>
          <w:sz w:val="24"/>
          <w:szCs w:val="24"/>
        </w:rPr>
      </w:pPr>
    </w:p>
    <w:p w:rsidR="00BC76ED" w:rsidRPr="00761F71" w:rsidRDefault="00BC76ED" w:rsidP="00BC76ED">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 xml:space="preserve">ACCAN appreciates that some of the concerns outlined </w:t>
      </w:r>
      <w:r w:rsidR="00EA78B2">
        <w:rPr>
          <w:rFonts w:ascii="Times New Roman" w:hAnsi="Times New Roman" w:cs="Times New Roman"/>
          <w:sz w:val="24"/>
          <w:szCs w:val="24"/>
        </w:rPr>
        <w:t>below</w:t>
      </w:r>
      <w:r w:rsidRPr="00761F71">
        <w:rPr>
          <w:rFonts w:ascii="Times New Roman" w:hAnsi="Times New Roman" w:cs="Times New Roman"/>
          <w:sz w:val="24"/>
          <w:szCs w:val="24"/>
        </w:rPr>
        <w:t xml:space="preserve"> may not fall entirely within the scope of the MTAS consultation, but notes that there are substantial grounds for further scrutiny of retail pricing arrangements for fixed line services. </w:t>
      </w:r>
    </w:p>
    <w:p w:rsidR="00BC76ED" w:rsidRPr="00761F71" w:rsidRDefault="00BC76ED" w:rsidP="00B3447F">
      <w:pPr>
        <w:spacing w:after="0" w:line="360" w:lineRule="auto"/>
        <w:jc w:val="both"/>
        <w:rPr>
          <w:rFonts w:ascii="Times New Roman" w:hAnsi="Times New Roman" w:cs="Times New Roman"/>
          <w:sz w:val="24"/>
          <w:szCs w:val="24"/>
        </w:rPr>
      </w:pPr>
    </w:p>
    <w:p w:rsidR="00761F71" w:rsidRPr="00761F71" w:rsidRDefault="00761F71" w:rsidP="00761F71">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ACCAN considers that there are sufficient grounds for undertaking further cost modelling to establishing the true cost of MTAS provision.</w:t>
      </w:r>
      <w:r>
        <w:rPr>
          <w:rFonts w:ascii="Times New Roman" w:hAnsi="Times New Roman" w:cs="Times New Roman"/>
          <w:sz w:val="24"/>
          <w:szCs w:val="24"/>
        </w:rPr>
        <w:t xml:space="preserve"> </w:t>
      </w:r>
      <w:r w:rsidRPr="00761F71">
        <w:rPr>
          <w:rFonts w:ascii="Times New Roman" w:hAnsi="Times New Roman" w:cs="Times New Roman"/>
          <w:sz w:val="24"/>
          <w:szCs w:val="24"/>
        </w:rPr>
        <w:t>ACCAN does not consider that there are compelling reasons to support the rollover of existing pricing arrangements</w:t>
      </w:r>
      <w:r w:rsidR="00CC1EC4">
        <w:rPr>
          <w:rFonts w:ascii="Times New Roman" w:hAnsi="Times New Roman" w:cs="Times New Roman"/>
          <w:sz w:val="24"/>
          <w:szCs w:val="24"/>
        </w:rPr>
        <w:t>,</w:t>
      </w:r>
      <w:r w:rsidRPr="00761F71">
        <w:rPr>
          <w:rFonts w:ascii="Times New Roman" w:hAnsi="Times New Roman" w:cs="Times New Roman"/>
          <w:sz w:val="24"/>
          <w:szCs w:val="24"/>
        </w:rPr>
        <w:t xml:space="preserve"> noting that current wholesale prices likely materially overstate the fundamental cost of providing MTAS. Acknowledging that there has been an internationally observable trend sho</w:t>
      </w:r>
      <w:r>
        <w:rPr>
          <w:rFonts w:ascii="Times New Roman" w:hAnsi="Times New Roman" w:cs="Times New Roman"/>
          <w:sz w:val="24"/>
          <w:szCs w:val="24"/>
        </w:rPr>
        <w:t>wing a diminution of MTAS costs</w:t>
      </w:r>
      <w:r w:rsidR="006371EA">
        <w:rPr>
          <w:rFonts w:ascii="Times New Roman" w:hAnsi="Times New Roman" w:cs="Times New Roman"/>
          <w:sz w:val="24"/>
          <w:szCs w:val="24"/>
        </w:rPr>
        <w:t xml:space="preserve"> as identified in the discussion paper</w:t>
      </w:r>
      <w:r>
        <w:rPr>
          <w:rFonts w:ascii="Times New Roman" w:hAnsi="Times New Roman" w:cs="Times New Roman"/>
          <w:sz w:val="24"/>
          <w:szCs w:val="24"/>
        </w:rPr>
        <w:t xml:space="preserve"> there is a reasonable basis for concluding that a similar decline has occurred in the Australian market. </w:t>
      </w:r>
    </w:p>
    <w:p w:rsidR="00B335BD" w:rsidRPr="00761F71" w:rsidRDefault="00B335BD" w:rsidP="00761F71">
      <w:pPr>
        <w:spacing w:after="0" w:line="360" w:lineRule="auto"/>
        <w:jc w:val="both"/>
        <w:rPr>
          <w:rFonts w:ascii="Times New Roman" w:hAnsi="Times New Roman" w:cs="Times New Roman"/>
          <w:sz w:val="24"/>
          <w:szCs w:val="24"/>
        </w:rPr>
      </w:pPr>
    </w:p>
    <w:p w:rsidR="00617647" w:rsidRDefault="00761F71" w:rsidP="00761F71">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lastRenderedPageBreak/>
        <w:t>ACCAN appreciates that cost modelling is an expensive process to undertake but considers that in light of the likely material reduction in the cost of providing the service that consumers are likely to benefit significantly from a close examination of the true cost of service provision.</w:t>
      </w:r>
      <w:r>
        <w:rPr>
          <w:rFonts w:ascii="Times New Roman" w:hAnsi="Times New Roman" w:cs="Times New Roman"/>
          <w:sz w:val="24"/>
          <w:szCs w:val="24"/>
        </w:rPr>
        <w:t xml:space="preserve"> </w:t>
      </w:r>
      <w:r w:rsidR="00617647" w:rsidRPr="00761F71">
        <w:rPr>
          <w:rFonts w:ascii="Times New Roman" w:hAnsi="Times New Roman" w:cs="Times New Roman"/>
          <w:sz w:val="24"/>
          <w:szCs w:val="24"/>
        </w:rPr>
        <w:t xml:space="preserve">In addition, ACCAN considers that reductions in the wholesale costs will encourage providers to seek further efficiencies in their infrastructure investment programs and encourage the long term interests of end users of that infrastructure. </w:t>
      </w:r>
      <w:r w:rsidR="00B335BD">
        <w:rPr>
          <w:rFonts w:ascii="Times New Roman" w:hAnsi="Times New Roman" w:cs="Times New Roman"/>
          <w:sz w:val="24"/>
          <w:szCs w:val="24"/>
        </w:rPr>
        <w:t>However, i</w:t>
      </w:r>
      <w:r>
        <w:rPr>
          <w:rFonts w:ascii="Times New Roman" w:hAnsi="Times New Roman" w:cs="Times New Roman"/>
          <w:sz w:val="24"/>
          <w:szCs w:val="24"/>
        </w:rPr>
        <w:t>n the event that the ACCC does not undertake cost-modelling, ACCAN’s preference would be for international cost benchmarking</w:t>
      </w:r>
      <w:r w:rsidR="00B335BD">
        <w:rPr>
          <w:rFonts w:ascii="Times New Roman" w:hAnsi="Times New Roman" w:cs="Times New Roman"/>
          <w:sz w:val="24"/>
          <w:szCs w:val="24"/>
        </w:rPr>
        <w:t xml:space="preserve"> to be undertaken</w:t>
      </w:r>
      <w:r>
        <w:rPr>
          <w:rFonts w:ascii="Times New Roman" w:hAnsi="Times New Roman" w:cs="Times New Roman"/>
          <w:sz w:val="24"/>
          <w:szCs w:val="24"/>
        </w:rPr>
        <w:t xml:space="preserve">.  </w:t>
      </w:r>
    </w:p>
    <w:p w:rsidR="00BC76ED" w:rsidRDefault="00BC76ED" w:rsidP="00761F71">
      <w:pPr>
        <w:spacing w:after="0" w:line="360" w:lineRule="auto"/>
        <w:jc w:val="both"/>
        <w:rPr>
          <w:rFonts w:ascii="Times New Roman" w:hAnsi="Times New Roman" w:cs="Times New Roman"/>
          <w:sz w:val="24"/>
          <w:szCs w:val="24"/>
        </w:rPr>
      </w:pPr>
    </w:p>
    <w:p w:rsidR="00843B15" w:rsidRDefault="00843B15" w:rsidP="00761F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ACCAN does not consider that applying an adjustment to the current MTAS price is an appropriate option. The application of a simple reduction in MTAS pricing is unlikely to capture the full reduction in MTAS costs and in particular the efficiency gains associated with technical improvements in the network. As a consequence ACCAN considers that a simple adjustment would be unlikely to be consistent with principles of cost-reflective pricing and would result in consumers facing inefficiently high charges. In addition to being inefficient ACCAN considers that it would be highly detrimental to vulnerable consumers who would face higher than necessary retail prices.</w:t>
      </w:r>
      <w:bookmarkStart w:id="0" w:name="_GoBack"/>
      <w:bookmarkEnd w:id="0"/>
    </w:p>
    <w:p w:rsidR="00843B15" w:rsidRDefault="00843B15" w:rsidP="00761F71">
      <w:pPr>
        <w:spacing w:after="0" w:line="360" w:lineRule="auto"/>
        <w:jc w:val="both"/>
        <w:rPr>
          <w:rFonts w:ascii="Times New Roman" w:hAnsi="Times New Roman" w:cs="Times New Roman"/>
          <w:sz w:val="24"/>
          <w:szCs w:val="24"/>
        </w:rPr>
      </w:pPr>
    </w:p>
    <w:p w:rsidR="00041050" w:rsidRPr="00761F71" w:rsidRDefault="00761F71" w:rsidP="00B34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ACCAN is opposed to a rollover of existing MTAS pricing as we consider that such an arrangement would support inefficiently high MTAS pricing that is unlikely to reflect the underlying cost of delivery.</w:t>
      </w:r>
      <w:r w:rsidR="00617647">
        <w:rPr>
          <w:rFonts w:ascii="Times New Roman" w:hAnsi="Times New Roman" w:cs="Times New Roman"/>
          <w:sz w:val="24"/>
          <w:szCs w:val="24"/>
        </w:rPr>
        <w:t xml:space="preserve"> T</w:t>
      </w:r>
      <w:r w:rsidR="00041050" w:rsidRPr="00761F71">
        <w:rPr>
          <w:rFonts w:ascii="Times New Roman" w:hAnsi="Times New Roman" w:cs="Times New Roman"/>
          <w:sz w:val="24"/>
          <w:szCs w:val="24"/>
        </w:rPr>
        <w:t>here is sufficient evidence to indicate that the underlying cost of providing MTAS services has fallen</w:t>
      </w:r>
      <w:r w:rsidR="00B53656" w:rsidRPr="00761F71">
        <w:rPr>
          <w:rFonts w:ascii="Times New Roman" w:hAnsi="Times New Roman" w:cs="Times New Roman"/>
          <w:sz w:val="24"/>
          <w:szCs w:val="24"/>
        </w:rPr>
        <w:t xml:space="preserve"> considerably since the last review</w:t>
      </w:r>
      <w:r w:rsidR="00041050" w:rsidRPr="00761F71">
        <w:rPr>
          <w:rFonts w:ascii="Times New Roman" w:hAnsi="Times New Roman" w:cs="Times New Roman"/>
          <w:sz w:val="24"/>
          <w:szCs w:val="24"/>
        </w:rPr>
        <w:t>. Accordingly</w:t>
      </w:r>
      <w:r w:rsidR="00617647">
        <w:rPr>
          <w:rFonts w:ascii="Times New Roman" w:hAnsi="Times New Roman" w:cs="Times New Roman"/>
          <w:sz w:val="24"/>
          <w:szCs w:val="24"/>
        </w:rPr>
        <w:t>,</w:t>
      </w:r>
      <w:r w:rsidR="00041050" w:rsidRPr="00761F71">
        <w:rPr>
          <w:rFonts w:ascii="Times New Roman" w:hAnsi="Times New Roman" w:cs="Times New Roman"/>
          <w:sz w:val="24"/>
          <w:szCs w:val="24"/>
        </w:rPr>
        <w:t xml:space="preserve"> revision to the FAD is required in order to ensure that prices are set to reflect the efficient cost of providing the service, and facilitate competition and allocative efficiency in the downstream voice service market.</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The rollover of existing pricing arrangements would result in the setting of MTAS prices at an artificially higher rate than their cost of provision. Although for some retail service offerings this would not result in a distortion, for those plans remaining in the market that continue to charge on the basis of usage it would discourage the efficient use of services.</w:t>
      </w:r>
    </w:p>
    <w:p w:rsidR="00B3447F" w:rsidRPr="00761F71" w:rsidRDefault="00B3447F"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For those consumers that are using services that retain usage based charges</w:t>
      </w:r>
      <w:r w:rsidR="00617647">
        <w:rPr>
          <w:rFonts w:ascii="Times New Roman" w:hAnsi="Times New Roman" w:cs="Times New Roman"/>
          <w:sz w:val="24"/>
          <w:szCs w:val="24"/>
        </w:rPr>
        <w:t>,</w:t>
      </w:r>
      <w:r w:rsidRPr="00761F71">
        <w:rPr>
          <w:rFonts w:ascii="Times New Roman" w:hAnsi="Times New Roman" w:cs="Times New Roman"/>
          <w:sz w:val="24"/>
          <w:szCs w:val="24"/>
        </w:rPr>
        <w:t xml:space="preserve"> the cost of accessing services is priced well in excess of the underlying efficient cost of providing the service. This is both detrimental to these consumers in that they pay more than they otherwise </w:t>
      </w:r>
      <w:r w:rsidRPr="00761F71">
        <w:rPr>
          <w:rFonts w:ascii="Times New Roman" w:hAnsi="Times New Roman" w:cs="Times New Roman"/>
          <w:sz w:val="24"/>
          <w:szCs w:val="24"/>
        </w:rPr>
        <w:lastRenderedPageBreak/>
        <w:t xml:space="preserve">would, but also entails a deadweight social welfare loss as consumers are deterred from using services that if efficiently provided at cost-reflective prices would be affordable for consumers. </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Among consumers on very low incomes</w:t>
      </w:r>
      <w:r w:rsidR="00617647">
        <w:rPr>
          <w:rFonts w:ascii="Times New Roman" w:hAnsi="Times New Roman" w:cs="Times New Roman"/>
          <w:sz w:val="24"/>
          <w:szCs w:val="24"/>
        </w:rPr>
        <w:t>,</w:t>
      </w:r>
      <w:r w:rsidRPr="00761F71">
        <w:rPr>
          <w:rFonts w:ascii="Times New Roman" w:hAnsi="Times New Roman" w:cs="Times New Roman"/>
          <w:sz w:val="24"/>
          <w:szCs w:val="24"/>
        </w:rPr>
        <w:t xml:space="preserve"> the use of mobile and fixed services that </w:t>
      </w:r>
      <w:r w:rsidR="00617647">
        <w:rPr>
          <w:rFonts w:ascii="Times New Roman" w:hAnsi="Times New Roman" w:cs="Times New Roman"/>
          <w:sz w:val="24"/>
          <w:szCs w:val="24"/>
        </w:rPr>
        <w:t>retain</w:t>
      </w:r>
      <w:r w:rsidR="00617647" w:rsidRPr="00761F71">
        <w:rPr>
          <w:rFonts w:ascii="Times New Roman" w:hAnsi="Times New Roman" w:cs="Times New Roman"/>
          <w:sz w:val="24"/>
          <w:szCs w:val="24"/>
        </w:rPr>
        <w:t xml:space="preserve"> </w:t>
      </w:r>
      <w:r w:rsidRPr="00761F71">
        <w:rPr>
          <w:rFonts w:ascii="Times New Roman" w:hAnsi="Times New Roman" w:cs="Times New Roman"/>
          <w:sz w:val="24"/>
          <w:szCs w:val="24"/>
        </w:rPr>
        <w:t>usage based charging remains common. For these consumers a reduction in the wholesale cost of services is likely to facilitate cheaper access to essential communication services. ACCAN regularly receives contacts from consumers, in particular elderly consumers</w:t>
      </w:r>
      <w:r w:rsidR="00617647">
        <w:rPr>
          <w:rFonts w:ascii="Times New Roman" w:hAnsi="Times New Roman" w:cs="Times New Roman"/>
          <w:sz w:val="24"/>
          <w:szCs w:val="24"/>
        </w:rPr>
        <w:t>,</w:t>
      </w:r>
      <w:r w:rsidRPr="00761F71">
        <w:rPr>
          <w:rFonts w:ascii="Times New Roman" w:hAnsi="Times New Roman" w:cs="Times New Roman"/>
          <w:sz w:val="24"/>
          <w:szCs w:val="24"/>
        </w:rPr>
        <w:t xml:space="preserve"> who disproportionately use voice-only fixed line services that entail total monthly phone bills in excess of the cost of high-speed broadband plans</w:t>
      </w:r>
      <w:r w:rsidR="00195901">
        <w:rPr>
          <w:rFonts w:ascii="Times New Roman" w:hAnsi="Times New Roman" w:cs="Times New Roman"/>
          <w:sz w:val="24"/>
          <w:szCs w:val="24"/>
        </w:rPr>
        <w:t xml:space="preserve">, primarily due to calls to mobile </w:t>
      </w:r>
      <w:r w:rsidR="00EF4B0F">
        <w:rPr>
          <w:rFonts w:ascii="Times New Roman" w:hAnsi="Times New Roman" w:cs="Times New Roman"/>
          <w:sz w:val="24"/>
          <w:szCs w:val="24"/>
        </w:rPr>
        <w:t>numbers</w:t>
      </w:r>
      <w:r w:rsidRPr="00761F71">
        <w:rPr>
          <w:rFonts w:ascii="Times New Roman" w:hAnsi="Times New Roman" w:cs="Times New Roman"/>
          <w:sz w:val="24"/>
          <w:szCs w:val="24"/>
        </w:rPr>
        <w:t xml:space="preserve">. </w:t>
      </w:r>
    </w:p>
    <w:p w:rsidR="00903C77" w:rsidRPr="00761F71" w:rsidRDefault="00903C77" w:rsidP="00B3447F">
      <w:pPr>
        <w:spacing w:after="0" w:line="360" w:lineRule="auto"/>
        <w:jc w:val="both"/>
        <w:rPr>
          <w:rFonts w:ascii="Times New Roman" w:hAnsi="Times New Roman" w:cs="Times New Roman"/>
          <w:sz w:val="24"/>
          <w:szCs w:val="24"/>
        </w:rPr>
      </w:pPr>
    </w:p>
    <w:p w:rsidR="00903C77" w:rsidRPr="00761F71" w:rsidRDefault="00903C77"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 xml:space="preserve">The other main consumer cohort who continue to retain fixed voice services are those residing in rural, regional and remote areas who keep these services in order to augment other less reliable forms of communications access. These consumers often face considerably higher costs as a consequence of the continued use of these </w:t>
      </w:r>
      <w:r w:rsidR="002265EC" w:rsidRPr="00761F71">
        <w:rPr>
          <w:rFonts w:ascii="Times New Roman" w:hAnsi="Times New Roman" w:cs="Times New Roman"/>
          <w:sz w:val="24"/>
          <w:szCs w:val="24"/>
        </w:rPr>
        <w:t>services;</w:t>
      </w:r>
      <w:r w:rsidRPr="00761F71">
        <w:rPr>
          <w:rFonts w:ascii="Times New Roman" w:hAnsi="Times New Roman" w:cs="Times New Roman"/>
          <w:sz w:val="24"/>
          <w:szCs w:val="24"/>
        </w:rPr>
        <w:t xml:space="preserve"> though </w:t>
      </w:r>
      <w:r w:rsidR="00A2101B">
        <w:rPr>
          <w:rFonts w:ascii="Times New Roman" w:hAnsi="Times New Roman" w:cs="Times New Roman"/>
          <w:sz w:val="24"/>
          <w:szCs w:val="24"/>
        </w:rPr>
        <w:t xml:space="preserve">they </w:t>
      </w:r>
      <w:r w:rsidRPr="00761F71">
        <w:rPr>
          <w:rFonts w:ascii="Times New Roman" w:hAnsi="Times New Roman" w:cs="Times New Roman"/>
          <w:sz w:val="24"/>
          <w:szCs w:val="24"/>
        </w:rPr>
        <w:t>often lack access to reliable and more cost-effective alternatives. ACCAN notes that although historically usage charging was a mechanism for cross-subsidising the otherwise high cost of providing cheaper access to services for these consumers, this subsidy is now directly provided via the Universal Service Obligation (USO) and NBN Co. internal subsidies.</w:t>
      </w:r>
    </w:p>
    <w:p w:rsidR="00041050" w:rsidRPr="00761F71" w:rsidRDefault="00041050" w:rsidP="00B3447F">
      <w:pPr>
        <w:spacing w:after="0" w:line="360" w:lineRule="auto"/>
        <w:jc w:val="both"/>
        <w:rPr>
          <w:rFonts w:ascii="Times New Roman" w:hAnsi="Times New Roman" w:cs="Times New Roman"/>
          <w:color w:val="FF0000"/>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ACCAN considers that the retail pricing frameworks currently in place in the fixed line services market are becoming increasingly disconnected from the fundamental cost of service provision. In particular</w:t>
      </w:r>
      <w:r w:rsidR="00034FCA">
        <w:rPr>
          <w:rFonts w:ascii="Times New Roman" w:hAnsi="Times New Roman" w:cs="Times New Roman"/>
          <w:sz w:val="24"/>
          <w:szCs w:val="24"/>
        </w:rPr>
        <w:t>,</w:t>
      </w:r>
      <w:r w:rsidRPr="00761F71">
        <w:rPr>
          <w:rFonts w:ascii="Times New Roman" w:hAnsi="Times New Roman" w:cs="Times New Roman"/>
          <w:sz w:val="24"/>
          <w:szCs w:val="24"/>
        </w:rPr>
        <w:t xml:space="preserve"> ACCAN notes that the underlying cost associated with wholesale access for voice-only services delivered over the NBN is set at $22.50. </w:t>
      </w:r>
      <w:r w:rsidR="00C571A7" w:rsidRPr="00761F71">
        <w:rPr>
          <w:rFonts w:ascii="Times New Roman" w:hAnsi="Times New Roman" w:cs="Times New Roman"/>
          <w:sz w:val="24"/>
          <w:szCs w:val="24"/>
        </w:rPr>
        <w:t xml:space="preserve">Despite this flat charging structure, many voice services delivered over </w:t>
      </w:r>
      <w:r w:rsidR="00034FCA">
        <w:rPr>
          <w:rFonts w:ascii="Times New Roman" w:hAnsi="Times New Roman" w:cs="Times New Roman"/>
          <w:sz w:val="24"/>
          <w:szCs w:val="24"/>
        </w:rPr>
        <w:t xml:space="preserve">the </w:t>
      </w:r>
      <w:r w:rsidR="00C571A7" w:rsidRPr="00761F71">
        <w:rPr>
          <w:rFonts w:ascii="Times New Roman" w:hAnsi="Times New Roman" w:cs="Times New Roman"/>
          <w:sz w:val="24"/>
          <w:szCs w:val="24"/>
        </w:rPr>
        <w:t>NBN continue to charge for VOIP calls where there is no off-net component to the service.</w:t>
      </w:r>
      <w:r w:rsidR="00034FCA">
        <w:rPr>
          <w:rFonts w:ascii="Times New Roman" w:hAnsi="Times New Roman" w:cs="Times New Roman"/>
          <w:sz w:val="24"/>
          <w:szCs w:val="24"/>
        </w:rPr>
        <w:t xml:space="preserve"> </w:t>
      </w:r>
      <w:r w:rsidRPr="00761F71">
        <w:rPr>
          <w:rFonts w:ascii="Times New Roman" w:hAnsi="Times New Roman" w:cs="Times New Roman"/>
          <w:sz w:val="24"/>
          <w:szCs w:val="24"/>
        </w:rPr>
        <w:t>However</w:t>
      </w:r>
      <w:r w:rsidR="00034FCA">
        <w:rPr>
          <w:rFonts w:ascii="Times New Roman" w:hAnsi="Times New Roman" w:cs="Times New Roman"/>
          <w:sz w:val="24"/>
          <w:szCs w:val="24"/>
        </w:rPr>
        <w:t>,</w:t>
      </w:r>
      <w:r w:rsidRPr="00761F71">
        <w:rPr>
          <w:rFonts w:ascii="Times New Roman" w:hAnsi="Times New Roman" w:cs="Times New Roman"/>
          <w:sz w:val="24"/>
          <w:szCs w:val="24"/>
        </w:rPr>
        <w:t xml:space="preserve"> the majority of service providers continue to apply a pricing methodology that charges consumers for usage despite the underlying cost of service delivery approaching zero. Where providers have departed from usage based pricing, the flat rates offered are priced well in excess of the cost of service provision, with the margin attained on the provision of standard telephone services appearing to exceed that of more complex services offerings. </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 xml:space="preserve">The economic rationale for usage based pricing was to cross-subsidise low cost infrastructure access in order to facilitate take-up of infrastructure services. This policy intent was </w:t>
      </w:r>
      <w:r w:rsidRPr="00761F71">
        <w:rPr>
          <w:rFonts w:ascii="Times New Roman" w:hAnsi="Times New Roman" w:cs="Times New Roman"/>
          <w:sz w:val="24"/>
          <w:szCs w:val="24"/>
        </w:rPr>
        <w:lastRenderedPageBreak/>
        <w:t>originally targeted to facilitate service take-up by low income cohorts as well as those cohorts residing in areas where the underlying cost of infrastructure provision would have precluded take-up of services if the true cost was reflected in pricing.</w:t>
      </w:r>
      <w:r w:rsidR="00BA21D3" w:rsidRPr="00761F71">
        <w:rPr>
          <w:rFonts w:ascii="Times New Roman" w:hAnsi="Times New Roman" w:cs="Times New Roman"/>
          <w:sz w:val="24"/>
          <w:szCs w:val="24"/>
        </w:rPr>
        <w:t xml:space="preserve"> A</w:t>
      </w:r>
      <w:r w:rsidRPr="00761F71">
        <w:rPr>
          <w:rFonts w:ascii="Times New Roman" w:hAnsi="Times New Roman" w:cs="Times New Roman"/>
          <w:sz w:val="24"/>
          <w:szCs w:val="24"/>
        </w:rPr>
        <w:t>lthough this pricing approach was justifiable when the entirety of the network was government owned</w:t>
      </w:r>
      <w:r w:rsidR="00034FCA">
        <w:rPr>
          <w:rFonts w:ascii="Times New Roman" w:hAnsi="Times New Roman" w:cs="Times New Roman"/>
          <w:sz w:val="24"/>
          <w:szCs w:val="24"/>
        </w:rPr>
        <w:t>,</w:t>
      </w:r>
      <w:r w:rsidRPr="00761F71">
        <w:rPr>
          <w:rFonts w:ascii="Times New Roman" w:hAnsi="Times New Roman" w:cs="Times New Roman"/>
          <w:sz w:val="24"/>
          <w:szCs w:val="24"/>
        </w:rPr>
        <w:t xml:space="preserve"> and internal cross-subsidies were required </w:t>
      </w:r>
      <w:r w:rsidR="002265EC" w:rsidRPr="00761F71">
        <w:rPr>
          <w:rFonts w:ascii="Times New Roman" w:hAnsi="Times New Roman" w:cs="Times New Roman"/>
          <w:sz w:val="24"/>
          <w:szCs w:val="24"/>
        </w:rPr>
        <w:t>to fund this access, these services are now funded via alternate mechanisms.</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The application of Ramsay-Boiteux pricing concepts for the cross-subsidisation of fixed infrastructure costs are increasingly unjustifiable</w:t>
      </w:r>
      <w:r w:rsidR="00034FCA">
        <w:rPr>
          <w:rFonts w:ascii="Times New Roman" w:hAnsi="Times New Roman" w:cs="Times New Roman"/>
          <w:sz w:val="24"/>
          <w:szCs w:val="24"/>
        </w:rPr>
        <w:t>,</w:t>
      </w:r>
      <w:r w:rsidRPr="00761F71">
        <w:rPr>
          <w:rFonts w:ascii="Times New Roman" w:hAnsi="Times New Roman" w:cs="Times New Roman"/>
          <w:sz w:val="24"/>
          <w:szCs w:val="24"/>
        </w:rPr>
        <w:t xml:space="preserve"> noting that the underlying cross-subsidisation of the non-profitable regional, rural and remote parts of the telecommunications networks are either already incorporated in the wholesale charge set by NBN Co.</w:t>
      </w:r>
      <w:r w:rsidR="00034FCA">
        <w:rPr>
          <w:rFonts w:ascii="Times New Roman" w:hAnsi="Times New Roman" w:cs="Times New Roman"/>
          <w:sz w:val="24"/>
          <w:szCs w:val="24"/>
        </w:rPr>
        <w:t>,</w:t>
      </w:r>
      <w:r w:rsidRPr="00761F71">
        <w:rPr>
          <w:rFonts w:ascii="Times New Roman" w:hAnsi="Times New Roman" w:cs="Times New Roman"/>
          <w:sz w:val="24"/>
          <w:szCs w:val="24"/>
        </w:rPr>
        <w:t xml:space="preserve"> or alternatively funded through existing </w:t>
      </w:r>
      <w:r w:rsidR="00034FCA">
        <w:rPr>
          <w:rFonts w:ascii="Times New Roman" w:hAnsi="Times New Roman" w:cs="Times New Roman"/>
          <w:sz w:val="24"/>
          <w:szCs w:val="24"/>
        </w:rPr>
        <w:t>USO</w:t>
      </w:r>
      <w:r w:rsidRPr="00761F71">
        <w:rPr>
          <w:rFonts w:ascii="Times New Roman" w:hAnsi="Times New Roman" w:cs="Times New Roman"/>
          <w:sz w:val="24"/>
          <w:szCs w:val="24"/>
        </w:rPr>
        <w:t xml:space="preserve"> arrangements. </w:t>
      </w:r>
    </w:p>
    <w:p w:rsidR="00041050" w:rsidRPr="00761F71" w:rsidRDefault="00041050" w:rsidP="00B3447F">
      <w:pPr>
        <w:spacing w:after="0" w:line="360" w:lineRule="auto"/>
        <w:jc w:val="both"/>
        <w:rPr>
          <w:rFonts w:ascii="Times New Roman" w:hAnsi="Times New Roman" w:cs="Times New Roman"/>
          <w:sz w:val="24"/>
          <w:szCs w:val="24"/>
        </w:rPr>
      </w:pPr>
    </w:p>
    <w:p w:rsidR="00041050" w:rsidRPr="00761F71"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Put simply, the subsidisation of infrastructure access through higher usage charges is untenable in an environment whe</w:t>
      </w:r>
      <w:r w:rsidR="00034FCA">
        <w:rPr>
          <w:rFonts w:ascii="Times New Roman" w:hAnsi="Times New Roman" w:cs="Times New Roman"/>
          <w:sz w:val="24"/>
          <w:szCs w:val="24"/>
        </w:rPr>
        <w:t>re</w:t>
      </w:r>
      <w:r w:rsidRPr="00761F71">
        <w:rPr>
          <w:rFonts w:ascii="Times New Roman" w:hAnsi="Times New Roman" w:cs="Times New Roman"/>
          <w:sz w:val="24"/>
          <w:szCs w:val="24"/>
        </w:rPr>
        <w:t xml:space="preserve"> these subsidies are already paid for by taxpayers through the USO or through user-based charges via the NBN. At present, the use of high retail use charges appears to be intended to double-dip on cross-subsidies that were originally intended to facilitate low cost infrastructure access. This pricing approach is not only detrimental to legacy service users, but increasingly to those consumers who have migrated to the NBN, who face the same retail tariff construct despite the underlying cost of service provision being almost entirely fixed.  </w:t>
      </w:r>
    </w:p>
    <w:p w:rsidR="00041050" w:rsidRPr="00761F71" w:rsidRDefault="00041050" w:rsidP="00B3447F">
      <w:pPr>
        <w:spacing w:after="0" w:line="360" w:lineRule="auto"/>
        <w:jc w:val="both"/>
        <w:rPr>
          <w:rFonts w:ascii="Times New Roman" w:hAnsi="Times New Roman" w:cs="Times New Roman"/>
          <w:sz w:val="24"/>
          <w:szCs w:val="24"/>
        </w:rPr>
      </w:pPr>
    </w:p>
    <w:p w:rsidR="00602D85" w:rsidRDefault="00041050" w:rsidP="00B3447F">
      <w:pPr>
        <w:spacing w:after="0" w:line="360" w:lineRule="auto"/>
        <w:jc w:val="both"/>
        <w:rPr>
          <w:rFonts w:ascii="Times New Roman" w:hAnsi="Times New Roman" w:cs="Times New Roman"/>
          <w:sz w:val="24"/>
          <w:szCs w:val="24"/>
        </w:rPr>
      </w:pPr>
      <w:r w:rsidRPr="00761F71">
        <w:rPr>
          <w:rFonts w:ascii="Times New Roman" w:hAnsi="Times New Roman" w:cs="Times New Roman"/>
          <w:sz w:val="24"/>
          <w:szCs w:val="24"/>
        </w:rPr>
        <w:t xml:space="preserve">ACCAN considers that once the transition to the NBN is complete, any outstanding cross-subsidies associated with the provision of fixed line voice services would either be embedded into the existing NBN wholesale price or addressed through the funding made available under the terms of the USO. Accordingly, following the completion of the NBN migration a continuation in the use of usage based retailing pricing arrangements would indicate abuse of market power. </w:t>
      </w:r>
    </w:p>
    <w:p w:rsidR="00041050" w:rsidRDefault="00041050" w:rsidP="00037917">
      <w:pPr>
        <w:spacing w:after="0" w:line="360" w:lineRule="auto"/>
        <w:jc w:val="both"/>
        <w:rPr>
          <w:rFonts w:ascii="Times New Roman" w:hAnsi="Times New Roman" w:cs="Times New Roman"/>
          <w:sz w:val="24"/>
          <w:szCs w:val="24"/>
        </w:rPr>
      </w:pPr>
    </w:p>
    <w:p w:rsidR="0033767D" w:rsidRDefault="0033767D" w:rsidP="000379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ACCAN considers that the FAD should expire at the end of the MTAS declaration. Accordingly the end date for the FAD should be 30 June 2024.</w:t>
      </w:r>
    </w:p>
    <w:p w:rsidR="0033767D" w:rsidRPr="00761F71" w:rsidRDefault="0033767D" w:rsidP="00037917">
      <w:pPr>
        <w:spacing w:after="0" w:line="360" w:lineRule="auto"/>
        <w:jc w:val="both"/>
        <w:rPr>
          <w:rFonts w:ascii="Times New Roman" w:hAnsi="Times New Roman" w:cs="Times New Roman"/>
          <w:sz w:val="24"/>
          <w:szCs w:val="24"/>
        </w:rPr>
      </w:pPr>
    </w:p>
    <w:p w:rsidR="00041050" w:rsidRPr="00761F71" w:rsidRDefault="00041050" w:rsidP="00037917">
      <w:pPr>
        <w:pStyle w:val="BodyText1"/>
        <w:spacing w:after="0" w:line="360" w:lineRule="auto"/>
        <w:jc w:val="both"/>
      </w:pPr>
      <w:r w:rsidRPr="00761F71">
        <w:rPr>
          <w:rFonts w:ascii="Times New Roman" w:hAnsi="Times New Roman" w:cs="Times New Roman"/>
          <w:sz w:val="24"/>
          <w:szCs w:val="24"/>
        </w:rPr>
        <w:lastRenderedPageBreak/>
        <w:t xml:space="preserve">ACCAN thanks the ACCC for the opportunity to contribute to this important consultation. </w:t>
      </w:r>
      <w:r w:rsidR="00602D85">
        <w:rPr>
          <w:rFonts w:ascii="Times New Roman" w:hAnsi="Times New Roman" w:cs="Times New Roman"/>
          <w:color w:val="auto"/>
          <w:sz w:val="24"/>
          <w:szCs w:val="24"/>
        </w:rPr>
        <w:t>Should the ACCC require any further information or clarification concerning any of the issues raised in this submission please do not hesitate to get in contact.</w:t>
      </w:r>
    </w:p>
    <w:p w:rsidR="00041050" w:rsidRPr="00761F71" w:rsidRDefault="00041050">
      <w:pPr>
        <w:spacing w:after="0" w:line="360" w:lineRule="auto"/>
        <w:jc w:val="both"/>
        <w:rPr>
          <w:rFonts w:ascii="Times New Roman" w:hAnsi="Times New Roman" w:cs="Times New Roman"/>
          <w:sz w:val="24"/>
          <w:szCs w:val="24"/>
        </w:rPr>
      </w:pPr>
    </w:p>
    <w:p w:rsidR="00C7127B" w:rsidRPr="00761F71" w:rsidRDefault="00B3447F">
      <w:pPr>
        <w:pStyle w:val="BodyText1"/>
        <w:spacing w:line="360" w:lineRule="auto"/>
        <w:rPr>
          <w:rFonts w:ascii="Times New Roman" w:eastAsiaTheme="minorEastAsia" w:hAnsi="Times New Roman" w:cs="Times New Roman"/>
          <w:color w:val="auto"/>
          <w:sz w:val="24"/>
          <w:szCs w:val="24"/>
          <w:lang w:eastAsia="en-AU"/>
        </w:rPr>
      </w:pPr>
      <w:r w:rsidRPr="00761F71">
        <w:rPr>
          <w:rFonts w:ascii="Times New Roman" w:eastAsiaTheme="minorEastAsia" w:hAnsi="Times New Roman" w:cs="Times New Roman"/>
          <w:color w:val="auto"/>
          <w:sz w:val="24"/>
          <w:szCs w:val="24"/>
          <w:lang w:eastAsia="en-AU"/>
        </w:rPr>
        <w:t xml:space="preserve">Yours Sincerely, </w:t>
      </w:r>
      <w:r w:rsidRPr="00761F71">
        <w:rPr>
          <w:rFonts w:ascii="Times New Roman" w:eastAsiaTheme="minorEastAsia" w:hAnsi="Times New Roman" w:cs="Times New Roman"/>
          <w:color w:val="auto"/>
          <w:sz w:val="24"/>
          <w:szCs w:val="24"/>
          <w:lang w:eastAsia="en-AU"/>
        </w:rPr>
        <w:br/>
      </w:r>
      <w:r w:rsidRPr="00761F71">
        <w:rPr>
          <w:rFonts w:ascii="Times New Roman" w:eastAsiaTheme="minorEastAsia" w:hAnsi="Times New Roman" w:cs="Times New Roman"/>
          <w:color w:val="auto"/>
          <w:sz w:val="24"/>
          <w:szCs w:val="24"/>
          <w:lang w:eastAsia="en-AU"/>
        </w:rPr>
        <w:br/>
        <w:t xml:space="preserve">Gareth Downing </w:t>
      </w:r>
    </w:p>
    <w:p w:rsidR="00545597" w:rsidRPr="00F6550E" w:rsidRDefault="00B3447F" w:rsidP="00F6550E">
      <w:pPr>
        <w:pStyle w:val="BodyText1"/>
        <w:spacing w:line="360" w:lineRule="auto"/>
        <w:rPr>
          <w:rFonts w:ascii="Times New Roman" w:hAnsi="Times New Roman" w:cs="Times New Roman"/>
          <w:color w:val="auto"/>
          <w:sz w:val="24"/>
          <w:szCs w:val="24"/>
        </w:rPr>
      </w:pPr>
      <w:r w:rsidRPr="00761F71">
        <w:rPr>
          <w:rFonts w:ascii="Times New Roman" w:eastAsiaTheme="minorEastAsia" w:hAnsi="Times New Roman" w:cs="Times New Roman"/>
          <w:color w:val="auto"/>
          <w:sz w:val="24"/>
          <w:szCs w:val="24"/>
          <w:lang w:eastAsia="en-AU"/>
        </w:rPr>
        <w:t>Senior Policy Analyst</w:t>
      </w:r>
    </w:p>
    <w:sectPr w:rsidR="00545597" w:rsidRPr="00F6550E" w:rsidSect="00C7127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8C" w:rsidRDefault="0090418C" w:rsidP="00C7127B">
      <w:pPr>
        <w:spacing w:after="0" w:line="240" w:lineRule="auto"/>
      </w:pPr>
      <w:r>
        <w:separator/>
      </w:r>
    </w:p>
  </w:endnote>
  <w:endnote w:type="continuationSeparator" w:id="0">
    <w:p w:rsidR="0090418C" w:rsidRDefault="0090418C"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43B15">
      <w:rPr>
        <w:noProof/>
      </w:rPr>
      <w:t>2</w:t>
    </w:r>
    <w:r w:rsidRPr="00C4251E">
      <w:rPr>
        <w:noProof/>
      </w:rPr>
      <w:fldChar w:fldCharType="end"/>
    </w:r>
    <w:r w:rsidR="008F3AAD">
      <w:rPr>
        <w:noProof/>
      </w:rPr>
      <w:t>.</w:t>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7949B6" w:rsidP="007949B6">
    <w:pPr>
      <w:spacing w:after="0"/>
      <w:ind w:hanging="567"/>
      <w:rPr>
        <w:color w:val="23B0E6"/>
      </w:rPr>
    </w:pPr>
    <w:r w:rsidRPr="00E05115">
      <w:rPr>
        <w:color w:val="23B0E6"/>
      </w:rPr>
      <w:t>Australian Communications Consumer Action Network (ACCAN)</w:t>
    </w:r>
  </w:p>
  <w:p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7949B6" w:rsidP="007949B6">
    <w:pPr>
      <w:spacing w:after="0"/>
      <w:ind w:left="-567" w:hanging="567"/>
      <w:rPr>
        <w:i/>
        <w:color w:val="23B0E6"/>
      </w:rPr>
    </w:pPr>
    <w:r>
      <w:rPr>
        <w:noProof/>
        <w:lang w:val="en-US" w:eastAsia="en-US"/>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7949B6" w:rsidP="007949B6">
    <w:pPr>
      <w:spacing w:after="0"/>
      <w:ind w:hanging="567"/>
    </w:pPr>
    <w:r>
      <w:t>PO Box 639, Broadway NSW 2007</w:t>
    </w:r>
  </w:p>
  <w:p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8C" w:rsidRDefault="0090418C" w:rsidP="00C7127B">
      <w:pPr>
        <w:spacing w:after="0" w:line="240" w:lineRule="auto"/>
      </w:pPr>
      <w:r>
        <w:separator/>
      </w:r>
    </w:p>
  </w:footnote>
  <w:footnote w:type="continuationSeparator" w:id="0">
    <w:p w:rsidR="0090418C" w:rsidRDefault="0090418C" w:rsidP="00C7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983739">
    <w:pPr>
      <w:pStyle w:val="Header"/>
    </w:pPr>
    <w:r>
      <w:rPr>
        <w:noProof/>
        <w:lang w:val="en-US" w:eastAsia="en-US"/>
      </w:rPr>
      <w:drawing>
        <wp:anchor distT="0" distB="0" distL="114300" distR="114300" simplePos="0" relativeHeight="251659264" behindDoc="1" locked="0" layoutInCell="1" allowOverlap="1" wp14:anchorId="3F6EDEAD" wp14:editId="1B61620D">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7949B6">
    <w:pPr>
      <w:pStyle w:val="Header"/>
      <w:jc w:val="right"/>
    </w:pPr>
    <w:r>
      <w:rPr>
        <w:noProof/>
        <w:lang w:val="en-US" w:eastAsia="en-US"/>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9CE"/>
    <w:multiLevelType w:val="hybridMultilevel"/>
    <w:tmpl w:val="736C98B2"/>
    <w:lvl w:ilvl="0" w:tplc="EC481EE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34FCA"/>
    <w:rsid w:val="00037917"/>
    <w:rsid w:val="00041050"/>
    <w:rsid w:val="000F43F7"/>
    <w:rsid w:val="00155FA9"/>
    <w:rsid w:val="00195901"/>
    <w:rsid w:val="001E17DE"/>
    <w:rsid w:val="001F1687"/>
    <w:rsid w:val="002265EC"/>
    <w:rsid w:val="0033767D"/>
    <w:rsid w:val="003A0527"/>
    <w:rsid w:val="0049467F"/>
    <w:rsid w:val="00545597"/>
    <w:rsid w:val="005E7E0D"/>
    <w:rsid w:val="00602D85"/>
    <w:rsid w:val="00617647"/>
    <w:rsid w:val="006371EA"/>
    <w:rsid w:val="00647DFE"/>
    <w:rsid w:val="00653A2D"/>
    <w:rsid w:val="006667CA"/>
    <w:rsid w:val="00761F71"/>
    <w:rsid w:val="007949B6"/>
    <w:rsid w:val="00843B15"/>
    <w:rsid w:val="008648B4"/>
    <w:rsid w:val="008E3905"/>
    <w:rsid w:val="008F3AAD"/>
    <w:rsid w:val="00901E2E"/>
    <w:rsid w:val="00903C77"/>
    <w:rsid w:val="0090418C"/>
    <w:rsid w:val="00983739"/>
    <w:rsid w:val="009A590C"/>
    <w:rsid w:val="00A2101B"/>
    <w:rsid w:val="00A265E3"/>
    <w:rsid w:val="00B04876"/>
    <w:rsid w:val="00B335BD"/>
    <w:rsid w:val="00B3447F"/>
    <w:rsid w:val="00B53656"/>
    <w:rsid w:val="00BA21D3"/>
    <w:rsid w:val="00BC76ED"/>
    <w:rsid w:val="00C571A7"/>
    <w:rsid w:val="00C7127B"/>
    <w:rsid w:val="00CC1EC4"/>
    <w:rsid w:val="00D8530E"/>
    <w:rsid w:val="00DA3A55"/>
    <w:rsid w:val="00E92535"/>
    <w:rsid w:val="00EA78B2"/>
    <w:rsid w:val="00EF4B0F"/>
    <w:rsid w:val="00F478E3"/>
    <w:rsid w:val="00F6550E"/>
    <w:rsid w:val="00F77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CC1EC4"/>
    <w:rPr>
      <w:sz w:val="16"/>
      <w:szCs w:val="16"/>
    </w:rPr>
  </w:style>
  <w:style w:type="paragraph" w:styleId="CommentText">
    <w:name w:val="annotation text"/>
    <w:basedOn w:val="Normal"/>
    <w:link w:val="CommentTextChar"/>
    <w:uiPriority w:val="99"/>
    <w:semiHidden/>
    <w:unhideWhenUsed/>
    <w:rsid w:val="00CC1EC4"/>
    <w:pPr>
      <w:spacing w:line="240" w:lineRule="auto"/>
    </w:pPr>
    <w:rPr>
      <w:sz w:val="20"/>
      <w:szCs w:val="20"/>
    </w:rPr>
  </w:style>
  <w:style w:type="character" w:customStyle="1" w:styleId="CommentTextChar">
    <w:name w:val="Comment Text Char"/>
    <w:basedOn w:val="DefaultParagraphFont"/>
    <w:link w:val="CommentText"/>
    <w:uiPriority w:val="99"/>
    <w:semiHidden/>
    <w:rsid w:val="00CC1EC4"/>
    <w:rPr>
      <w:sz w:val="20"/>
      <w:szCs w:val="20"/>
    </w:rPr>
  </w:style>
  <w:style w:type="paragraph" w:styleId="CommentSubject">
    <w:name w:val="annotation subject"/>
    <w:basedOn w:val="CommentText"/>
    <w:next w:val="CommentText"/>
    <w:link w:val="CommentSubjectChar"/>
    <w:uiPriority w:val="99"/>
    <w:semiHidden/>
    <w:unhideWhenUsed/>
    <w:rsid w:val="00CC1EC4"/>
    <w:rPr>
      <w:b/>
      <w:bCs/>
    </w:rPr>
  </w:style>
  <w:style w:type="character" w:customStyle="1" w:styleId="CommentSubjectChar">
    <w:name w:val="Comment Subject Char"/>
    <w:basedOn w:val="CommentTextChar"/>
    <w:link w:val="CommentSubject"/>
    <w:uiPriority w:val="99"/>
    <w:semiHidden/>
    <w:rsid w:val="00CC1EC4"/>
    <w:rPr>
      <w:b/>
      <w:bCs/>
      <w:sz w:val="20"/>
      <w:szCs w:val="20"/>
    </w:rPr>
  </w:style>
  <w:style w:type="paragraph" w:styleId="BalloonText">
    <w:name w:val="Balloon Text"/>
    <w:basedOn w:val="Normal"/>
    <w:link w:val="BalloonTextChar"/>
    <w:uiPriority w:val="99"/>
    <w:semiHidden/>
    <w:unhideWhenUsed/>
    <w:rsid w:val="00CC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CC1EC4"/>
    <w:rPr>
      <w:sz w:val="16"/>
      <w:szCs w:val="16"/>
    </w:rPr>
  </w:style>
  <w:style w:type="paragraph" w:styleId="CommentText">
    <w:name w:val="annotation text"/>
    <w:basedOn w:val="Normal"/>
    <w:link w:val="CommentTextChar"/>
    <w:uiPriority w:val="99"/>
    <w:semiHidden/>
    <w:unhideWhenUsed/>
    <w:rsid w:val="00CC1EC4"/>
    <w:pPr>
      <w:spacing w:line="240" w:lineRule="auto"/>
    </w:pPr>
    <w:rPr>
      <w:sz w:val="20"/>
      <w:szCs w:val="20"/>
    </w:rPr>
  </w:style>
  <w:style w:type="character" w:customStyle="1" w:styleId="CommentTextChar">
    <w:name w:val="Comment Text Char"/>
    <w:basedOn w:val="DefaultParagraphFont"/>
    <w:link w:val="CommentText"/>
    <w:uiPriority w:val="99"/>
    <w:semiHidden/>
    <w:rsid w:val="00CC1EC4"/>
    <w:rPr>
      <w:sz w:val="20"/>
      <w:szCs w:val="20"/>
    </w:rPr>
  </w:style>
  <w:style w:type="paragraph" w:styleId="CommentSubject">
    <w:name w:val="annotation subject"/>
    <w:basedOn w:val="CommentText"/>
    <w:next w:val="CommentText"/>
    <w:link w:val="CommentSubjectChar"/>
    <w:uiPriority w:val="99"/>
    <w:semiHidden/>
    <w:unhideWhenUsed/>
    <w:rsid w:val="00CC1EC4"/>
    <w:rPr>
      <w:b/>
      <w:bCs/>
    </w:rPr>
  </w:style>
  <w:style w:type="character" w:customStyle="1" w:styleId="CommentSubjectChar">
    <w:name w:val="Comment Subject Char"/>
    <w:basedOn w:val="CommentTextChar"/>
    <w:link w:val="CommentSubject"/>
    <w:uiPriority w:val="99"/>
    <w:semiHidden/>
    <w:rsid w:val="00CC1EC4"/>
    <w:rPr>
      <w:b/>
      <w:bCs/>
      <w:sz w:val="20"/>
      <w:szCs w:val="20"/>
    </w:rPr>
  </w:style>
  <w:style w:type="paragraph" w:styleId="BalloonText">
    <w:name w:val="Balloon Text"/>
    <w:basedOn w:val="Normal"/>
    <w:link w:val="BalloonTextChar"/>
    <w:uiPriority w:val="99"/>
    <w:semiHidden/>
    <w:unhideWhenUsed/>
    <w:rsid w:val="00CC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TASinquiry@acc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F6C-0F1E-41D1-92D5-22BACB39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67</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Gareth Downing</cp:lastModifiedBy>
  <cp:revision>23</cp:revision>
  <dcterms:created xsi:type="dcterms:W3CDTF">2019-09-23T02:42:00Z</dcterms:created>
  <dcterms:modified xsi:type="dcterms:W3CDTF">2019-09-25T01:20:00Z</dcterms:modified>
</cp:coreProperties>
</file>