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5340" w14:textId="4CBFCE1A" w:rsidR="00632EA6" w:rsidRPr="006855F1" w:rsidRDefault="00632EA6" w:rsidP="00632EA6">
      <w:pPr>
        <w:spacing w:after="0"/>
        <w:rPr>
          <w:rFonts w:cstheme="minorHAnsi"/>
        </w:rPr>
      </w:pPr>
    </w:p>
    <w:p w14:paraId="3F7655A2" w14:textId="77777777" w:rsidR="00632EA6" w:rsidRPr="006855F1" w:rsidRDefault="00632EA6" w:rsidP="00632EA6">
      <w:pPr>
        <w:spacing w:after="0"/>
        <w:rPr>
          <w:rFonts w:cstheme="minorHAnsi"/>
        </w:rPr>
      </w:pPr>
    </w:p>
    <w:p w14:paraId="17FC4FCF" w14:textId="58C7FF58" w:rsidR="00761963" w:rsidRDefault="00410C36" w:rsidP="00632EA6">
      <w:pPr>
        <w:spacing w:after="0"/>
        <w:rPr>
          <w:rFonts w:cstheme="minorHAnsi"/>
        </w:rPr>
      </w:pPr>
      <w:r>
        <w:rPr>
          <w:rFonts w:cstheme="minorHAnsi"/>
        </w:rPr>
        <w:t xml:space="preserve"> </w:t>
      </w:r>
      <w:r w:rsidR="00CC711F" w:rsidRPr="00CC711F">
        <w:rPr>
          <w:rFonts w:cstheme="minorHAnsi"/>
        </w:rPr>
        <w:t>2</w:t>
      </w:r>
      <w:r w:rsidR="001701B9">
        <w:rPr>
          <w:rFonts w:cstheme="minorHAnsi"/>
        </w:rPr>
        <w:t>0</w:t>
      </w:r>
      <w:r w:rsidR="00CC711F" w:rsidRPr="00CC711F">
        <w:rPr>
          <w:rFonts w:cstheme="minorHAnsi"/>
        </w:rPr>
        <w:t xml:space="preserve"> </w:t>
      </w:r>
      <w:r w:rsidRPr="001701B9">
        <w:rPr>
          <w:rFonts w:cstheme="minorHAnsi"/>
        </w:rPr>
        <w:t>July</w:t>
      </w:r>
      <w:r w:rsidR="00761963" w:rsidRPr="001701B9">
        <w:rPr>
          <w:rFonts w:cstheme="minorHAnsi"/>
        </w:rPr>
        <w:t xml:space="preserve"> 2020</w:t>
      </w:r>
      <w:r w:rsidR="00761963">
        <w:rPr>
          <w:rFonts w:cstheme="minorHAnsi"/>
        </w:rPr>
        <w:t xml:space="preserve"> </w:t>
      </w:r>
    </w:p>
    <w:p w14:paraId="3F2021B9" w14:textId="45242DC2" w:rsidR="00761963" w:rsidRDefault="00761963" w:rsidP="00632EA6">
      <w:pPr>
        <w:spacing w:after="0"/>
        <w:rPr>
          <w:rFonts w:cstheme="minorHAnsi"/>
        </w:rPr>
      </w:pPr>
      <w:r>
        <w:rPr>
          <w:rFonts w:cstheme="minorHAnsi"/>
        </w:rPr>
        <w:t xml:space="preserve"> </w:t>
      </w:r>
    </w:p>
    <w:p w14:paraId="1C3A09F8" w14:textId="77777777" w:rsidR="00FE0AE2" w:rsidRDefault="00FE0AE2" w:rsidP="00FE0AE2">
      <w:pPr>
        <w:spacing w:after="0"/>
        <w:rPr>
          <w:rFonts w:cstheme="minorHAnsi"/>
        </w:rPr>
      </w:pPr>
      <w:r>
        <w:rPr>
          <w:rFonts w:cstheme="minorHAnsi"/>
        </w:rPr>
        <w:t>Gemma Denton</w:t>
      </w:r>
    </w:p>
    <w:p w14:paraId="3EC5D5FB" w14:textId="0584536D" w:rsidR="00FE0AE2" w:rsidRDefault="00FE0AE2" w:rsidP="00FE0AE2">
      <w:pPr>
        <w:spacing w:after="0"/>
        <w:rPr>
          <w:rFonts w:cstheme="minorHAnsi"/>
        </w:rPr>
      </w:pPr>
      <w:r>
        <w:rPr>
          <w:rFonts w:cstheme="minorHAnsi"/>
        </w:rPr>
        <w:t>Manager</w:t>
      </w:r>
      <w:r>
        <w:rPr>
          <w:rFonts w:cstheme="minorHAnsi"/>
        </w:rPr>
        <w:br/>
        <w:t xml:space="preserve">Communications Futures </w:t>
      </w:r>
    </w:p>
    <w:p w14:paraId="754E5195" w14:textId="312EDD48" w:rsidR="00632EA6" w:rsidRDefault="00FE0AE2" w:rsidP="00FE0AE2">
      <w:pPr>
        <w:spacing w:after="0"/>
        <w:rPr>
          <w:rFonts w:ascii="Calibri" w:hAnsi="Calibri" w:cs="Calibri"/>
          <w:lang w:val="en-US"/>
        </w:rPr>
      </w:pPr>
      <w:r>
        <w:rPr>
          <w:rFonts w:cstheme="minorHAnsi"/>
        </w:rPr>
        <w:t>Australian Communications and Media Authority</w:t>
      </w:r>
    </w:p>
    <w:p w14:paraId="6DEBCDAC" w14:textId="77777777" w:rsidR="00FE0AE2" w:rsidRPr="00410C36" w:rsidRDefault="00FE0AE2" w:rsidP="00FE0AE2">
      <w:pPr>
        <w:spacing w:after="0"/>
        <w:rPr>
          <w:rFonts w:ascii="Calibri" w:hAnsi="Calibri" w:cs="Calibri"/>
          <w:lang w:val="en-US"/>
        </w:rPr>
      </w:pPr>
    </w:p>
    <w:p w14:paraId="178923E8" w14:textId="1F37D4BB" w:rsidR="00632EA6" w:rsidRPr="00FE0AE2" w:rsidRDefault="00632EA6" w:rsidP="00C7127B">
      <w:pPr>
        <w:pStyle w:val="BodyText1"/>
        <w:rPr>
          <w:rFonts w:asciiTheme="minorHAnsi" w:eastAsiaTheme="minorEastAsia" w:hAnsiTheme="minorHAnsi" w:cstheme="minorHAnsi"/>
          <w:color w:val="auto"/>
          <w:lang w:eastAsia="en-AU"/>
        </w:rPr>
      </w:pPr>
      <w:r w:rsidRPr="006855F1">
        <w:rPr>
          <w:rFonts w:asciiTheme="minorHAnsi" w:hAnsiTheme="minorHAnsi" w:cstheme="minorHAnsi"/>
        </w:rPr>
        <w:t>By ema</w:t>
      </w:r>
      <w:r w:rsidR="00FE0AE2">
        <w:rPr>
          <w:rFonts w:asciiTheme="minorHAnsi" w:hAnsiTheme="minorHAnsi" w:cstheme="minorHAnsi"/>
        </w:rPr>
        <w:t xml:space="preserve">il: </w:t>
      </w:r>
      <w:hyperlink r:id="rId8" w:history="1">
        <w:r w:rsidR="00FE0AE2" w:rsidRPr="000A002A">
          <w:rPr>
            <w:rStyle w:val="Hyperlink"/>
            <w:rFonts w:asciiTheme="minorHAnsi" w:hAnsiTheme="minorHAnsi" w:cstheme="minorHAnsi"/>
          </w:rPr>
          <w:t>Gemma.Denton@acma.gov.au</w:t>
        </w:r>
      </w:hyperlink>
      <w:r w:rsidR="00FE0AE2">
        <w:rPr>
          <w:rFonts w:asciiTheme="minorHAnsi" w:hAnsiTheme="minorHAnsi" w:cstheme="minorHAnsi"/>
        </w:rPr>
        <w:br/>
      </w:r>
      <w:r w:rsidR="00FE0AE2" w:rsidRPr="00FE0AE2">
        <w:rPr>
          <w:rFonts w:asciiTheme="minorHAnsi" w:hAnsiTheme="minorHAnsi" w:cstheme="minorHAnsi"/>
        </w:rPr>
        <w:t xml:space="preserve">Cc: </w:t>
      </w:r>
      <w:hyperlink r:id="rId9" w:history="1">
        <w:r w:rsidR="00FE0AE2" w:rsidRPr="000A002A">
          <w:rPr>
            <w:rStyle w:val="Hyperlink"/>
            <w:rFonts w:asciiTheme="minorHAnsi" w:hAnsiTheme="minorHAnsi" w:cstheme="minorHAnsi"/>
          </w:rPr>
          <w:t>Erin.Ferguson@acma.gov.au</w:t>
        </w:r>
      </w:hyperlink>
      <w:r w:rsidR="00FE0AE2">
        <w:rPr>
          <w:rFonts w:asciiTheme="minorHAnsi" w:hAnsiTheme="minorHAnsi" w:cstheme="minorHAnsi"/>
        </w:rPr>
        <w:t>;</w:t>
      </w:r>
      <w:r w:rsidR="00FE0AE2" w:rsidRPr="00FE0AE2">
        <w:rPr>
          <w:rFonts w:asciiTheme="minorHAnsi" w:hAnsiTheme="minorHAnsi" w:cstheme="minorHAnsi"/>
        </w:rPr>
        <w:t xml:space="preserve"> </w:t>
      </w:r>
      <w:hyperlink r:id="rId10" w:history="1">
        <w:r w:rsidR="00FE0AE2" w:rsidRPr="000A002A">
          <w:rPr>
            <w:rStyle w:val="Hyperlink"/>
            <w:rFonts w:asciiTheme="minorHAnsi" w:hAnsiTheme="minorHAnsi" w:cstheme="minorHAnsi"/>
          </w:rPr>
          <w:t>Melissa.Jordan@acma.gov.au</w:t>
        </w:r>
      </w:hyperlink>
      <w:r w:rsidR="00FE0AE2" w:rsidRPr="00FE0AE2">
        <w:rPr>
          <w:rFonts w:asciiTheme="minorHAnsi" w:hAnsiTheme="minorHAnsi" w:cstheme="minorHAnsi"/>
        </w:rPr>
        <w:t>;</w:t>
      </w:r>
      <w:r w:rsidR="00FE0AE2">
        <w:rPr>
          <w:rFonts w:asciiTheme="minorHAnsi" w:hAnsiTheme="minorHAnsi" w:cstheme="minorHAnsi"/>
        </w:rPr>
        <w:t xml:space="preserve"> </w:t>
      </w:r>
      <w:hyperlink r:id="rId11" w:history="1">
        <w:r w:rsidR="00FE0AE2" w:rsidRPr="000A002A">
          <w:rPr>
            <w:rStyle w:val="Hyperlink"/>
            <w:rFonts w:asciiTheme="minorHAnsi" w:hAnsiTheme="minorHAnsi" w:cstheme="minorHAnsi"/>
          </w:rPr>
          <w:t>Kathleen.Stevenson@acma.gov.au</w:t>
        </w:r>
      </w:hyperlink>
    </w:p>
    <w:p w14:paraId="6D9CD573" w14:textId="77777777" w:rsidR="00FE0AE2" w:rsidRDefault="00FE0AE2" w:rsidP="00C7127B">
      <w:pPr>
        <w:pStyle w:val="BodyText1"/>
        <w:rPr>
          <w:rFonts w:asciiTheme="minorHAnsi" w:hAnsiTheme="minorHAnsi" w:cstheme="minorHAnsi"/>
        </w:rPr>
      </w:pPr>
    </w:p>
    <w:p w14:paraId="0C987AE8" w14:textId="08D15EE0" w:rsidR="00632EA6" w:rsidRDefault="00632EA6" w:rsidP="00C7127B">
      <w:pPr>
        <w:pStyle w:val="BodyText1"/>
        <w:rPr>
          <w:rFonts w:asciiTheme="minorHAnsi" w:hAnsiTheme="minorHAnsi" w:cstheme="minorHAnsi"/>
        </w:rPr>
      </w:pPr>
      <w:r w:rsidRPr="006855F1">
        <w:rPr>
          <w:rFonts w:asciiTheme="minorHAnsi" w:hAnsiTheme="minorHAnsi" w:cstheme="minorHAnsi"/>
        </w:rPr>
        <w:t xml:space="preserve">Dear </w:t>
      </w:r>
      <w:r w:rsidR="00FE0AE2">
        <w:rPr>
          <w:rFonts w:asciiTheme="minorHAnsi" w:hAnsiTheme="minorHAnsi" w:cstheme="minorHAnsi"/>
        </w:rPr>
        <w:t>Gemma</w:t>
      </w:r>
    </w:p>
    <w:p w14:paraId="781C9FFF" w14:textId="6B0D9BF9" w:rsidR="00632EA6" w:rsidRPr="006855F1" w:rsidRDefault="00632EA6" w:rsidP="00410C36">
      <w:pPr>
        <w:pStyle w:val="BodyText1"/>
        <w:rPr>
          <w:rFonts w:asciiTheme="minorHAnsi" w:hAnsiTheme="minorHAnsi" w:cstheme="minorHAnsi"/>
          <w:b/>
          <w:bCs/>
        </w:rPr>
      </w:pPr>
      <w:r w:rsidRPr="006855F1">
        <w:rPr>
          <w:rFonts w:asciiTheme="minorHAnsi" w:hAnsiTheme="minorHAnsi" w:cstheme="minorHAnsi"/>
          <w:b/>
          <w:bCs/>
        </w:rPr>
        <w:t xml:space="preserve">RE: </w:t>
      </w:r>
      <w:r w:rsidR="00FE0AE2">
        <w:rPr>
          <w:rFonts w:asciiTheme="minorHAnsi" w:hAnsiTheme="minorHAnsi" w:cstheme="minorHAnsi"/>
          <w:b/>
          <w:bCs/>
        </w:rPr>
        <w:t xml:space="preserve">Feedback on the </w:t>
      </w:r>
      <w:r w:rsidR="00FE0AE2" w:rsidRPr="00FE0AE2">
        <w:rPr>
          <w:rFonts w:asciiTheme="minorHAnsi" w:hAnsiTheme="minorHAnsi" w:cstheme="minorHAnsi"/>
          <w:b/>
          <w:bCs/>
        </w:rPr>
        <w:t xml:space="preserve">Review of NBN </w:t>
      </w:r>
      <w:r w:rsidR="00FE0AE2">
        <w:rPr>
          <w:rFonts w:asciiTheme="minorHAnsi" w:hAnsiTheme="minorHAnsi" w:cstheme="minorHAnsi"/>
          <w:b/>
          <w:bCs/>
        </w:rPr>
        <w:t>C</w:t>
      </w:r>
      <w:r w:rsidR="00FE0AE2" w:rsidRPr="00FE0AE2">
        <w:rPr>
          <w:rFonts w:asciiTheme="minorHAnsi" w:hAnsiTheme="minorHAnsi" w:cstheme="minorHAnsi"/>
          <w:b/>
          <w:bCs/>
        </w:rPr>
        <w:t xml:space="preserve">onsumer </w:t>
      </w:r>
      <w:r w:rsidR="00FE0AE2">
        <w:rPr>
          <w:rFonts w:asciiTheme="minorHAnsi" w:hAnsiTheme="minorHAnsi" w:cstheme="minorHAnsi"/>
          <w:b/>
          <w:bCs/>
        </w:rPr>
        <w:t>E</w:t>
      </w:r>
      <w:r w:rsidR="00FE0AE2" w:rsidRPr="00FE0AE2">
        <w:rPr>
          <w:rFonts w:asciiTheme="minorHAnsi" w:hAnsiTheme="minorHAnsi" w:cstheme="minorHAnsi"/>
          <w:b/>
          <w:bCs/>
        </w:rPr>
        <w:t xml:space="preserve">xperience </w:t>
      </w:r>
      <w:r w:rsidR="00FE0AE2">
        <w:rPr>
          <w:rFonts w:asciiTheme="minorHAnsi" w:hAnsiTheme="minorHAnsi" w:cstheme="minorHAnsi"/>
          <w:b/>
          <w:bCs/>
        </w:rPr>
        <w:t>R</w:t>
      </w:r>
      <w:r w:rsidR="00FE0AE2" w:rsidRPr="00FE0AE2">
        <w:rPr>
          <w:rFonts w:asciiTheme="minorHAnsi" w:hAnsiTheme="minorHAnsi" w:cstheme="minorHAnsi"/>
          <w:b/>
          <w:bCs/>
        </w:rPr>
        <w:t>ules</w:t>
      </w:r>
      <w:r w:rsidR="00FE0AE2">
        <w:rPr>
          <w:rFonts w:asciiTheme="minorHAnsi" w:hAnsiTheme="minorHAnsi" w:cstheme="minorHAnsi"/>
          <w:b/>
          <w:bCs/>
        </w:rPr>
        <w:t xml:space="preserve"> – Service Continuity Standard and Service Migration Determination</w:t>
      </w:r>
    </w:p>
    <w:p w14:paraId="6F50E8B2" w14:textId="7B610D68" w:rsidR="00FE0AE2" w:rsidRDefault="00946BB6" w:rsidP="00FE0AE2">
      <w:pPr>
        <w:pStyle w:val="BodyText1"/>
        <w:rPr>
          <w:rFonts w:asciiTheme="minorHAnsi" w:hAnsiTheme="minorHAnsi" w:cstheme="minorHAnsi"/>
          <w:color w:val="auto"/>
        </w:rPr>
      </w:pPr>
      <w:r>
        <w:rPr>
          <w:rFonts w:asciiTheme="minorHAnsi" w:hAnsiTheme="minorHAnsi" w:cstheme="minorHAnsi"/>
          <w:color w:val="auto"/>
        </w:rPr>
        <w:t xml:space="preserve">Thank you for providing ACCAN with the opportunity to </w:t>
      </w:r>
      <w:r w:rsidR="00FE0AE2">
        <w:rPr>
          <w:rFonts w:asciiTheme="minorHAnsi" w:hAnsiTheme="minorHAnsi" w:cstheme="minorHAnsi"/>
          <w:color w:val="auto"/>
        </w:rPr>
        <w:t>give</w:t>
      </w:r>
      <w:r w:rsidR="00410C36">
        <w:rPr>
          <w:rFonts w:asciiTheme="minorHAnsi" w:hAnsiTheme="minorHAnsi" w:cstheme="minorHAnsi"/>
          <w:color w:val="auto"/>
        </w:rPr>
        <w:t xml:space="preserve"> feedback</w:t>
      </w:r>
      <w:r>
        <w:rPr>
          <w:rFonts w:asciiTheme="minorHAnsi" w:hAnsiTheme="minorHAnsi" w:cstheme="minorHAnsi"/>
          <w:color w:val="auto"/>
        </w:rPr>
        <w:t xml:space="preserve"> on</w:t>
      </w:r>
      <w:r w:rsidR="00410C36">
        <w:rPr>
          <w:rFonts w:asciiTheme="minorHAnsi" w:hAnsiTheme="minorHAnsi" w:cstheme="minorHAnsi"/>
          <w:color w:val="auto"/>
        </w:rPr>
        <w:t xml:space="preserve"> </w:t>
      </w:r>
      <w:r w:rsidR="00FE0AE2">
        <w:rPr>
          <w:rFonts w:asciiTheme="minorHAnsi" w:hAnsiTheme="minorHAnsi" w:cstheme="minorHAnsi"/>
          <w:color w:val="auto"/>
        </w:rPr>
        <w:t xml:space="preserve">draft instruments </w:t>
      </w:r>
      <w:r w:rsidR="00FE0AE2" w:rsidRPr="00725F03">
        <w:rPr>
          <w:rFonts w:asciiTheme="minorHAnsi" w:hAnsiTheme="minorHAnsi" w:cstheme="minorHAnsi"/>
          <w:i/>
          <w:iCs/>
          <w:color w:val="auto"/>
        </w:rPr>
        <w:t>Telecommunications (NBN Continuity of Service) Industry Standard 2018</w:t>
      </w:r>
      <w:r w:rsidR="00FE0AE2" w:rsidRPr="00FE0AE2">
        <w:rPr>
          <w:rFonts w:asciiTheme="minorHAnsi" w:hAnsiTheme="minorHAnsi" w:cstheme="minorHAnsi"/>
          <w:color w:val="auto"/>
        </w:rPr>
        <w:t xml:space="preserve"> (Service Continuity Standard)</w:t>
      </w:r>
      <w:r w:rsidR="00FE0AE2">
        <w:rPr>
          <w:rFonts w:asciiTheme="minorHAnsi" w:hAnsiTheme="minorHAnsi" w:cstheme="minorHAnsi"/>
          <w:color w:val="auto"/>
        </w:rPr>
        <w:t xml:space="preserve"> and </w:t>
      </w:r>
      <w:r w:rsidR="00FE0AE2" w:rsidRPr="00FE0AE2">
        <w:rPr>
          <w:rFonts w:asciiTheme="minorHAnsi" w:hAnsiTheme="minorHAnsi" w:cstheme="minorHAnsi"/>
          <w:i/>
          <w:iCs/>
          <w:color w:val="auto"/>
        </w:rPr>
        <w:t>Telecommunications Service Provider (NBN Service Migration) Determination 2018</w:t>
      </w:r>
      <w:r w:rsidR="00FE0AE2" w:rsidRPr="00FE0AE2">
        <w:rPr>
          <w:rFonts w:asciiTheme="minorHAnsi" w:hAnsiTheme="minorHAnsi" w:cstheme="minorHAnsi"/>
          <w:color w:val="auto"/>
        </w:rPr>
        <w:t xml:space="preserve"> (Service Migration Determination).</w:t>
      </w:r>
    </w:p>
    <w:p w14:paraId="6DE20D0E" w14:textId="4379AA75" w:rsidR="007042ED" w:rsidRDefault="0042759A" w:rsidP="00FE0AE2">
      <w:pPr>
        <w:pStyle w:val="BodyText1"/>
        <w:rPr>
          <w:rFonts w:asciiTheme="minorHAnsi" w:hAnsiTheme="minorHAnsi" w:cstheme="minorHAnsi"/>
          <w:color w:val="auto"/>
        </w:rPr>
      </w:pPr>
      <w:r>
        <w:rPr>
          <w:rFonts w:asciiTheme="minorHAnsi" w:hAnsiTheme="minorHAnsi" w:cstheme="minorHAnsi"/>
          <w:color w:val="auto"/>
        </w:rPr>
        <w:t xml:space="preserve">In our submission to the </w:t>
      </w:r>
      <w:r w:rsidR="006773A6">
        <w:rPr>
          <w:rFonts w:asciiTheme="minorHAnsi" w:hAnsiTheme="minorHAnsi" w:cstheme="minorHAnsi"/>
          <w:color w:val="auto"/>
        </w:rPr>
        <w:t>January 2020</w:t>
      </w:r>
      <w:r>
        <w:rPr>
          <w:rFonts w:asciiTheme="minorHAnsi" w:hAnsiTheme="minorHAnsi" w:cstheme="minorHAnsi"/>
          <w:color w:val="auto"/>
        </w:rPr>
        <w:t xml:space="preserve"> </w:t>
      </w:r>
      <w:r w:rsidRPr="0042759A">
        <w:rPr>
          <w:rFonts w:asciiTheme="minorHAnsi" w:hAnsiTheme="minorHAnsi" w:cstheme="minorHAnsi"/>
          <w:color w:val="auto"/>
        </w:rPr>
        <w:t xml:space="preserve">review of the NBN </w:t>
      </w:r>
      <w:r w:rsidR="00443520">
        <w:rPr>
          <w:rFonts w:asciiTheme="minorHAnsi" w:hAnsiTheme="minorHAnsi" w:cstheme="minorHAnsi"/>
          <w:color w:val="auto"/>
        </w:rPr>
        <w:t>C</w:t>
      </w:r>
      <w:r w:rsidRPr="0042759A">
        <w:rPr>
          <w:rFonts w:asciiTheme="minorHAnsi" w:hAnsiTheme="minorHAnsi" w:cstheme="minorHAnsi"/>
          <w:color w:val="auto"/>
        </w:rPr>
        <w:t xml:space="preserve">onsumer </w:t>
      </w:r>
      <w:r w:rsidR="00443520">
        <w:rPr>
          <w:rFonts w:asciiTheme="minorHAnsi" w:hAnsiTheme="minorHAnsi" w:cstheme="minorHAnsi"/>
          <w:color w:val="auto"/>
        </w:rPr>
        <w:t>E</w:t>
      </w:r>
      <w:r w:rsidRPr="0042759A">
        <w:rPr>
          <w:rFonts w:asciiTheme="minorHAnsi" w:hAnsiTheme="minorHAnsi" w:cstheme="minorHAnsi"/>
          <w:color w:val="auto"/>
        </w:rPr>
        <w:t xml:space="preserve">xperience </w:t>
      </w:r>
      <w:r w:rsidR="00443520">
        <w:rPr>
          <w:rFonts w:asciiTheme="minorHAnsi" w:hAnsiTheme="minorHAnsi" w:cstheme="minorHAnsi"/>
          <w:color w:val="auto"/>
        </w:rPr>
        <w:t>R</w:t>
      </w:r>
      <w:r w:rsidRPr="0042759A">
        <w:rPr>
          <w:rFonts w:asciiTheme="minorHAnsi" w:hAnsiTheme="minorHAnsi" w:cstheme="minorHAnsi"/>
          <w:color w:val="auto"/>
        </w:rPr>
        <w:t>ules</w:t>
      </w:r>
      <w:r>
        <w:rPr>
          <w:rFonts w:asciiTheme="minorHAnsi" w:hAnsiTheme="minorHAnsi" w:cstheme="minorHAnsi"/>
          <w:color w:val="auto"/>
        </w:rPr>
        <w:t xml:space="preserve">, </w:t>
      </w:r>
      <w:r w:rsidR="00443520">
        <w:rPr>
          <w:rFonts w:asciiTheme="minorHAnsi" w:hAnsiTheme="minorHAnsi" w:cstheme="minorHAnsi"/>
          <w:color w:val="auto"/>
        </w:rPr>
        <w:t xml:space="preserve">ACCAN expressed </w:t>
      </w:r>
      <w:r w:rsidR="00413C2F">
        <w:rPr>
          <w:rFonts w:asciiTheme="minorHAnsi" w:hAnsiTheme="minorHAnsi" w:cstheme="minorHAnsi"/>
          <w:color w:val="auto"/>
        </w:rPr>
        <w:t>its</w:t>
      </w:r>
      <w:r w:rsidR="007042ED">
        <w:rPr>
          <w:rFonts w:asciiTheme="minorHAnsi" w:hAnsiTheme="minorHAnsi" w:cstheme="minorHAnsi"/>
          <w:color w:val="auto"/>
        </w:rPr>
        <w:t xml:space="preserve"> </w:t>
      </w:r>
      <w:r w:rsidR="00443520">
        <w:rPr>
          <w:rFonts w:asciiTheme="minorHAnsi" w:hAnsiTheme="minorHAnsi" w:cstheme="minorHAnsi"/>
          <w:color w:val="auto"/>
        </w:rPr>
        <w:t xml:space="preserve">support for the </w:t>
      </w:r>
      <w:r w:rsidR="007042ED">
        <w:rPr>
          <w:rFonts w:asciiTheme="minorHAnsi" w:hAnsiTheme="minorHAnsi" w:cstheme="minorHAnsi"/>
          <w:color w:val="auto"/>
        </w:rPr>
        <w:t xml:space="preserve">critical consumer protections framework </w:t>
      </w:r>
      <w:r w:rsidR="00413C2F">
        <w:rPr>
          <w:rFonts w:asciiTheme="minorHAnsi" w:hAnsiTheme="minorHAnsi" w:cstheme="minorHAnsi"/>
          <w:color w:val="auto"/>
        </w:rPr>
        <w:t xml:space="preserve">established under </w:t>
      </w:r>
      <w:r w:rsidR="007042ED">
        <w:rPr>
          <w:rFonts w:asciiTheme="minorHAnsi" w:hAnsiTheme="minorHAnsi" w:cstheme="minorHAnsi"/>
          <w:color w:val="auto"/>
        </w:rPr>
        <w:t>the Rules</w:t>
      </w:r>
      <w:r w:rsidR="00443520">
        <w:rPr>
          <w:rFonts w:asciiTheme="minorHAnsi" w:hAnsiTheme="minorHAnsi" w:cstheme="minorHAnsi"/>
          <w:color w:val="auto"/>
        </w:rPr>
        <w:t xml:space="preserve">. </w:t>
      </w:r>
      <w:r w:rsidR="007042ED">
        <w:rPr>
          <w:rFonts w:asciiTheme="minorHAnsi" w:hAnsiTheme="minorHAnsi" w:cstheme="minorHAnsi"/>
          <w:color w:val="auto"/>
        </w:rPr>
        <w:t>We welcome the ACMA’s efforts to</w:t>
      </w:r>
      <w:r w:rsidR="00706E9F">
        <w:rPr>
          <w:rFonts w:asciiTheme="minorHAnsi" w:hAnsiTheme="minorHAnsi" w:cstheme="minorHAnsi"/>
          <w:color w:val="auto"/>
        </w:rPr>
        <w:t xml:space="preserve"> </w:t>
      </w:r>
      <w:r w:rsidR="00413C2F">
        <w:rPr>
          <w:rFonts w:asciiTheme="minorHAnsi" w:hAnsiTheme="minorHAnsi" w:cstheme="minorHAnsi"/>
          <w:color w:val="auto"/>
        </w:rPr>
        <w:t xml:space="preserve">further </w:t>
      </w:r>
      <w:r w:rsidR="00706E9F">
        <w:rPr>
          <w:rFonts w:asciiTheme="minorHAnsi" w:hAnsiTheme="minorHAnsi" w:cstheme="minorHAnsi"/>
          <w:color w:val="auto"/>
        </w:rPr>
        <w:t xml:space="preserve">improve the clarity of key definitions and provisions </w:t>
      </w:r>
      <w:r w:rsidR="00413C2F">
        <w:rPr>
          <w:rFonts w:asciiTheme="minorHAnsi" w:hAnsiTheme="minorHAnsi" w:cstheme="minorHAnsi"/>
          <w:color w:val="auto"/>
        </w:rPr>
        <w:t>in</w:t>
      </w:r>
      <w:r w:rsidR="00706E9F">
        <w:rPr>
          <w:rFonts w:asciiTheme="minorHAnsi" w:hAnsiTheme="minorHAnsi" w:cstheme="minorHAnsi"/>
          <w:color w:val="auto"/>
        </w:rPr>
        <w:t xml:space="preserve"> </w:t>
      </w:r>
      <w:r w:rsidR="007042ED">
        <w:rPr>
          <w:rFonts w:asciiTheme="minorHAnsi" w:hAnsiTheme="minorHAnsi" w:cstheme="minorHAnsi"/>
          <w:color w:val="auto"/>
        </w:rPr>
        <w:t xml:space="preserve">the Service </w:t>
      </w:r>
      <w:r w:rsidR="00706E9F">
        <w:rPr>
          <w:rFonts w:asciiTheme="minorHAnsi" w:hAnsiTheme="minorHAnsi" w:cstheme="minorHAnsi"/>
          <w:color w:val="auto"/>
        </w:rPr>
        <w:t xml:space="preserve">Continuity Standard and Service Migration Determination. </w:t>
      </w:r>
    </w:p>
    <w:p w14:paraId="7AB22F4F" w14:textId="0B9BCA1C" w:rsidR="007042ED" w:rsidRDefault="00443520" w:rsidP="00FE0AE2">
      <w:pPr>
        <w:pStyle w:val="BodyText1"/>
        <w:rPr>
          <w:rFonts w:asciiTheme="minorHAnsi" w:hAnsiTheme="minorHAnsi" w:cstheme="minorHAnsi"/>
          <w:color w:val="auto"/>
        </w:rPr>
      </w:pPr>
      <w:r>
        <w:rPr>
          <w:rFonts w:asciiTheme="minorHAnsi" w:hAnsiTheme="minorHAnsi" w:cstheme="minorHAnsi"/>
          <w:color w:val="auto"/>
        </w:rPr>
        <w:t xml:space="preserve">ACCAN is supportive of </w:t>
      </w:r>
      <w:proofErr w:type="gramStart"/>
      <w:r>
        <w:rPr>
          <w:rFonts w:asciiTheme="minorHAnsi" w:hAnsiTheme="minorHAnsi" w:cstheme="minorHAnsi"/>
          <w:color w:val="auto"/>
        </w:rPr>
        <w:t>the majority of</w:t>
      </w:r>
      <w:proofErr w:type="gramEnd"/>
      <w:r w:rsidR="0038042F">
        <w:rPr>
          <w:rFonts w:asciiTheme="minorHAnsi" w:hAnsiTheme="minorHAnsi" w:cstheme="minorHAnsi"/>
          <w:color w:val="auto"/>
        </w:rPr>
        <w:t xml:space="preserve"> </w:t>
      </w:r>
      <w:r w:rsidR="0040735B">
        <w:rPr>
          <w:rFonts w:asciiTheme="minorHAnsi" w:hAnsiTheme="minorHAnsi" w:cstheme="minorHAnsi"/>
          <w:color w:val="auto"/>
        </w:rPr>
        <w:t xml:space="preserve">changes under review, most of which are </w:t>
      </w:r>
      <w:r w:rsidR="007042ED">
        <w:rPr>
          <w:rFonts w:asciiTheme="minorHAnsi" w:hAnsiTheme="minorHAnsi" w:cstheme="minorHAnsi"/>
          <w:color w:val="auto"/>
        </w:rPr>
        <w:t>non-contentious</w:t>
      </w:r>
      <w:r w:rsidR="00787F57">
        <w:rPr>
          <w:rFonts w:asciiTheme="minorHAnsi" w:hAnsiTheme="minorHAnsi" w:cstheme="minorHAnsi"/>
          <w:color w:val="auto"/>
        </w:rPr>
        <w:t xml:space="preserve"> and provide </w:t>
      </w:r>
      <w:r w:rsidR="00051AB9">
        <w:rPr>
          <w:rFonts w:asciiTheme="minorHAnsi" w:hAnsiTheme="minorHAnsi" w:cstheme="minorHAnsi"/>
          <w:color w:val="auto"/>
        </w:rPr>
        <w:t>meaningful</w:t>
      </w:r>
      <w:r w:rsidR="00787F57">
        <w:rPr>
          <w:rFonts w:asciiTheme="minorHAnsi" w:hAnsiTheme="minorHAnsi" w:cstheme="minorHAnsi"/>
          <w:color w:val="auto"/>
        </w:rPr>
        <w:t xml:space="preserve"> clarification of </w:t>
      </w:r>
      <w:r w:rsidR="00051AB9">
        <w:rPr>
          <w:rFonts w:asciiTheme="minorHAnsi" w:hAnsiTheme="minorHAnsi" w:cstheme="minorHAnsi"/>
          <w:color w:val="auto"/>
        </w:rPr>
        <w:t>important</w:t>
      </w:r>
      <w:r w:rsidR="00787F57">
        <w:rPr>
          <w:rFonts w:asciiTheme="minorHAnsi" w:hAnsiTheme="minorHAnsi" w:cstheme="minorHAnsi"/>
          <w:color w:val="auto"/>
        </w:rPr>
        <w:t xml:space="preserve"> provisions</w:t>
      </w:r>
      <w:r w:rsidR="007042ED">
        <w:rPr>
          <w:rFonts w:asciiTheme="minorHAnsi" w:hAnsiTheme="minorHAnsi" w:cstheme="minorHAnsi"/>
          <w:color w:val="auto"/>
        </w:rPr>
        <w:t xml:space="preserve">. </w:t>
      </w:r>
      <w:r w:rsidR="002872F7">
        <w:rPr>
          <w:rFonts w:asciiTheme="minorHAnsi" w:hAnsiTheme="minorHAnsi" w:cstheme="minorHAnsi"/>
          <w:color w:val="auto"/>
        </w:rPr>
        <w:t>However, w</w:t>
      </w:r>
      <w:r w:rsidR="00787F57">
        <w:rPr>
          <w:rFonts w:asciiTheme="minorHAnsi" w:hAnsiTheme="minorHAnsi" w:cstheme="minorHAnsi"/>
          <w:color w:val="auto"/>
        </w:rPr>
        <w:t>e have concern</w:t>
      </w:r>
      <w:r w:rsidR="00051AB9">
        <w:rPr>
          <w:rFonts w:asciiTheme="minorHAnsi" w:hAnsiTheme="minorHAnsi" w:cstheme="minorHAnsi"/>
          <w:color w:val="auto"/>
        </w:rPr>
        <w:t>s</w:t>
      </w:r>
      <w:r w:rsidR="00787F57">
        <w:rPr>
          <w:rFonts w:asciiTheme="minorHAnsi" w:hAnsiTheme="minorHAnsi" w:cstheme="minorHAnsi"/>
          <w:color w:val="auto"/>
        </w:rPr>
        <w:t xml:space="preserve"> in relation to </w:t>
      </w:r>
      <w:r w:rsidR="00051AB9">
        <w:rPr>
          <w:rFonts w:asciiTheme="minorHAnsi" w:hAnsiTheme="minorHAnsi" w:cstheme="minorHAnsi"/>
          <w:color w:val="auto"/>
        </w:rPr>
        <w:t>provisions about</w:t>
      </w:r>
      <w:r w:rsidR="004A1A09">
        <w:rPr>
          <w:rFonts w:asciiTheme="minorHAnsi" w:hAnsiTheme="minorHAnsi" w:cstheme="minorHAnsi"/>
          <w:color w:val="auto"/>
        </w:rPr>
        <w:t xml:space="preserve"> </w:t>
      </w:r>
      <w:r w:rsidR="00051AB9">
        <w:rPr>
          <w:rFonts w:asciiTheme="minorHAnsi" w:hAnsiTheme="minorHAnsi" w:cstheme="minorHAnsi"/>
          <w:color w:val="auto"/>
        </w:rPr>
        <w:t xml:space="preserve">sharing </w:t>
      </w:r>
      <w:r w:rsidR="004A1A09">
        <w:rPr>
          <w:rFonts w:asciiTheme="minorHAnsi" w:hAnsiTheme="minorHAnsi" w:cstheme="minorHAnsi"/>
          <w:color w:val="auto"/>
        </w:rPr>
        <w:t xml:space="preserve">information </w:t>
      </w:r>
      <w:r w:rsidR="00051AB9">
        <w:rPr>
          <w:rFonts w:asciiTheme="minorHAnsi" w:hAnsiTheme="minorHAnsi" w:cstheme="minorHAnsi"/>
          <w:color w:val="auto"/>
        </w:rPr>
        <w:t>on</w:t>
      </w:r>
      <w:r w:rsidR="004A1A09">
        <w:rPr>
          <w:rFonts w:asciiTheme="minorHAnsi" w:hAnsiTheme="minorHAnsi" w:cstheme="minorHAnsi"/>
          <w:color w:val="auto"/>
        </w:rPr>
        <w:t xml:space="preserve"> the cause</w:t>
      </w:r>
      <w:r w:rsidR="00051AB9">
        <w:rPr>
          <w:rFonts w:asciiTheme="minorHAnsi" w:hAnsiTheme="minorHAnsi" w:cstheme="minorHAnsi"/>
          <w:color w:val="auto"/>
        </w:rPr>
        <w:t>s</w:t>
      </w:r>
      <w:r w:rsidR="00413C2F">
        <w:rPr>
          <w:rFonts w:asciiTheme="minorHAnsi" w:hAnsiTheme="minorHAnsi" w:cstheme="minorHAnsi"/>
          <w:color w:val="auto"/>
        </w:rPr>
        <w:t xml:space="preserve"> of</w:t>
      </w:r>
      <w:r w:rsidR="00051AB9">
        <w:rPr>
          <w:rFonts w:asciiTheme="minorHAnsi" w:hAnsiTheme="minorHAnsi" w:cstheme="minorHAnsi"/>
          <w:color w:val="auto"/>
        </w:rPr>
        <w:t xml:space="preserve"> and </w:t>
      </w:r>
      <w:r w:rsidR="00413C2F">
        <w:rPr>
          <w:rFonts w:asciiTheme="minorHAnsi" w:hAnsiTheme="minorHAnsi" w:cstheme="minorHAnsi"/>
          <w:color w:val="auto"/>
        </w:rPr>
        <w:t>solutions for</w:t>
      </w:r>
      <w:r w:rsidR="00051AB9">
        <w:rPr>
          <w:rFonts w:asciiTheme="minorHAnsi" w:hAnsiTheme="minorHAnsi" w:cstheme="minorHAnsi"/>
          <w:color w:val="auto"/>
        </w:rPr>
        <w:t xml:space="preserve"> non-operational NBN service</w:t>
      </w:r>
      <w:r w:rsidR="00413C2F">
        <w:rPr>
          <w:rFonts w:asciiTheme="minorHAnsi" w:hAnsiTheme="minorHAnsi" w:cstheme="minorHAnsi"/>
          <w:color w:val="auto"/>
        </w:rPr>
        <w:t>s</w:t>
      </w:r>
      <w:r w:rsidR="00051AB9">
        <w:rPr>
          <w:rFonts w:asciiTheme="minorHAnsi" w:hAnsiTheme="minorHAnsi" w:cstheme="minorHAnsi"/>
          <w:color w:val="auto"/>
        </w:rPr>
        <w:t>.</w:t>
      </w:r>
    </w:p>
    <w:p w14:paraId="1196B9E6" w14:textId="44BFC91A" w:rsidR="004A1A09" w:rsidRDefault="004A1A09" w:rsidP="00FE0AE2">
      <w:pPr>
        <w:pStyle w:val="BodyText1"/>
        <w:rPr>
          <w:rFonts w:asciiTheme="minorHAnsi" w:hAnsiTheme="minorHAnsi" w:cstheme="minorHAnsi"/>
          <w:color w:val="auto"/>
        </w:rPr>
      </w:pPr>
      <w:r>
        <w:rPr>
          <w:rFonts w:asciiTheme="minorHAnsi" w:hAnsiTheme="minorHAnsi" w:cstheme="minorHAnsi"/>
          <w:color w:val="auto"/>
        </w:rPr>
        <w:t>S.5(23)(4)(a</w:t>
      </w:r>
      <w:r w:rsidR="009B3DF5">
        <w:rPr>
          <w:rFonts w:asciiTheme="minorHAnsi" w:hAnsiTheme="minorHAnsi" w:cstheme="minorHAnsi"/>
          <w:color w:val="auto"/>
        </w:rPr>
        <w:t xml:space="preserve"> </w:t>
      </w:r>
      <w:r>
        <w:rPr>
          <w:rFonts w:asciiTheme="minorHAnsi" w:hAnsiTheme="minorHAnsi" w:cstheme="minorHAnsi"/>
          <w:color w:val="auto"/>
        </w:rPr>
        <w:t>-</w:t>
      </w:r>
      <w:r w:rsidR="009B3DF5">
        <w:rPr>
          <w:rFonts w:asciiTheme="minorHAnsi" w:hAnsiTheme="minorHAnsi" w:cstheme="minorHAnsi"/>
          <w:color w:val="auto"/>
        </w:rPr>
        <w:t xml:space="preserve"> </w:t>
      </w:r>
      <w:r>
        <w:rPr>
          <w:rFonts w:asciiTheme="minorHAnsi" w:hAnsiTheme="minorHAnsi" w:cstheme="minorHAnsi"/>
          <w:color w:val="auto"/>
        </w:rPr>
        <w:t>b) of the Service Continuity Standard and s.5(16)(5)(a</w:t>
      </w:r>
      <w:r w:rsidR="009B3DF5">
        <w:rPr>
          <w:rFonts w:asciiTheme="minorHAnsi" w:hAnsiTheme="minorHAnsi" w:cstheme="minorHAnsi"/>
          <w:color w:val="auto"/>
        </w:rPr>
        <w:t xml:space="preserve"> </w:t>
      </w:r>
      <w:r>
        <w:rPr>
          <w:rFonts w:asciiTheme="minorHAnsi" w:hAnsiTheme="minorHAnsi" w:cstheme="minorHAnsi"/>
          <w:color w:val="auto"/>
        </w:rPr>
        <w:t>-</w:t>
      </w:r>
      <w:r w:rsidR="009B3DF5">
        <w:rPr>
          <w:rFonts w:asciiTheme="minorHAnsi" w:hAnsiTheme="minorHAnsi" w:cstheme="minorHAnsi"/>
          <w:color w:val="auto"/>
        </w:rPr>
        <w:t xml:space="preserve"> </w:t>
      </w:r>
      <w:r>
        <w:rPr>
          <w:rFonts w:asciiTheme="minorHAnsi" w:hAnsiTheme="minorHAnsi" w:cstheme="minorHAnsi"/>
          <w:color w:val="auto"/>
        </w:rPr>
        <w:t xml:space="preserve">b) of the Service Migration Determination </w:t>
      </w:r>
      <w:r w:rsidR="009B3DF5">
        <w:rPr>
          <w:rFonts w:asciiTheme="minorHAnsi" w:hAnsiTheme="minorHAnsi" w:cstheme="minorHAnsi"/>
          <w:color w:val="auto"/>
        </w:rPr>
        <w:t xml:space="preserve">have been amended </w:t>
      </w:r>
      <w:r w:rsidR="00413C2F">
        <w:rPr>
          <w:rFonts w:asciiTheme="minorHAnsi" w:hAnsiTheme="minorHAnsi" w:cstheme="minorHAnsi"/>
          <w:color w:val="auto"/>
        </w:rPr>
        <w:t xml:space="preserve">to </w:t>
      </w:r>
      <w:r>
        <w:rPr>
          <w:rFonts w:asciiTheme="minorHAnsi" w:hAnsiTheme="minorHAnsi" w:cstheme="minorHAnsi"/>
          <w:color w:val="auto"/>
        </w:rPr>
        <w:t>contain the following</w:t>
      </w:r>
      <w:r w:rsidR="009B3DF5">
        <w:rPr>
          <w:rFonts w:asciiTheme="minorHAnsi" w:hAnsiTheme="minorHAnsi" w:cstheme="minorHAnsi"/>
          <w:color w:val="auto"/>
        </w:rPr>
        <w:t xml:space="preserve"> provision</w:t>
      </w:r>
      <w:r w:rsidR="00413C2F">
        <w:rPr>
          <w:rFonts w:asciiTheme="minorHAnsi" w:hAnsiTheme="minorHAnsi" w:cstheme="minorHAnsi"/>
          <w:color w:val="auto"/>
        </w:rPr>
        <w:t xml:space="preserve"> in circumstances</w:t>
      </w:r>
      <w:r w:rsidR="009B3DF5">
        <w:rPr>
          <w:rFonts w:asciiTheme="minorHAnsi" w:hAnsiTheme="minorHAnsi" w:cstheme="minorHAnsi"/>
          <w:color w:val="auto"/>
        </w:rPr>
        <w:t xml:space="preserve"> where an NBN CSP is required to prepare a remediation plan for a consumer with a non-operational NBN service. Changes </w:t>
      </w:r>
      <w:r w:rsidR="00413C2F">
        <w:rPr>
          <w:rFonts w:asciiTheme="minorHAnsi" w:hAnsiTheme="minorHAnsi" w:cstheme="minorHAnsi"/>
          <w:color w:val="auto"/>
        </w:rPr>
        <w:t>to</w:t>
      </w:r>
      <w:r w:rsidR="009B3DF5">
        <w:rPr>
          <w:rFonts w:asciiTheme="minorHAnsi" w:hAnsiTheme="minorHAnsi" w:cstheme="minorHAnsi"/>
          <w:color w:val="auto"/>
        </w:rPr>
        <w:t xml:space="preserve"> the original instruments are shown in red.</w:t>
      </w:r>
    </w:p>
    <w:p w14:paraId="56210811" w14:textId="31229CD5" w:rsidR="000F3692" w:rsidRDefault="000F3692" w:rsidP="000F3692">
      <w:pPr>
        <w:pStyle w:val="BodyText1"/>
        <w:rPr>
          <w:rFonts w:asciiTheme="minorHAnsi" w:hAnsiTheme="minorHAnsi" w:cstheme="minorHAnsi"/>
          <w:color w:val="auto"/>
        </w:rPr>
      </w:pPr>
    </w:p>
    <w:p w14:paraId="17E772DE" w14:textId="77777777" w:rsidR="000F3692" w:rsidRDefault="000F3692" w:rsidP="000F3692">
      <w:pPr>
        <w:pStyle w:val="BodyText1"/>
        <w:rPr>
          <w:rFonts w:asciiTheme="minorHAnsi" w:hAnsiTheme="minorHAnsi" w:cstheme="minorHAnsi"/>
          <w:color w:val="auto"/>
        </w:rPr>
      </w:pPr>
    </w:p>
    <w:p w14:paraId="0DDA1427" w14:textId="25DD2D61" w:rsidR="004A1A09" w:rsidRPr="009B3DF5" w:rsidRDefault="004A1A09" w:rsidP="000F3692">
      <w:pPr>
        <w:pStyle w:val="BodyText1"/>
        <w:rPr>
          <w:rFonts w:ascii="Times New Roman" w:hAnsi="Times New Roman" w:cs="Times New Roman"/>
          <w:color w:val="auto"/>
        </w:rPr>
      </w:pPr>
      <w:r w:rsidRPr="009B3DF5">
        <w:rPr>
          <w:rFonts w:ascii="Times New Roman" w:hAnsi="Times New Roman" w:cs="Times New Roman"/>
          <w:color w:val="auto"/>
        </w:rPr>
        <w:lastRenderedPageBreak/>
        <w:t xml:space="preserve">A plan mentioned in subsection </w:t>
      </w:r>
      <w:r w:rsidR="004A075F">
        <w:rPr>
          <w:rFonts w:ascii="Times New Roman" w:hAnsi="Times New Roman" w:cs="Times New Roman"/>
          <w:color w:val="auto"/>
        </w:rPr>
        <w:t>[</w:t>
      </w:r>
      <w:r w:rsidR="000F3692">
        <w:rPr>
          <w:rFonts w:ascii="Times New Roman" w:hAnsi="Times New Roman" w:cs="Times New Roman"/>
          <w:color w:val="auto"/>
        </w:rPr>
        <w:t>1 or 2</w:t>
      </w:r>
      <w:r w:rsidR="004A075F">
        <w:rPr>
          <w:rFonts w:ascii="Times New Roman" w:hAnsi="Times New Roman" w:cs="Times New Roman"/>
          <w:color w:val="auto"/>
        </w:rPr>
        <w:t>]</w:t>
      </w:r>
      <w:r w:rsidRPr="009B3DF5">
        <w:rPr>
          <w:rFonts w:ascii="Times New Roman" w:hAnsi="Times New Roman" w:cs="Times New Roman"/>
          <w:color w:val="auto"/>
        </w:rPr>
        <w:t xml:space="preserve"> must contain the following minimum requirements:</w:t>
      </w:r>
    </w:p>
    <w:p w14:paraId="0243C741" w14:textId="1E5B8630" w:rsidR="004A1A09" w:rsidRPr="009B3DF5" w:rsidRDefault="004A1A09" w:rsidP="000F3692">
      <w:pPr>
        <w:pStyle w:val="BodyText1"/>
        <w:ind w:left="720"/>
        <w:rPr>
          <w:rFonts w:ascii="Times New Roman" w:hAnsi="Times New Roman" w:cs="Times New Roman"/>
          <w:color w:val="auto"/>
        </w:rPr>
      </w:pPr>
      <w:r w:rsidRPr="009B3DF5">
        <w:rPr>
          <w:rFonts w:ascii="Times New Roman" w:hAnsi="Times New Roman" w:cs="Times New Roman"/>
          <w:color w:val="auto"/>
        </w:rPr>
        <w:t>(a)</w:t>
      </w:r>
      <w:r w:rsidR="009B3DF5" w:rsidRPr="009B3DF5">
        <w:rPr>
          <w:rFonts w:ascii="Times New Roman" w:hAnsi="Times New Roman" w:cs="Times New Roman"/>
          <w:color w:val="auto"/>
        </w:rPr>
        <w:t xml:space="preserve"> </w:t>
      </w:r>
      <w:r w:rsidRPr="009B3DF5">
        <w:rPr>
          <w:rFonts w:ascii="Times New Roman" w:hAnsi="Times New Roman" w:cs="Times New Roman"/>
          <w:color w:val="FF0000"/>
        </w:rPr>
        <w:t xml:space="preserve">if a consumer requests information about the cause of the problem with the NBN service – </w:t>
      </w:r>
      <w:r w:rsidRPr="009B3DF5">
        <w:rPr>
          <w:rFonts w:ascii="Times New Roman" w:hAnsi="Times New Roman" w:cs="Times New Roman"/>
          <w:color w:val="auto"/>
        </w:rPr>
        <w:t>a diagnosis of the issue that has caused the NBN service to be not operational;</w:t>
      </w:r>
    </w:p>
    <w:p w14:paraId="5F676222" w14:textId="4CFA94B3" w:rsidR="004A1A09" w:rsidRPr="009B3DF5" w:rsidRDefault="004A1A09" w:rsidP="000F3692">
      <w:pPr>
        <w:pStyle w:val="BodyText1"/>
        <w:spacing w:before="240"/>
        <w:ind w:left="720"/>
        <w:rPr>
          <w:rFonts w:ascii="Times New Roman" w:hAnsi="Times New Roman" w:cs="Times New Roman"/>
          <w:color w:val="auto"/>
        </w:rPr>
      </w:pPr>
      <w:r w:rsidRPr="009B3DF5">
        <w:rPr>
          <w:rFonts w:ascii="Times New Roman" w:hAnsi="Times New Roman" w:cs="Times New Roman"/>
          <w:color w:val="auto"/>
        </w:rPr>
        <w:t>(b)</w:t>
      </w:r>
      <w:r w:rsidR="009B3DF5" w:rsidRPr="009B3DF5">
        <w:rPr>
          <w:rFonts w:ascii="Times New Roman" w:hAnsi="Times New Roman" w:cs="Times New Roman"/>
          <w:color w:val="auto"/>
        </w:rPr>
        <w:t xml:space="preserve"> </w:t>
      </w:r>
      <w:r w:rsidRPr="009B3DF5">
        <w:rPr>
          <w:rFonts w:ascii="Times New Roman" w:hAnsi="Times New Roman" w:cs="Times New Roman"/>
          <w:color w:val="FF0000"/>
        </w:rPr>
        <w:t>if a consumer requests information about how the issue will be remediated</w:t>
      </w:r>
      <w:r w:rsidRPr="009B3DF5">
        <w:rPr>
          <w:rFonts w:ascii="Times New Roman" w:hAnsi="Times New Roman" w:cs="Times New Roman"/>
          <w:color w:val="auto"/>
        </w:rPr>
        <w:t xml:space="preserve"> </w:t>
      </w:r>
      <w:r w:rsidRPr="009B3DF5">
        <w:rPr>
          <w:rFonts w:ascii="Times New Roman" w:hAnsi="Times New Roman" w:cs="Times New Roman"/>
          <w:color w:val="FF0000"/>
        </w:rPr>
        <w:t>–</w:t>
      </w:r>
      <w:r w:rsidRPr="009B3DF5">
        <w:rPr>
          <w:rFonts w:ascii="Times New Roman" w:hAnsi="Times New Roman" w:cs="Times New Roman"/>
          <w:color w:val="auto"/>
        </w:rPr>
        <w:t xml:space="preserve"> the steps required to remediate the issue and establish an operational NBN service;  </w:t>
      </w:r>
    </w:p>
    <w:p w14:paraId="03F7E371" w14:textId="77777777" w:rsidR="000F3692" w:rsidRDefault="000F3692" w:rsidP="009B3DF5">
      <w:pPr>
        <w:pStyle w:val="BodyText1"/>
        <w:rPr>
          <w:rFonts w:asciiTheme="minorHAnsi" w:hAnsiTheme="minorHAnsi" w:cstheme="minorHAnsi"/>
          <w:color w:val="auto"/>
        </w:rPr>
      </w:pPr>
    </w:p>
    <w:p w14:paraId="44277776" w14:textId="5B64D2EC" w:rsidR="009B3DF5" w:rsidRDefault="009B3DF5" w:rsidP="009B3DF5">
      <w:pPr>
        <w:pStyle w:val="BodyText1"/>
        <w:rPr>
          <w:rFonts w:asciiTheme="minorHAnsi" w:hAnsiTheme="minorHAnsi" w:cstheme="minorHAnsi"/>
          <w:color w:val="auto"/>
        </w:rPr>
      </w:pPr>
      <w:r>
        <w:rPr>
          <w:rFonts w:asciiTheme="minorHAnsi" w:hAnsiTheme="minorHAnsi" w:cstheme="minorHAnsi"/>
          <w:color w:val="auto"/>
        </w:rPr>
        <w:t xml:space="preserve">ACCAN </w:t>
      </w:r>
      <w:r w:rsidR="002872F7">
        <w:rPr>
          <w:rFonts w:asciiTheme="minorHAnsi" w:hAnsiTheme="minorHAnsi" w:cstheme="minorHAnsi"/>
          <w:color w:val="auto"/>
        </w:rPr>
        <w:t>questions the need for</w:t>
      </w:r>
      <w:r>
        <w:rPr>
          <w:rFonts w:asciiTheme="minorHAnsi" w:hAnsiTheme="minorHAnsi" w:cstheme="minorHAnsi"/>
          <w:color w:val="auto"/>
        </w:rPr>
        <w:t xml:space="preserve"> the removal of </w:t>
      </w:r>
      <w:r w:rsidR="004A075F">
        <w:rPr>
          <w:rFonts w:asciiTheme="minorHAnsi" w:hAnsiTheme="minorHAnsi" w:cstheme="minorHAnsi"/>
          <w:color w:val="auto"/>
        </w:rPr>
        <w:t>NBN CSPs’</w:t>
      </w:r>
      <w:r>
        <w:rPr>
          <w:rFonts w:asciiTheme="minorHAnsi" w:hAnsiTheme="minorHAnsi" w:cstheme="minorHAnsi"/>
          <w:color w:val="auto"/>
        </w:rPr>
        <w:t xml:space="preserve"> obligation to provide information outlined in (a - b)</w:t>
      </w:r>
      <w:r w:rsidR="004A075F">
        <w:rPr>
          <w:rFonts w:asciiTheme="minorHAnsi" w:hAnsiTheme="minorHAnsi" w:cstheme="minorHAnsi"/>
          <w:color w:val="auto"/>
        </w:rPr>
        <w:t xml:space="preserve"> in all </w:t>
      </w:r>
      <w:r w:rsidR="00971C5C">
        <w:rPr>
          <w:rFonts w:asciiTheme="minorHAnsi" w:hAnsiTheme="minorHAnsi" w:cstheme="minorHAnsi"/>
          <w:color w:val="auto"/>
        </w:rPr>
        <w:t xml:space="preserve">applicable </w:t>
      </w:r>
      <w:r w:rsidR="004A075F">
        <w:rPr>
          <w:rFonts w:asciiTheme="minorHAnsi" w:hAnsiTheme="minorHAnsi" w:cstheme="minorHAnsi"/>
          <w:color w:val="auto"/>
        </w:rPr>
        <w:t>circumstances. It is ACCAN’s view that a</w:t>
      </w:r>
      <w:r w:rsidR="00971C5C">
        <w:rPr>
          <w:rFonts w:asciiTheme="minorHAnsi" w:hAnsiTheme="minorHAnsi" w:cstheme="minorHAnsi"/>
          <w:color w:val="auto"/>
        </w:rPr>
        <w:t>ll</w:t>
      </w:r>
      <w:r w:rsidR="004A075F">
        <w:rPr>
          <w:rFonts w:asciiTheme="minorHAnsi" w:hAnsiTheme="minorHAnsi" w:cstheme="minorHAnsi"/>
          <w:color w:val="auto"/>
        </w:rPr>
        <w:t xml:space="preserve"> consumer</w:t>
      </w:r>
      <w:r w:rsidR="00971C5C">
        <w:rPr>
          <w:rFonts w:asciiTheme="minorHAnsi" w:hAnsiTheme="minorHAnsi" w:cstheme="minorHAnsi"/>
          <w:color w:val="auto"/>
        </w:rPr>
        <w:t>s</w:t>
      </w:r>
      <w:r w:rsidR="004A075F">
        <w:rPr>
          <w:rFonts w:asciiTheme="minorHAnsi" w:hAnsiTheme="minorHAnsi" w:cstheme="minorHAnsi"/>
          <w:color w:val="auto"/>
        </w:rPr>
        <w:t xml:space="preserve"> in circumstances outlined</w:t>
      </w:r>
      <w:r w:rsidR="006331AF">
        <w:rPr>
          <w:rFonts w:asciiTheme="minorHAnsi" w:hAnsiTheme="minorHAnsi" w:cstheme="minorHAnsi"/>
          <w:color w:val="auto"/>
        </w:rPr>
        <w:t xml:space="preserve"> in</w:t>
      </w:r>
      <w:r w:rsidR="004A075F">
        <w:rPr>
          <w:rFonts w:asciiTheme="minorHAnsi" w:hAnsiTheme="minorHAnsi" w:cstheme="minorHAnsi"/>
          <w:color w:val="auto"/>
        </w:rPr>
        <w:t xml:space="preserve"> s.5(23</w:t>
      </w:r>
      <w:r w:rsidR="00971C5C">
        <w:rPr>
          <w:rFonts w:asciiTheme="minorHAnsi" w:hAnsiTheme="minorHAnsi" w:cstheme="minorHAnsi"/>
          <w:color w:val="auto"/>
        </w:rPr>
        <w:t>)</w:t>
      </w:r>
      <w:r w:rsidR="004A075F">
        <w:rPr>
          <w:rFonts w:asciiTheme="minorHAnsi" w:hAnsiTheme="minorHAnsi" w:cstheme="minorHAnsi"/>
          <w:color w:val="auto"/>
        </w:rPr>
        <w:t xml:space="preserve"> of the Service Continuity Standard </w:t>
      </w:r>
      <w:r w:rsidR="006331AF">
        <w:rPr>
          <w:rFonts w:asciiTheme="minorHAnsi" w:hAnsiTheme="minorHAnsi" w:cstheme="minorHAnsi"/>
          <w:color w:val="auto"/>
        </w:rPr>
        <w:t>or</w:t>
      </w:r>
      <w:r w:rsidR="004A075F">
        <w:rPr>
          <w:rFonts w:asciiTheme="minorHAnsi" w:hAnsiTheme="minorHAnsi" w:cstheme="minorHAnsi"/>
          <w:color w:val="auto"/>
        </w:rPr>
        <w:t xml:space="preserve"> </w:t>
      </w:r>
      <w:r w:rsidR="006331AF">
        <w:rPr>
          <w:rFonts w:asciiTheme="minorHAnsi" w:hAnsiTheme="minorHAnsi" w:cstheme="minorHAnsi"/>
          <w:color w:val="auto"/>
        </w:rPr>
        <w:t xml:space="preserve">in </w:t>
      </w:r>
      <w:r w:rsidR="004A075F">
        <w:rPr>
          <w:rFonts w:asciiTheme="minorHAnsi" w:hAnsiTheme="minorHAnsi" w:cstheme="minorHAnsi"/>
          <w:color w:val="auto"/>
        </w:rPr>
        <w:t xml:space="preserve">s.5(16) of the Service Migration Determination </w:t>
      </w:r>
      <w:r w:rsidR="00971C5C">
        <w:rPr>
          <w:rFonts w:asciiTheme="minorHAnsi" w:hAnsiTheme="minorHAnsi" w:cstheme="minorHAnsi"/>
          <w:color w:val="auto"/>
        </w:rPr>
        <w:t>must be provided with information about the cause of their NBN connection problem, and how this problem will be remediated. This information should be provided with an appropriate level of detail and communicated by the NBN CSP in plain language, as is required under the Telecommunications Consumer Protections Code.</w:t>
      </w:r>
      <w:r w:rsidR="00971C5C">
        <w:rPr>
          <w:rStyle w:val="FootnoteReference"/>
          <w:rFonts w:asciiTheme="minorHAnsi" w:hAnsiTheme="minorHAnsi" w:cstheme="minorHAnsi"/>
          <w:color w:val="auto"/>
        </w:rPr>
        <w:footnoteReference w:id="1"/>
      </w:r>
    </w:p>
    <w:p w14:paraId="6B048F4C" w14:textId="719C11A9" w:rsidR="000F3692" w:rsidRPr="000F3692" w:rsidRDefault="00926A5C" w:rsidP="000F3692">
      <w:pPr>
        <w:pStyle w:val="BodyText1"/>
        <w:rPr>
          <w:rFonts w:asciiTheme="minorHAnsi" w:hAnsiTheme="minorHAnsi" w:cstheme="minorHAnsi"/>
          <w:color w:val="auto"/>
        </w:rPr>
      </w:pPr>
      <w:r>
        <w:rPr>
          <w:rFonts w:asciiTheme="minorHAnsi" w:hAnsiTheme="minorHAnsi" w:cstheme="minorHAnsi"/>
          <w:color w:val="auto"/>
        </w:rPr>
        <w:t xml:space="preserve">There are </w:t>
      </w:r>
      <w:proofErr w:type="gramStart"/>
      <w:r>
        <w:rPr>
          <w:rFonts w:asciiTheme="minorHAnsi" w:hAnsiTheme="minorHAnsi" w:cstheme="minorHAnsi"/>
          <w:color w:val="auto"/>
        </w:rPr>
        <w:t>a number of</w:t>
      </w:r>
      <w:proofErr w:type="gramEnd"/>
      <w:r>
        <w:rPr>
          <w:rFonts w:asciiTheme="minorHAnsi" w:hAnsiTheme="minorHAnsi" w:cstheme="minorHAnsi"/>
          <w:color w:val="auto"/>
        </w:rPr>
        <w:t xml:space="preserve"> reasons</w:t>
      </w:r>
      <w:r w:rsidR="00175004">
        <w:rPr>
          <w:rFonts w:asciiTheme="minorHAnsi" w:hAnsiTheme="minorHAnsi" w:cstheme="minorHAnsi"/>
          <w:color w:val="auto"/>
        </w:rPr>
        <w:t xml:space="preserve"> why the onus </w:t>
      </w:r>
      <w:r w:rsidR="000F3692">
        <w:rPr>
          <w:rFonts w:asciiTheme="minorHAnsi" w:hAnsiTheme="minorHAnsi" w:cstheme="minorHAnsi"/>
          <w:color w:val="auto"/>
        </w:rPr>
        <w:t xml:space="preserve">for </w:t>
      </w:r>
      <w:r w:rsidR="00787D86">
        <w:rPr>
          <w:rFonts w:asciiTheme="minorHAnsi" w:hAnsiTheme="minorHAnsi" w:cstheme="minorHAnsi"/>
          <w:color w:val="auto"/>
        </w:rPr>
        <w:t>sharing</w:t>
      </w:r>
      <w:r w:rsidR="000F3692">
        <w:rPr>
          <w:rFonts w:asciiTheme="minorHAnsi" w:hAnsiTheme="minorHAnsi" w:cstheme="minorHAnsi"/>
          <w:color w:val="auto"/>
        </w:rPr>
        <w:t xml:space="preserve"> information about</w:t>
      </w:r>
      <w:r w:rsidR="00787D86">
        <w:rPr>
          <w:rFonts w:asciiTheme="minorHAnsi" w:hAnsiTheme="minorHAnsi" w:cstheme="minorHAnsi"/>
          <w:color w:val="auto"/>
        </w:rPr>
        <w:t xml:space="preserve"> NBN service</w:t>
      </w:r>
      <w:r w:rsidR="000F3692">
        <w:rPr>
          <w:rFonts w:asciiTheme="minorHAnsi" w:hAnsiTheme="minorHAnsi" w:cstheme="minorHAnsi"/>
          <w:color w:val="auto"/>
        </w:rPr>
        <w:t xml:space="preserve"> faults and </w:t>
      </w:r>
      <w:r w:rsidR="00413C2F">
        <w:rPr>
          <w:rFonts w:asciiTheme="minorHAnsi" w:hAnsiTheme="minorHAnsi" w:cstheme="minorHAnsi"/>
          <w:color w:val="auto"/>
        </w:rPr>
        <w:t>proposed remediation</w:t>
      </w:r>
      <w:r w:rsidR="000F3692">
        <w:rPr>
          <w:rFonts w:asciiTheme="minorHAnsi" w:hAnsiTheme="minorHAnsi" w:cstheme="minorHAnsi"/>
          <w:color w:val="auto"/>
        </w:rPr>
        <w:t xml:space="preserve"> </w:t>
      </w:r>
      <w:r w:rsidR="00175004">
        <w:rPr>
          <w:rFonts w:asciiTheme="minorHAnsi" w:hAnsiTheme="minorHAnsi" w:cstheme="minorHAnsi"/>
          <w:color w:val="auto"/>
        </w:rPr>
        <w:t xml:space="preserve">should </w:t>
      </w:r>
      <w:r w:rsidR="000F3692">
        <w:rPr>
          <w:rFonts w:asciiTheme="minorHAnsi" w:hAnsiTheme="minorHAnsi" w:cstheme="minorHAnsi"/>
          <w:color w:val="auto"/>
        </w:rPr>
        <w:t>lie</w:t>
      </w:r>
      <w:r w:rsidR="00175004">
        <w:rPr>
          <w:rFonts w:asciiTheme="minorHAnsi" w:hAnsiTheme="minorHAnsi" w:cstheme="minorHAnsi"/>
          <w:color w:val="auto"/>
        </w:rPr>
        <w:t xml:space="preserve"> </w:t>
      </w:r>
      <w:r w:rsidR="000F3692">
        <w:rPr>
          <w:rFonts w:asciiTheme="minorHAnsi" w:hAnsiTheme="minorHAnsi" w:cstheme="minorHAnsi"/>
          <w:color w:val="auto"/>
        </w:rPr>
        <w:t>with</w:t>
      </w:r>
      <w:r w:rsidR="00175004">
        <w:rPr>
          <w:rFonts w:asciiTheme="minorHAnsi" w:hAnsiTheme="minorHAnsi" w:cstheme="minorHAnsi"/>
          <w:color w:val="auto"/>
        </w:rPr>
        <w:t xml:space="preserve"> CSPs </w:t>
      </w:r>
      <w:r w:rsidR="000F3692">
        <w:rPr>
          <w:rFonts w:asciiTheme="minorHAnsi" w:hAnsiTheme="minorHAnsi" w:cstheme="minorHAnsi"/>
          <w:color w:val="auto"/>
        </w:rPr>
        <w:t xml:space="preserve">in all circumstances, and these </w:t>
      </w:r>
      <w:r w:rsidR="00787D86">
        <w:rPr>
          <w:rFonts w:asciiTheme="minorHAnsi" w:hAnsiTheme="minorHAnsi" w:cstheme="minorHAnsi"/>
          <w:color w:val="auto"/>
        </w:rPr>
        <w:t xml:space="preserve">are </w:t>
      </w:r>
      <w:r w:rsidR="000F3692">
        <w:rPr>
          <w:rFonts w:asciiTheme="minorHAnsi" w:hAnsiTheme="minorHAnsi" w:cstheme="minorHAnsi"/>
          <w:color w:val="auto"/>
        </w:rPr>
        <w:t xml:space="preserve">detailed below. </w:t>
      </w:r>
      <w:r>
        <w:rPr>
          <w:rFonts w:asciiTheme="minorHAnsi" w:hAnsiTheme="minorHAnsi" w:cstheme="minorHAnsi"/>
          <w:color w:val="auto"/>
        </w:rPr>
        <w:t xml:space="preserve"> </w:t>
      </w:r>
    </w:p>
    <w:p w14:paraId="7E9E6994" w14:textId="77777777" w:rsidR="000F3692" w:rsidRDefault="000F3692" w:rsidP="000F3692">
      <w:pPr>
        <w:pStyle w:val="Heading2"/>
      </w:pPr>
      <w:r>
        <w:t>Consumers may not anticipate the right questions to ask</w:t>
      </w:r>
    </w:p>
    <w:p w14:paraId="25490DAD" w14:textId="1365F766" w:rsidR="000F3692" w:rsidRPr="00787D86" w:rsidRDefault="000F3692" w:rsidP="00787D86">
      <w:pPr>
        <w:pStyle w:val="BodyText1"/>
        <w:rPr>
          <w:rFonts w:asciiTheme="minorHAnsi" w:hAnsiTheme="minorHAnsi" w:cstheme="minorHAnsi"/>
          <w:color w:val="auto"/>
        </w:rPr>
      </w:pPr>
      <w:r>
        <w:rPr>
          <w:rFonts w:asciiTheme="minorHAnsi" w:hAnsiTheme="minorHAnsi" w:cstheme="minorHAnsi"/>
          <w:color w:val="auto"/>
        </w:rPr>
        <w:t xml:space="preserve">Consumers cannot be expected to anticipate the right questions to ask in order to find out essential information about NBN </w:t>
      </w:r>
      <w:r w:rsidR="003961FB">
        <w:rPr>
          <w:rFonts w:asciiTheme="minorHAnsi" w:hAnsiTheme="minorHAnsi" w:cstheme="minorHAnsi"/>
          <w:color w:val="auto"/>
        </w:rPr>
        <w:t>service</w:t>
      </w:r>
      <w:r>
        <w:rPr>
          <w:rFonts w:asciiTheme="minorHAnsi" w:hAnsiTheme="minorHAnsi" w:cstheme="minorHAnsi"/>
          <w:color w:val="auto"/>
        </w:rPr>
        <w:t xml:space="preserve"> issue</w:t>
      </w:r>
      <w:r w:rsidR="003961FB">
        <w:rPr>
          <w:rFonts w:asciiTheme="minorHAnsi" w:hAnsiTheme="minorHAnsi" w:cstheme="minorHAnsi"/>
          <w:color w:val="auto"/>
        </w:rPr>
        <w:t>s</w:t>
      </w:r>
      <w:r>
        <w:rPr>
          <w:rFonts w:asciiTheme="minorHAnsi" w:hAnsiTheme="minorHAnsi" w:cstheme="minorHAnsi"/>
          <w:color w:val="auto"/>
        </w:rPr>
        <w:t xml:space="preserve">. Resolving telecommunications problems can be extremely stressful, frustrating and </w:t>
      </w:r>
      <w:r w:rsidR="00787D86">
        <w:rPr>
          <w:rFonts w:asciiTheme="minorHAnsi" w:hAnsiTheme="minorHAnsi" w:cstheme="minorHAnsi"/>
          <w:color w:val="auto"/>
        </w:rPr>
        <w:t>confusing</w:t>
      </w:r>
      <w:r>
        <w:rPr>
          <w:rFonts w:asciiTheme="minorHAnsi" w:hAnsiTheme="minorHAnsi" w:cstheme="minorHAnsi"/>
          <w:color w:val="auto"/>
        </w:rPr>
        <w:t xml:space="preserve"> for consumers, especially if the problem is persistent and has involved multiple contacts with their provider.</w:t>
      </w:r>
      <w:r w:rsidR="00787D86">
        <w:rPr>
          <w:rFonts w:asciiTheme="minorHAnsi" w:hAnsiTheme="minorHAnsi" w:cstheme="minorHAnsi"/>
          <w:color w:val="auto"/>
        </w:rPr>
        <w:t xml:space="preserve"> This may impact their ability to respond to and interrogate the CSP at point of contact. In ACCAN’s view, if a consumer is confused </w:t>
      </w:r>
      <w:r w:rsidR="003961FB">
        <w:rPr>
          <w:rFonts w:asciiTheme="minorHAnsi" w:hAnsiTheme="minorHAnsi" w:cstheme="minorHAnsi"/>
          <w:color w:val="auto"/>
        </w:rPr>
        <w:t xml:space="preserve">about </w:t>
      </w:r>
      <w:r w:rsidR="00787D86">
        <w:rPr>
          <w:rFonts w:asciiTheme="minorHAnsi" w:hAnsiTheme="minorHAnsi" w:cstheme="minorHAnsi"/>
          <w:color w:val="auto"/>
        </w:rPr>
        <w:t>a connection issue, it is more commonly because the CSP has provided unclear or conflicting information</w:t>
      </w:r>
      <w:r w:rsidR="002872F7">
        <w:rPr>
          <w:rFonts w:asciiTheme="minorHAnsi" w:hAnsiTheme="minorHAnsi" w:cstheme="minorHAnsi"/>
          <w:color w:val="auto"/>
        </w:rPr>
        <w:t xml:space="preserve"> at different times</w:t>
      </w:r>
      <w:r w:rsidR="00787D86">
        <w:rPr>
          <w:rFonts w:asciiTheme="minorHAnsi" w:hAnsiTheme="minorHAnsi" w:cstheme="minorHAnsi"/>
          <w:color w:val="auto"/>
        </w:rPr>
        <w:t xml:space="preserve">, rather than the technical nature of the information.    </w:t>
      </w:r>
      <w:r>
        <w:rPr>
          <w:rFonts w:asciiTheme="minorHAnsi" w:hAnsiTheme="minorHAnsi" w:cstheme="minorHAnsi"/>
          <w:color w:val="auto"/>
        </w:rPr>
        <w:t xml:space="preserve"> </w:t>
      </w:r>
    </w:p>
    <w:p w14:paraId="3D871607" w14:textId="2AA0F906" w:rsidR="003604B4" w:rsidRDefault="00554825" w:rsidP="003604B4">
      <w:pPr>
        <w:pStyle w:val="Heading2"/>
      </w:pPr>
      <w:r>
        <w:t xml:space="preserve">Consumers </w:t>
      </w:r>
      <w:r w:rsidR="00413C2F">
        <w:t>may need to</w:t>
      </w:r>
      <w:r>
        <w:t xml:space="preserve"> v</w:t>
      </w:r>
      <w:r w:rsidR="000F3692">
        <w:t>erify</w:t>
      </w:r>
      <w:r>
        <w:t xml:space="preserve"> </w:t>
      </w:r>
      <w:r w:rsidR="00787D86">
        <w:t>information provided by</w:t>
      </w:r>
      <w:r w:rsidR="003604B4" w:rsidRPr="003604B4">
        <w:t xml:space="preserve"> NBN CSPs</w:t>
      </w:r>
      <w:r w:rsidR="003604B4">
        <w:t xml:space="preserve"> </w:t>
      </w:r>
    </w:p>
    <w:p w14:paraId="75004C05" w14:textId="250A3090" w:rsidR="00926A5C" w:rsidRDefault="000F3692" w:rsidP="003604B4">
      <w:pPr>
        <w:pStyle w:val="BodyText1"/>
        <w:rPr>
          <w:rFonts w:asciiTheme="minorHAnsi" w:hAnsiTheme="minorHAnsi" w:cstheme="minorHAnsi"/>
          <w:color w:val="auto"/>
        </w:rPr>
      </w:pPr>
      <w:r>
        <w:rPr>
          <w:rFonts w:asciiTheme="minorHAnsi" w:hAnsiTheme="minorHAnsi" w:cstheme="minorHAnsi"/>
          <w:color w:val="auto"/>
        </w:rPr>
        <w:t>I</w:t>
      </w:r>
      <w:r w:rsidR="003604B4">
        <w:rPr>
          <w:rFonts w:asciiTheme="minorHAnsi" w:hAnsiTheme="minorHAnsi" w:cstheme="minorHAnsi"/>
          <w:color w:val="auto"/>
        </w:rPr>
        <w:t>t takes</w:t>
      </w:r>
      <w:r w:rsidR="00175004">
        <w:rPr>
          <w:rFonts w:asciiTheme="minorHAnsi" w:hAnsiTheme="minorHAnsi" w:cstheme="minorHAnsi"/>
          <w:color w:val="auto"/>
        </w:rPr>
        <w:t xml:space="preserve"> an average of 2.6</w:t>
      </w:r>
      <w:r w:rsidR="003604B4">
        <w:rPr>
          <w:rFonts w:asciiTheme="minorHAnsi" w:hAnsiTheme="minorHAnsi" w:cstheme="minorHAnsi"/>
          <w:color w:val="auto"/>
        </w:rPr>
        <w:t xml:space="preserve"> contacts </w:t>
      </w:r>
      <w:r>
        <w:rPr>
          <w:rFonts w:asciiTheme="minorHAnsi" w:hAnsiTheme="minorHAnsi" w:cstheme="minorHAnsi"/>
          <w:color w:val="auto"/>
        </w:rPr>
        <w:t xml:space="preserve">for a consumer to </w:t>
      </w:r>
      <w:r w:rsidR="003604B4">
        <w:rPr>
          <w:rFonts w:asciiTheme="minorHAnsi" w:hAnsiTheme="minorHAnsi" w:cstheme="minorHAnsi"/>
          <w:color w:val="auto"/>
        </w:rPr>
        <w:t>resolve</w:t>
      </w:r>
      <w:r>
        <w:rPr>
          <w:rFonts w:asciiTheme="minorHAnsi" w:hAnsiTheme="minorHAnsi" w:cstheme="minorHAnsi"/>
          <w:color w:val="auto"/>
        </w:rPr>
        <w:t xml:space="preserve"> a</w:t>
      </w:r>
      <w:r w:rsidR="00554825">
        <w:rPr>
          <w:rFonts w:asciiTheme="minorHAnsi" w:hAnsiTheme="minorHAnsi" w:cstheme="minorHAnsi"/>
          <w:color w:val="auto"/>
        </w:rPr>
        <w:t>n issue</w:t>
      </w:r>
      <w:r>
        <w:rPr>
          <w:rFonts w:asciiTheme="minorHAnsi" w:hAnsiTheme="minorHAnsi" w:cstheme="minorHAnsi"/>
          <w:color w:val="auto"/>
        </w:rPr>
        <w:t xml:space="preserve"> with their provider</w:t>
      </w:r>
      <w:r w:rsidR="00175004">
        <w:rPr>
          <w:rFonts w:asciiTheme="minorHAnsi" w:hAnsiTheme="minorHAnsi" w:cstheme="minorHAnsi"/>
          <w:color w:val="auto"/>
        </w:rPr>
        <w:t>.</w:t>
      </w:r>
      <w:r w:rsidR="00175004">
        <w:rPr>
          <w:rStyle w:val="FootnoteReference"/>
          <w:rFonts w:asciiTheme="minorHAnsi" w:hAnsiTheme="minorHAnsi" w:cstheme="minorHAnsi"/>
          <w:color w:val="auto"/>
        </w:rPr>
        <w:footnoteReference w:id="2"/>
      </w:r>
      <w:r w:rsidR="00175004">
        <w:rPr>
          <w:rFonts w:asciiTheme="minorHAnsi" w:hAnsiTheme="minorHAnsi" w:cstheme="minorHAnsi"/>
          <w:color w:val="auto"/>
        </w:rPr>
        <w:t xml:space="preserve"> In circumstances where </w:t>
      </w:r>
      <w:r w:rsidR="003604B4">
        <w:rPr>
          <w:rFonts w:asciiTheme="minorHAnsi" w:hAnsiTheme="minorHAnsi" w:cstheme="minorHAnsi"/>
          <w:color w:val="auto"/>
        </w:rPr>
        <w:t>the consumer</w:t>
      </w:r>
      <w:r w:rsidR="00175004">
        <w:rPr>
          <w:rFonts w:asciiTheme="minorHAnsi" w:hAnsiTheme="minorHAnsi" w:cstheme="minorHAnsi"/>
          <w:color w:val="auto"/>
        </w:rPr>
        <w:t xml:space="preserve"> ha</w:t>
      </w:r>
      <w:r w:rsidR="003604B4">
        <w:rPr>
          <w:rFonts w:asciiTheme="minorHAnsi" w:hAnsiTheme="minorHAnsi" w:cstheme="minorHAnsi"/>
          <w:color w:val="auto"/>
        </w:rPr>
        <w:t>s</w:t>
      </w:r>
      <w:r w:rsidR="00175004">
        <w:rPr>
          <w:rFonts w:asciiTheme="minorHAnsi" w:hAnsiTheme="minorHAnsi" w:cstheme="minorHAnsi"/>
          <w:color w:val="auto"/>
        </w:rPr>
        <w:t xml:space="preserve"> </w:t>
      </w:r>
      <w:r w:rsidR="00787D86">
        <w:rPr>
          <w:rFonts w:asciiTheme="minorHAnsi" w:hAnsiTheme="minorHAnsi" w:cstheme="minorHAnsi"/>
          <w:color w:val="auto"/>
        </w:rPr>
        <w:t>raised</w:t>
      </w:r>
      <w:r w:rsidR="00413C2F">
        <w:rPr>
          <w:rFonts w:asciiTheme="minorHAnsi" w:hAnsiTheme="minorHAnsi" w:cstheme="minorHAnsi"/>
          <w:color w:val="auto"/>
        </w:rPr>
        <w:t xml:space="preserve"> an</w:t>
      </w:r>
      <w:r>
        <w:rPr>
          <w:rFonts w:asciiTheme="minorHAnsi" w:hAnsiTheme="minorHAnsi" w:cstheme="minorHAnsi"/>
          <w:color w:val="auto"/>
        </w:rPr>
        <w:t xml:space="preserve"> NBN service</w:t>
      </w:r>
      <w:r w:rsidR="00787D86">
        <w:rPr>
          <w:rFonts w:asciiTheme="minorHAnsi" w:hAnsiTheme="minorHAnsi" w:cstheme="minorHAnsi"/>
          <w:color w:val="auto"/>
        </w:rPr>
        <w:t xml:space="preserve"> issue</w:t>
      </w:r>
      <w:r w:rsidR="003604B4">
        <w:rPr>
          <w:rFonts w:asciiTheme="minorHAnsi" w:hAnsiTheme="minorHAnsi" w:cstheme="minorHAnsi"/>
          <w:color w:val="auto"/>
        </w:rPr>
        <w:t xml:space="preserve"> across </w:t>
      </w:r>
      <w:r w:rsidR="00175004">
        <w:rPr>
          <w:rFonts w:asciiTheme="minorHAnsi" w:hAnsiTheme="minorHAnsi" w:cstheme="minorHAnsi"/>
          <w:color w:val="auto"/>
        </w:rPr>
        <w:t>multiple contacts</w:t>
      </w:r>
      <w:r w:rsidR="003604B4">
        <w:rPr>
          <w:rFonts w:asciiTheme="minorHAnsi" w:hAnsiTheme="minorHAnsi" w:cstheme="minorHAnsi"/>
          <w:color w:val="auto"/>
        </w:rPr>
        <w:t xml:space="preserve">, </w:t>
      </w:r>
      <w:r>
        <w:rPr>
          <w:rFonts w:asciiTheme="minorHAnsi" w:hAnsiTheme="minorHAnsi" w:cstheme="minorHAnsi"/>
          <w:color w:val="auto"/>
        </w:rPr>
        <w:t>current provisions in the Standard and Determination</w:t>
      </w:r>
      <w:r w:rsidR="003604B4">
        <w:rPr>
          <w:rFonts w:asciiTheme="minorHAnsi" w:hAnsiTheme="minorHAnsi" w:cstheme="minorHAnsi"/>
          <w:color w:val="auto"/>
        </w:rPr>
        <w:t xml:space="preserve"> allow them to verify the </w:t>
      </w:r>
      <w:r>
        <w:rPr>
          <w:rFonts w:asciiTheme="minorHAnsi" w:hAnsiTheme="minorHAnsi" w:cstheme="minorHAnsi"/>
          <w:color w:val="auto"/>
        </w:rPr>
        <w:t>consistency</w:t>
      </w:r>
      <w:r w:rsidR="003604B4">
        <w:rPr>
          <w:rFonts w:asciiTheme="minorHAnsi" w:hAnsiTheme="minorHAnsi" w:cstheme="minorHAnsi"/>
          <w:color w:val="auto"/>
        </w:rPr>
        <w:t xml:space="preserve"> of information the </w:t>
      </w:r>
      <w:r w:rsidR="00787D86">
        <w:rPr>
          <w:rFonts w:asciiTheme="minorHAnsi" w:hAnsiTheme="minorHAnsi" w:cstheme="minorHAnsi"/>
          <w:color w:val="auto"/>
        </w:rPr>
        <w:t>CSP</w:t>
      </w:r>
      <w:r w:rsidR="003604B4">
        <w:rPr>
          <w:rFonts w:asciiTheme="minorHAnsi" w:hAnsiTheme="minorHAnsi" w:cstheme="minorHAnsi"/>
          <w:color w:val="auto"/>
        </w:rPr>
        <w:t xml:space="preserve"> has</w:t>
      </w:r>
      <w:r>
        <w:rPr>
          <w:rFonts w:asciiTheme="minorHAnsi" w:hAnsiTheme="minorHAnsi" w:cstheme="minorHAnsi"/>
          <w:color w:val="auto"/>
        </w:rPr>
        <w:t xml:space="preserve"> given</w:t>
      </w:r>
      <w:r w:rsidR="003604B4">
        <w:rPr>
          <w:rFonts w:asciiTheme="minorHAnsi" w:hAnsiTheme="minorHAnsi" w:cstheme="minorHAnsi"/>
          <w:color w:val="auto"/>
        </w:rPr>
        <w:t xml:space="preserve"> across</w:t>
      </w:r>
      <w:r w:rsidR="00413C2F">
        <w:rPr>
          <w:rFonts w:asciiTheme="minorHAnsi" w:hAnsiTheme="minorHAnsi" w:cstheme="minorHAnsi"/>
          <w:color w:val="auto"/>
        </w:rPr>
        <w:t xml:space="preserve"> those</w:t>
      </w:r>
      <w:r w:rsidR="003604B4">
        <w:rPr>
          <w:rFonts w:asciiTheme="minorHAnsi" w:hAnsiTheme="minorHAnsi" w:cstheme="minorHAnsi"/>
          <w:color w:val="auto"/>
        </w:rPr>
        <w:t xml:space="preserve"> contacts. For example, if a CSP’s technician informs the </w:t>
      </w:r>
      <w:r w:rsidR="00413C2F">
        <w:rPr>
          <w:rFonts w:asciiTheme="minorHAnsi" w:hAnsiTheme="minorHAnsi" w:cstheme="minorHAnsi"/>
          <w:color w:val="auto"/>
        </w:rPr>
        <w:t>consumer</w:t>
      </w:r>
      <w:r w:rsidR="003604B4">
        <w:rPr>
          <w:rFonts w:asciiTheme="minorHAnsi" w:hAnsiTheme="minorHAnsi" w:cstheme="minorHAnsi"/>
          <w:color w:val="auto"/>
        </w:rPr>
        <w:t xml:space="preserve"> that</w:t>
      </w:r>
      <w:r>
        <w:rPr>
          <w:rFonts w:asciiTheme="minorHAnsi" w:hAnsiTheme="minorHAnsi" w:cstheme="minorHAnsi"/>
          <w:color w:val="auto"/>
        </w:rPr>
        <w:t xml:space="preserve"> a service is non-operational for one reason</w:t>
      </w:r>
      <w:r w:rsidR="003604B4">
        <w:rPr>
          <w:rFonts w:asciiTheme="minorHAnsi" w:hAnsiTheme="minorHAnsi" w:cstheme="minorHAnsi"/>
          <w:color w:val="auto"/>
        </w:rPr>
        <w:t xml:space="preserve">, but at a </w:t>
      </w:r>
      <w:r>
        <w:rPr>
          <w:rFonts w:asciiTheme="minorHAnsi" w:hAnsiTheme="minorHAnsi" w:cstheme="minorHAnsi"/>
          <w:color w:val="auto"/>
        </w:rPr>
        <w:t xml:space="preserve">later </w:t>
      </w:r>
      <w:r w:rsidR="003604B4">
        <w:rPr>
          <w:rFonts w:asciiTheme="minorHAnsi" w:hAnsiTheme="minorHAnsi" w:cstheme="minorHAnsi"/>
          <w:color w:val="auto"/>
        </w:rPr>
        <w:t xml:space="preserve">date the consumer </w:t>
      </w:r>
      <w:r w:rsidR="00787D86">
        <w:rPr>
          <w:rFonts w:asciiTheme="minorHAnsi" w:hAnsiTheme="minorHAnsi" w:cstheme="minorHAnsi"/>
          <w:color w:val="auto"/>
        </w:rPr>
        <w:t xml:space="preserve">is </w:t>
      </w:r>
      <w:r>
        <w:rPr>
          <w:rFonts w:asciiTheme="minorHAnsi" w:hAnsiTheme="minorHAnsi" w:cstheme="minorHAnsi"/>
          <w:color w:val="auto"/>
        </w:rPr>
        <w:t>given another explanation, the consumer is able to ascertain there is an inconsistency in how the problem has been understood by the CSP, and the consumer can seek clarity</w:t>
      </w:r>
      <w:r w:rsidR="00413C2F">
        <w:rPr>
          <w:rFonts w:asciiTheme="minorHAnsi" w:hAnsiTheme="minorHAnsi" w:cstheme="minorHAnsi"/>
          <w:color w:val="auto"/>
        </w:rPr>
        <w:t xml:space="preserve"> on this</w:t>
      </w:r>
      <w:r w:rsidR="003604B4">
        <w:rPr>
          <w:rFonts w:asciiTheme="minorHAnsi" w:hAnsiTheme="minorHAnsi" w:cstheme="minorHAnsi"/>
          <w:color w:val="auto"/>
        </w:rPr>
        <w:t>.</w:t>
      </w:r>
    </w:p>
    <w:p w14:paraId="59B068C1" w14:textId="0DFA09A6" w:rsidR="00926A5C" w:rsidRDefault="00554825" w:rsidP="000F3692">
      <w:pPr>
        <w:pStyle w:val="Heading2"/>
      </w:pPr>
      <w:r>
        <w:t xml:space="preserve">Consumers </w:t>
      </w:r>
      <w:r w:rsidR="00413C2F">
        <w:t>may need to</w:t>
      </w:r>
      <w:r>
        <w:t xml:space="preserve"> recall </w:t>
      </w:r>
      <w:r w:rsidR="00926A5C" w:rsidRPr="003604B4">
        <w:t>information</w:t>
      </w:r>
      <w:r>
        <w:t xml:space="preserve"> during</w:t>
      </w:r>
      <w:r w:rsidR="00926A5C" w:rsidRPr="003604B4">
        <w:t xml:space="preserve"> dispute resolution</w:t>
      </w:r>
    </w:p>
    <w:p w14:paraId="2FFC07C3" w14:textId="03BD52CA" w:rsidR="000F3692" w:rsidRDefault="00787D86" w:rsidP="000F3692">
      <w:pPr>
        <w:pStyle w:val="BodyText1"/>
        <w:rPr>
          <w:rFonts w:asciiTheme="minorHAnsi" w:hAnsiTheme="minorHAnsi" w:cstheme="minorHAnsi"/>
          <w:color w:val="auto"/>
        </w:rPr>
      </w:pPr>
      <w:r>
        <w:rPr>
          <w:rFonts w:asciiTheme="minorHAnsi" w:hAnsiTheme="minorHAnsi" w:cstheme="minorHAnsi"/>
          <w:color w:val="auto"/>
        </w:rPr>
        <w:t>It is important that</w:t>
      </w:r>
      <w:r w:rsidR="00413C2F">
        <w:rPr>
          <w:rFonts w:asciiTheme="minorHAnsi" w:hAnsiTheme="minorHAnsi" w:cstheme="minorHAnsi"/>
          <w:color w:val="auto"/>
        </w:rPr>
        <w:t xml:space="preserve"> the</w:t>
      </w:r>
      <w:r>
        <w:rPr>
          <w:rFonts w:asciiTheme="minorHAnsi" w:hAnsiTheme="minorHAnsi" w:cstheme="minorHAnsi"/>
          <w:color w:val="auto"/>
        </w:rPr>
        <w:t xml:space="preserve"> CSP provide</w:t>
      </w:r>
      <w:r w:rsidR="00413C2F">
        <w:rPr>
          <w:rFonts w:asciiTheme="minorHAnsi" w:hAnsiTheme="minorHAnsi" w:cstheme="minorHAnsi"/>
          <w:color w:val="auto"/>
        </w:rPr>
        <w:t>s</w:t>
      </w:r>
      <w:r>
        <w:rPr>
          <w:rFonts w:asciiTheme="minorHAnsi" w:hAnsiTheme="minorHAnsi" w:cstheme="minorHAnsi"/>
          <w:color w:val="auto"/>
        </w:rPr>
        <w:t xml:space="preserve"> as much information as possible </w:t>
      </w:r>
      <w:r w:rsidR="00554825">
        <w:rPr>
          <w:rFonts w:asciiTheme="minorHAnsi" w:hAnsiTheme="minorHAnsi" w:cstheme="minorHAnsi"/>
          <w:color w:val="auto"/>
        </w:rPr>
        <w:t xml:space="preserve">about the nature of an NBN connection issue, and its plan for remediation. Should the issue escalate to internal or external </w:t>
      </w:r>
      <w:r w:rsidR="00554825">
        <w:rPr>
          <w:rFonts w:asciiTheme="minorHAnsi" w:hAnsiTheme="minorHAnsi" w:cstheme="minorHAnsi"/>
          <w:color w:val="auto"/>
        </w:rPr>
        <w:lastRenderedPageBreak/>
        <w:t xml:space="preserve">dispute resolution, the consumer is then able to </w:t>
      </w:r>
      <w:r w:rsidR="003961FB">
        <w:rPr>
          <w:rFonts w:asciiTheme="minorHAnsi" w:hAnsiTheme="minorHAnsi" w:cstheme="minorHAnsi"/>
          <w:color w:val="auto"/>
        </w:rPr>
        <w:t>share that</w:t>
      </w:r>
      <w:r w:rsidR="00554825">
        <w:rPr>
          <w:rFonts w:asciiTheme="minorHAnsi" w:hAnsiTheme="minorHAnsi" w:cstheme="minorHAnsi"/>
          <w:color w:val="auto"/>
        </w:rPr>
        <w:t xml:space="preserve"> information to the complaints handler in order to establish an accurate timeline of the problem</w:t>
      </w:r>
      <w:r w:rsidR="00413C2F">
        <w:rPr>
          <w:rFonts w:asciiTheme="minorHAnsi" w:hAnsiTheme="minorHAnsi" w:cstheme="minorHAnsi"/>
          <w:color w:val="auto"/>
        </w:rPr>
        <w:t>,</w:t>
      </w:r>
      <w:r w:rsidR="00554825">
        <w:rPr>
          <w:rFonts w:asciiTheme="minorHAnsi" w:hAnsiTheme="minorHAnsi" w:cstheme="minorHAnsi"/>
          <w:color w:val="auto"/>
        </w:rPr>
        <w:t xml:space="preserve"> and how it has been understood by the </w:t>
      </w:r>
      <w:r w:rsidR="003961FB">
        <w:rPr>
          <w:rFonts w:asciiTheme="minorHAnsi" w:hAnsiTheme="minorHAnsi" w:cstheme="minorHAnsi"/>
          <w:color w:val="auto"/>
        </w:rPr>
        <w:t>CSP</w:t>
      </w:r>
      <w:r w:rsidR="00554825">
        <w:rPr>
          <w:rFonts w:asciiTheme="minorHAnsi" w:hAnsiTheme="minorHAnsi" w:cstheme="minorHAnsi"/>
          <w:color w:val="auto"/>
        </w:rPr>
        <w:t xml:space="preserve">. </w:t>
      </w:r>
    </w:p>
    <w:p w14:paraId="0EEBF25E" w14:textId="207B8B90" w:rsidR="00554825" w:rsidRDefault="00554825" w:rsidP="00926A5C">
      <w:pPr>
        <w:pStyle w:val="BodyText1"/>
        <w:rPr>
          <w:rFonts w:asciiTheme="minorHAnsi" w:hAnsiTheme="minorHAnsi" w:cstheme="minorHAnsi"/>
          <w:color w:val="auto"/>
        </w:rPr>
      </w:pPr>
      <w:proofErr w:type="gramStart"/>
      <w:r>
        <w:rPr>
          <w:rFonts w:asciiTheme="minorHAnsi" w:hAnsiTheme="minorHAnsi" w:cstheme="minorHAnsi"/>
          <w:color w:val="auto"/>
        </w:rPr>
        <w:t xml:space="preserve">Generally speaking, </w:t>
      </w:r>
      <w:r w:rsidR="00051AB9">
        <w:rPr>
          <w:rFonts w:asciiTheme="minorHAnsi" w:hAnsiTheme="minorHAnsi" w:cstheme="minorHAnsi"/>
          <w:color w:val="auto"/>
        </w:rPr>
        <w:t>when</w:t>
      </w:r>
      <w:proofErr w:type="gramEnd"/>
      <w:r w:rsidR="00051AB9">
        <w:rPr>
          <w:rFonts w:asciiTheme="minorHAnsi" w:hAnsiTheme="minorHAnsi" w:cstheme="minorHAnsi"/>
          <w:color w:val="auto"/>
        </w:rPr>
        <w:t xml:space="preserve"> a </w:t>
      </w:r>
      <w:r>
        <w:rPr>
          <w:rFonts w:asciiTheme="minorHAnsi" w:hAnsiTheme="minorHAnsi" w:cstheme="minorHAnsi"/>
          <w:color w:val="auto"/>
        </w:rPr>
        <w:t>consumer</w:t>
      </w:r>
      <w:r w:rsidR="00051AB9">
        <w:rPr>
          <w:rFonts w:asciiTheme="minorHAnsi" w:hAnsiTheme="minorHAnsi" w:cstheme="minorHAnsi"/>
          <w:color w:val="auto"/>
        </w:rPr>
        <w:t xml:space="preserve"> is faced with a connection issue they </w:t>
      </w:r>
      <w:r>
        <w:rPr>
          <w:rFonts w:asciiTheme="minorHAnsi" w:hAnsiTheme="minorHAnsi" w:cstheme="minorHAnsi"/>
          <w:color w:val="auto"/>
        </w:rPr>
        <w:t xml:space="preserve">want to </w:t>
      </w:r>
      <w:r w:rsidR="00051AB9">
        <w:rPr>
          <w:rFonts w:asciiTheme="minorHAnsi" w:hAnsiTheme="minorHAnsi" w:cstheme="minorHAnsi"/>
          <w:color w:val="auto"/>
        </w:rPr>
        <w:t>be told</w:t>
      </w:r>
      <w:r>
        <w:rPr>
          <w:rFonts w:asciiTheme="minorHAnsi" w:hAnsiTheme="minorHAnsi" w:cstheme="minorHAnsi"/>
          <w:color w:val="auto"/>
        </w:rPr>
        <w:t>:</w:t>
      </w:r>
    </w:p>
    <w:p w14:paraId="19A0D4F5" w14:textId="111DCEED" w:rsidR="00554825" w:rsidRDefault="00554825" w:rsidP="00051AB9">
      <w:pPr>
        <w:pStyle w:val="BodyText1"/>
        <w:numPr>
          <w:ilvl w:val="0"/>
          <w:numId w:val="23"/>
        </w:numPr>
        <w:contextualSpacing/>
        <w:rPr>
          <w:rFonts w:asciiTheme="minorHAnsi" w:hAnsiTheme="minorHAnsi" w:cstheme="minorHAnsi"/>
          <w:color w:val="auto"/>
        </w:rPr>
      </w:pPr>
      <w:r>
        <w:rPr>
          <w:rFonts w:asciiTheme="minorHAnsi" w:hAnsiTheme="minorHAnsi" w:cstheme="minorHAnsi"/>
          <w:color w:val="auto"/>
        </w:rPr>
        <w:t xml:space="preserve">Why </w:t>
      </w:r>
      <w:r w:rsidR="00051AB9">
        <w:rPr>
          <w:rFonts w:asciiTheme="minorHAnsi" w:hAnsiTheme="minorHAnsi" w:cstheme="minorHAnsi"/>
          <w:color w:val="auto"/>
        </w:rPr>
        <w:t>the issue</w:t>
      </w:r>
      <w:r>
        <w:rPr>
          <w:rFonts w:asciiTheme="minorHAnsi" w:hAnsiTheme="minorHAnsi" w:cstheme="minorHAnsi"/>
          <w:color w:val="auto"/>
        </w:rPr>
        <w:t xml:space="preserve"> has occurred</w:t>
      </w:r>
      <w:r w:rsidR="003961FB">
        <w:rPr>
          <w:rFonts w:asciiTheme="minorHAnsi" w:hAnsiTheme="minorHAnsi" w:cstheme="minorHAnsi"/>
          <w:color w:val="auto"/>
        </w:rPr>
        <w:t>,</w:t>
      </w:r>
    </w:p>
    <w:p w14:paraId="2688C519" w14:textId="25D5621B" w:rsidR="00554825" w:rsidRDefault="00554825" w:rsidP="00051AB9">
      <w:pPr>
        <w:pStyle w:val="BodyText1"/>
        <w:numPr>
          <w:ilvl w:val="0"/>
          <w:numId w:val="23"/>
        </w:numPr>
        <w:contextualSpacing/>
        <w:rPr>
          <w:rFonts w:asciiTheme="minorHAnsi" w:hAnsiTheme="minorHAnsi" w:cstheme="minorHAnsi"/>
          <w:color w:val="auto"/>
        </w:rPr>
      </w:pPr>
      <w:r>
        <w:rPr>
          <w:rFonts w:asciiTheme="minorHAnsi" w:hAnsiTheme="minorHAnsi" w:cstheme="minorHAnsi"/>
          <w:color w:val="auto"/>
        </w:rPr>
        <w:t xml:space="preserve">What the CSP plans to do to rectify the </w:t>
      </w:r>
      <w:r w:rsidR="00051AB9">
        <w:rPr>
          <w:rFonts w:asciiTheme="minorHAnsi" w:hAnsiTheme="minorHAnsi" w:cstheme="minorHAnsi"/>
          <w:color w:val="auto"/>
        </w:rPr>
        <w:t>issue</w:t>
      </w:r>
      <w:r>
        <w:rPr>
          <w:rFonts w:asciiTheme="minorHAnsi" w:hAnsiTheme="minorHAnsi" w:cstheme="minorHAnsi"/>
          <w:color w:val="auto"/>
        </w:rPr>
        <w:t xml:space="preserve"> and,</w:t>
      </w:r>
    </w:p>
    <w:p w14:paraId="0D87EFFB" w14:textId="21E10303" w:rsidR="00554825" w:rsidRDefault="00554825" w:rsidP="00554825">
      <w:pPr>
        <w:pStyle w:val="BodyText1"/>
        <w:numPr>
          <w:ilvl w:val="0"/>
          <w:numId w:val="23"/>
        </w:numPr>
        <w:rPr>
          <w:rFonts w:asciiTheme="minorHAnsi" w:hAnsiTheme="minorHAnsi" w:cstheme="minorHAnsi"/>
          <w:color w:val="auto"/>
        </w:rPr>
      </w:pPr>
      <w:r>
        <w:rPr>
          <w:rFonts w:asciiTheme="minorHAnsi" w:hAnsiTheme="minorHAnsi" w:cstheme="minorHAnsi"/>
          <w:color w:val="auto"/>
        </w:rPr>
        <w:t xml:space="preserve">How long the CSP expects this to take. </w:t>
      </w:r>
    </w:p>
    <w:p w14:paraId="503D51A5" w14:textId="062162F4" w:rsidR="00051AB9" w:rsidRDefault="00051AB9" w:rsidP="00051AB9">
      <w:pPr>
        <w:pStyle w:val="BodyText1"/>
        <w:rPr>
          <w:rFonts w:asciiTheme="minorHAnsi" w:hAnsiTheme="minorHAnsi" w:cstheme="minorHAnsi"/>
          <w:color w:val="auto"/>
        </w:rPr>
      </w:pPr>
      <w:r>
        <w:rPr>
          <w:rFonts w:asciiTheme="minorHAnsi" w:hAnsiTheme="minorHAnsi" w:cstheme="minorHAnsi"/>
          <w:color w:val="auto"/>
        </w:rPr>
        <w:t>The onus should not lie with the consumer to seek information about why their connection is not working, and how it will be fixed. There may be some circumstances in which a consumer does not require detailed information about problems and remediation for a faulty connection. However, in ACCAN’s view, this would be the exception, not the rule.</w:t>
      </w:r>
    </w:p>
    <w:p w14:paraId="662B1C1E" w14:textId="77777777" w:rsidR="002872F7" w:rsidRDefault="002872F7" w:rsidP="002872F7">
      <w:pPr>
        <w:pStyle w:val="Heading2"/>
      </w:pPr>
      <w:r>
        <w:t>Other comments</w:t>
      </w:r>
    </w:p>
    <w:p w14:paraId="6C8EC999" w14:textId="7FBBC752" w:rsidR="004A1A09" w:rsidRDefault="00554825" w:rsidP="00051AB9">
      <w:pPr>
        <w:pStyle w:val="BodyText1"/>
        <w:rPr>
          <w:rFonts w:asciiTheme="minorHAnsi" w:hAnsiTheme="minorHAnsi" w:cstheme="minorHAnsi"/>
          <w:color w:val="auto"/>
        </w:rPr>
      </w:pPr>
      <w:r>
        <w:rPr>
          <w:rFonts w:asciiTheme="minorHAnsi" w:hAnsiTheme="minorHAnsi" w:cstheme="minorHAnsi"/>
          <w:color w:val="auto"/>
        </w:rPr>
        <w:t xml:space="preserve">We note that s.5(16)(2) of the Service Migration Determination and s.5(23)(1) of the Service Continuity Standard have </w:t>
      </w:r>
      <w:r w:rsidR="002872F7">
        <w:rPr>
          <w:rFonts w:asciiTheme="minorHAnsi" w:hAnsiTheme="minorHAnsi" w:cstheme="minorHAnsi"/>
          <w:color w:val="auto"/>
        </w:rPr>
        <w:t xml:space="preserve">been </w:t>
      </w:r>
      <w:r w:rsidR="00051AB9">
        <w:rPr>
          <w:rFonts w:asciiTheme="minorHAnsi" w:hAnsiTheme="minorHAnsi" w:cstheme="minorHAnsi"/>
          <w:color w:val="auto"/>
        </w:rPr>
        <w:t xml:space="preserve">adjusted to specify that </w:t>
      </w:r>
      <w:r w:rsidR="00413C2F">
        <w:rPr>
          <w:rFonts w:asciiTheme="minorHAnsi" w:hAnsiTheme="minorHAnsi" w:cstheme="minorHAnsi"/>
          <w:color w:val="auto"/>
        </w:rPr>
        <w:t xml:space="preserve">certain </w:t>
      </w:r>
      <w:r w:rsidR="00051AB9">
        <w:rPr>
          <w:rFonts w:asciiTheme="minorHAnsi" w:hAnsiTheme="minorHAnsi" w:cstheme="minorHAnsi"/>
          <w:color w:val="auto"/>
        </w:rPr>
        <w:t xml:space="preserve">timeframes apply once the CSP is </w:t>
      </w:r>
      <w:r w:rsidR="00051AB9" w:rsidRPr="001701B9">
        <w:rPr>
          <w:rFonts w:asciiTheme="minorHAnsi" w:hAnsiTheme="minorHAnsi" w:cstheme="minorHAnsi"/>
          <w:i/>
          <w:iCs/>
          <w:color w:val="auto"/>
        </w:rPr>
        <w:t xml:space="preserve">aware </w:t>
      </w:r>
      <w:r w:rsidR="00051AB9">
        <w:rPr>
          <w:rFonts w:asciiTheme="minorHAnsi" w:hAnsiTheme="minorHAnsi" w:cstheme="minorHAnsi"/>
          <w:color w:val="auto"/>
        </w:rPr>
        <w:t xml:space="preserve">that a connection is non-operational. We note that while this approach has been adopted elsewhere in the instruments, </w:t>
      </w:r>
      <w:r w:rsidR="00413C2F">
        <w:rPr>
          <w:rFonts w:asciiTheme="minorHAnsi" w:hAnsiTheme="minorHAnsi" w:cstheme="minorHAnsi"/>
          <w:color w:val="auto"/>
        </w:rPr>
        <w:t>a</w:t>
      </w:r>
      <w:r w:rsidR="00051AB9">
        <w:rPr>
          <w:rFonts w:asciiTheme="minorHAnsi" w:hAnsiTheme="minorHAnsi" w:cstheme="minorHAnsi"/>
          <w:color w:val="auto"/>
        </w:rPr>
        <w:t xml:space="preserve"> best practice approach </w:t>
      </w:r>
      <w:r w:rsidR="00413C2F">
        <w:rPr>
          <w:rFonts w:asciiTheme="minorHAnsi" w:hAnsiTheme="minorHAnsi" w:cstheme="minorHAnsi"/>
          <w:color w:val="auto"/>
        </w:rPr>
        <w:t xml:space="preserve">involves </w:t>
      </w:r>
      <w:r w:rsidR="00051AB9">
        <w:rPr>
          <w:rFonts w:asciiTheme="minorHAnsi" w:hAnsiTheme="minorHAnsi" w:cstheme="minorHAnsi"/>
          <w:color w:val="auto"/>
        </w:rPr>
        <w:t>CSPs closely</w:t>
      </w:r>
      <w:r w:rsidR="00413C2F">
        <w:rPr>
          <w:rFonts w:asciiTheme="minorHAnsi" w:hAnsiTheme="minorHAnsi" w:cstheme="minorHAnsi"/>
          <w:color w:val="auto"/>
        </w:rPr>
        <w:t xml:space="preserve"> monitoring service performance</w:t>
      </w:r>
      <w:r w:rsidR="00051AB9">
        <w:rPr>
          <w:rFonts w:asciiTheme="minorHAnsi" w:hAnsiTheme="minorHAnsi" w:cstheme="minorHAnsi"/>
          <w:color w:val="auto"/>
        </w:rPr>
        <w:t>, rather than rely</w:t>
      </w:r>
      <w:r w:rsidR="00413C2F">
        <w:rPr>
          <w:rFonts w:asciiTheme="minorHAnsi" w:hAnsiTheme="minorHAnsi" w:cstheme="minorHAnsi"/>
          <w:color w:val="auto"/>
        </w:rPr>
        <w:t>ing</w:t>
      </w:r>
      <w:r w:rsidR="00051AB9">
        <w:rPr>
          <w:rFonts w:asciiTheme="minorHAnsi" w:hAnsiTheme="minorHAnsi" w:cstheme="minorHAnsi"/>
          <w:color w:val="auto"/>
        </w:rPr>
        <w:t xml:space="preserve"> on consumers to</w:t>
      </w:r>
      <w:r w:rsidR="00413C2F">
        <w:rPr>
          <w:rFonts w:asciiTheme="minorHAnsi" w:hAnsiTheme="minorHAnsi" w:cstheme="minorHAnsi"/>
          <w:color w:val="auto"/>
        </w:rPr>
        <w:t xml:space="preserve"> make</w:t>
      </w:r>
      <w:r w:rsidR="00051AB9">
        <w:rPr>
          <w:rFonts w:asciiTheme="minorHAnsi" w:hAnsiTheme="minorHAnsi" w:cstheme="minorHAnsi"/>
          <w:color w:val="auto"/>
        </w:rPr>
        <w:t xml:space="preserve"> contact and raise issue</w:t>
      </w:r>
      <w:r w:rsidR="00413C2F">
        <w:rPr>
          <w:rFonts w:asciiTheme="minorHAnsi" w:hAnsiTheme="minorHAnsi" w:cstheme="minorHAnsi"/>
          <w:color w:val="auto"/>
        </w:rPr>
        <w:t>s</w:t>
      </w:r>
      <w:r w:rsidR="00051AB9">
        <w:rPr>
          <w:rFonts w:asciiTheme="minorHAnsi" w:hAnsiTheme="minorHAnsi" w:cstheme="minorHAnsi"/>
          <w:color w:val="auto"/>
        </w:rPr>
        <w:t xml:space="preserve">. </w:t>
      </w:r>
      <w:r w:rsidR="002872F7">
        <w:rPr>
          <w:rFonts w:asciiTheme="minorHAnsi" w:hAnsiTheme="minorHAnsi" w:cstheme="minorHAnsi"/>
          <w:color w:val="auto"/>
        </w:rPr>
        <w:t xml:space="preserve">We would be extremely concerned should this adjustment contribute to additional delays in fixing non-operational services, and consider the ACMA should monitor to ensure this does not eventuate. </w:t>
      </w:r>
    </w:p>
    <w:p w14:paraId="1820B0B3" w14:textId="61DA9058" w:rsidR="00051AB9" w:rsidRDefault="00051AB9" w:rsidP="00FE0AE2">
      <w:pPr>
        <w:pStyle w:val="BodyText1"/>
        <w:rPr>
          <w:rFonts w:asciiTheme="minorHAnsi" w:hAnsiTheme="minorHAnsi" w:cstheme="minorHAnsi"/>
          <w:color w:val="auto"/>
        </w:rPr>
      </w:pPr>
      <w:r>
        <w:rPr>
          <w:rFonts w:asciiTheme="minorHAnsi" w:hAnsiTheme="minorHAnsi" w:cstheme="minorHAnsi"/>
          <w:color w:val="auto"/>
        </w:rPr>
        <w:t>Thank you again for inviting our feedback on proposed changes to the Service Continuity Standard and the Service Migration Determination. Should you wish to discuss our position further, please cont</w:t>
      </w:r>
      <w:bookmarkStart w:id="0" w:name="_GoBack"/>
      <w:bookmarkEnd w:id="0"/>
      <w:r>
        <w:rPr>
          <w:rFonts w:asciiTheme="minorHAnsi" w:hAnsiTheme="minorHAnsi" w:cstheme="minorHAnsi"/>
          <w:color w:val="auto"/>
        </w:rPr>
        <w:t xml:space="preserve">act us at </w:t>
      </w:r>
      <w:hyperlink r:id="rId12" w:history="1">
        <w:r w:rsidRPr="007A5B7F">
          <w:rPr>
            <w:rStyle w:val="Hyperlink"/>
            <w:rFonts w:asciiTheme="minorHAnsi" w:hAnsiTheme="minorHAnsi" w:cstheme="minorHAnsi"/>
          </w:rPr>
          <w:t>Rebekah.Sarkoezy@accan.org.au</w:t>
        </w:r>
      </w:hyperlink>
      <w:r>
        <w:rPr>
          <w:rFonts w:asciiTheme="minorHAnsi" w:hAnsiTheme="minorHAnsi" w:cstheme="minorHAnsi"/>
          <w:color w:val="auto"/>
        </w:rPr>
        <w:t xml:space="preserve"> or on (02) 9288 4000. </w:t>
      </w:r>
    </w:p>
    <w:p w14:paraId="0BF4D656" w14:textId="77777777" w:rsidR="00051AB9" w:rsidRDefault="00051AB9" w:rsidP="00FE0AE2">
      <w:pPr>
        <w:pStyle w:val="BodyText1"/>
        <w:rPr>
          <w:rFonts w:asciiTheme="minorHAnsi" w:hAnsiTheme="minorHAnsi" w:cstheme="minorHAnsi"/>
          <w:color w:val="auto"/>
        </w:rPr>
      </w:pPr>
    </w:p>
    <w:p w14:paraId="3D443EA5" w14:textId="1C0E6441" w:rsidR="00051AB9" w:rsidRDefault="00051AB9" w:rsidP="00FE0AE2">
      <w:pPr>
        <w:pStyle w:val="BodyText1"/>
        <w:rPr>
          <w:rFonts w:asciiTheme="minorHAnsi" w:hAnsiTheme="minorHAnsi" w:cstheme="minorHAnsi"/>
          <w:color w:val="auto"/>
        </w:rPr>
      </w:pPr>
      <w:r>
        <w:rPr>
          <w:rFonts w:asciiTheme="minorHAnsi" w:hAnsiTheme="minorHAnsi" w:cstheme="minorHAnsi"/>
          <w:color w:val="auto"/>
        </w:rPr>
        <w:t>Sincerely,</w:t>
      </w:r>
    </w:p>
    <w:p w14:paraId="6F28DF63" w14:textId="0E0EC7A3" w:rsidR="00051AB9" w:rsidRDefault="00051AB9" w:rsidP="00FE0AE2">
      <w:pPr>
        <w:pStyle w:val="BodyText1"/>
        <w:rPr>
          <w:rFonts w:asciiTheme="minorHAnsi" w:hAnsiTheme="minorHAnsi" w:cstheme="minorHAnsi"/>
          <w:color w:val="auto"/>
        </w:rPr>
      </w:pPr>
    </w:p>
    <w:p w14:paraId="48D6DAC1" w14:textId="7B0F35F1" w:rsidR="00051AB9" w:rsidRDefault="00051AB9" w:rsidP="00FE0AE2">
      <w:pPr>
        <w:pStyle w:val="BodyText1"/>
        <w:rPr>
          <w:rFonts w:asciiTheme="minorHAnsi" w:hAnsiTheme="minorHAnsi" w:cstheme="minorHAnsi"/>
          <w:color w:val="auto"/>
        </w:rPr>
      </w:pPr>
      <w:r>
        <w:rPr>
          <w:rFonts w:asciiTheme="minorHAnsi" w:hAnsiTheme="minorHAnsi" w:cstheme="minorHAnsi"/>
          <w:color w:val="auto"/>
        </w:rPr>
        <w:t>Rebekah Sarkoezy</w:t>
      </w:r>
      <w:r>
        <w:rPr>
          <w:rFonts w:asciiTheme="minorHAnsi" w:hAnsiTheme="minorHAnsi" w:cstheme="minorHAnsi"/>
          <w:color w:val="auto"/>
        </w:rPr>
        <w:br/>
        <w:t>Policy Officer</w:t>
      </w:r>
    </w:p>
    <w:p w14:paraId="791D0184" w14:textId="3BECDC6F" w:rsidR="004A1A09" w:rsidRPr="00281523" w:rsidRDefault="004A1A09" w:rsidP="00281523"/>
    <w:sectPr w:rsidR="004A1A09" w:rsidRPr="00281523" w:rsidSect="000D7545">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4EAE" w14:textId="77777777" w:rsidR="005F5AE2" w:rsidRDefault="005F5AE2" w:rsidP="00C7127B">
      <w:pPr>
        <w:spacing w:after="0" w:line="240" w:lineRule="auto"/>
      </w:pPr>
      <w:r>
        <w:separator/>
      </w:r>
    </w:p>
  </w:endnote>
  <w:endnote w:type="continuationSeparator" w:id="0">
    <w:p w14:paraId="216B5A90" w14:textId="77777777" w:rsidR="005F5AE2" w:rsidRDefault="005F5AE2"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C021" w14:textId="77777777" w:rsidR="000D7545" w:rsidRPr="00E05115" w:rsidRDefault="000D7545" w:rsidP="000D7545">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3B2E8370" w14:textId="77777777" w:rsidR="000D7545" w:rsidRDefault="000D7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A074" w14:textId="77777777" w:rsidR="00C7127B" w:rsidRDefault="00C7127B">
    <w:pPr>
      <w:pStyle w:val="Footer"/>
    </w:pPr>
    <w:r>
      <w:rPr>
        <w:noProof/>
      </w:rPr>
      <mc:AlternateContent>
        <mc:Choice Requires="wpg">
          <w:drawing>
            <wp:anchor distT="0" distB="0" distL="114300" distR="114300" simplePos="0" relativeHeight="251661312" behindDoc="1" locked="0" layoutInCell="1" allowOverlap="1" wp14:anchorId="2D2030CC" wp14:editId="46FCCF23">
              <wp:simplePos x="0" y="0"/>
              <wp:positionH relativeFrom="column">
                <wp:posOffset>-624840</wp:posOffset>
              </wp:positionH>
              <wp:positionV relativeFrom="paragraph">
                <wp:posOffset>-759460</wp:posOffset>
              </wp:positionV>
              <wp:extent cx="6971664" cy="1473199"/>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6BA34110" w14:textId="77777777" w:rsidR="00C7127B" w:rsidRPr="00E05115" w:rsidRDefault="00C7127B" w:rsidP="00C7127B">
                            <w:pPr>
                              <w:spacing w:after="0"/>
                              <w:rPr>
                                <w:color w:val="23B0E6"/>
                              </w:rPr>
                            </w:pPr>
                            <w:r w:rsidRPr="00E05115">
                              <w:rPr>
                                <w:color w:val="23B0E6"/>
                              </w:rPr>
                              <w:t>Australian Communications Consumer Action Network (ACCAN)</w:t>
                            </w:r>
                          </w:p>
                          <w:p w14:paraId="7103EA5C"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3E42CCD3" w14:textId="77777777" w:rsidR="00C7127B" w:rsidRPr="00E05115" w:rsidRDefault="00C7127B" w:rsidP="00C7127B">
                            <w:pPr>
                              <w:spacing w:after="0"/>
                              <w:rPr>
                                <w:i/>
                                <w:color w:val="23B0E6"/>
                              </w:rPr>
                            </w:pPr>
                          </w:p>
                          <w:p w14:paraId="23B888CE" w14:textId="77777777" w:rsidR="00C7127B" w:rsidRDefault="00C7127B" w:rsidP="00C7127B">
                            <w:pPr>
                              <w:spacing w:after="0"/>
                            </w:pPr>
                            <w:r>
                              <w:t>PO Box 639, Broadway NSW 2007</w:t>
                            </w:r>
                          </w:p>
                          <w:p w14:paraId="79650B9E" w14:textId="77777777"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14:paraId="347BA2DC"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D2030CC" id="Group 3" o:spid="_x0000_s1026" style="position:absolute;margin-left:-49.2pt;margin-top:-59.8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rdOU4eIAAAAMAQAADwAAAGRycy9kb3ducmV2LnhtbEyPwW7CMAyG75P2DpEn7QZpGCBS&#10;miKEtp3QpMGkiVtoTFvRJFUT2vL2807bzZY//f7+bDPahvXYhdo7BWKaAENXeFO7UsHX8W2yAhai&#10;dkY33qGCOwbY5I8PmU6NH9wn9odYMgpxIdUKqhjblPNQVGh1mPoWHd0uvrM60tqV3HR6oHDb8FmS&#10;LLnVtaMPlW5xV2FxPdysgvdBD9sX8drvr5fd/XRcfHzvBSr1/DRu18AijvEPhl99UoecnM7+5kxg&#10;jYKJXM0JpUEIuQRGiJRyAexMrJjNgecZ/18i/wEAAP//AwBQSwECLQAUAAYACAAAACEAtoM4kv4A&#10;AADhAQAAEwAAAAAAAAAAAAAAAAAAAAAAW0NvbnRlbnRfVHlwZXNdLnhtbFBLAQItABQABgAIAAAA&#10;IQA4/SH/1gAAAJQBAAALAAAAAAAAAAAAAAAAAC8BAABfcmVscy8ucmVsc1BLAQItABQABgAIAAAA&#10;IQBm72HPLwMAAMAHAAAOAAAAAAAAAAAAAAAAAC4CAABkcnMvZTJvRG9jLnhtbFBLAQItABQABgAI&#10;AAAAIQCt05Th4gAAAAw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BA34110" w14:textId="77777777" w:rsidR="00C7127B" w:rsidRPr="00E05115" w:rsidRDefault="00C7127B" w:rsidP="00C7127B">
                      <w:pPr>
                        <w:spacing w:after="0"/>
                        <w:rPr>
                          <w:color w:val="23B0E6"/>
                        </w:rPr>
                      </w:pPr>
                      <w:r w:rsidRPr="00E05115">
                        <w:rPr>
                          <w:color w:val="23B0E6"/>
                        </w:rPr>
                        <w:t>Australian Communications Consumer Action Network (ACCAN)</w:t>
                      </w:r>
                    </w:p>
                    <w:p w14:paraId="7103EA5C"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3E42CCD3" w14:textId="77777777" w:rsidR="00C7127B" w:rsidRPr="00E05115" w:rsidRDefault="00C7127B" w:rsidP="00C7127B">
                      <w:pPr>
                        <w:spacing w:after="0"/>
                        <w:rPr>
                          <w:i/>
                          <w:color w:val="23B0E6"/>
                        </w:rPr>
                      </w:pPr>
                    </w:p>
                    <w:p w14:paraId="23B888CE" w14:textId="77777777" w:rsidR="00C7127B" w:rsidRDefault="00C7127B" w:rsidP="00C7127B">
                      <w:pPr>
                        <w:spacing w:after="0"/>
                      </w:pPr>
                      <w:r>
                        <w:t>PO Box 639, Broadway NSW 2007</w:t>
                      </w:r>
                    </w:p>
                    <w:p w14:paraId="79650B9E" w14:textId="77777777"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14:paraId="347BA2DC"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B0D29" w14:textId="77777777" w:rsidR="005F5AE2" w:rsidRDefault="005F5AE2" w:rsidP="00C7127B">
      <w:pPr>
        <w:spacing w:after="0" w:line="240" w:lineRule="auto"/>
      </w:pPr>
      <w:r>
        <w:separator/>
      </w:r>
    </w:p>
  </w:footnote>
  <w:footnote w:type="continuationSeparator" w:id="0">
    <w:p w14:paraId="35FEFCA6" w14:textId="77777777" w:rsidR="005F5AE2" w:rsidRDefault="005F5AE2" w:rsidP="00C7127B">
      <w:pPr>
        <w:spacing w:after="0" w:line="240" w:lineRule="auto"/>
      </w:pPr>
      <w:r>
        <w:continuationSeparator/>
      </w:r>
    </w:p>
  </w:footnote>
  <w:footnote w:id="1">
    <w:p w14:paraId="3F28E072" w14:textId="19F6D9BF" w:rsidR="00971C5C" w:rsidRPr="00971C5C" w:rsidRDefault="00971C5C">
      <w:pPr>
        <w:pStyle w:val="FootnoteText"/>
        <w:rPr>
          <w:lang w:val="en-US"/>
        </w:rPr>
      </w:pPr>
      <w:r>
        <w:rPr>
          <w:rStyle w:val="FootnoteReference"/>
        </w:rPr>
        <w:footnoteRef/>
      </w:r>
      <w:r>
        <w:t xml:space="preserve"> TCP Code </w:t>
      </w:r>
      <w:r>
        <w:rPr>
          <w:rFonts w:cstheme="minorHAnsi"/>
        </w:rPr>
        <w:t xml:space="preserve">3.1.1: </w:t>
      </w:r>
      <w:r>
        <w:t>A Supplier must communicate with Consumers in plain language.</w:t>
      </w:r>
    </w:p>
  </w:footnote>
  <w:footnote w:id="2">
    <w:p w14:paraId="66B14A5C" w14:textId="2B51427D" w:rsidR="00175004" w:rsidRPr="00175004" w:rsidRDefault="00175004">
      <w:pPr>
        <w:pStyle w:val="FootnoteText"/>
        <w:rPr>
          <w:lang w:val="en-US"/>
        </w:rPr>
      </w:pPr>
      <w:r>
        <w:rPr>
          <w:rStyle w:val="FootnoteReference"/>
        </w:rPr>
        <w:footnoteRef/>
      </w:r>
      <w:r>
        <w:t xml:space="preserve"> ACCAN 2020</w:t>
      </w:r>
      <w:r w:rsidR="00554825">
        <w:t xml:space="preserve">, </w:t>
      </w:r>
      <w:r w:rsidR="00554825" w:rsidRPr="00554825">
        <w:rPr>
          <w:i/>
          <w:iCs/>
        </w:rPr>
        <w:t>Can You Hear Me? Ranking the customer service of Australia’s phone and internet companies</w:t>
      </w:r>
      <w:r w:rsidR="00554825">
        <w:t>,</w:t>
      </w:r>
      <w:r>
        <w:t xml:space="preserve"> </w:t>
      </w:r>
      <w:hyperlink r:id="rId1" w:history="1">
        <w:r w:rsidR="003604B4" w:rsidRPr="007A5B7F">
          <w:rPr>
            <w:rStyle w:val="Hyperlink"/>
          </w:rPr>
          <w:t>https://accan.org.au/our-work/research/1523-can-you-hear-me-ranking-the-customer-service-of-australia-s-phone-and-internet-companies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E895" w14:textId="77777777" w:rsidR="00C7127B" w:rsidRDefault="00C7127B">
    <w:pPr>
      <w:pStyle w:val="Header"/>
    </w:pPr>
    <w:r>
      <w:rPr>
        <w:noProof/>
      </w:rPr>
      <w:drawing>
        <wp:anchor distT="0" distB="0" distL="114300" distR="114300" simplePos="0" relativeHeight="251659264" behindDoc="1" locked="0" layoutInCell="1" allowOverlap="1" wp14:anchorId="0D9098A9" wp14:editId="28CDD480">
          <wp:simplePos x="0" y="0"/>
          <wp:positionH relativeFrom="column">
            <wp:posOffset>4983480</wp:posOffset>
          </wp:positionH>
          <wp:positionV relativeFrom="paragraph">
            <wp:posOffset>-14745</wp:posOffset>
          </wp:positionV>
          <wp:extent cx="731520" cy="339115"/>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31520" cy="3391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8692" w14:textId="77777777" w:rsidR="00C7127B" w:rsidRDefault="00C7127B" w:rsidP="00C7127B">
    <w:pPr>
      <w:pStyle w:val="Header"/>
      <w:jc w:val="right"/>
    </w:pPr>
    <w:r>
      <w:rPr>
        <w:noProof/>
      </w:rPr>
      <w:drawing>
        <wp:anchor distT="0" distB="0" distL="114300" distR="114300" simplePos="0" relativeHeight="251663360" behindDoc="1" locked="0" layoutInCell="1" allowOverlap="1" wp14:anchorId="6E734238" wp14:editId="56C05F98">
          <wp:simplePos x="0" y="0"/>
          <wp:positionH relativeFrom="column">
            <wp:posOffset>4072890</wp:posOffset>
          </wp:positionH>
          <wp:positionV relativeFrom="paragraph">
            <wp:posOffset>338796</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D91"/>
    <w:multiLevelType w:val="hybridMultilevel"/>
    <w:tmpl w:val="DBEA1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3835"/>
    <w:multiLevelType w:val="hybridMultilevel"/>
    <w:tmpl w:val="36E2FE2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12DA60B9"/>
    <w:multiLevelType w:val="hybridMultilevel"/>
    <w:tmpl w:val="E29C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EE0"/>
    <w:multiLevelType w:val="hybridMultilevel"/>
    <w:tmpl w:val="7CFC4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04CAC"/>
    <w:multiLevelType w:val="hybridMultilevel"/>
    <w:tmpl w:val="6D5E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26842"/>
    <w:multiLevelType w:val="hybridMultilevel"/>
    <w:tmpl w:val="D324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51C9E"/>
    <w:multiLevelType w:val="hybridMultilevel"/>
    <w:tmpl w:val="3090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31647"/>
    <w:multiLevelType w:val="hybridMultilevel"/>
    <w:tmpl w:val="BA16771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35F41370"/>
    <w:multiLevelType w:val="multilevel"/>
    <w:tmpl w:val="968E3DC6"/>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15:restartNumberingAfterBreak="0">
    <w:nsid w:val="3CF42A10"/>
    <w:multiLevelType w:val="hybridMultilevel"/>
    <w:tmpl w:val="D2022E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3EB85D02"/>
    <w:multiLevelType w:val="hybridMultilevel"/>
    <w:tmpl w:val="C84A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A35DC"/>
    <w:multiLevelType w:val="hybridMultilevel"/>
    <w:tmpl w:val="1C0A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02710"/>
    <w:multiLevelType w:val="hybridMultilevel"/>
    <w:tmpl w:val="88A0E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55DD1"/>
    <w:multiLevelType w:val="hybridMultilevel"/>
    <w:tmpl w:val="BA62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60034"/>
    <w:multiLevelType w:val="hybridMultilevel"/>
    <w:tmpl w:val="174A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B7F91"/>
    <w:multiLevelType w:val="hybridMultilevel"/>
    <w:tmpl w:val="8624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C7DDF"/>
    <w:multiLevelType w:val="hybridMultilevel"/>
    <w:tmpl w:val="2C3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46E85"/>
    <w:multiLevelType w:val="hybridMultilevel"/>
    <w:tmpl w:val="8B32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40DD6"/>
    <w:multiLevelType w:val="hybridMultilevel"/>
    <w:tmpl w:val="E8E6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E7F96"/>
    <w:multiLevelType w:val="hybridMultilevel"/>
    <w:tmpl w:val="AF04D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F77090"/>
    <w:multiLevelType w:val="hybridMultilevel"/>
    <w:tmpl w:val="3D820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61EB2"/>
    <w:multiLevelType w:val="hybridMultilevel"/>
    <w:tmpl w:val="A0A6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num>
  <w:num w:numId="7">
    <w:abstractNumId w:val="6"/>
  </w:num>
  <w:num w:numId="8">
    <w:abstractNumId w:val="2"/>
  </w:num>
  <w:num w:numId="9">
    <w:abstractNumId w:val="17"/>
  </w:num>
  <w:num w:numId="10">
    <w:abstractNumId w:val="16"/>
  </w:num>
  <w:num w:numId="11">
    <w:abstractNumId w:val="21"/>
  </w:num>
  <w:num w:numId="12">
    <w:abstractNumId w:val="14"/>
  </w:num>
  <w:num w:numId="13">
    <w:abstractNumId w:val="7"/>
  </w:num>
  <w:num w:numId="14">
    <w:abstractNumId w:val="9"/>
  </w:num>
  <w:num w:numId="15">
    <w:abstractNumId w:val="10"/>
  </w:num>
  <w:num w:numId="16">
    <w:abstractNumId w:val="18"/>
  </w:num>
  <w:num w:numId="17">
    <w:abstractNumId w:val="4"/>
  </w:num>
  <w:num w:numId="18">
    <w:abstractNumId w:val="19"/>
  </w:num>
  <w:num w:numId="19">
    <w:abstractNumId w:val="5"/>
  </w:num>
  <w:num w:numId="20">
    <w:abstractNumId w:val="11"/>
  </w:num>
  <w:num w:numId="21">
    <w:abstractNumId w:val="15"/>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C6"/>
    <w:rsid w:val="00002BD9"/>
    <w:rsid w:val="0000525F"/>
    <w:rsid w:val="00014BEF"/>
    <w:rsid w:val="00042207"/>
    <w:rsid w:val="00050684"/>
    <w:rsid w:val="00051AB9"/>
    <w:rsid w:val="0005491F"/>
    <w:rsid w:val="000569DF"/>
    <w:rsid w:val="00060930"/>
    <w:rsid w:val="00063510"/>
    <w:rsid w:val="00075778"/>
    <w:rsid w:val="000B5686"/>
    <w:rsid w:val="000B6236"/>
    <w:rsid w:val="000B7648"/>
    <w:rsid w:val="000C140D"/>
    <w:rsid w:val="000D4633"/>
    <w:rsid w:val="000D5FD2"/>
    <w:rsid w:val="000D70AE"/>
    <w:rsid w:val="000D7545"/>
    <w:rsid w:val="000E23E9"/>
    <w:rsid w:val="000E4A8C"/>
    <w:rsid w:val="000F1E98"/>
    <w:rsid w:val="000F3692"/>
    <w:rsid w:val="000F63B0"/>
    <w:rsid w:val="0010239C"/>
    <w:rsid w:val="00104F0E"/>
    <w:rsid w:val="00124505"/>
    <w:rsid w:val="00137547"/>
    <w:rsid w:val="00144FDE"/>
    <w:rsid w:val="001523CC"/>
    <w:rsid w:val="00155FA9"/>
    <w:rsid w:val="001701B9"/>
    <w:rsid w:val="001734EF"/>
    <w:rsid w:val="0017370D"/>
    <w:rsid w:val="00175004"/>
    <w:rsid w:val="001B7F35"/>
    <w:rsid w:val="001C2659"/>
    <w:rsid w:val="001C382F"/>
    <w:rsid w:val="001C68BF"/>
    <w:rsid w:val="001D1FA1"/>
    <w:rsid w:val="001D7D97"/>
    <w:rsid w:val="002222EE"/>
    <w:rsid w:val="00235D10"/>
    <w:rsid w:val="00265544"/>
    <w:rsid w:val="002707F4"/>
    <w:rsid w:val="00276D7F"/>
    <w:rsid w:val="00276FEC"/>
    <w:rsid w:val="00281523"/>
    <w:rsid w:val="002872F7"/>
    <w:rsid w:val="00297311"/>
    <w:rsid w:val="002D1461"/>
    <w:rsid w:val="002D156C"/>
    <w:rsid w:val="002E73D0"/>
    <w:rsid w:val="00314DD2"/>
    <w:rsid w:val="003604B4"/>
    <w:rsid w:val="00360C83"/>
    <w:rsid w:val="00361625"/>
    <w:rsid w:val="00365AFB"/>
    <w:rsid w:val="00366E1B"/>
    <w:rsid w:val="00371427"/>
    <w:rsid w:val="0038042F"/>
    <w:rsid w:val="00383729"/>
    <w:rsid w:val="003961FB"/>
    <w:rsid w:val="003A246A"/>
    <w:rsid w:val="003A79E6"/>
    <w:rsid w:val="003C3373"/>
    <w:rsid w:val="003D517F"/>
    <w:rsid w:val="003F3CF2"/>
    <w:rsid w:val="003F734A"/>
    <w:rsid w:val="00405217"/>
    <w:rsid w:val="0040735B"/>
    <w:rsid w:val="00410C36"/>
    <w:rsid w:val="00413C2F"/>
    <w:rsid w:val="0042114A"/>
    <w:rsid w:val="00423CC8"/>
    <w:rsid w:val="0042759A"/>
    <w:rsid w:val="0043349B"/>
    <w:rsid w:val="004405A7"/>
    <w:rsid w:val="00443520"/>
    <w:rsid w:val="00457096"/>
    <w:rsid w:val="00472568"/>
    <w:rsid w:val="004803B9"/>
    <w:rsid w:val="004A075F"/>
    <w:rsid w:val="004A1A09"/>
    <w:rsid w:val="004A4EC6"/>
    <w:rsid w:val="004C1324"/>
    <w:rsid w:val="004C36BE"/>
    <w:rsid w:val="004E1483"/>
    <w:rsid w:val="00517795"/>
    <w:rsid w:val="00525E8B"/>
    <w:rsid w:val="005277E9"/>
    <w:rsid w:val="00527B4E"/>
    <w:rsid w:val="00545597"/>
    <w:rsid w:val="00554825"/>
    <w:rsid w:val="00577CFD"/>
    <w:rsid w:val="00581571"/>
    <w:rsid w:val="005928E4"/>
    <w:rsid w:val="005958D7"/>
    <w:rsid w:val="005B1FD8"/>
    <w:rsid w:val="005D6C3E"/>
    <w:rsid w:val="005E4BA2"/>
    <w:rsid w:val="005F5AE2"/>
    <w:rsid w:val="00632EA6"/>
    <w:rsid w:val="006331AF"/>
    <w:rsid w:val="00633B54"/>
    <w:rsid w:val="006354FF"/>
    <w:rsid w:val="00640176"/>
    <w:rsid w:val="00644F42"/>
    <w:rsid w:val="006537F9"/>
    <w:rsid w:val="006667CA"/>
    <w:rsid w:val="006773A6"/>
    <w:rsid w:val="006855F1"/>
    <w:rsid w:val="00692C29"/>
    <w:rsid w:val="006951D1"/>
    <w:rsid w:val="006E3FE0"/>
    <w:rsid w:val="006F2FB1"/>
    <w:rsid w:val="007042ED"/>
    <w:rsid w:val="00706E9F"/>
    <w:rsid w:val="00715E8A"/>
    <w:rsid w:val="00723075"/>
    <w:rsid w:val="00725F03"/>
    <w:rsid w:val="007265B9"/>
    <w:rsid w:val="0075111C"/>
    <w:rsid w:val="00761963"/>
    <w:rsid w:val="007844F7"/>
    <w:rsid w:val="00787D42"/>
    <w:rsid w:val="00787D86"/>
    <w:rsid w:val="00787F57"/>
    <w:rsid w:val="007B46EA"/>
    <w:rsid w:val="007B7142"/>
    <w:rsid w:val="007D00A9"/>
    <w:rsid w:val="007D3304"/>
    <w:rsid w:val="007E093D"/>
    <w:rsid w:val="007E5CC0"/>
    <w:rsid w:val="007F6C34"/>
    <w:rsid w:val="00805F92"/>
    <w:rsid w:val="00813B69"/>
    <w:rsid w:val="00817104"/>
    <w:rsid w:val="00817945"/>
    <w:rsid w:val="008374CA"/>
    <w:rsid w:val="008427F5"/>
    <w:rsid w:val="008819D1"/>
    <w:rsid w:val="00890909"/>
    <w:rsid w:val="008A3018"/>
    <w:rsid w:val="008C4726"/>
    <w:rsid w:val="008C5305"/>
    <w:rsid w:val="008E5488"/>
    <w:rsid w:val="008F64A7"/>
    <w:rsid w:val="009003B9"/>
    <w:rsid w:val="00913E19"/>
    <w:rsid w:val="00914783"/>
    <w:rsid w:val="00926A5C"/>
    <w:rsid w:val="00930EAC"/>
    <w:rsid w:val="009311D1"/>
    <w:rsid w:val="00931427"/>
    <w:rsid w:val="00946BB6"/>
    <w:rsid w:val="00963FEA"/>
    <w:rsid w:val="00971C5C"/>
    <w:rsid w:val="009758A0"/>
    <w:rsid w:val="009817A2"/>
    <w:rsid w:val="00990C0D"/>
    <w:rsid w:val="009A37DB"/>
    <w:rsid w:val="009B1E09"/>
    <w:rsid w:val="009B3DF5"/>
    <w:rsid w:val="009F4E3D"/>
    <w:rsid w:val="00A027D9"/>
    <w:rsid w:val="00A04AD5"/>
    <w:rsid w:val="00A114C6"/>
    <w:rsid w:val="00A125F7"/>
    <w:rsid w:val="00A26635"/>
    <w:rsid w:val="00A41614"/>
    <w:rsid w:val="00A52A4C"/>
    <w:rsid w:val="00A53643"/>
    <w:rsid w:val="00A64E2A"/>
    <w:rsid w:val="00A853D4"/>
    <w:rsid w:val="00A8627D"/>
    <w:rsid w:val="00A906B2"/>
    <w:rsid w:val="00A917A9"/>
    <w:rsid w:val="00AB327E"/>
    <w:rsid w:val="00AE7774"/>
    <w:rsid w:val="00B016F5"/>
    <w:rsid w:val="00B32972"/>
    <w:rsid w:val="00B45031"/>
    <w:rsid w:val="00B54406"/>
    <w:rsid w:val="00B84311"/>
    <w:rsid w:val="00B851E7"/>
    <w:rsid w:val="00B86FDC"/>
    <w:rsid w:val="00B92CF3"/>
    <w:rsid w:val="00B9420B"/>
    <w:rsid w:val="00BA241B"/>
    <w:rsid w:val="00BF17A4"/>
    <w:rsid w:val="00BF4FBC"/>
    <w:rsid w:val="00C0495A"/>
    <w:rsid w:val="00C46988"/>
    <w:rsid w:val="00C5048B"/>
    <w:rsid w:val="00C523E1"/>
    <w:rsid w:val="00C64D48"/>
    <w:rsid w:val="00C7127B"/>
    <w:rsid w:val="00C718E6"/>
    <w:rsid w:val="00C87003"/>
    <w:rsid w:val="00CB0798"/>
    <w:rsid w:val="00CC239B"/>
    <w:rsid w:val="00CC711F"/>
    <w:rsid w:val="00CE5DF5"/>
    <w:rsid w:val="00D00BF4"/>
    <w:rsid w:val="00D04855"/>
    <w:rsid w:val="00D32663"/>
    <w:rsid w:val="00D4179F"/>
    <w:rsid w:val="00D7595B"/>
    <w:rsid w:val="00D76187"/>
    <w:rsid w:val="00D81FCD"/>
    <w:rsid w:val="00DA0DC1"/>
    <w:rsid w:val="00DB1869"/>
    <w:rsid w:val="00DB2F22"/>
    <w:rsid w:val="00DB3EA2"/>
    <w:rsid w:val="00DD2A78"/>
    <w:rsid w:val="00DE0163"/>
    <w:rsid w:val="00DF52D0"/>
    <w:rsid w:val="00E248CE"/>
    <w:rsid w:val="00E44046"/>
    <w:rsid w:val="00E53BCB"/>
    <w:rsid w:val="00E63667"/>
    <w:rsid w:val="00E93A06"/>
    <w:rsid w:val="00EC3709"/>
    <w:rsid w:val="00ED55CA"/>
    <w:rsid w:val="00F03941"/>
    <w:rsid w:val="00F24FF6"/>
    <w:rsid w:val="00F473A6"/>
    <w:rsid w:val="00F608C1"/>
    <w:rsid w:val="00F60AB8"/>
    <w:rsid w:val="00F75491"/>
    <w:rsid w:val="00FD2662"/>
    <w:rsid w:val="00FE0AE2"/>
    <w:rsid w:val="00FF5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9D20A9"/>
  <w15:docId w15:val="{0DE87278-6D4A-488F-B502-BE540388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4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6C3E"/>
    <w:pPr>
      <w:keepNext/>
      <w:keepLines/>
      <w:spacing w:before="40" w:after="0"/>
      <w:outlineLvl w:val="1"/>
    </w:pPr>
    <w:rPr>
      <w:rFonts w:eastAsiaTheme="majorEastAsia" w:cstheme="minorHAns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BalloonText">
    <w:name w:val="Balloon Text"/>
    <w:basedOn w:val="Normal"/>
    <w:link w:val="BalloonTextChar"/>
    <w:uiPriority w:val="99"/>
    <w:semiHidden/>
    <w:unhideWhenUsed/>
    <w:rsid w:val="0063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A6"/>
    <w:rPr>
      <w:rFonts w:ascii="Segoe UI" w:hAnsi="Segoe UI" w:cs="Segoe UI"/>
      <w:sz w:val="18"/>
      <w:szCs w:val="18"/>
    </w:rPr>
  </w:style>
  <w:style w:type="paragraph" w:customStyle="1" w:styleId="Recommendation">
    <w:name w:val="Recommendation"/>
    <w:basedOn w:val="Normal"/>
    <w:link w:val="RecommendationChar"/>
    <w:qFormat/>
    <w:rsid w:val="00423CC8"/>
    <w:pPr>
      <w:numPr>
        <w:numId w:val="3"/>
      </w:numPr>
      <w:pBdr>
        <w:top w:val="single" w:sz="8" w:space="6" w:color="44C8F5"/>
        <w:left w:val="single" w:sz="8" w:space="5" w:color="44C8F5"/>
        <w:bottom w:val="single" w:sz="8" w:space="6" w:color="44C8F5"/>
        <w:right w:val="single" w:sz="8" w:space="5" w:color="44C8F5"/>
      </w:pBdr>
      <w:spacing w:before="100" w:beforeAutospacing="1" w:after="240" w:line="240" w:lineRule="auto"/>
      <w:ind w:right="851"/>
    </w:pPr>
    <w:rPr>
      <w:rFonts w:ascii="Calibri" w:hAnsi="Calibri"/>
      <w:lang w:eastAsia="en-US"/>
    </w:rPr>
  </w:style>
  <w:style w:type="character" w:customStyle="1" w:styleId="RecommendationChar">
    <w:name w:val="Recommendation Char"/>
    <w:basedOn w:val="DefaultParagraphFont"/>
    <w:link w:val="Recommendation"/>
    <w:rsid w:val="00423CC8"/>
    <w:rPr>
      <w:rFonts w:ascii="Calibri" w:hAnsi="Calibri"/>
      <w:lang w:eastAsia="en-US"/>
    </w:rPr>
  </w:style>
  <w:style w:type="numbering" w:customStyle="1" w:styleId="Recommendations">
    <w:name w:val="Recommendations"/>
    <w:uiPriority w:val="99"/>
    <w:rsid w:val="00423CC8"/>
    <w:pPr>
      <w:numPr>
        <w:numId w:val="3"/>
      </w:numPr>
    </w:pPr>
  </w:style>
  <w:style w:type="character" w:customStyle="1" w:styleId="Heading1Char">
    <w:name w:val="Heading 1 Char"/>
    <w:basedOn w:val="DefaultParagraphFont"/>
    <w:link w:val="Heading1"/>
    <w:uiPriority w:val="9"/>
    <w:rsid w:val="000C14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D6C3E"/>
    <w:rPr>
      <w:rFonts w:eastAsiaTheme="majorEastAsia" w:cstheme="minorHAnsi"/>
      <w:b/>
      <w:bCs/>
      <w:sz w:val="24"/>
      <w:szCs w:val="24"/>
      <w:u w:val="single"/>
    </w:rPr>
  </w:style>
  <w:style w:type="paragraph" w:styleId="FootnoteText">
    <w:name w:val="footnote text"/>
    <w:basedOn w:val="Normal"/>
    <w:link w:val="FootnoteTextChar"/>
    <w:uiPriority w:val="99"/>
    <w:semiHidden/>
    <w:unhideWhenUsed/>
    <w:rsid w:val="00A266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635"/>
    <w:rPr>
      <w:sz w:val="20"/>
      <w:szCs w:val="20"/>
    </w:rPr>
  </w:style>
  <w:style w:type="character" w:styleId="FootnoteReference">
    <w:name w:val="footnote reference"/>
    <w:basedOn w:val="DefaultParagraphFont"/>
    <w:uiPriority w:val="99"/>
    <w:semiHidden/>
    <w:unhideWhenUsed/>
    <w:rsid w:val="00A26635"/>
    <w:rPr>
      <w:vertAlign w:val="superscript"/>
    </w:rPr>
  </w:style>
  <w:style w:type="character" w:styleId="UnresolvedMention">
    <w:name w:val="Unresolved Mention"/>
    <w:basedOn w:val="DefaultParagraphFont"/>
    <w:uiPriority w:val="99"/>
    <w:semiHidden/>
    <w:unhideWhenUsed/>
    <w:rsid w:val="00A26635"/>
    <w:rPr>
      <w:color w:val="605E5C"/>
      <w:shd w:val="clear" w:color="auto" w:fill="E1DFDD"/>
    </w:rPr>
  </w:style>
  <w:style w:type="character" w:styleId="CommentReference">
    <w:name w:val="annotation reference"/>
    <w:basedOn w:val="DefaultParagraphFont"/>
    <w:uiPriority w:val="99"/>
    <w:semiHidden/>
    <w:unhideWhenUsed/>
    <w:rsid w:val="00930EAC"/>
    <w:rPr>
      <w:sz w:val="16"/>
      <w:szCs w:val="16"/>
    </w:rPr>
  </w:style>
  <w:style w:type="paragraph" w:styleId="CommentText">
    <w:name w:val="annotation text"/>
    <w:basedOn w:val="Normal"/>
    <w:link w:val="CommentTextChar"/>
    <w:uiPriority w:val="99"/>
    <w:semiHidden/>
    <w:unhideWhenUsed/>
    <w:rsid w:val="00930EAC"/>
    <w:pPr>
      <w:spacing w:line="240" w:lineRule="auto"/>
    </w:pPr>
    <w:rPr>
      <w:sz w:val="20"/>
      <w:szCs w:val="20"/>
    </w:rPr>
  </w:style>
  <w:style w:type="character" w:customStyle="1" w:styleId="CommentTextChar">
    <w:name w:val="Comment Text Char"/>
    <w:basedOn w:val="DefaultParagraphFont"/>
    <w:link w:val="CommentText"/>
    <w:uiPriority w:val="99"/>
    <w:semiHidden/>
    <w:rsid w:val="00930EAC"/>
    <w:rPr>
      <w:sz w:val="20"/>
      <w:szCs w:val="20"/>
    </w:rPr>
  </w:style>
  <w:style w:type="paragraph" w:styleId="CommentSubject">
    <w:name w:val="annotation subject"/>
    <w:basedOn w:val="CommentText"/>
    <w:next w:val="CommentText"/>
    <w:link w:val="CommentSubjectChar"/>
    <w:uiPriority w:val="99"/>
    <w:semiHidden/>
    <w:unhideWhenUsed/>
    <w:rsid w:val="00930EAC"/>
    <w:rPr>
      <w:b/>
      <w:bCs/>
    </w:rPr>
  </w:style>
  <w:style w:type="character" w:customStyle="1" w:styleId="CommentSubjectChar">
    <w:name w:val="Comment Subject Char"/>
    <w:basedOn w:val="CommentTextChar"/>
    <w:link w:val="CommentSubject"/>
    <w:uiPriority w:val="99"/>
    <w:semiHidden/>
    <w:rsid w:val="00930EAC"/>
    <w:rPr>
      <w:b/>
      <w:bCs/>
      <w:sz w:val="20"/>
      <w:szCs w:val="20"/>
    </w:rPr>
  </w:style>
  <w:style w:type="paragraph" w:styleId="ListParagraph">
    <w:name w:val="List Paragraph"/>
    <w:basedOn w:val="Normal"/>
    <w:uiPriority w:val="34"/>
    <w:qFormat/>
    <w:rsid w:val="003A79E6"/>
    <w:pPr>
      <w:ind w:left="720"/>
      <w:contextualSpacing/>
    </w:pPr>
  </w:style>
  <w:style w:type="character" w:styleId="FollowedHyperlink">
    <w:name w:val="FollowedHyperlink"/>
    <w:basedOn w:val="DefaultParagraphFont"/>
    <w:uiPriority w:val="99"/>
    <w:semiHidden/>
    <w:unhideWhenUsed/>
    <w:rsid w:val="000B62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480">
      <w:bodyDiv w:val="1"/>
      <w:marLeft w:val="0"/>
      <w:marRight w:val="0"/>
      <w:marTop w:val="0"/>
      <w:marBottom w:val="0"/>
      <w:divBdr>
        <w:top w:val="none" w:sz="0" w:space="0" w:color="auto"/>
        <w:left w:val="none" w:sz="0" w:space="0" w:color="auto"/>
        <w:bottom w:val="none" w:sz="0" w:space="0" w:color="auto"/>
        <w:right w:val="none" w:sz="0" w:space="0" w:color="auto"/>
      </w:divBdr>
    </w:div>
    <w:div w:id="112485944">
      <w:bodyDiv w:val="1"/>
      <w:marLeft w:val="0"/>
      <w:marRight w:val="0"/>
      <w:marTop w:val="0"/>
      <w:marBottom w:val="0"/>
      <w:divBdr>
        <w:top w:val="none" w:sz="0" w:space="0" w:color="auto"/>
        <w:left w:val="none" w:sz="0" w:space="0" w:color="auto"/>
        <w:bottom w:val="none" w:sz="0" w:space="0" w:color="auto"/>
        <w:right w:val="none" w:sz="0" w:space="0" w:color="auto"/>
      </w:divBdr>
    </w:div>
    <w:div w:id="278611383">
      <w:bodyDiv w:val="1"/>
      <w:marLeft w:val="0"/>
      <w:marRight w:val="0"/>
      <w:marTop w:val="0"/>
      <w:marBottom w:val="0"/>
      <w:divBdr>
        <w:top w:val="none" w:sz="0" w:space="0" w:color="auto"/>
        <w:left w:val="none" w:sz="0" w:space="0" w:color="auto"/>
        <w:bottom w:val="none" w:sz="0" w:space="0" w:color="auto"/>
        <w:right w:val="none" w:sz="0" w:space="0" w:color="auto"/>
      </w:divBdr>
    </w:div>
    <w:div w:id="290526982">
      <w:bodyDiv w:val="1"/>
      <w:marLeft w:val="0"/>
      <w:marRight w:val="0"/>
      <w:marTop w:val="0"/>
      <w:marBottom w:val="0"/>
      <w:divBdr>
        <w:top w:val="none" w:sz="0" w:space="0" w:color="auto"/>
        <w:left w:val="none" w:sz="0" w:space="0" w:color="auto"/>
        <w:bottom w:val="none" w:sz="0" w:space="0" w:color="auto"/>
        <w:right w:val="none" w:sz="0" w:space="0" w:color="auto"/>
      </w:divBdr>
    </w:div>
    <w:div w:id="604460252">
      <w:bodyDiv w:val="1"/>
      <w:marLeft w:val="0"/>
      <w:marRight w:val="0"/>
      <w:marTop w:val="0"/>
      <w:marBottom w:val="0"/>
      <w:divBdr>
        <w:top w:val="none" w:sz="0" w:space="0" w:color="auto"/>
        <w:left w:val="none" w:sz="0" w:space="0" w:color="auto"/>
        <w:bottom w:val="none" w:sz="0" w:space="0" w:color="auto"/>
        <w:right w:val="none" w:sz="0" w:space="0" w:color="auto"/>
      </w:divBdr>
    </w:div>
    <w:div w:id="707533880">
      <w:bodyDiv w:val="1"/>
      <w:marLeft w:val="0"/>
      <w:marRight w:val="0"/>
      <w:marTop w:val="0"/>
      <w:marBottom w:val="0"/>
      <w:divBdr>
        <w:top w:val="none" w:sz="0" w:space="0" w:color="auto"/>
        <w:left w:val="none" w:sz="0" w:space="0" w:color="auto"/>
        <w:bottom w:val="none" w:sz="0" w:space="0" w:color="auto"/>
        <w:right w:val="none" w:sz="0" w:space="0" w:color="auto"/>
      </w:divBdr>
    </w:div>
    <w:div w:id="923878538">
      <w:bodyDiv w:val="1"/>
      <w:marLeft w:val="0"/>
      <w:marRight w:val="0"/>
      <w:marTop w:val="0"/>
      <w:marBottom w:val="0"/>
      <w:divBdr>
        <w:top w:val="none" w:sz="0" w:space="0" w:color="auto"/>
        <w:left w:val="none" w:sz="0" w:space="0" w:color="auto"/>
        <w:bottom w:val="none" w:sz="0" w:space="0" w:color="auto"/>
        <w:right w:val="none" w:sz="0" w:space="0" w:color="auto"/>
      </w:divBdr>
    </w:div>
    <w:div w:id="944074363">
      <w:bodyDiv w:val="1"/>
      <w:marLeft w:val="0"/>
      <w:marRight w:val="0"/>
      <w:marTop w:val="0"/>
      <w:marBottom w:val="0"/>
      <w:divBdr>
        <w:top w:val="none" w:sz="0" w:space="0" w:color="auto"/>
        <w:left w:val="none" w:sz="0" w:space="0" w:color="auto"/>
        <w:bottom w:val="none" w:sz="0" w:space="0" w:color="auto"/>
        <w:right w:val="none" w:sz="0" w:space="0" w:color="auto"/>
      </w:divBdr>
    </w:div>
    <w:div w:id="1082682727">
      <w:bodyDiv w:val="1"/>
      <w:marLeft w:val="0"/>
      <w:marRight w:val="0"/>
      <w:marTop w:val="0"/>
      <w:marBottom w:val="0"/>
      <w:divBdr>
        <w:top w:val="none" w:sz="0" w:space="0" w:color="auto"/>
        <w:left w:val="none" w:sz="0" w:space="0" w:color="auto"/>
        <w:bottom w:val="none" w:sz="0" w:space="0" w:color="auto"/>
        <w:right w:val="none" w:sz="0" w:space="0" w:color="auto"/>
      </w:divBdr>
    </w:div>
    <w:div w:id="1258751046">
      <w:bodyDiv w:val="1"/>
      <w:marLeft w:val="0"/>
      <w:marRight w:val="0"/>
      <w:marTop w:val="0"/>
      <w:marBottom w:val="0"/>
      <w:divBdr>
        <w:top w:val="none" w:sz="0" w:space="0" w:color="auto"/>
        <w:left w:val="none" w:sz="0" w:space="0" w:color="auto"/>
        <w:bottom w:val="none" w:sz="0" w:space="0" w:color="auto"/>
        <w:right w:val="none" w:sz="0" w:space="0" w:color="auto"/>
      </w:divBdr>
    </w:div>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1839037191">
      <w:bodyDiv w:val="1"/>
      <w:marLeft w:val="0"/>
      <w:marRight w:val="0"/>
      <w:marTop w:val="0"/>
      <w:marBottom w:val="0"/>
      <w:divBdr>
        <w:top w:val="none" w:sz="0" w:space="0" w:color="auto"/>
        <w:left w:val="none" w:sz="0" w:space="0" w:color="auto"/>
        <w:bottom w:val="none" w:sz="0" w:space="0" w:color="auto"/>
        <w:right w:val="none" w:sz="0" w:space="0" w:color="auto"/>
      </w:divBdr>
    </w:div>
    <w:div w:id="20001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Denton@acma.gov.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kah.Sarkoezy@accan.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leen.Stevenson@acma.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elissa.Jordan@acma.gov.au" TargetMode="External"/><Relationship Id="rId4" Type="http://schemas.openxmlformats.org/officeDocument/2006/relationships/settings" Target="settings.xml"/><Relationship Id="rId9" Type="http://schemas.openxmlformats.org/officeDocument/2006/relationships/hyperlink" Target="mailto:Erin.Ferguson@acma.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ccan.org.au/our-work/research/1523-can-you-hear-me-ranking-the-customer-service-of-australia-s-phone-and-internet-compan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B47F-3C1E-4B32-8919-EFAF8105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799</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Rebekah Sarkoezy</cp:lastModifiedBy>
  <cp:revision>20</cp:revision>
  <cp:lastPrinted>2020-06-05T07:07:00Z</cp:lastPrinted>
  <dcterms:created xsi:type="dcterms:W3CDTF">2020-06-16T08:27:00Z</dcterms:created>
  <dcterms:modified xsi:type="dcterms:W3CDTF">2020-07-20T03:49:00Z</dcterms:modified>
  <cp:contentStatus/>
</cp:coreProperties>
</file>