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B" w:rsidRDefault="00C7127B" w:rsidP="00C7127B">
      <w:pPr>
        <w:spacing w:after="0"/>
        <w:rPr>
          <w:sz w:val="23"/>
          <w:szCs w:val="23"/>
        </w:rPr>
      </w:pPr>
    </w:p>
    <w:p w:rsidR="00C7127B" w:rsidRDefault="00996E97" w:rsidP="00AA691A">
      <w:r>
        <w:t>7</w:t>
      </w:r>
      <w:r w:rsidRPr="00996E97">
        <w:rPr>
          <w:vertAlign w:val="superscript"/>
        </w:rPr>
        <w:t>th</w:t>
      </w:r>
      <w:r>
        <w:t xml:space="preserve"> April 2017</w:t>
      </w:r>
    </w:p>
    <w:p w:rsidR="00AA691A" w:rsidRPr="00AA691A" w:rsidRDefault="00AA691A" w:rsidP="00AA691A">
      <w:pPr>
        <w:spacing w:after="0"/>
      </w:pPr>
      <w:r w:rsidRPr="00AA691A">
        <w:t>Isolde Lueckenhausen</w:t>
      </w:r>
    </w:p>
    <w:p w:rsidR="00AA691A" w:rsidRPr="00AA691A" w:rsidRDefault="00AA691A" w:rsidP="00AA691A">
      <w:pPr>
        <w:spacing w:after="0"/>
      </w:pPr>
      <w:r w:rsidRPr="00AA691A">
        <w:t xml:space="preserve">Director, Communications Compliance Section </w:t>
      </w:r>
    </w:p>
    <w:p w:rsidR="00AA691A" w:rsidRDefault="00AA691A" w:rsidP="00AA691A">
      <w:pPr>
        <w:spacing w:after="0"/>
      </w:pPr>
      <w:r w:rsidRPr="00AA691A">
        <w:t>Australian Competition &amp; Consumer Commission</w:t>
      </w:r>
    </w:p>
    <w:p w:rsidR="00C7127B" w:rsidRDefault="00E5553F" w:rsidP="00AA691A">
      <w:pPr>
        <w:spacing w:before="240"/>
      </w:pPr>
      <w:r>
        <w:t>Via email:</w:t>
      </w:r>
      <w:r w:rsidR="00996E97">
        <w:t xml:space="preserve"> </w:t>
      </w:r>
      <w:hyperlink r:id="rId9" w:history="1">
        <w:r w:rsidR="00996E97" w:rsidRPr="009A26C8">
          <w:rPr>
            <w:rStyle w:val="Hyperlink"/>
            <w:sz w:val="23"/>
            <w:szCs w:val="23"/>
          </w:rPr>
          <w:t>broadbandperformance@accc.gov.au</w:t>
        </w:r>
      </w:hyperlink>
    </w:p>
    <w:p w:rsidR="00996E97" w:rsidRPr="00996E97" w:rsidRDefault="00996E97" w:rsidP="00996E97">
      <w:r w:rsidRPr="00996E97">
        <w:t xml:space="preserve">ACCAN would like to thank the ACCC for </w:t>
      </w:r>
      <w:r w:rsidR="0001411B">
        <w:t xml:space="preserve">the opportunity to contribute to its information request on broadband speed claims. Broadband speed claims and performance </w:t>
      </w:r>
      <w:r w:rsidRPr="00996E97">
        <w:t xml:space="preserve">is an area that not only </w:t>
      </w:r>
      <w:r w:rsidR="008204A2" w:rsidRPr="00996E97">
        <w:t>c</w:t>
      </w:r>
      <w:r w:rsidR="008204A2">
        <w:t>reates</w:t>
      </w:r>
      <w:r w:rsidRPr="00996E97">
        <w:t xml:space="preserve"> confusion but is causing a significant number of complaints and dissatisfaction for consumers.</w:t>
      </w:r>
      <w:r w:rsidR="00AD5EDA">
        <w:rPr>
          <w:rStyle w:val="FootnoteReference"/>
        </w:rPr>
        <w:footnoteReference w:id="1"/>
      </w:r>
      <w:r w:rsidR="00AD5EDA">
        <w:t xml:space="preserve"> </w:t>
      </w:r>
      <w:r w:rsidR="00237CC1">
        <w:rPr>
          <w:rStyle w:val="FootnoteReference"/>
        </w:rPr>
        <w:footnoteReference w:id="2"/>
      </w:r>
      <w:r w:rsidRPr="00996E97">
        <w:t xml:space="preserve"> </w:t>
      </w:r>
      <w:r w:rsidR="00AD5EDA">
        <w:t>The</w:t>
      </w:r>
      <w:r w:rsidR="008204A2">
        <w:t xml:space="preserve"> </w:t>
      </w:r>
      <w:r w:rsidRPr="00996E97">
        <w:t xml:space="preserve">principles and guidance </w:t>
      </w:r>
      <w:r w:rsidR="00AD5EDA">
        <w:t xml:space="preserve">proposed by the ACCC are welcomed and </w:t>
      </w:r>
      <w:r w:rsidRPr="00996E97">
        <w:t>needed</w:t>
      </w:r>
      <w:r w:rsidR="00AD5EDA">
        <w:t xml:space="preserve">. They have the </w:t>
      </w:r>
      <w:r w:rsidRPr="00996E97">
        <w:t xml:space="preserve">potential to significantly improve consumers’ </w:t>
      </w:r>
      <w:r w:rsidR="0001411B">
        <w:t xml:space="preserve">purchasing </w:t>
      </w:r>
      <w:r w:rsidR="00AD5EDA">
        <w:t>ability</w:t>
      </w:r>
      <w:r w:rsidR="0001411B">
        <w:t xml:space="preserve"> and </w:t>
      </w:r>
      <w:r w:rsidRPr="00996E97">
        <w:t xml:space="preserve">satisfaction of </w:t>
      </w:r>
      <w:r w:rsidR="00231A0D">
        <w:t xml:space="preserve">broadband </w:t>
      </w:r>
      <w:r w:rsidRPr="00996E97">
        <w:t>services.</w:t>
      </w:r>
    </w:p>
    <w:p w:rsidR="00AD5EDA" w:rsidRDefault="00996E97" w:rsidP="00996E97">
      <w:r w:rsidRPr="00996E97">
        <w:t xml:space="preserve">ACCAN appreciates that there is a balance between limiting the cost of performance </w:t>
      </w:r>
      <w:r w:rsidR="00237CC1">
        <w:t xml:space="preserve">measuring </w:t>
      </w:r>
      <w:r w:rsidRPr="00996E97">
        <w:t xml:space="preserve">while maximising the relevance of the </w:t>
      </w:r>
      <w:r w:rsidR="0001411B">
        <w:t xml:space="preserve">information </w:t>
      </w:r>
      <w:r w:rsidRPr="00996E97">
        <w:t>to the consumer.</w:t>
      </w:r>
      <w:r w:rsidR="00AD5EDA">
        <w:t xml:space="preserve"> </w:t>
      </w:r>
      <w:r w:rsidR="00521B7E">
        <w:t>The availability of t</w:t>
      </w:r>
      <w:r w:rsidR="00AD5EDA">
        <w:t xml:space="preserve">ypical busy period speeds </w:t>
      </w:r>
      <w:r w:rsidR="00521B7E">
        <w:t>of services has</w:t>
      </w:r>
      <w:r w:rsidR="00AD5EDA">
        <w:t xml:space="preserve"> the potential to empower and inform consumers. However, i</w:t>
      </w:r>
      <w:r w:rsidRPr="00996E97">
        <w:t xml:space="preserve">f the measurement is </w:t>
      </w:r>
      <w:r w:rsidR="00AD5EDA">
        <w:t xml:space="preserve">too generalised </w:t>
      </w:r>
      <w:r w:rsidRPr="00996E97">
        <w:t>it may reflect very little on what a</w:t>
      </w:r>
      <w:r w:rsidR="0001411B">
        <w:t>n</w:t>
      </w:r>
      <w:r w:rsidR="00237CC1">
        <w:t>y</w:t>
      </w:r>
      <w:r w:rsidR="0001411B">
        <w:t xml:space="preserve"> individual</w:t>
      </w:r>
      <w:r w:rsidRPr="00996E97">
        <w:t xml:space="preserve"> consumer can expect to receive at their location. On the other hand</w:t>
      </w:r>
      <w:r w:rsidR="008204A2">
        <w:t>,</w:t>
      </w:r>
      <w:r w:rsidRPr="00996E97">
        <w:t xml:space="preserve"> if RSPs </w:t>
      </w:r>
      <w:r w:rsidR="0001411B">
        <w:t xml:space="preserve">provide detailed </w:t>
      </w:r>
      <w:r w:rsidR="008204A2">
        <w:t xml:space="preserve">measurements and </w:t>
      </w:r>
      <w:r w:rsidR="0001411B">
        <w:t xml:space="preserve">information </w:t>
      </w:r>
      <w:r w:rsidR="00237CC1">
        <w:t xml:space="preserve">at </w:t>
      </w:r>
      <w:r w:rsidR="008204A2">
        <w:t xml:space="preserve">each </w:t>
      </w:r>
      <w:r w:rsidR="0001411B">
        <w:t>individual</w:t>
      </w:r>
      <w:r w:rsidR="00237CC1">
        <w:t xml:space="preserve"> level</w:t>
      </w:r>
      <w:r w:rsidRPr="00996E97">
        <w:t xml:space="preserve">, it may become excessive in cost and </w:t>
      </w:r>
      <w:r w:rsidR="00231A0D">
        <w:t xml:space="preserve">in </w:t>
      </w:r>
      <w:r w:rsidRPr="00996E97">
        <w:t>extreme</w:t>
      </w:r>
      <w:r w:rsidR="00231A0D">
        <w:t xml:space="preserve"> circumstances</w:t>
      </w:r>
      <w:r w:rsidRPr="00996E97">
        <w:t xml:space="preserve"> add further confusion</w:t>
      </w:r>
      <w:r w:rsidR="00231A0D">
        <w:t xml:space="preserve"> due to the number of varying plans</w:t>
      </w:r>
      <w:r w:rsidRPr="00996E97">
        <w:t>.</w:t>
      </w:r>
      <w:r w:rsidR="008204A2">
        <w:t xml:space="preserve"> </w:t>
      </w:r>
    </w:p>
    <w:p w:rsidR="00996E97" w:rsidRDefault="00AD5EDA" w:rsidP="00996E97">
      <w:r>
        <w:t xml:space="preserve">ACCAN is supportive of the </w:t>
      </w:r>
      <w:r>
        <w:t xml:space="preserve">approach taken by the </w:t>
      </w:r>
      <w:r>
        <w:t xml:space="preserve">ACCC </w:t>
      </w:r>
      <w:r>
        <w:t xml:space="preserve">in these </w:t>
      </w:r>
      <w:r>
        <w:t>guidelines</w:t>
      </w:r>
      <w:r w:rsidR="00521B7E">
        <w:t xml:space="preserve"> and believes that t</w:t>
      </w:r>
      <w:r>
        <w:t xml:space="preserve">he principles provide  </w:t>
      </w:r>
      <w:r>
        <w:t xml:space="preserve"> </w:t>
      </w:r>
      <w:r>
        <w:t xml:space="preserve">sufficient guidance to encourage the behaviour and transparency required, while balancing the flexibility needed for individual providers. </w:t>
      </w:r>
    </w:p>
    <w:p w:rsidR="000A04F9" w:rsidRPr="00996E97" w:rsidRDefault="000A04F9" w:rsidP="00996E97">
      <w:r>
        <w:t>Below we have provided input to the</w:t>
      </w:r>
      <w:r w:rsidR="00AD5EDA">
        <w:t xml:space="preserve"> areas where further</w:t>
      </w:r>
      <w:r>
        <w:t xml:space="preserve"> information</w:t>
      </w:r>
      <w:r w:rsidR="00AD5EDA">
        <w:t xml:space="preserve"> was</w:t>
      </w:r>
      <w:r>
        <w:t xml:space="preserve"> requested.</w:t>
      </w:r>
    </w:p>
    <w:p w:rsidR="00237CC1" w:rsidRPr="00237CC1" w:rsidRDefault="00996E97" w:rsidP="00237CC1">
      <w:pPr>
        <w:pStyle w:val="Heading1"/>
        <w:numPr>
          <w:ilvl w:val="0"/>
          <w:numId w:val="0"/>
        </w:numPr>
      </w:pPr>
      <w:r w:rsidRPr="00996E97">
        <w:t>Information requested</w:t>
      </w:r>
    </w:p>
    <w:p w:rsidR="00996E97" w:rsidRPr="00996E97" w:rsidRDefault="00E8755A" w:rsidP="00996E97">
      <w:pPr>
        <w:numPr>
          <w:ilvl w:val="0"/>
          <w:numId w:val="5"/>
        </w:numPr>
      </w:pPr>
      <w:r>
        <w:t>Busy p</w:t>
      </w:r>
      <w:r w:rsidR="00996E97" w:rsidRPr="00996E97">
        <w:t>eriod</w:t>
      </w:r>
      <w:r>
        <w:t xml:space="preserve"> measure</w:t>
      </w:r>
    </w:p>
    <w:p w:rsidR="00E8755A" w:rsidRDefault="00E8755A" w:rsidP="00B14042">
      <w:pPr>
        <w:numPr>
          <w:ilvl w:val="1"/>
          <w:numId w:val="5"/>
        </w:numPr>
      </w:pPr>
      <w:r>
        <w:t>ACCAN supports the use of</w:t>
      </w:r>
      <w:r>
        <w:t xml:space="preserve"> 7-10pm as the busy hour period. H</w:t>
      </w:r>
      <w:r>
        <w:t>owever</w:t>
      </w:r>
      <w:r w:rsidR="00521B7E">
        <w:t>,</w:t>
      </w:r>
      <w:r>
        <w:t xml:space="preserve"> we are</w:t>
      </w:r>
      <w:r w:rsidR="00521B7E">
        <w:t xml:space="preserve"> also</w:t>
      </w:r>
      <w:r>
        <w:t xml:space="preserve"> not opposed to a different window being used</w:t>
      </w:r>
      <w:r w:rsidR="00521B7E">
        <w:t>,</w:t>
      </w:r>
      <w:r>
        <w:t xml:space="preserve"> as long as the typical peak usage period is included. ACCAN does not have access to direct measurements of RSP </w:t>
      </w:r>
      <w:r w:rsidR="00521B7E">
        <w:t>networks;</w:t>
      </w:r>
      <w:r>
        <w:t xml:space="preserve"> however</w:t>
      </w:r>
      <w:r w:rsidR="00521B7E">
        <w:t>,</w:t>
      </w:r>
      <w:r>
        <w:t xml:space="preserve"> consumers report to us that an extended window of approximately 3pm-11pm is where congestion and poor performance is often observed.</w:t>
      </w:r>
    </w:p>
    <w:p w:rsidR="00E8755A" w:rsidRDefault="00E8755A" w:rsidP="00521B7E">
      <w:pPr>
        <w:ind w:left="1080"/>
      </w:pPr>
      <w:r>
        <w:t xml:space="preserve">Consumers need to be able to relate any advertised performance to the likely performance they will see in their own locality. Thus the measured performance needs </w:t>
      </w:r>
      <w:r>
        <w:lastRenderedPageBreak/>
        <w:t>to be measured and communicated in a way that reflects the consumer’s own time zone.</w:t>
      </w:r>
    </w:p>
    <w:p w:rsidR="00996E97" w:rsidRPr="00996E97" w:rsidRDefault="00E8755A" w:rsidP="00521B7E">
      <w:pPr>
        <w:keepNext/>
        <w:numPr>
          <w:ilvl w:val="0"/>
          <w:numId w:val="5"/>
        </w:numPr>
      </w:pPr>
      <w:r>
        <w:t>‘end to end’ measure</w:t>
      </w:r>
    </w:p>
    <w:p w:rsidR="00996E97" w:rsidRDefault="00996E97" w:rsidP="00996E97">
      <w:pPr>
        <w:numPr>
          <w:ilvl w:val="1"/>
          <w:numId w:val="5"/>
        </w:numPr>
      </w:pPr>
      <w:r w:rsidRPr="00996E97">
        <w:t xml:space="preserve">ACCAN agrees with the ACCC consideration: ‘the speed should be measured from the modem in the consumer premise to a domestic data exchange at which RSPs access most popular internet content and applications’. </w:t>
      </w:r>
      <w:r w:rsidR="00C35DE9">
        <w:t>There is always the possibility that RSPs could design their networks to ensure that the most popular content</w:t>
      </w:r>
      <w:r w:rsidR="00C35DE9">
        <w:t xml:space="preserve">, for example Netflix or Akamai, </w:t>
      </w:r>
      <w:r w:rsidR="00C35DE9">
        <w:t xml:space="preserve">is suitably located to give a better performance score. </w:t>
      </w:r>
      <w:r w:rsidR="00B14042">
        <w:t>It is difficult to define all</w:t>
      </w:r>
      <w:r w:rsidR="00C35DE9">
        <w:t xml:space="preserve"> network elements to be included </w:t>
      </w:r>
      <w:r w:rsidR="00B14042">
        <w:t xml:space="preserve">to </w:t>
      </w:r>
      <w:r w:rsidR="00C35DE9">
        <w:t xml:space="preserve">encapsulate all possible services uses. As far as possible the guidelines should try to promote strong </w:t>
      </w:r>
      <w:r w:rsidR="00C35DE9">
        <w:t xml:space="preserve">interconnect arrangements with </w:t>
      </w:r>
      <w:r w:rsidR="00C35DE9">
        <w:t xml:space="preserve">a full range of data exchanges, </w:t>
      </w:r>
      <w:r w:rsidR="00C35DE9">
        <w:t>and hence ensure overall strong internet performance.</w:t>
      </w:r>
    </w:p>
    <w:p w:rsidR="00996E97" w:rsidRPr="00996E97" w:rsidRDefault="00E8755A" w:rsidP="00521B7E">
      <w:pPr>
        <w:numPr>
          <w:ilvl w:val="0"/>
          <w:numId w:val="5"/>
        </w:numPr>
      </w:pPr>
      <w:r>
        <w:t xml:space="preserve">Frequency of </w:t>
      </w:r>
      <w:r w:rsidR="00996E97" w:rsidRPr="00996E97">
        <w:t>sampling</w:t>
      </w:r>
    </w:p>
    <w:p w:rsidR="008F69F2" w:rsidRPr="008F69F2" w:rsidRDefault="008F69F2" w:rsidP="008F69F2">
      <w:pPr>
        <w:numPr>
          <w:ilvl w:val="1"/>
          <w:numId w:val="5"/>
        </w:numPr>
      </w:pPr>
      <w:r>
        <w:t>Sampling more frequent</w:t>
      </w:r>
      <w:r w:rsidRPr="00996E97">
        <w:t xml:space="preserve"> than hourly</w:t>
      </w:r>
      <w:r>
        <w:t xml:space="preserve"> is likely to provide a more accurate measurement</w:t>
      </w:r>
      <w:r w:rsidR="00996E97" w:rsidRPr="00996E97">
        <w:t xml:space="preserve">. </w:t>
      </w:r>
      <w:r>
        <w:t>ACCAN understands that much more frequent measurements may be possible.</w:t>
      </w:r>
      <w:r>
        <w:rPr>
          <w:rStyle w:val="FootnoteReference"/>
        </w:rPr>
        <w:footnoteReference w:id="3"/>
      </w:r>
      <w:r>
        <w:t xml:space="preserve"> </w:t>
      </w:r>
      <w:r w:rsidR="00996E97" w:rsidRPr="00996E97">
        <w:t>This may depend on the likely impact that it would have on the testers (consumers)</w:t>
      </w:r>
      <w:r>
        <w:t>,</w:t>
      </w:r>
      <w:r w:rsidR="00996E97" w:rsidRPr="00996E97">
        <w:t xml:space="preserve"> </w:t>
      </w:r>
      <w:r w:rsidR="00237CC1">
        <w:t>their service performance</w:t>
      </w:r>
      <w:r>
        <w:t xml:space="preserve"> and the overall network performance</w:t>
      </w:r>
      <w:r w:rsidR="00237CC1">
        <w:t>.</w:t>
      </w:r>
      <w:r>
        <w:rPr>
          <w:rStyle w:val="FootnoteReference"/>
        </w:rPr>
        <w:footnoteReference w:id="4"/>
      </w:r>
      <w:r w:rsidR="00996E97" w:rsidRPr="00996E97">
        <w:t xml:space="preserve"> </w:t>
      </w:r>
      <w:r w:rsidR="00273740">
        <w:t xml:space="preserve">If the measurements </w:t>
      </w:r>
      <w:r>
        <w:t>occurred a</w:t>
      </w:r>
      <w:r w:rsidR="00273740">
        <w:t xml:space="preserve">t the same </w:t>
      </w:r>
      <w:r>
        <w:t xml:space="preserve">frequency </w:t>
      </w:r>
      <w:r w:rsidR="00273740">
        <w:t xml:space="preserve">across providers it would </w:t>
      </w:r>
      <w:r>
        <w:t>ensure fairer comparison</w:t>
      </w:r>
      <w:r w:rsidR="00B14042">
        <w:t>s</w:t>
      </w:r>
      <w:r w:rsidR="00273740">
        <w:t>.</w:t>
      </w:r>
      <w:r>
        <w:t xml:space="preserve"> </w:t>
      </w:r>
    </w:p>
    <w:p w:rsidR="00996E97" w:rsidRPr="00996E97" w:rsidRDefault="00E8755A" w:rsidP="00996E97">
      <w:pPr>
        <w:numPr>
          <w:ilvl w:val="0"/>
          <w:numId w:val="5"/>
        </w:numPr>
      </w:pPr>
      <w:r>
        <w:t>Measuring typical speed</w:t>
      </w:r>
    </w:p>
    <w:p w:rsidR="00F77B7C" w:rsidRPr="00996E97" w:rsidRDefault="003B4F6A" w:rsidP="00F77B7C">
      <w:pPr>
        <w:numPr>
          <w:ilvl w:val="1"/>
          <w:numId w:val="5"/>
        </w:numPr>
      </w:pPr>
      <w:r>
        <w:t xml:space="preserve">ACCAN is supportive of the 80/80 methodology being used to inform the typical speed in the busy hour period. This measurement is </w:t>
      </w:r>
      <w:r w:rsidR="00996E97" w:rsidRPr="00996E97">
        <w:t xml:space="preserve">more accurate than a </w:t>
      </w:r>
      <w:r>
        <w:t xml:space="preserve">general </w:t>
      </w:r>
      <w:r w:rsidR="00996E97" w:rsidRPr="00996E97">
        <w:t>median measure</w:t>
      </w:r>
      <w:r>
        <w:t xml:space="preserve">. ACCAN is cautious about RSPs advising </w:t>
      </w:r>
      <w:r w:rsidR="00AD5EDA">
        <w:t xml:space="preserve">or stating on the information templates </w:t>
      </w:r>
      <w:r>
        <w:t xml:space="preserve">that it is an 80/80 measure as this </w:t>
      </w:r>
      <w:r w:rsidR="00996E97" w:rsidRPr="00996E97">
        <w:t xml:space="preserve">may be complicated to explain to consumers. </w:t>
      </w:r>
      <w:r w:rsidR="00E42518">
        <w:t>T</w:t>
      </w:r>
      <w:r w:rsidR="00AD5EDA">
        <w:t xml:space="preserve">he commonality of measurement, feasibility </w:t>
      </w:r>
      <w:r w:rsidR="00B14042">
        <w:t>for</w:t>
      </w:r>
      <w:r w:rsidR="00AD5EDA">
        <w:t xml:space="preserve"> consumers to use</w:t>
      </w:r>
      <w:r w:rsidR="00E42518">
        <w:t xml:space="preserve"> the information</w:t>
      </w:r>
      <w:r w:rsidR="00AD5EDA">
        <w:t xml:space="preserve"> and comparability between providers are the most important elements, as opposed to </w:t>
      </w:r>
      <w:r w:rsidR="00273740">
        <w:t>understanding the exact methodology.</w:t>
      </w:r>
    </w:p>
    <w:p w:rsidR="00996E97" w:rsidRPr="00996E97" w:rsidRDefault="00996E97" w:rsidP="00996E97">
      <w:pPr>
        <w:numPr>
          <w:ilvl w:val="0"/>
          <w:numId w:val="5"/>
        </w:numPr>
      </w:pPr>
      <w:r w:rsidRPr="00996E97">
        <w:t xml:space="preserve">Consumer </w:t>
      </w:r>
      <w:r w:rsidR="00E8755A">
        <w:t>i</w:t>
      </w:r>
      <w:r w:rsidRPr="00996E97">
        <w:t>nformation template</w:t>
      </w:r>
    </w:p>
    <w:p w:rsidR="00996E97" w:rsidRDefault="00996E97" w:rsidP="00996E97">
      <w:pPr>
        <w:numPr>
          <w:ilvl w:val="1"/>
          <w:numId w:val="5"/>
        </w:numPr>
      </w:pPr>
      <w:r w:rsidRPr="00996E97">
        <w:t xml:space="preserve">ACCAN is unaware of any impediments to providing the information in the consumer information template set out in the information request paper. </w:t>
      </w:r>
    </w:p>
    <w:p w:rsidR="00EA359F" w:rsidRDefault="00EA359F" w:rsidP="00B14042">
      <w:pPr>
        <w:ind w:left="1080"/>
      </w:pPr>
      <w:r>
        <w:t>ACCAN is very supportive of the intention behind the consumer information template. This type of information will set out the required information and p</w:t>
      </w:r>
      <w:r w:rsidR="00E42518">
        <w:t>resent</w:t>
      </w:r>
      <w:r>
        <w:t xml:space="preserve"> the information upfront for consumers to use. Currently</w:t>
      </w:r>
      <w:r w:rsidR="00E42518">
        <w:t>,</w:t>
      </w:r>
      <w:r>
        <w:t xml:space="preserve"> providers often provide some general restrictions on the use of service or applications. However, it often requires a </w:t>
      </w:r>
      <w:r>
        <w:lastRenderedPageBreak/>
        <w:t xml:space="preserve">level of technical understanding to translate the generalities into effect on </w:t>
      </w:r>
      <w:r w:rsidR="00E42518">
        <w:t xml:space="preserve">actual individual </w:t>
      </w:r>
      <w:r>
        <w:t xml:space="preserve">services. </w:t>
      </w:r>
      <w:r w:rsidR="00A07C1D">
        <w:t>This leaves consumers to</w:t>
      </w:r>
      <w:r w:rsidR="00E42518">
        <w:t xml:space="preserve"> make purchasing decisions on peripheral</w:t>
      </w:r>
      <w:r w:rsidR="00A07C1D">
        <w:t xml:space="preserve"> </w:t>
      </w:r>
      <w:r w:rsidR="00E42518">
        <w:t>aspects</w:t>
      </w:r>
      <w:r w:rsidR="00A07C1D">
        <w:t xml:space="preserve"> such as brand image of companies.</w:t>
      </w:r>
      <w:r w:rsidR="00A07C1D">
        <w:rPr>
          <w:rStyle w:val="FootnoteReference"/>
        </w:rPr>
        <w:footnoteReference w:id="5"/>
      </w:r>
      <w:r w:rsidR="00A07C1D">
        <w:t xml:space="preserve"> </w:t>
      </w:r>
      <w:r>
        <w:t xml:space="preserve">The proposed template would be useful for consumers as it puts the information in terms of </w:t>
      </w:r>
      <w:r w:rsidR="00E42518">
        <w:t xml:space="preserve">a </w:t>
      </w:r>
      <w:r>
        <w:t xml:space="preserve">consumers’ broadband service. </w:t>
      </w:r>
    </w:p>
    <w:p w:rsidR="00EA359F" w:rsidRDefault="00EA359F" w:rsidP="00B14042">
      <w:pPr>
        <w:ind w:left="1080"/>
      </w:pPr>
      <w:r>
        <w:t>We would caution making the template lengthy or word heavy. The information should be relevant to individual</w:t>
      </w:r>
      <w:r w:rsidR="008F69F2">
        <w:t>s.</w:t>
      </w:r>
    </w:p>
    <w:p w:rsidR="008F69F2" w:rsidRPr="008F69F2" w:rsidRDefault="008F69F2" w:rsidP="00B14042">
      <w:pPr>
        <w:ind w:left="1080"/>
      </w:pPr>
      <w:r w:rsidRPr="008F69F2">
        <w:t>A</w:t>
      </w:r>
      <w:r>
        <w:t>C</w:t>
      </w:r>
      <w:r w:rsidRPr="008F69F2">
        <w:t xml:space="preserve">CAN </w:t>
      </w:r>
      <w:r>
        <w:t>d</w:t>
      </w:r>
      <w:r w:rsidRPr="008F69F2">
        <w:t>oes not support</w:t>
      </w:r>
      <w:r>
        <w:t xml:space="preserve"> calling the underlying access rate the ‘off-</w:t>
      </w:r>
      <w:r w:rsidRPr="008F69F2">
        <w:t xml:space="preserve">peak speed’. </w:t>
      </w:r>
      <w:r>
        <w:t>The access network speed is a maximum speed in most cases and may not be achievable at all for some consumers.</w:t>
      </w:r>
      <w:r>
        <w:rPr>
          <w:rStyle w:val="FootnoteReference"/>
        </w:rPr>
        <w:footnoteReference w:id="6"/>
      </w:r>
      <w:r>
        <w:t xml:space="preserve"> Measurements that represent themselves as off peak speeds should reflect the typical off-peak speed</w:t>
      </w:r>
      <w:r w:rsidR="00B14042">
        <w:t>s</w:t>
      </w:r>
      <w:r>
        <w:t xml:space="preserve"> that consumer will experience. </w:t>
      </w:r>
    </w:p>
    <w:p w:rsidR="00996E97" w:rsidRPr="00996E97" w:rsidRDefault="00996E97" w:rsidP="00996E97">
      <w:pPr>
        <w:numPr>
          <w:ilvl w:val="0"/>
          <w:numId w:val="5"/>
        </w:numPr>
      </w:pPr>
      <w:r w:rsidRPr="00996E97">
        <w:t>Speed labels</w:t>
      </w:r>
    </w:p>
    <w:p w:rsidR="00FE2425" w:rsidRDefault="00996E97" w:rsidP="00996E97">
      <w:pPr>
        <w:numPr>
          <w:ilvl w:val="1"/>
          <w:numId w:val="5"/>
        </w:numPr>
      </w:pPr>
      <w:r w:rsidRPr="00996E97">
        <w:t>ACCAN is agreement of having standardised labels across all providers. ACCC has suggested; basic (&lt;20</w:t>
      </w:r>
      <w:r w:rsidR="00273740">
        <w:t>Mbps</w:t>
      </w:r>
      <w:r w:rsidRPr="00996E97">
        <w:t>), standard (20-30</w:t>
      </w:r>
      <w:r w:rsidR="00273740">
        <w:t>Mbps</w:t>
      </w:r>
      <w:r w:rsidRPr="00996E97">
        <w:t>) and premium speeds (&gt;30Mbps)</w:t>
      </w:r>
      <w:r w:rsidR="00FE2425">
        <w:t>.</w:t>
      </w:r>
      <w:r w:rsidRPr="00996E97">
        <w:t xml:space="preserve"> This may be a significant change to </w:t>
      </w:r>
      <w:r w:rsidR="00FE2425">
        <w:t xml:space="preserve">marketing of plans currently seen by </w:t>
      </w:r>
      <w:r w:rsidRPr="00996E97">
        <w:t>RSPs</w:t>
      </w:r>
      <w:r w:rsidR="00273740">
        <w:t>, but one which should provide greater clarity to consumers</w:t>
      </w:r>
      <w:r w:rsidR="00FE2425">
        <w:t xml:space="preserve">. </w:t>
      </w:r>
      <w:r w:rsidR="008F69F2">
        <w:t xml:space="preserve">These labels </w:t>
      </w:r>
      <w:r w:rsidR="00B14042">
        <w:t>are</w:t>
      </w:r>
      <w:r w:rsidR="008F69F2">
        <w:t xml:space="preserve"> likely</w:t>
      </w:r>
      <w:r w:rsidR="00B14042">
        <w:t xml:space="preserve"> to</w:t>
      </w:r>
      <w:r w:rsidR="008F69F2">
        <w:t xml:space="preserve"> require adjusting in future as performance changes.</w:t>
      </w:r>
    </w:p>
    <w:p w:rsidR="00996E97" w:rsidRPr="00996E97" w:rsidRDefault="00E42518" w:rsidP="00B14042">
      <w:pPr>
        <w:ind w:left="1080"/>
      </w:pPr>
      <w:r>
        <w:t>While we think standardised labels would be useful</w:t>
      </w:r>
      <w:r w:rsidR="00FE2425">
        <w:t xml:space="preserve">, we are slightly concerned that </w:t>
      </w:r>
      <w:r w:rsidR="00273740">
        <w:t xml:space="preserve">guidance might also be required for wholesale access networks. </w:t>
      </w:r>
      <w:r w:rsidR="00FE2425">
        <w:t xml:space="preserve">The high expectation </w:t>
      </w:r>
      <w:r w:rsidR="00273740">
        <w:t>and confusion among</w:t>
      </w:r>
      <w:r w:rsidR="00FE2425">
        <w:t xml:space="preserve"> consumers is partly due to </w:t>
      </w:r>
      <w:r w:rsidR="00273740">
        <w:t>this mixed messaging that they receive</w:t>
      </w:r>
      <w:r w:rsidR="00FE2425">
        <w:t xml:space="preserve">. </w:t>
      </w:r>
      <w:r w:rsidR="00273740">
        <w:t xml:space="preserve">Wholesale access seekers should be clear in the </w:t>
      </w:r>
      <w:r w:rsidR="00FE2425">
        <w:t xml:space="preserve">part of the service which </w:t>
      </w:r>
      <w:r>
        <w:t>they have control over</w:t>
      </w:r>
      <w:r w:rsidR="00273740">
        <w:t>. Furthermore, they should refrain from providing sample applications as a determinant of speed decisions.</w:t>
      </w:r>
      <w:r w:rsidR="00273740">
        <w:rPr>
          <w:rStyle w:val="FootnoteReference"/>
        </w:rPr>
        <w:footnoteReference w:id="7"/>
      </w:r>
      <w:r w:rsidR="00273740">
        <w:t xml:space="preserve"> The performance of these applications is impacted by decisions of the RSP and therefore may not be an accurate representation of the speed</w:t>
      </w:r>
      <w:r w:rsidR="00B14042">
        <w:t xml:space="preserve"> needed</w:t>
      </w:r>
      <w:r w:rsidR="00273740">
        <w:t xml:space="preserve"> or </w:t>
      </w:r>
      <w:r w:rsidR="00B14042">
        <w:t xml:space="preserve">expected </w:t>
      </w:r>
      <w:r w:rsidR="00273740">
        <w:t xml:space="preserve">performance. </w:t>
      </w:r>
    </w:p>
    <w:p w:rsidR="00996E97" w:rsidRPr="00996E97" w:rsidRDefault="00996E97" w:rsidP="00996E97">
      <w:pPr>
        <w:numPr>
          <w:ilvl w:val="0"/>
          <w:numId w:val="5"/>
        </w:numPr>
      </w:pPr>
      <w:r w:rsidRPr="00996E97">
        <w:t>Implementation timetable</w:t>
      </w:r>
    </w:p>
    <w:p w:rsidR="00996E97" w:rsidRDefault="00F43148" w:rsidP="00996E97">
      <w:pPr>
        <w:numPr>
          <w:ilvl w:val="1"/>
          <w:numId w:val="5"/>
        </w:numPr>
      </w:pPr>
      <w:r w:rsidRPr="00996E97">
        <w:t xml:space="preserve">ACCAN is unaware of any impediments to </w:t>
      </w:r>
      <w:r w:rsidR="00996E97" w:rsidRPr="00996E97">
        <w:t>implementing the guidance principles in line with the timeframes.</w:t>
      </w:r>
    </w:p>
    <w:p w:rsidR="00F77B7C" w:rsidRPr="00996E97" w:rsidRDefault="00F77B7C" w:rsidP="00B14042">
      <w:pPr>
        <w:ind w:left="1080"/>
      </w:pPr>
      <w:r>
        <w:t>W</w:t>
      </w:r>
      <w:r w:rsidRPr="00F77B7C">
        <w:t xml:space="preserve">e understand that most providers will be able to </w:t>
      </w:r>
      <w:r>
        <w:t xml:space="preserve">use </w:t>
      </w:r>
      <w:r w:rsidRPr="00F77B7C">
        <w:t>results from the Broadband Performance Monitoring program that was announced today.</w:t>
      </w:r>
      <w:r w:rsidR="00E42518">
        <w:rPr>
          <w:rStyle w:val="FootnoteReference"/>
        </w:rPr>
        <w:footnoteReference w:id="8"/>
      </w:r>
      <w:r w:rsidRPr="00F77B7C">
        <w:t xml:space="preserve"> Th</w:t>
      </w:r>
      <w:r>
        <w:t>e</w:t>
      </w:r>
      <w:r w:rsidRPr="00F77B7C">
        <w:t xml:space="preserve"> start of this program </w:t>
      </w:r>
      <w:r w:rsidRPr="00F77B7C">
        <w:lastRenderedPageBreak/>
        <w:t xml:space="preserve">is likely to coincide with the </w:t>
      </w:r>
      <w:r>
        <w:t xml:space="preserve">proposed </w:t>
      </w:r>
      <w:r w:rsidRPr="00F77B7C">
        <w:t>timeframe for implementation removing some of the work required by RSPs.</w:t>
      </w:r>
    </w:p>
    <w:p w:rsidR="00C7127B" w:rsidRDefault="00C26A44" w:rsidP="00C7127B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Yours faithfully</w:t>
      </w:r>
    </w:p>
    <w:p w:rsidR="00C7127B" w:rsidRDefault="0008239C" w:rsidP="00C7127B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val="en-IE" w:eastAsia="en-IE"/>
        </w:rPr>
        <w:drawing>
          <wp:inline distT="0" distB="0" distL="0" distR="0">
            <wp:extent cx="1581912" cy="42976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9C" w:rsidRDefault="0008239C" w:rsidP="001249E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Rachel Thomas</w:t>
      </w:r>
    </w:p>
    <w:p w:rsidR="00545597" w:rsidRDefault="0008239C" w:rsidP="00623A30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Policy Officer</w:t>
      </w:r>
    </w:p>
    <w:p w:rsidR="00B14042" w:rsidRDefault="00B14042" w:rsidP="00B14042">
      <w:pPr>
        <w:pStyle w:val="Heading1"/>
        <w:numPr>
          <w:ilvl w:val="0"/>
          <w:numId w:val="0"/>
        </w:numPr>
      </w:pPr>
      <w:r>
        <w:t>Bibliography</w:t>
      </w:r>
    </w:p>
    <w:p w:rsidR="00B14042" w:rsidRDefault="00B14042" w:rsidP="00B14042">
      <w:pPr>
        <w:pStyle w:val="ListParagraph"/>
        <w:numPr>
          <w:ilvl w:val="0"/>
          <w:numId w:val="6"/>
        </w:numPr>
      </w:pPr>
      <w:r>
        <w:t xml:space="preserve">Centre for Applied Internet Data Analysis, </w:t>
      </w:r>
      <w:hyperlink r:id="rId11" w:history="1">
        <w:r>
          <w:rPr>
            <w:rStyle w:val="Hyperlink"/>
          </w:rPr>
          <w:t>http://www.caida.org</w:t>
        </w:r>
      </w:hyperlink>
    </w:p>
    <w:p w:rsidR="00B14042" w:rsidRDefault="00B14042" w:rsidP="00B14042">
      <w:pPr>
        <w:pStyle w:val="ListParagraph"/>
        <w:numPr>
          <w:ilvl w:val="0"/>
          <w:numId w:val="6"/>
        </w:numPr>
      </w:pPr>
      <w:r>
        <w:t xml:space="preserve">RIPE Network Coordination Centre, </w:t>
      </w:r>
      <w:hyperlink r:id="rId12" w:history="1">
        <w:r>
          <w:rPr>
            <w:rStyle w:val="Hyperlink"/>
          </w:rPr>
          <w:t>https://atlas.ripe.net/</w:t>
        </w:r>
      </w:hyperlink>
    </w:p>
    <w:p w:rsidR="00B14042" w:rsidRDefault="00B14042" w:rsidP="00623A30">
      <w:pPr>
        <w:pStyle w:val="BodyText1"/>
        <w:spacing w:after="0"/>
      </w:pPr>
    </w:p>
    <w:sectPr w:rsidR="00B14042" w:rsidSect="001249E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215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9C" w:rsidRDefault="0008239C" w:rsidP="00C7127B">
      <w:pPr>
        <w:spacing w:after="0" w:line="240" w:lineRule="auto"/>
      </w:pPr>
      <w:r>
        <w:separator/>
      </w:r>
    </w:p>
  </w:endnote>
  <w:endnote w:type="continuationSeparator" w:id="0">
    <w:p w:rsidR="0008239C" w:rsidRDefault="0008239C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43148">
      <w:rPr>
        <w:noProof/>
      </w:rPr>
      <w:t>3</w:t>
    </w:r>
    <w:r w:rsidRPr="00C4251E">
      <w:rPr>
        <w:noProof/>
      </w:rPr>
      <w:fldChar w:fldCharType="end"/>
    </w:r>
  </w:p>
  <w:p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>
    <w:pPr>
      <w:pStyle w:val="Foot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E0472A" wp14:editId="1016EC21">
              <wp:simplePos x="0" y="0"/>
              <wp:positionH relativeFrom="column">
                <wp:posOffset>-136525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10.7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9C" w:rsidRDefault="0008239C" w:rsidP="00C7127B">
      <w:pPr>
        <w:spacing w:after="0" w:line="240" w:lineRule="auto"/>
      </w:pPr>
      <w:r>
        <w:separator/>
      </w:r>
    </w:p>
  </w:footnote>
  <w:footnote w:type="continuationSeparator" w:id="0">
    <w:p w:rsidR="0008239C" w:rsidRDefault="0008239C" w:rsidP="00C7127B">
      <w:pPr>
        <w:spacing w:after="0" w:line="240" w:lineRule="auto"/>
      </w:pPr>
      <w:r>
        <w:continuationSeparator/>
      </w:r>
    </w:p>
  </w:footnote>
  <w:footnote w:id="1">
    <w:p w:rsidR="00AD5EDA" w:rsidRDefault="00AD5E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ACCAN, Broadband Performance and Consumer Decision Making.</w:t>
      </w:r>
      <w:proofErr w:type="gramEnd"/>
      <w:r>
        <w:t xml:space="preserve"> </w:t>
      </w:r>
      <w:hyperlink r:id="rId1" w:tooltip="Visit website" w:history="1">
        <w:r w:rsidRPr="009A26C8">
          <w:rPr>
            <w:rStyle w:val="Hyperlink"/>
          </w:rPr>
          <w:t>https://accan.org.au/our-work/research/1159-broadband-performance-consumer-decision-making</w:t>
        </w:r>
      </w:hyperlink>
    </w:p>
  </w:footnote>
  <w:footnote w:id="2">
    <w:p w:rsidR="00237CC1" w:rsidRDefault="00237CC1">
      <w:pPr>
        <w:pStyle w:val="FootnoteText"/>
      </w:pPr>
      <w:r>
        <w:rPr>
          <w:rStyle w:val="FootnoteReference"/>
        </w:rPr>
        <w:footnoteRef/>
      </w:r>
      <w:r>
        <w:t xml:space="preserve"> As seen in the complaints to the Telecommunications Industry Ombudsman</w:t>
      </w:r>
    </w:p>
  </w:footnote>
  <w:footnote w:id="3">
    <w:p w:rsidR="008F69F2" w:rsidRDefault="008F6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Potentially as frequently as 5 min intervals.</w:t>
      </w:r>
      <w:proofErr w:type="gramEnd"/>
    </w:p>
  </w:footnote>
  <w:footnote w:id="4">
    <w:p w:rsidR="008F69F2" w:rsidRDefault="008F69F2">
      <w:pPr>
        <w:pStyle w:val="FootnoteText"/>
      </w:pPr>
      <w:r>
        <w:rPr>
          <w:rStyle w:val="FootnoteReference"/>
        </w:rPr>
        <w:footnoteRef/>
      </w:r>
      <w:r>
        <w:t xml:space="preserve"> ACCAN understands that regular sampling is</w:t>
      </w:r>
      <w:r w:rsidRPr="008F69F2">
        <w:t xml:space="preserve"> likely to provoke distortions in network performance, particularly if measurements are taken by a large number of consumer end point devices at the same time.</w:t>
      </w:r>
    </w:p>
  </w:footnote>
  <w:footnote w:id="5">
    <w:p w:rsidR="00A07C1D" w:rsidRDefault="00A07C1D" w:rsidP="008F69F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A07C1D">
        <w:rPr>
          <w:lang w:val="en-IE"/>
        </w:rPr>
        <w:t xml:space="preserve">Harrison, Paul, Hill, Laura, and Gray, Charles, 2016, Confident, but Confounded: Consumer Comprehension of Telecommunications Agreements, Australian Communications Consumer Action Network, </w:t>
      </w:r>
      <w:proofErr w:type="gramStart"/>
      <w:r>
        <w:rPr>
          <w:lang w:val="en-IE"/>
        </w:rPr>
        <w:t>S</w:t>
      </w:r>
      <w:r w:rsidRPr="00A07C1D">
        <w:rPr>
          <w:lang w:val="en-IE"/>
        </w:rPr>
        <w:t>ydney</w:t>
      </w:r>
      <w:proofErr w:type="gramEnd"/>
      <w:r w:rsidRPr="00A07C1D">
        <w:rPr>
          <w:lang w:val="en-IE"/>
        </w:rPr>
        <w:t>.</w:t>
      </w:r>
      <w:r>
        <w:rPr>
          <w:lang w:val="en-IE"/>
        </w:rPr>
        <w:t xml:space="preserve"> </w:t>
      </w:r>
      <w:hyperlink r:id="rId2" w:history="1">
        <w:r>
          <w:rPr>
            <w:rStyle w:val="Hyperlink"/>
          </w:rPr>
          <w:t>http://accan.org.au/files/Reports/Confident%20Confounded_accessible%20WEB_03.11.16.pdf</w:t>
        </w:r>
      </w:hyperlink>
    </w:p>
  </w:footnote>
  <w:footnote w:id="6">
    <w:p w:rsidR="008F69F2" w:rsidRDefault="008F69F2">
      <w:pPr>
        <w:pStyle w:val="FootnoteText"/>
      </w:pPr>
      <w:r>
        <w:rPr>
          <w:rStyle w:val="FootnoteReference"/>
        </w:rPr>
        <w:footnoteRef/>
      </w:r>
      <w:r>
        <w:t xml:space="preserve"> For example see ACCAN submission to ACCC on nbn speed ranges. </w:t>
      </w:r>
      <w:hyperlink r:id="rId3" w:history="1">
        <w:r w:rsidRPr="009A26C8">
          <w:rPr>
            <w:rStyle w:val="Hyperlink"/>
          </w:rPr>
          <w:t>https://accan.org.au/our-work/submissions/1295-special-access-undertaking</w:t>
        </w:r>
      </w:hyperlink>
    </w:p>
  </w:footnote>
  <w:footnote w:id="7">
    <w:p w:rsidR="00273740" w:rsidRDefault="00273740">
      <w:pPr>
        <w:pStyle w:val="FootnoteText"/>
      </w:pPr>
      <w:r>
        <w:rPr>
          <w:rStyle w:val="FootnoteReference"/>
        </w:rPr>
        <w:footnoteRef/>
      </w:r>
      <w:r>
        <w:t xml:space="preserve"> For example nbn sp</w:t>
      </w:r>
      <w:bookmarkStart w:id="0" w:name="_GoBack"/>
      <w:bookmarkEnd w:id="0"/>
      <w:r>
        <w:t xml:space="preserve">eed information. </w:t>
      </w:r>
      <w:hyperlink r:id="rId4" w:history="1">
        <w:r w:rsidRPr="009A26C8">
          <w:rPr>
            <w:rStyle w:val="Hyperlink"/>
          </w:rPr>
          <w:t>http://www.nbnco.com.au/learn-about-the-nbn/speed.html</w:t>
        </w:r>
      </w:hyperlink>
    </w:p>
  </w:footnote>
  <w:footnote w:id="8">
    <w:p w:rsidR="00E42518" w:rsidRDefault="00E425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‘</w:t>
      </w:r>
      <w:r w:rsidRPr="00EA592E">
        <w:rPr>
          <w:i/>
        </w:rPr>
        <w:t>ACCC to monitor Australia’s broadband performance’</w:t>
      </w:r>
      <w:r>
        <w:t>, 7</w:t>
      </w:r>
      <w:r w:rsidRPr="00E42518">
        <w:rPr>
          <w:vertAlign w:val="superscript"/>
        </w:rPr>
        <w:t>th</w:t>
      </w:r>
      <w:r>
        <w:t xml:space="preserve"> April 2017.</w:t>
      </w:r>
      <w:proofErr w:type="gramEnd"/>
      <w:r>
        <w:t xml:space="preserve"> </w:t>
      </w:r>
      <w:hyperlink r:id="rId5" w:history="1">
        <w:r w:rsidRPr="009A26C8">
          <w:rPr>
            <w:rStyle w:val="Hyperlink"/>
          </w:rPr>
          <w:t>https://www.accc.gov.au/media-release/accc-to-monitor-australias-broadband-performance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3621EFD3" wp14:editId="4EFA4C3D">
          <wp:simplePos x="0" y="0"/>
          <wp:positionH relativeFrom="column">
            <wp:posOffset>4570370</wp:posOffset>
          </wp:positionH>
          <wp:positionV relativeFrom="paragraph">
            <wp:posOffset>-250789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 w:rsidP="00C7127B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734BB126" wp14:editId="39D7FBB6">
          <wp:simplePos x="0" y="0"/>
          <wp:positionH relativeFrom="column">
            <wp:posOffset>4248054</wp:posOffset>
          </wp:positionH>
          <wp:positionV relativeFrom="paragraph">
            <wp:posOffset>-262375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EC1"/>
    <w:multiLevelType w:val="hybridMultilevel"/>
    <w:tmpl w:val="18E6A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5C57"/>
    <w:multiLevelType w:val="multilevel"/>
    <w:tmpl w:val="72B63D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96863FC"/>
    <w:multiLevelType w:val="hybridMultilevel"/>
    <w:tmpl w:val="5D60A06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AC659B"/>
    <w:multiLevelType w:val="multilevel"/>
    <w:tmpl w:val="579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2042B"/>
    <w:multiLevelType w:val="hybridMultilevel"/>
    <w:tmpl w:val="1B9C7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145B8"/>
    <w:multiLevelType w:val="hybridMultilevel"/>
    <w:tmpl w:val="F752C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C"/>
    <w:rsid w:val="0001411B"/>
    <w:rsid w:val="00040F66"/>
    <w:rsid w:val="0008239C"/>
    <w:rsid w:val="0009136E"/>
    <w:rsid w:val="000A04F9"/>
    <w:rsid w:val="000A0AD7"/>
    <w:rsid w:val="000C361F"/>
    <w:rsid w:val="000F77A6"/>
    <w:rsid w:val="001249EC"/>
    <w:rsid w:val="001959F8"/>
    <w:rsid w:val="001E2CB4"/>
    <w:rsid w:val="00205275"/>
    <w:rsid w:val="002067FE"/>
    <w:rsid w:val="00231A0D"/>
    <w:rsid w:val="00237CC1"/>
    <w:rsid w:val="00240F5D"/>
    <w:rsid w:val="00273740"/>
    <w:rsid w:val="002766D9"/>
    <w:rsid w:val="00327361"/>
    <w:rsid w:val="00335043"/>
    <w:rsid w:val="0037696B"/>
    <w:rsid w:val="003816BF"/>
    <w:rsid w:val="003B4F6A"/>
    <w:rsid w:val="003C2DF6"/>
    <w:rsid w:val="003C4747"/>
    <w:rsid w:val="003D4AA4"/>
    <w:rsid w:val="003E0066"/>
    <w:rsid w:val="003F081B"/>
    <w:rsid w:val="003F4D0E"/>
    <w:rsid w:val="00414733"/>
    <w:rsid w:val="00422E83"/>
    <w:rsid w:val="00481829"/>
    <w:rsid w:val="004C0D0A"/>
    <w:rsid w:val="004C5BEE"/>
    <w:rsid w:val="005160C1"/>
    <w:rsid w:val="00521B7E"/>
    <w:rsid w:val="00545597"/>
    <w:rsid w:val="00555211"/>
    <w:rsid w:val="00597BB3"/>
    <w:rsid w:val="005B1ADD"/>
    <w:rsid w:val="005C3C0B"/>
    <w:rsid w:val="005D3BFE"/>
    <w:rsid w:val="005F6316"/>
    <w:rsid w:val="00623A30"/>
    <w:rsid w:val="00623F47"/>
    <w:rsid w:val="00646BAC"/>
    <w:rsid w:val="006613E8"/>
    <w:rsid w:val="006A6D96"/>
    <w:rsid w:val="006C62D8"/>
    <w:rsid w:val="007841FD"/>
    <w:rsid w:val="00787C0D"/>
    <w:rsid w:val="007A48B5"/>
    <w:rsid w:val="008159A4"/>
    <w:rsid w:val="008204A2"/>
    <w:rsid w:val="00842C50"/>
    <w:rsid w:val="008774E9"/>
    <w:rsid w:val="008F69F2"/>
    <w:rsid w:val="0092771F"/>
    <w:rsid w:val="00996E97"/>
    <w:rsid w:val="009A271E"/>
    <w:rsid w:val="009B65AF"/>
    <w:rsid w:val="00A04A07"/>
    <w:rsid w:val="00A07C1D"/>
    <w:rsid w:val="00A16013"/>
    <w:rsid w:val="00A6464E"/>
    <w:rsid w:val="00A87950"/>
    <w:rsid w:val="00A93B95"/>
    <w:rsid w:val="00AA004C"/>
    <w:rsid w:val="00AA691A"/>
    <w:rsid w:val="00AD5EDA"/>
    <w:rsid w:val="00AE678B"/>
    <w:rsid w:val="00B14042"/>
    <w:rsid w:val="00B27301"/>
    <w:rsid w:val="00C26A44"/>
    <w:rsid w:val="00C35DE9"/>
    <w:rsid w:val="00C61298"/>
    <w:rsid w:val="00C7127B"/>
    <w:rsid w:val="00C845D0"/>
    <w:rsid w:val="00CE1384"/>
    <w:rsid w:val="00D13B33"/>
    <w:rsid w:val="00D55CED"/>
    <w:rsid w:val="00DA4140"/>
    <w:rsid w:val="00DC45CF"/>
    <w:rsid w:val="00E42518"/>
    <w:rsid w:val="00E5553F"/>
    <w:rsid w:val="00E83272"/>
    <w:rsid w:val="00E8755A"/>
    <w:rsid w:val="00EA21B3"/>
    <w:rsid w:val="00EA359F"/>
    <w:rsid w:val="00EA592E"/>
    <w:rsid w:val="00ED21DD"/>
    <w:rsid w:val="00EE78C0"/>
    <w:rsid w:val="00F43148"/>
    <w:rsid w:val="00F5308D"/>
    <w:rsid w:val="00F77B7C"/>
    <w:rsid w:val="00F82BE3"/>
    <w:rsid w:val="00FA15C3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36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5A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F4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5A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5A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5A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5A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5A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5A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81B"/>
    <w:rPr>
      <w:vertAlign w:val="superscript"/>
    </w:rPr>
  </w:style>
  <w:style w:type="character" w:customStyle="1" w:styleId="invisible">
    <w:name w:val="invisible"/>
    <w:basedOn w:val="DefaultParagraphFont"/>
    <w:rsid w:val="005160C1"/>
  </w:style>
  <w:style w:type="character" w:customStyle="1" w:styleId="js-display-url">
    <w:name w:val="js-display-url"/>
    <w:basedOn w:val="DefaultParagraphFont"/>
    <w:rsid w:val="005160C1"/>
  </w:style>
  <w:style w:type="paragraph" w:styleId="ListParagraph">
    <w:name w:val="List Paragraph"/>
    <w:basedOn w:val="Normal"/>
    <w:uiPriority w:val="34"/>
    <w:qFormat/>
    <w:rsid w:val="00A87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3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5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36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5A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F4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5A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5A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5A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5A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5A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5A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81B"/>
    <w:rPr>
      <w:vertAlign w:val="superscript"/>
    </w:rPr>
  </w:style>
  <w:style w:type="character" w:customStyle="1" w:styleId="invisible">
    <w:name w:val="invisible"/>
    <w:basedOn w:val="DefaultParagraphFont"/>
    <w:rsid w:val="005160C1"/>
  </w:style>
  <w:style w:type="character" w:customStyle="1" w:styleId="js-display-url">
    <w:name w:val="js-display-url"/>
    <w:basedOn w:val="DefaultParagraphFont"/>
    <w:rsid w:val="005160C1"/>
  </w:style>
  <w:style w:type="paragraph" w:styleId="ListParagraph">
    <w:name w:val="List Paragraph"/>
    <w:basedOn w:val="Normal"/>
    <w:uiPriority w:val="34"/>
    <w:qFormat/>
    <w:rsid w:val="00A87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3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5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tlas.ripe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d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oadbandperformance@accc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can.org.au/our-work/submissions/1295-special-access-undertaking" TargetMode="External"/><Relationship Id="rId2" Type="http://schemas.openxmlformats.org/officeDocument/2006/relationships/hyperlink" Target="file:///\\Accan01\accan%20docs\Policy%20&amp;%20Campaigns\Policy%20Issues\Performance\BB%20speed%20claims%20information%20request\Confident%20but%20confounded.%20http:\accan.org.au\files\Reports\Confident%20Confounded_accessible%20WEB_03.11.16.pdf" TargetMode="External"/><Relationship Id="rId1" Type="http://schemas.openxmlformats.org/officeDocument/2006/relationships/hyperlink" Target="https://accan.org.au/our-work/research/1159-broadband-performance-consumer-decision-making" TargetMode="External"/><Relationship Id="rId5" Type="http://schemas.openxmlformats.org/officeDocument/2006/relationships/hyperlink" Target="https://www.accc.gov.au/media-release/accc-to-monitor-australias-broadband-performance" TargetMode="External"/><Relationship Id="rId4" Type="http://schemas.openxmlformats.org/officeDocument/2006/relationships/hyperlink" Target="http://www.nbnco.com.au/learn-about-the-nbn/spee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6%20as%20at%20August%202016\Short%20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F943-B52E-4EE7-B015-0ECD9BF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3</cp:revision>
  <cp:lastPrinted>2017-04-07T09:31:00Z</cp:lastPrinted>
  <dcterms:created xsi:type="dcterms:W3CDTF">2017-04-07T09:31:00Z</dcterms:created>
  <dcterms:modified xsi:type="dcterms:W3CDTF">2017-04-07T09:31:00Z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