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DD1B6E" w:rsidRDefault="005E057E" w:rsidP="00DD1B6E">
      <w:pPr>
        <w:spacing w:after="0"/>
        <w:rPr>
          <w:sz w:val="23"/>
          <w:szCs w:val="23"/>
        </w:rPr>
      </w:pPr>
      <w:r>
        <w:rPr>
          <w:sz w:val="23"/>
          <w:szCs w:val="23"/>
        </w:rPr>
        <w:lastRenderedPageBreak/>
        <w:t>15</w:t>
      </w:r>
      <w:r w:rsidR="00AE6A6C" w:rsidRPr="00AE6A6C">
        <w:rPr>
          <w:sz w:val="23"/>
          <w:szCs w:val="23"/>
          <w:vertAlign w:val="superscript"/>
        </w:rPr>
        <w:t>th</w:t>
      </w:r>
      <w:r w:rsidR="00AE6A6C">
        <w:rPr>
          <w:sz w:val="23"/>
          <w:szCs w:val="23"/>
        </w:rPr>
        <w:t xml:space="preserve"> January 201</w:t>
      </w:r>
      <w:r>
        <w:rPr>
          <w:sz w:val="23"/>
          <w:szCs w:val="23"/>
        </w:rPr>
        <w:t>5</w:t>
      </w:r>
    </w:p>
    <w:p w:rsidR="00DD1B6E" w:rsidRDefault="00DD1B6E" w:rsidP="00DD1B6E">
      <w:pPr>
        <w:spacing w:after="0"/>
        <w:rPr>
          <w:sz w:val="23"/>
          <w:szCs w:val="23"/>
        </w:rPr>
      </w:pPr>
    </w:p>
    <w:p w:rsidR="00AE6A6C" w:rsidRDefault="00AE6A6C" w:rsidP="00DD1B6E">
      <w:pPr>
        <w:spacing w:after="0"/>
        <w:rPr>
          <w:sz w:val="23"/>
          <w:szCs w:val="23"/>
        </w:rPr>
      </w:pPr>
      <w:r>
        <w:rPr>
          <w:sz w:val="23"/>
          <w:szCs w:val="23"/>
        </w:rPr>
        <w:t>Department of Communications</w:t>
      </w:r>
    </w:p>
    <w:p w:rsidR="007575FD" w:rsidRDefault="007575FD" w:rsidP="00DD1B6E">
      <w:pPr>
        <w:spacing w:after="0"/>
        <w:rPr>
          <w:sz w:val="23"/>
          <w:szCs w:val="23"/>
        </w:rPr>
      </w:pPr>
      <w:r>
        <w:rPr>
          <w:sz w:val="23"/>
          <w:szCs w:val="23"/>
        </w:rPr>
        <w:t xml:space="preserve">Via email: </w:t>
      </w:r>
      <w:hyperlink r:id="rId11" w:history="1">
        <w:r w:rsidR="00506EB4" w:rsidRPr="00DE6BC4">
          <w:rPr>
            <w:rStyle w:val="Hyperlink"/>
            <w:sz w:val="23"/>
            <w:szCs w:val="23"/>
          </w:rPr>
          <w:t>greenfields@communications.gov.au</w:t>
        </w:r>
      </w:hyperlink>
    </w:p>
    <w:p w:rsidR="00DD1B6E" w:rsidRDefault="00DD1B6E" w:rsidP="00DD1B6E">
      <w:pPr>
        <w:spacing w:after="0"/>
        <w:rPr>
          <w:rFonts w:cstheme="minorHAnsi"/>
        </w:rPr>
      </w:pPr>
    </w:p>
    <w:p w:rsidR="00214649" w:rsidRDefault="00DD1B6E" w:rsidP="00C23063">
      <w:pPr>
        <w:pStyle w:val="BodyText1"/>
        <w:jc w:val="both"/>
        <w:rPr>
          <w:rFonts w:asciiTheme="minorHAnsi" w:hAnsiTheme="minorHAnsi" w:cstheme="minorHAnsi"/>
        </w:rPr>
      </w:pPr>
      <w:r w:rsidRPr="00156DFA">
        <w:rPr>
          <w:rFonts w:asciiTheme="minorHAnsi" w:hAnsiTheme="minorHAnsi" w:cstheme="minorHAnsi"/>
        </w:rPr>
        <w:t xml:space="preserve">ACCAN thanks the </w:t>
      </w:r>
      <w:r w:rsidR="00AE6A6C" w:rsidRPr="00156DFA">
        <w:rPr>
          <w:rFonts w:asciiTheme="minorHAnsi" w:hAnsiTheme="minorHAnsi" w:cstheme="minorHAnsi"/>
        </w:rPr>
        <w:t>Department of Communications</w:t>
      </w:r>
      <w:r w:rsidRPr="00156DFA">
        <w:rPr>
          <w:rFonts w:asciiTheme="minorHAnsi" w:hAnsiTheme="minorHAnsi" w:cstheme="minorHAnsi"/>
        </w:rPr>
        <w:t xml:space="preserve"> for the opportunity to </w:t>
      </w:r>
      <w:r w:rsidR="007F2630">
        <w:rPr>
          <w:rFonts w:asciiTheme="minorHAnsi" w:hAnsiTheme="minorHAnsi" w:cstheme="minorHAnsi"/>
        </w:rPr>
        <w:t>provide comments on</w:t>
      </w:r>
      <w:r w:rsidRPr="00156DFA">
        <w:rPr>
          <w:rFonts w:asciiTheme="minorHAnsi" w:hAnsiTheme="minorHAnsi" w:cstheme="minorHAnsi"/>
        </w:rPr>
        <w:t xml:space="preserve"> its </w:t>
      </w:r>
      <w:r w:rsidR="005E057E">
        <w:rPr>
          <w:rFonts w:asciiTheme="minorHAnsi" w:hAnsiTheme="minorHAnsi" w:cstheme="minorHAnsi"/>
        </w:rPr>
        <w:t xml:space="preserve">Telecommunications </w:t>
      </w:r>
      <w:r w:rsidR="00C23063">
        <w:rPr>
          <w:rFonts w:asciiTheme="minorHAnsi" w:hAnsiTheme="minorHAnsi" w:cstheme="minorHAnsi"/>
        </w:rPr>
        <w:t>Infrastructure in New D</w:t>
      </w:r>
      <w:r w:rsidR="008703B9">
        <w:rPr>
          <w:rFonts w:asciiTheme="minorHAnsi" w:hAnsiTheme="minorHAnsi" w:cstheme="minorHAnsi"/>
        </w:rPr>
        <w:t xml:space="preserve">evelopments policy update. </w:t>
      </w:r>
    </w:p>
    <w:p w:rsidR="00F50673" w:rsidRDefault="00853C86" w:rsidP="00C23063">
      <w:pPr>
        <w:pStyle w:val="BodyText1"/>
        <w:jc w:val="both"/>
        <w:rPr>
          <w:rFonts w:asciiTheme="minorHAnsi" w:hAnsiTheme="minorHAnsi" w:cstheme="minorHAnsi"/>
          <w:color w:val="auto"/>
        </w:rPr>
      </w:pPr>
      <w:r>
        <w:rPr>
          <w:rFonts w:asciiTheme="minorHAnsi" w:hAnsiTheme="minorHAnsi" w:cstheme="minorHAnsi"/>
          <w:color w:val="auto"/>
        </w:rPr>
        <w:t>Com</w:t>
      </w:r>
      <w:r w:rsidR="00D6114B">
        <w:rPr>
          <w:rFonts w:asciiTheme="minorHAnsi" w:hAnsiTheme="minorHAnsi" w:cstheme="minorHAnsi"/>
          <w:color w:val="auto"/>
        </w:rPr>
        <w:t>m</w:t>
      </w:r>
      <w:r w:rsidR="007F2630">
        <w:rPr>
          <w:rFonts w:asciiTheme="minorHAnsi" w:hAnsiTheme="minorHAnsi" w:cstheme="minorHAnsi"/>
          <w:color w:val="auto"/>
        </w:rPr>
        <w:t>unication services are a vital public utility</w:t>
      </w:r>
      <w:r w:rsidR="008761A0">
        <w:rPr>
          <w:rFonts w:asciiTheme="minorHAnsi" w:hAnsiTheme="minorHAnsi" w:cstheme="minorHAnsi"/>
          <w:color w:val="auto"/>
        </w:rPr>
        <w:t xml:space="preserve"> and </w:t>
      </w:r>
      <w:r w:rsidR="007D7007">
        <w:rPr>
          <w:rFonts w:asciiTheme="minorHAnsi" w:hAnsiTheme="minorHAnsi" w:cstheme="minorHAnsi"/>
          <w:color w:val="auto"/>
        </w:rPr>
        <w:t xml:space="preserve">competition </w:t>
      </w:r>
      <w:r w:rsidR="00D00334">
        <w:rPr>
          <w:rFonts w:asciiTheme="minorHAnsi" w:hAnsiTheme="minorHAnsi" w:cstheme="minorHAnsi"/>
          <w:color w:val="auto"/>
        </w:rPr>
        <w:t>in the communications market</w:t>
      </w:r>
      <w:r w:rsidR="008761A0">
        <w:rPr>
          <w:rFonts w:asciiTheme="minorHAnsi" w:hAnsiTheme="minorHAnsi" w:cstheme="minorHAnsi"/>
          <w:color w:val="auto"/>
        </w:rPr>
        <w:t xml:space="preserve"> is imperative</w:t>
      </w:r>
      <w:r w:rsidR="00D00334">
        <w:rPr>
          <w:rFonts w:asciiTheme="minorHAnsi" w:hAnsiTheme="minorHAnsi" w:cstheme="minorHAnsi"/>
          <w:color w:val="auto"/>
        </w:rPr>
        <w:t xml:space="preserve">. </w:t>
      </w:r>
      <w:r w:rsidR="007D7007">
        <w:rPr>
          <w:rFonts w:asciiTheme="minorHAnsi" w:hAnsiTheme="minorHAnsi" w:cstheme="minorHAnsi"/>
          <w:color w:val="auto"/>
        </w:rPr>
        <w:t>It is important to ensure that end users are offered competitive services that me</w:t>
      </w:r>
      <w:r w:rsidR="007F2630">
        <w:rPr>
          <w:rFonts w:asciiTheme="minorHAnsi" w:hAnsiTheme="minorHAnsi" w:cstheme="minorHAnsi"/>
          <w:color w:val="auto"/>
        </w:rPr>
        <w:t>e</w:t>
      </w:r>
      <w:r w:rsidR="007D7007">
        <w:rPr>
          <w:rFonts w:asciiTheme="minorHAnsi" w:hAnsiTheme="minorHAnsi" w:cstheme="minorHAnsi"/>
          <w:color w:val="auto"/>
        </w:rPr>
        <w:t xml:space="preserve">t </w:t>
      </w:r>
      <w:r w:rsidR="009A069B">
        <w:rPr>
          <w:rFonts w:asciiTheme="minorHAnsi" w:hAnsiTheme="minorHAnsi" w:cstheme="minorHAnsi"/>
          <w:color w:val="auto"/>
        </w:rPr>
        <w:t>high standards</w:t>
      </w:r>
      <w:r w:rsidR="007D7007">
        <w:rPr>
          <w:rFonts w:asciiTheme="minorHAnsi" w:hAnsiTheme="minorHAnsi" w:cstheme="minorHAnsi"/>
          <w:color w:val="auto"/>
        </w:rPr>
        <w:t xml:space="preserve"> and that the regulatory framework do</w:t>
      </w:r>
      <w:r w:rsidR="00981F17">
        <w:rPr>
          <w:rFonts w:asciiTheme="minorHAnsi" w:hAnsiTheme="minorHAnsi" w:cstheme="minorHAnsi"/>
          <w:color w:val="auto"/>
        </w:rPr>
        <w:t>es</w:t>
      </w:r>
      <w:r w:rsidR="007D7007">
        <w:rPr>
          <w:rFonts w:asciiTheme="minorHAnsi" w:hAnsiTheme="minorHAnsi" w:cstheme="minorHAnsi"/>
          <w:color w:val="auto"/>
        </w:rPr>
        <w:t xml:space="preserve"> not </w:t>
      </w:r>
      <w:r w:rsidR="00981F17">
        <w:rPr>
          <w:rFonts w:asciiTheme="minorHAnsi" w:hAnsiTheme="minorHAnsi" w:cstheme="minorHAnsi"/>
          <w:color w:val="auto"/>
        </w:rPr>
        <w:t xml:space="preserve">have unintended consequences or </w:t>
      </w:r>
      <w:r w:rsidR="007D7007">
        <w:rPr>
          <w:rFonts w:asciiTheme="minorHAnsi" w:hAnsiTheme="minorHAnsi" w:cstheme="minorHAnsi"/>
          <w:color w:val="auto"/>
        </w:rPr>
        <w:t xml:space="preserve">impose unnecessary costs. </w:t>
      </w:r>
      <w:r w:rsidR="00981F17">
        <w:rPr>
          <w:rFonts w:asciiTheme="minorHAnsi" w:hAnsiTheme="minorHAnsi" w:cstheme="minorHAnsi"/>
          <w:color w:val="auto"/>
        </w:rPr>
        <w:t>N</w:t>
      </w:r>
      <w:r w:rsidR="0045421D">
        <w:rPr>
          <w:rFonts w:asciiTheme="minorHAnsi" w:hAnsiTheme="minorHAnsi" w:cstheme="minorHAnsi"/>
          <w:color w:val="auto"/>
        </w:rPr>
        <w:t xml:space="preserve">ew developments </w:t>
      </w:r>
      <w:r w:rsidR="00981F17">
        <w:rPr>
          <w:rFonts w:asciiTheme="minorHAnsi" w:hAnsiTheme="minorHAnsi" w:cstheme="minorHAnsi"/>
          <w:color w:val="auto"/>
        </w:rPr>
        <w:t>should be</w:t>
      </w:r>
      <w:r w:rsidR="0045421D">
        <w:rPr>
          <w:rFonts w:asciiTheme="minorHAnsi" w:hAnsiTheme="minorHAnsi" w:cstheme="minorHAnsi"/>
          <w:color w:val="auto"/>
        </w:rPr>
        <w:t xml:space="preserve"> connected to superfast broadband in the first instance</w:t>
      </w:r>
      <w:r w:rsidR="009A069B">
        <w:rPr>
          <w:rFonts w:asciiTheme="minorHAnsi" w:hAnsiTheme="minorHAnsi" w:cstheme="minorHAnsi"/>
          <w:color w:val="auto"/>
        </w:rPr>
        <w:t xml:space="preserve"> and </w:t>
      </w:r>
      <w:r w:rsidR="0045421D">
        <w:rPr>
          <w:rFonts w:asciiTheme="minorHAnsi" w:hAnsiTheme="minorHAnsi" w:cstheme="minorHAnsi"/>
          <w:color w:val="auto"/>
        </w:rPr>
        <w:t>not wait</w:t>
      </w:r>
      <w:r w:rsidR="009A069B">
        <w:rPr>
          <w:rFonts w:asciiTheme="minorHAnsi" w:hAnsiTheme="minorHAnsi" w:cstheme="minorHAnsi"/>
          <w:color w:val="auto"/>
        </w:rPr>
        <w:t>ing</w:t>
      </w:r>
      <w:r w:rsidR="0045421D">
        <w:rPr>
          <w:rFonts w:asciiTheme="minorHAnsi" w:hAnsiTheme="minorHAnsi" w:cstheme="minorHAnsi"/>
          <w:color w:val="auto"/>
        </w:rPr>
        <w:t xml:space="preserve"> for NBN Co to r</w:t>
      </w:r>
      <w:r w:rsidR="009A069B">
        <w:rPr>
          <w:rFonts w:asciiTheme="minorHAnsi" w:hAnsiTheme="minorHAnsi" w:cstheme="minorHAnsi"/>
          <w:color w:val="auto"/>
        </w:rPr>
        <w:t>each them</w:t>
      </w:r>
      <w:r w:rsidR="00981F17">
        <w:rPr>
          <w:rFonts w:asciiTheme="minorHAnsi" w:hAnsiTheme="minorHAnsi" w:cstheme="minorHAnsi"/>
          <w:color w:val="auto"/>
        </w:rPr>
        <w:t xml:space="preserve"> or install a lower quality infrastructure which nee</w:t>
      </w:r>
      <w:r w:rsidR="005D1B2B">
        <w:rPr>
          <w:rFonts w:asciiTheme="minorHAnsi" w:hAnsiTheme="minorHAnsi" w:cstheme="minorHAnsi"/>
          <w:color w:val="auto"/>
        </w:rPr>
        <w:t>ds to be retrofitted later. This is</w:t>
      </w:r>
      <w:r w:rsidR="0045421D">
        <w:rPr>
          <w:rFonts w:asciiTheme="minorHAnsi" w:hAnsiTheme="minorHAnsi" w:cstheme="minorHAnsi"/>
          <w:color w:val="auto"/>
        </w:rPr>
        <w:t xml:space="preserve"> inefficient, detrimental to </w:t>
      </w:r>
      <w:r w:rsidR="00BF28EA">
        <w:rPr>
          <w:rFonts w:asciiTheme="minorHAnsi" w:hAnsiTheme="minorHAnsi" w:cstheme="minorHAnsi"/>
          <w:color w:val="auto"/>
        </w:rPr>
        <w:t>end users</w:t>
      </w:r>
      <w:r w:rsidR="0045421D">
        <w:rPr>
          <w:rFonts w:asciiTheme="minorHAnsi" w:hAnsiTheme="minorHAnsi" w:cstheme="minorHAnsi"/>
          <w:color w:val="auto"/>
        </w:rPr>
        <w:t xml:space="preserve"> and likely to </w:t>
      </w:r>
      <w:r w:rsidR="00981F17">
        <w:rPr>
          <w:rFonts w:asciiTheme="minorHAnsi" w:hAnsiTheme="minorHAnsi" w:cstheme="minorHAnsi"/>
          <w:color w:val="auto"/>
        </w:rPr>
        <w:t>cost more in the long run</w:t>
      </w:r>
      <w:r w:rsidR="0045421D">
        <w:rPr>
          <w:rFonts w:asciiTheme="minorHAnsi" w:hAnsiTheme="minorHAnsi" w:cstheme="minorHAnsi"/>
          <w:color w:val="auto"/>
        </w:rPr>
        <w:t xml:space="preserve">. </w:t>
      </w:r>
      <w:r w:rsidR="007F2630">
        <w:rPr>
          <w:rFonts w:asciiTheme="minorHAnsi" w:hAnsiTheme="minorHAnsi" w:cstheme="minorHAnsi"/>
          <w:color w:val="auto"/>
        </w:rPr>
        <w:t xml:space="preserve">ACCAN </w:t>
      </w:r>
      <w:r w:rsidR="00F50673">
        <w:rPr>
          <w:rFonts w:asciiTheme="minorHAnsi" w:hAnsiTheme="minorHAnsi" w:cstheme="minorHAnsi"/>
          <w:color w:val="auto"/>
        </w:rPr>
        <w:t xml:space="preserve">would like to </w:t>
      </w:r>
      <w:r w:rsidR="007F2630">
        <w:rPr>
          <w:rFonts w:asciiTheme="minorHAnsi" w:hAnsiTheme="minorHAnsi" w:cstheme="minorHAnsi"/>
          <w:color w:val="auto"/>
        </w:rPr>
        <w:t xml:space="preserve">provide </w:t>
      </w:r>
      <w:r w:rsidR="00F50673">
        <w:rPr>
          <w:rFonts w:asciiTheme="minorHAnsi" w:hAnsiTheme="minorHAnsi" w:cstheme="minorHAnsi"/>
          <w:color w:val="auto"/>
        </w:rPr>
        <w:t xml:space="preserve">a number of </w:t>
      </w:r>
      <w:r w:rsidR="007F2630">
        <w:rPr>
          <w:rFonts w:asciiTheme="minorHAnsi" w:hAnsiTheme="minorHAnsi" w:cstheme="minorHAnsi"/>
          <w:color w:val="auto"/>
        </w:rPr>
        <w:t>comments</w:t>
      </w:r>
      <w:r w:rsidR="00F50673">
        <w:rPr>
          <w:rFonts w:asciiTheme="minorHAnsi" w:hAnsiTheme="minorHAnsi" w:cstheme="minorHAnsi"/>
          <w:color w:val="auto"/>
        </w:rPr>
        <w:t xml:space="preserve"> in relation to th</w:t>
      </w:r>
      <w:r w:rsidR="00221085">
        <w:rPr>
          <w:rFonts w:asciiTheme="minorHAnsi" w:hAnsiTheme="minorHAnsi" w:cstheme="minorHAnsi"/>
          <w:color w:val="auto"/>
        </w:rPr>
        <w:t>e</w:t>
      </w:r>
      <w:r>
        <w:rPr>
          <w:rFonts w:asciiTheme="minorHAnsi" w:hAnsiTheme="minorHAnsi" w:cstheme="minorHAnsi"/>
          <w:color w:val="auto"/>
        </w:rPr>
        <w:t xml:space="preserve"> policy update</w:t>
      </w:r>
      <w:r w:rsidR="00221085">
        <w:rPr>
          <w:rFonts w:asciiTheme="minorHAnsi" w:hAnsiTheme="minorHAnsi" w:cstheme="minorHAnsi"/>
          <w:color w:val="auto"/>
        </w:rPr>
        <w:t>.</w:t>
      </w:r>
    </w:p>
    <w:p w:rsidR="00F50673" w:rsidRDefault="00F50673" w:rsidP="00F50673">
      <w:pPr>
        <w:pStyle w:val="Heading3"/>
      </w:pPr>
      <w:r>
        <w:t>Charge</w:t>
      </w:r>
      <w:r w:rsidR="00C23063">
        <w:t>s</w:t>
      </w:r>
    </w:p>
    <w:p w:rsidR="00F50673" w:rsidRDefault="00F50673" w:rsidP="00C23063">
      <w:pPr>
        <w:pStyle w:val="BodyText1"/>
        <w:jc w:val="both"/>
        <w:rPr>
          <w:rFonts w:asciiTheme="minorHAnsi" w:hAnsiTheme="minorHAnsi" w:cstheme="minorHAnsi"/>
          <w:color w:val="auto"/>
        </w:rPr>
      </w:pPr>
      <w:r>
        <w:rPr>
          <w:rFonts w:asciiTheme="minorHAnsi" w:hAnsiTheme="minorHAnsi" w:cstheme="minorHAnsi"/>
          <w:color w:val="auto"/>
        </w:rPr>
        <w:t xml:space="preserve">The policy update proposes a $300 connection charge that is the responsibility of the RSP and passed onto the owner. </w:t>
      </w:r>
      <w:r w:rsidR="009315B6">
        <w:rPr>
          <w:rFonts w:asciiTheme="minorHAnsi" w:hAnsiTheme="minorHAnsi" w:cstheme="minorHAnsi"/>
          <w:color w:val="auto"/>
        </w:rPr>
        <w:t xml:space="preserve">This appears to imply that the landlord would be responsible in an owner/tenant situation. </w:t>
      </w:r>
      <w:r w:rsidR="008703B9">
        <w:rPr>
          <w:rFonts w:asciiTheme="minorHAnsi" w:hAnsiTheme="minorHAnsi" w:cstheme="minorHAnsi"/>
          <w:color w:val="auto"/>
        </w:rPr>
        <w:t>Currently</w:t>
      </w:r>
      <w:r w:rsidR="009A113B">
        <w:rPr>
          <w:rFonts w:asciiTheme="minorHAnsi" w:hAnsiTheme="minorHAnsi" w:cstheme="minorHAnsi"/>
          <w:color w:val="auto"/>
        </w:rPr>
        <w:t>, as we understand</w:t>
      </w:r>
      <w:r w:rsidR="00EA1D33">
        <w:rPr>
          <w:rFonts w:asciiTheme="minorHAnsi" w:hAnsiTheme="minorHAnsi" w:cstheme="minorHAnsi"/>
          <w:color w:val="auto"/>
        </w:rPr>
        <w:t xml:space="preserve"> it</w:t>
      </w:r>
      <w:r w:rsidR="009A113B">
        <w:rPr>
          <w:rFonts w:asciiTheme="minorHAnsi" w:hAnsiTheme="minorHAnsi" w:cstheme="minorHAnsi"/>
          <w:color w:val="auto"/>
        </w:rPr>
        <w:t>,</w:t>
      </w:r>
      <w:r w:rsidR="008703B9">
        <w:rPr>
          <w:rFonts w:asciiTheme="minorHAnsi" w:hAnsiTheme="minorHAnsi" w:cstheme="minorHAnsi"/>
          <w:color w:val="auto"/>
        </w:rPr>
        <w:t xml:space="preserve"> t</w:t>
      </w:r>
      <w:r w:rsidR="00D016CB">
        <w:rPr>
          <w:rFonts w:asciiTheme="minorHAnsi" w:hAnsiTheme="minorHAnsi" w:cstheme="minorHAnsi"/>
          <w:color w:val="auto"/>
        </w:rPr>
        <w:t xml:space="preserve">he </w:t>
      </w:r>
      <w:r w:rsidR="009315B6">
        <w:rPr>
          <w:rFonts w:asciiTheme="minorHAnsi" w:hAnsiTheme="minorHAnsi" w:cstheme="minorHAnsi"/>
          <w:color w:val="auto"/>
        </w:rPr>
        <w:t xml:space="preserve">connection </w:t>
      </w:r>
      <w:r w:rsidR="00D016CB">
        <w:rPr>
          <w:rFonts w:asciiTheme="minorHAnsi" w:hAnsiTheme="minorHAnsi" w:cstheme="minorHAnsi"/>
          <w:color w:val="auto"/>
        </w:rPr>
        <w:t>charge</w:t>
      </w:r>
      <w:r w:rsidR="009315B6">
        <w:rPr>
          <w:rFonts w:asciiTheme="minorHAnsi" w:hAnsiTheme="minorHAnsi" w:cstheme="minorHAnsi"/>
          <w:color w:val="auto"/>
        </w:rPr>
        <w:t xml:space="preserve"> for Telstra</w:t>
      </w:r>
      <w:r w:rsidR="00D016CB">
        <w:rPr>
          <w:rFonts w:asciiTheme="minorHAnsi" w:hAnsiTheme="minorHAnsi" w:cstheme="minorHAnsi"/>
          <w:color w:val="auto"/>
        </w:rPr>
        <w:t xml:space="preserve"> is passed onto tenants but </w:t>
      </w:r>
      <w:r w:rsidR="00C23063">
        <w:rPr>
          <w:rFonts w:asciiTheme="minorHAnsi" w:hAnsiTheme="minorHAnsi" w:cstheme="minorHAnsi"/>
          <w:color w:val="auto"/>
        </w:rPr>
        <w:t xml:space="preserve">this is </w:t>
      </w:r>
      <w:r w:rsidR="00D016CB">
        <w:rPr>
          <w:rFonts w:asciiTheme="minorHAnsi" w:hAnsiTheme="minorHAnsi" w:cstheme="minorHAnsi"/>
          <w:color w:val="auto"/>
        </w:rPr>
        <w:t>not</w:t>
      </w:r>
      <w:r w:rsidR="00C23063">
        <w:rPr>
          <w:rFonts w:asciiTheme="minorHAnsi" w:hAnsiTheme="minorHAnsi" w:cstheme="minorHAnsi"/>
          <w:color w:val="auto"/>
        </w:rPr>
        <w:t xml:space="preserve"> the case</w:t>
      </w:r>
      <w:r w:rsidR="00D016CB">
        <w:rPr>
          <w:rFonts w:asciiTheme="minorHAnsi" w:hAnsiTheme="minorHAnsi" w:cstheme="minorHAnsi"/>
          <w:color w:val="auto"/>
        </w:rPr>
        <w:t xml:space="preserve"> for other utilities</w:t>
      </w:r>
      <w:r w:rsidR="009315B6">
        <w:rPr>
          <w:rFonts w:asciiTheme="minorHAnsi" w:hAnsiTheme="minorHAnsi" w:cstheme="minorHAnsi"/>
          <w:color w:val="auto"/>
        </w:rPr>
        <w:t xml:space="preserve"> which are the responsibility of the owner/landlord</w:t>
      </w:r>
      <w:r w:rsidR="009315B6">
        <w:rPr>
          <w:rStyle w:val="FootnoteReference"/>
          <w:rFonts w:asciiTheme="minorHAnsi" w:hAnsiTheme="minorHAnsi" w:cstheme="minorHAnsi"/>
          <w:color w:val="auto"/>
        </w:rPr>
        <w:footnoteReference w:id="1"/>
      </w:r>
      <w:r w:rsidR="00D016CB">
        <w:rPr>
          <w:rFonts w:asciiTheme="minorHAnsi" w:hAnsiTheme="minorHAnsi" w:cstheme="minorHAnsi"/>
          <w:color w:val="auto"/>
        </w:rPr>
        <w:t xml:space="preserve">. </w:t>
      </w:r>
      <w:r w:rsidR="008703B9">
        <w:rPr>
          <w:rFonts w:asciiTheme="minorHAnsi" w:hAnsiTheme="minorHAnsi" w:cstheme="minorHAnsi"/>
          <w:color w:val="auto"/>
        </w:rPr>
        <w:t xml:space="preserve">ACCAN would support the </w:t>
      </w:r>
      <w:r w:rsidR="00D1440C">
        <w:rPr>
          <w:rFonts w:asciiTheme="minorHAnsi" w:hAnsiTheme="minorHAnsi" w:cstheme="minorHAnsi"/>
          <w:color w:val="auto"/>
        </w:rPr>
        <w:t xml:space="preserve">connection </w:t>
      </w:r>
      <w:r w:rsidR="008703B9">
        <w:rPr>
          <w:rFonts w:asciiTheme="minorHAnsi" w:hAnsiTheme="minorHAnsi" w:cstheme="minorHAnsi"/>
          <w:color w:val="auto"/>
        </w:rPr>
        <w:t>charge being levied on owners</w:t>
      </w:r>
      <w:r w:rsidR="009315B6">
        <w:rPr>
          <w:rFonts w:asciiTheme="minorHAnsi" w:hAnsiTheme="minorHAnsi" w:cstheme="minorHAnsi"/>
          <w:color w:val="auto"/>
        </w:rPr>
        <w:t>/</w:t>
      </w:r>
      <w:r w:rsidR="008703B9">
        <w:rPr>
          <w:rFonts w:asciiTheme="minorHAnsi" w:hAnsiTheme="minorHAnsi" w:cstheme="minorHAnsi"/>
          <w:color w:val="auto"/>
        </w:rPr>
        <w:t>landlords</w:t>
      </w:r>
      <w:r w:rsidR="00041765">
        <w:rPr>
          <w:rFonts w:asciiTheme="minorHAnsi" w:hAnsiTheme="minorHAnsi" w:cstheme="minorHAnsi"/>
          <w:color w:val="auto"/>
        </w:rPr>
        <w:t xml:space="preserve"> and would </w:t>
      </w:r>
      <w:r w:rsidR="00407A53">
        <w:rPr>
          <w:rFonts w:asciiTheme="minorHAnsi" w:hAnsiTheme="minorHAnsi" w:cstheme="minorHAnsi"/>
          <w:color w:val="auto"/>
        </w:rPr>
        <w:t>welcome further</w:t>
      </w:r>
      <w:r w:rsidR="00041765">
        <w:rPr>
          <w:rFonts w:asciiTheme="minorHAnsi" w:hAnsiTheme="minorHAnsi" w:cstheme="minorHAnsi"/>
          <w:color w:val="auto"/>
        </w:rPr>
        <w:t xml:space="preserve"> clarity </w:t>
      </w:r>
      <w:r w:rsidR="00F31F4C">
        <w:rPr>
          <w:rFonts w:asciiTheme="minorHAnsi" w:hAnsiTheme="minorHAnsi" w:cstheme="minorHAnsi"/>
          <w:color w:val="auto"/>
        </w:rPr>
        <w:t>that this is the case</w:t>
      </w:r>
      <w:r w:rsidR="005D1B2B">
        <w:rPr>
          <w:rFonts w:asciiTheme="minorHAnsi" w:hAnsiTheme="minorHAnsi" w:cstheme="minorHAnsi"/>
          <w:color w:val="auto"/>
        </w:rPr>
        <w:t xml:space="preserve"> proposed here</w:t>
      </w:r>
      <w:r w:rsidR="009315B6">
        <w:rPr>
          <w:rFonts w:asciiTheme="minorHAnsi" w:hAnsiTheme="minorHAnsi" w:cstheme="minorHAnsi"/>
          <w:color w:val="auto"/>
        </w:rPr>
        <w:t>.</w:t>
      </w:r>
      <w:r w:rsidR="00D1440C">
        <w:rPr>
          <w:rFonts w:asciiTheme="minorHAnsi" w:hAnsiTheme="minorHAnsi" w:cstheme="minorHAnsi"/>
          <w:color w:val="auto"/>
        </w:rPr>
        <w:t xml:space="preserve"> </w:t>
      </w:r>
      <w:r w:rsidR="009A113B">
        <w:rPr>
          <w:rFonts w:asciiTheme="minorHAnsi" w:hAnsiTheme="minorHAnsi" w:cstheme="minorHAnsi"/>
          <w:color w:val="auto"/>
        </w:rPr>
        <w:t xml:space="preserve">We are concerned that if this were not the case, low income tenants could be disadvantaged by the cost barrier of </w:t>
      </w:r>
      <w:r w:rsidR="00EA1D33">
        <w:rPr>
          <w:rFonts w:asciiTheme="minorHAnsi" w:hAnsiTheme="minorHAnsi" w:cstheme="minorHAnsi"/>
          <w:color w:val="auto"/>
        </w:rPr>
        <w:t xml:space="preserve">the </w:t>
      </w:r>
      <w:r w:rsidR="009A113B">
        <w:rPr>
          <w:rFonts w:asciiTheme="minorHAnsi" w:hAnsiTheme="minorHAnsi" w:cstheme="minorHAnsi"/>
          <w:color w:val="auto"/>
        </w:rPr>
        <w:t>connection</w:t>
      </w:r>
      <w:r w:rsidR="00EA1D33">
        <w:rPr>
          <w:rFonts w:asciiTheme="minorHAnsi" w:hAnsiTheme="minorHAnsi" w:cstheme="minorHAnsi"/>
          <w:color w:val="auto"/>
        </w:rPr>
        <w:t xml:space="preserve"> fee</w:t>
      </w:r>
      <w:r w:rsidR="00A67DD5">
        <w:rPr>
          <w:rFonts w:asciiTheme="minorHAnsi" w:hAnsiTheme="minorHAnsi" w:cstheme="minorHAnsi"/>
          <w:color w:val="auto"/>
        </w:rPr>
        <w:t>.</w:t>
      </w:r>
      <w:r w:rsidR="00EA1D33">
        <w:rPr>
          <w:rFonts w:asciiTheme="minorHAnsi" w:hAnsiTheme="minorHAnsi" w:cstheme="minorHAnsi"/>
          <w:color w:val="auto"/>
        </w:rPr>
        <w:t xml:space="preserve"> </w:t>
      </w:r>
      <w:r w:rsidR="00A91B7A">
        <w:rPr>
          <w:rFonts w:asciiTheme="minorHAnsi" w:hAnsiTheme="minorHAnsi" w:cstheme="minorHAnsi"/>
          <w:color w:val="auto"/>
        </w:rPr>
        <w:t xml:space="preserve">Tenants often rely on mobile broadband due to a number of </w:t>
      </w:r>
      <w:r w:rsidR="00BF28EA">
        <w:rPr>
          <w:rFonts w:asciiTheme="minorHAnsi" w:hAnsiTheme="minorHAnsi" w:cstheme="minorHAnsi"/>
          <w:color w:val="auto"/>
        </w:rPr>
        <w:t xml:space="preserve">barriers </w:t>
      </w:r>
      <w:r w:rsidR="008761A0">
        <w:rPr>
          <w:rFonts w:asciiTheme="minorHAnsi" w:hAnsiTheme="minorHAnsi" w:cstheme="minorHAnsi"/>
          <w:color w:val="auto"/>
        </w:rPr>
        <w:t xml:space="preserve">faced; </w:t>
      </w:r>
      <w:r w:rsidR="00A91B7A">
        <w:rPr>
          <w:rFonts w:asciiTheme="minorHAnsi" w:hAnsiTheme="minorHAnsi" w:cstheme="minorHAnsi"/>
          <w:color w:val="auto"/>
        </w:rPr>
        <w:t>having the c</w:t>
      </w:r>
      <w:r w:rsidR="00A67DD5">
        <w:rPr>
          <w:rFonts w:asciiTheme="minorHAnsi" w:hAnsiTheme="minorHAnsi" w:cstheme="minorHAnsi"/>
          <w:color w:val="auto"/>
        </w:rPr>
        <w:t>onnection fee imposed on them would</w:t>
      </w:r>
      <w:r w:rsidR="00A91B7A">
        <w:rPr>
          <w:rFonts w:asciiTheme="minorHAnsi" w:hAnsiTheme="minorHAnsi" w:cstheme="minorHAnsi"/>
          <w:color w:val="auto"/>
        </w:rPr>
        <w:t xml:space="preserve"> </w:t>
      </w:r>
      <w:r w:rsidR="008761A0">
        <w:rPr>
          <w:rFonts w:asciiTheme="minorHAnsi" w:hAnsiTheme="minorHAnsi" w:cstheme="minorHAnsi"/>
          <w:color w:val="auto"/>
        </w:rPr>
        <w:t xml:space="preserve">further </w:t>
      </w:r>
      <w:r w:rsidR="00BF28EA">
        <w:rPr>
          <w:rFonts w:asciiTheme="minorHAnsi" w:hAnsiTheme="minorHAnsi" w:cstheme="minorHAnsi"/>
          <w:color w:val="auto"/>
        </w:rPr>
        <w:t xml:space="preserve">compound </w:t>
      </w:r>
      <w:r w:rsidR="00A91B7A">
        <w:rPr>
          <w:rFonts w:asciiTheme="minorHAnsi" w:hAnsiTheme="minorHAnsi" w:cstheme="minorHAnsi"/>
          <w:color w:val="auto"/>
        </w:rPr>
        <w:t>this.</w:t>
      </w:r>
      <w:r w:rsidR="00A67DD5" w:rsidRPr="00A67DD5">
        <w:rPr>
          <w:rFonts w:asciiTheme="minorHAnsi" w:hAnsiTheme="minorHAnsi" w:cstheme="minorHAnsi"/>
          <w:color w:val="auto"/>
        </w:rPr>
        <w:t xml:space="preserve"> </w:t>
      </w:r>
      <w:r w:rsidR="00A67DD5">
        <w:rPr>
          <w:rFonts w:asciiTheme="minorHAnsi" w:hAnsiTheme="minorHAnsi" w:cstheme="minorHAnsi"/>
          <w:color w:val="auto"/>
        </w:rPr>
        <w:t>After all</w:t>
      </w:r>
      <w:r w:rsidR="00FF2E56">
        <w:rPr>
          <w:rFonts w:asciiTheme="minorHAnsi" w:hAnsiTheme="minorHAnsi" w:cstheme="minorHAnsi"/>
          <w:color w:val="auto"/>
        </w:rPr>
        <w:t>,</w:t>
      </w:r>
      <w:r w:rsidR="00A67DD5">
        <w:rPr>
          <w:rFonts w:asciiTheme="minorHAnsi" w:hAnsiTheme="minorHAnsi" w:cstheme="minorHAnsi"/>
          <w:color w:val="auto"/>
        </w:rPr>
        <w:t xml:space="preserve"> the connection charge is a building fixture to supply an essential service.</w:t>
      </w:r>
    </w:p>
    <w:p w:rsidR="000547B3" w:rsidRDefault="00041765" w:rsidP="00C23063">
      <w:pPr>
        <w:pStyle w:val="BodyText1"/>
        <w:jc w:val="both"/>
        <w:rPr>
          <w:rFonts w:asciiTheme="minorHAnsi" w:hAnsiTheme="minorHAnsi" w:cstheme="minorHAnsi"/>
          <w:color w:val="auto"/>
        </w:rPr>
      </w:pPr>
      <w:r>
        <w:rPr>
          <w:rFonts w:asciiTheme="minorHAnsi" w:hAnsiTheme="minorHAnsi" w:cstheme="minorHAnsi"/>
          <w:color w:val="auto"/>
        </w:rPr>
        <w:t>We are unsure why t</w:t>
      </w:r>
      <w:r w:rsidR="00C23063">
        <w:rPr>
          <w:rFonts w:asciiTheme="minorHAnsi" w:hAnsiTheme="minorHAnsi" w:cstheme="minorHAnsi"/>
          <w:color w:val="auto"/>
        </w:rPr>
        <w:t xml:space="preserve">he </w:t>
      </w:r>
      <w:r w:rsidR="00A91B7A">
        <w:rPr>
          <w:rFonts w:asciiTheme="minorHAnsi" w:hAnsiTheme="minorHAnsi" w:cstheme="minorHAnsi"/>
          <w:color w:val="auto"/>
        </w:rPr>
        <w:t xml:space="preserve">infrastructure </w:t>
      </w:r>
      <w:r w:rsidR="00C23063">
        <w:rPr>
          <w:rFonts w:asciiTheme="minorHAnsi" w:hAnsiTheme="minorHAnsi" w:cstheme="minorHAnsi"/>
          <w:color w:val="auto"/>
        </w:rPr>
        <w:t xml:space="preserve">co-contribution </w:t>
      </w:r>
      <w:r w:rsidR="00BF28EA">
        <w:rPr>
          <w:rFonts w:asciiTheme="minorHAnsi" w:hAnsiTheme="minorHAnsi" w:cstheme="minorHAnsi"/>
          <w:color w:val="auto"/>
        </w:rPr>
        <w:t>charges for wireless/satellite are</w:t>
      </w:r>
      <w:r>
        <w:rPr>
          <w:rFonts w:asciiTheme="minorHAnsi" w:hAnsiTheme="minorHAnsi" w:cstheme="minorHAnsi"/>
          <w:color w:val="auto"/>
        </w:rPr>
        <w:t xml:space="preserve"> </w:t>
      </w:r>
      <w:r w:rsidR="00C23063">
        <w:rPr>
          <w:rFonts w:asciiTheme="minorHAnsi" w:hAnsiTheme="minorHAnsi" w:cstheme="minorHAnsi"/>
          <w:color w:val="auto"/>
        </w:rPr>
        <w:t>the responsibility of the developer and owner</w:t>
      </w:r>
      <w:r>
        <w:rPr>
          <w:rFonts w:asciiTheme="minorHAnsi" w:hAnsiTheme="minorHAnsi" w:cstheme="minorHAnsi"/>
          <w:color w:val="auto"/>
        </w:rPr>
        <w:t xml:space="preserve"> and not only the developer</w:t>
      </w:r>
      <w:r w:rsidR="00F31F4C">
        <w:rPr>
          <w:rFonts w:asciiTheme="minorHAnsi" w:hAnsiTheme="minorHAnsi" w:cstheme="minorHAnsi"/>
          <w:color w:val="auto"/>
        </w:rPr>
        <w:t>,</w:t>
      </w:r>
      <w:r>
        <w:rPr>
          <w:rFonts w:asciiTheme="minorHAnsi" w:hAnsiTheme="minorHAnsi" w:cstheme="minorHAnsi"/>
          <w:color w:val="auto"/>
        </w:rPr>
        <w:t xml:space="preserve"> as with the other charges.</w:t>
      </w:r>
      <w:r w:rsidRPr="00041765">
        <w:rPr>
          <w:rFonts w:asciiTheme="minorHAnsi" w:hAnsiTheme="minorHAnsi" w:cstheme="minorHAnsi"/>
          <w:color w:val="auto"/>
        </w:rPr>
        <w:t xml:space="preserve"> </w:t>
      </w:r>
      <w:r w:rsidR="00407A53">
        <w:rPr>
          <w:rFonts w:asciiTheme="minorHAnsi" w:hAnsiTheme="minorHAnsi" w:cstheme="minorHAnsi"/>
          <w:color w:val="auto"/>
        </w:rPr>
        <w:t xml:space="preserve">The contribution that the owner is liable for </w:t>
      </w:r>
      <w:r w:rsidR="00F31F4C">
        <w:rPr>
          <w:rFonts w:asciiTheme="minorHAnsi" w:hAnsiTheme="minorHAnsi" w:cstheme="minorHAnsi"/>
          <w:color w:val="auto"/>
        </w:rPr>
        <w:t>appears to be at the discretion</w:t>
      </w:r>
      <w:r w:rsidR="00407A53">
        <w:rPr>
          <w:rFonts w:asciiTheme="minorHAnsi" w:hAnsiTheme="minorHAnsi" w:cstheme="minorHAnsi"/>
          <w:color w:val="auto"/>
        </w:rPr>
        <w:t xml:space="preserve"> of the developer. </w:t>
      </w:r>
      <w:r>
        <w:rPr>
          <w:rFonts w:asciiTheme="minorHAnsi" w:hAnsiTheme="minorHAnsi" w:cstheme="minorHAnsi"/>
          <w:color w:val="auto"/>
        </w:rPr>
        <w:t>There does</w:t>
      </w:r>
      <w:r w:rsidR="0046439D">
        <w:rPr>
          <w:rFonts w:asciiTheme="minorHAnsi" w:hAnsiTheme="minorHAnsi" w:cstheme="minorHAnsi"/>
          <w:color w:val="auto"/>
        </w:rPr>
        <w:t xml:space="preserve"> </w:t>
      </w:r>
      <w:r w:rsidRPr="002F22DD">
        <w:rPr>
          <w:rFonts w:asciiTheme="minorHAnsi" w:hAnsiTheme="minorHAnsi" w:cstheme="minorHAnsi"/>
          <w:color w:val="auto"/>
        </w:rPr>
        <w:t>n</w:t>
      </w:r>
      <w:r w:rsidR="0046439D" w:rsidRPr="002F22DD">
        <w:rPr>
          <w:rFonts w:asciiTheme="minorHAnsi" w:hAnsiTheme="minorHAnsi" w:cstheme="minorHAnsi"/>
          <w:color w:val="auto"/>
        </w:rPr>
        <w:t>o</w:t>
      </w:r>
      <w:r w:rsidRPr="002F22DD">
        <w:rPr>
          <w:rFonts w:asciiTheme="minorHAnsi" w:hAnsiTheme="minorHAnsi" w:cstheme="minorHAnsi"/>
          <w:color w:val="auto"/>
        </w:rPr>
        <w:t>t</w:t>
      </w:r>
      <w:r>
        <w:rPr>
          <w:rFonts w:asciiTheme="minorHAnsi" w:hAnsiTheme="minorHAnsi" w:cstheme="minorHAnsi"/>
          <w:color w:val="auto"/>
        </w:rPr>
        <w:t xml:space="preserve"> appear to be a cap or guideline</w:t>
      </w:r>
      <w:r w:rsidR="00E02A08">
        <w:rPr>
          <w:rFonts w:asciiTheme="minorHAnsi" w:hAnsiTheme="minorHAnsi" w:cstheme="minorHAnsi"/>
          <w:color w:val="auto"/>
        </w:rPr>
        <w:t>s</w:t>
      </w:r>
      <w:r>
        <w:rPr>
          <w:rFonts w:asciiTheme="minorHAnsi" w:hAnsiTheme="minorHAnsi" w:cstheme="minorHAnsi"/>
          <w:color w:val="auto"/>
        </w:rPr>
        <w:t xml:space="preserve"> on how much </w:t>
      </w:r>
      <w:r w:rsidR="00E02A08">
        <w:rPr>
          <w:rFonts w:asciiTheme="minorHAnsi" w:hAnsiTheme="minorHAnsi" w:cstheme="minorHAnsi"/>
          <w:color w:val="auto"/>
        </w:rPr>
        <w:t xml:space="preserve">the developer can pass onto the owner and at what stage the owner is notified. </w:t>
      </w:r>
      <w:r w:rsidR="0080355E">
        <w:rPr>
          <w:rFonts w:asciiTheme="minorHAnsi" w:hAnsiTheme="minorHAnsi" w:cstheme="minorHAnsi"/>
          <w:color w:val="auto"/>
        </w:rPr>
        <w:t>This goes against the desire for developers to consider the additional infrastructure cost of the location if it is not in the fixed line footprint</w:t>
      </w:r>
      <w:r w:rsidR="00F31F4C">
        <w:rPr>
          <w:rFonts w:asciiTheme="minorHAnsi" w:hAnsiTheme="minorHAnsi" w:cstheme="minorHAnsi"/>
          <w:color w:val="auto"/>
        </w:rPr>
        <w:t>. U</w:t>
      </w:r>
      <w:r w:rsidR="0080355E">
        <w:rPr>
          <w:rFonts w:asciiTheme="minorHAnsi" w:hAnsiTheme="minorHAnsi" w:cstheme="minorHAnsi"/>
          <w:color w:val="auto"/>
        </w:rPr>
        <w:t xml:space="preserve">nder the current </w:t>
      </w:r>
      <w:r w:rsidR="00F31F4C">
        <w:rPr>
          <w:rFonts w:asciiTheme="minorHAnsi" w:hAnsiTheme="minorHAnsi" w:cstheme="minorHAnsi"/>
          <w:color w:val="auto"/>
        </w:rPr>
        <w:t>arrangements it appears that</w:t>
      </w:r>
      <w:r w:rsidR="0080355E">
        <w:rPr>
          <w:rFonts w:asciiTheme="minorHAnsi" w:hAnsiTheme="minorHAnsi" w:cstheme="minorHAnsi"/>
          <w:color w:val="auto"/>
        </w:rPr>
        <w:t xml:space="preserve"> </w:t>
      </w:r>
      <w:r w:rsidR="00A91B7A">
        <w:rPr>
          <w:rFonts w:asciiTheme="minorHAnsi" w:hAnsiTheme="minorHAnsi" w:cstheme="minorHAnsi"/>
          <w:color w:val="auto"/>
        </w:rPr>
        <w:t xml:space="preserve">developers </w:t>
      </w:r>
      <w:r w:rsidR="0080355E">
        <w:rPr>
          <w:rFonts w:asciiTheme="minorHAnsi" w:hAnsiTheme="minorHAnsi" w:cstheme="minorHAnsi"/>
          <w:color w:val="auto"/>
        </w:rPr>
        <w:t>can pass the entire cost to the owner</w:t>
      </w:r>
      <w:r w:rsidR="00A91B7A">
        <w:rPr>
          <w:rFonts w:asciiTheme="minorHAnsi" w:hAnsiTheme="minorHAnsi" w:cstheme="minorHAnsi"/>
          <w:color w:val="auto"/>
        </w:rPr>
        <w:t>, which could have the inadvertent effect of promoting</w:t>
      </w:r>
      <w:r w:rsidR="00F31F4C">
        <w:rPr>
          <w:rFonts w:asciiTheme="minorHAnsi" w:hAnsiTheme="minorHAnsi" w:cstheme="minorHAnsi"/>
          <w:color w:val="auto"/>
        </w:rPr>
        <w:t xml:space="preserve"> development outside the fixed line footprint</w:t>
      </w:r>
      <w:r w:rsidR="0080355E">
        <w:rPr>
          <w:rFonts w:asciiTheme="minorHAnsi" w:hAnsiTheme="minorHAnsi" w:cstheme="minorHAnsi"/>
          <w:color w:val="auto"/>
        </w:rPr>
        <w:t xml:space="preserve">. </w:t>
      </w:r>
      <w:r w:rsidR="00A91B7A">
        <w:rPr>
          <w:rFonts w:asciiTheme="minorHAnsi" w:hAnsiTheme="minorHAnsi" w:cstheme="minorHAnsi"/>
          <w:color w:val="auto"/>
        </w:rPr>
        <w:t>This lack of clarity means that</w:t>
      </w:r>
      <w:r w:rsidR="0080355E">
        <w:rPr>
          <w:rFonts w:asciiTheme="minorHAnsi" w:hAnsiTheme="minorHAnsi" w:cstheme="minorHAnsi"/>
          <w:color w:val="auto"/>
        </w:rPr>
        <w:t xml:space="preserve"> owners may be unaware of these charges when purchasing the property</w:t>
      </w:r>
      <w:r w:rsidR="00F31F4C">
        <w:rPr>
          <w:rFonts w:asciiTheme="minorHAnsi" w:hAnsiTheme="minorHAnsi" w:cstheme="minorHAnsi"/>
          <w:color w:val="auto"/>
        </w:rPr>
        <w:t xml:space="preserve"> and </w:t>
      </w:r>
      <w:r w:rsidR="00A91B7A">
        <w:rPr>
          <w:rFonts w:asciiTheme="minorHAnsi" w:hAnsiTheme="minorHAnsi" w:cstheme="minorHAnsi"/>
          <w:color w:val="auto"/>
        </w:rPr>
        <w:t xml:space="preserve">this could </w:t>
      </w:r>
      <w:r w:rsidR="00F31F4C">
        <w:rPr>
          <w:rFonts w:asciiTheme="minorHAnsi" w:hAnsiTheme="minorHAnsi" w:cstheme="minorHAnsi"/>
          <w:color w:val="auto"/>
        </w:rPr>
        <w:t xml:space="preserve">cause disputes </w:t>
      </w:r>
      <w:r w:rsidR="006567A9">
        <w:rPr>
          <w:rFonts w:asciiTheme="minorHAnsi" w:hAnsiTheme="minorHAnsi" w:cstheme="minorHAnsi"/>
          <w:color w:val="auto"/>
        </w:rPr>
        <w:t>between owners and developers</w:t>
      </w:r>
      <w:r w:rsidR="005D1B2B">
        <w:rPr>
          <w:rFonts w:asciiTheme="minorHAnsi" w:hAnsiTheme="minorHAnsi" w:cstheme="minorHAnsi"/>
          <w:color w:val="auto"/>
        </w:rPr>
        <w:t xml:space="preserve"> - </w:t>
      </w:r>
      <w:r w:rsidR="00F31F4C">
        <w:rPr>
          <w:rFonts w:asciiTheme="minorHAnsi" w:hAnsiTheme="minorHAnsi" w:cstheme="minorHAnsi"/>
          <w:color w:val="auto"/>
        </w:rPr>
        <w:t xml:space="preserve">some </w:t>
      </w:r>
      <w:r w:rsidR="005D1B2B">
        <w:rPr>
          <w:rFonts w:asciiTheme="minorHAnsi" w:hAnsiTheme="minorHAnsi" w:cstheme="minorHAnsi"/>
          <w:color w:val="auto"/>
        </w:rPr>
        <w:t>owners</w:t>
      </w:r>
      <w:r w:rsidR="00F31F4C">
        <w:rPr>
          <w:rFonts w:asciiTheme="minorHAnsi" w:hAnsiTheme="minorHAnsi" w:cstheme="minorHAnsi"/>
          <w:color w:val="auto"/>
        </w:rPr>
        <w:t xml:space="preserve"> in the development</w:t>
      </w:r>
      <w:r w:rsidR="005D1B2B">
        <w:rPr>
          <w:rFonts w:asciiTheme="minorHAnsi" w:hAnsiTheme="minorHAnsi" w:cstheme="minorHAnsi"/>
          <w:color w:val="auto"/>
        </w:rPr>
        <w:t xml:space="preserve"> may</w:t>
      </w:r>
      <w:r w:rsidR="005B7C79">
        <w:rPr>
          <w:rFonts w:asciiTheme="minorHAnsi" w:hAnsiTheme="minorHAnsi" w:cstheme="minorHAnsi"/>
          <w:color w:val="auto"/>
        </w:rPr>
        <w:t xml:space="preserve"> cho</w:t>
      </w:r>
      <w:r w:rsidR="00F305D6">
        <w:rPr>
          <w:rFonts w:asciiTheme="minorHAnsi" w:hAnsiTheme="minorHAnsi" w:cstheme="minorHAnsi"/>
          <w:color w:val="auto"/>
        </w:rPr>
        <w:t>o</w:t>
      </w:r>
      <w:r w:rsidR="005B7C79">
        <w:rPr>
          <w:rFonts w:asciiTheme="minorHAnsi" w:hAnsiTheme="minorHAnsi" w:cstheme="minorHAnsi"/>
          <w:color w:val="auto"/>
        </w:rPr>
        <w:t xml:space="preserve">se not to have an infrastructure </w:t>
      </w:r>
      <w:r w:rsidR="00F31F4C">
        <w:rPr>
          <w:rFonts w:asciiTheme="minorHAnsi" w:hAnsiTheme="minorHAnsi" w:cstheme="minorHAnsi"/>
          <w:color w:val="auto"/>
        </w:rPr>
        <w:t>service and object to paying</w:t>
      </w:r>
      <w:r w:rsidR="005D1B2B">
        <w:rPr>
          <w:rFonts w:asciiTheme="minorHAnsi" w:hAnsiTheme="minorHAnsi" w:cstheme="minorHAnsi"/>
          <w:color w:val="auto"/>
        </w:rPr>
        <w:t xml:space="preserve"> or object</w:t>
      </w:r>
      <w:r w:rsidR="006567A9">
        <w:rPr>
          <w:rFonts w:asciiTheme="minorHAnsi" w:hAnsiTheme="minorHAnsi" w:cstheme="minorHAnsi"/>
          <w:color w:val="auto"/>
        </w:rPr>
        <w:t xml:space="preserve"> to the chosen infrastructure provider</w:t>
      </w:r>
      <w:r w:rsidR="000547B3">
        <w:rPr>
          <w:rFonts w:asciiTheme="minorHAnsi" w:hAnsiTheme="minorHAnsi" w:cstheme="minorHAnsi"/>
          <w:color w:val="auto"/>
        </w:rPr>
        <w:t xml:space="preserve">. </w:t>
      </w:r>
      <w:r w:rsidR="00C23063">
        <w:rPr>
          <w:rFonts w:asciiTheme="minorHAnsi" w:hAnsiTheme="minorHAnsi" w:cstheme="minorHAnsi"/>
          <w:color w:val="auto"/>
        </w:rPr>
        <w:t xml:space="preserve">It </w:t>
      </w:r>
      <w:r w:rsidR="000547B3">
        <w:rPr>
          <w:rFonts w:asciiTheme="minorHAnsi" w:hAnsiTheme="minorHAnsi" w:cstheme="minorHAnsi"/>
          <w:color w:val="auto"/>
        </w:rPr>
        <w:t>would be</w:t>
      </w:r>
      <w:r w:rsidR="00C23063">
        <w:rPr>
          <w:rFonts w:asciiTheme="minorHAnsi" w:hAnsiTheme="minorHAnsi" w:cstheme="minorHAnsi"/>
          <w:color w:val="auto"/>
        </w:rPr>
        <w:t xml:space="preserve"> equitable to have all the infrastructure charges imposed on developers, which </w:t>
      </w:r>
      <w:r w:rsidR="00C23063">
        <w:rPr>
          <w:rFonts w:asciiTheme="minorHAnsi" w:hAnsiTheme="minorHAnsi" w:cstheme="minorHAnsi"/>
          <w:color w:val="auto"/>
        </w:rPr>
        <w:lastRenderedPageBreak/>
        <w:t>would then be factored into the value of the property, with the owner</w:t>
      </w:r>
      <w:r w:rsidR="0080355E">
        <w:rPr>
          <w:rFonts w:asciiTheme="minorHAnsi" w:hAnsiTheme="minorHAnsi" w:cstheme="minorHAnsi"/>
          <w:color w:val="auto"/>
        </w:rPr>
        <w:t>s</w:t>
      </w:r>
      <w:r w:rsidR="00C23063">
        <w:rPr>
          <w:rFonts w:asciiTheme="minorHAnsi" w:hAnsiTheme="minorHAnsi" w:cstheme="minorHAnsi"/>
          <w:color w:val="auto"/>
        </w:rPr>
        <w:t xml:space="preserve"> facing only the additional connection charge if they chose to activate the service. </w:t>
      </w:r>
    </w:p>
    <w:p w:rsidR="008703B9" w:rsidRDefault="008703B9" w:rsidP="00C23063">
      <w:pPr>
        <w:pStyle w:val="BodyText1"/>
        <w:jc w:val="both"/>
        <w:rPr>
          <w:rFonts w:asciiTheme="minorHAnsi" w:hAnsiTheme="minorHAnsi" w:cstheme="minorHAnsi"/>
          <w:color w:val="auto"/>
        </w:rPr>
      </w:pPr>
      <w:r>
        <w:rPr>
          <w:rFonts w:asciiTheme="minorHAnsi" w:hAnsiTheme="minorHAnsi" w:cstheme="minorHAnsi"/>
          <w:color w:val="auto"/>
        </w:rPr>
        <w:t>In relation to the transitional arrangements</w:t>
      </w:r>
      <w:r w:rsidR="002D529D">
        <w:rPr>
          <w:rFonts w:asciiTheme="minorHAnsi" w:hAnsiTheme="minorHAnsi" w:cstheme="minorHAnsi"/>
          <w:color w:val="auto"/>
        </w:rPr>
        <w:t>, in Section 7,</w:t>
      </w:r>
      <w:r>
        <w:rPr>
          <w:rFonts w:asciiTheme="minorHAnsi" w:hAnsiTheme="minorHAnsi" w:cstheme="minorHAnsi"/>
          <w:color w:val="auto"/>
        </w:rPr>
        <w:t xml:space="preserve"> </w:t>
      </w:r>
      <w:r w:rsidR="006567A9">
        <w:rPr>
          <w:rFonts w:asciiTheme="minorHAnsi" w:hAnsiTheme="minorHAnsi" w:cstheme="minorHAnsi"/>
          <w:color w:val="auto"/>
        </w:rPr>
        <w:t>i</w:t>
      </w:r>
      <w:r>
        <w:rPr>
          <w:rFonts w:asciiTheme="minorHAnsi" w:hAnsiTheme="minorHAnsi" w:cstheme="minorHAnsi"/>
          <w:color w:val="auto"/>
        </w:rPr>
        <w:t>t should be ensured that the charge is</w:t>
      </w:r>
      <w:r w:rsidR="0046439D">
        <w:rPr>
          <w:rFonts w:asciiTheme="minorHAnsi" w:hAnsiTheme="minorHAnsi" w:cstheme="minorHAnsi"/>
          <w:color w:val="auto"/>
        </w:rPr>
        <w:t xml:space="preserve"> implemented equitably and applied</w:t>
      </w:r>
      <w:r>
        <w:rPr>
          <w:rFonts w:asciiTheme="minorHAnsi" w:hAnsiTheme="minorHAnsi" w:cstheme="minorHAnsi"/>
          <w:color w:val="auto"/>
        </w:rPr>
        <w:t xml:space="preserve"> to all owners</w:t>
      </w:r>
      <w:r w:rsidR="002D529D">
        <w:rPr>
          <w:rFonts w:asciiTheme="minorHAnsi" w:hAnsiTheme="minorHAnsi" w:cstheme="minorHAnsi"/>
          <w:color w:val="auto"/>
        </w:rPr>
        <w:t>, across all RSPs,</w:t>
      </w:r>
      <w:r>
        <w:rPr>
          <w:rFonts w:asciiTheme="minorHAnsi" w:hAnsiTheme="minorHAnsi" w:cstheme="minorHAnsi"/>
          <w:color w:val="auto"/>
        </w:rPr>
        <w:t xml:space="preserve"> at the same time</w:t>
      </w:r>
      <w:r w:rsidR="002D529D">
        <w:rPr>
          <w:rFonts w:asciiTheme="minorHAnsi" w:hAnsiTheme="minorHAnsi" w:cstheme="minorHAnsi"/>
          <w:color w:val="auto"/>
        </w:rPr>
        <w:t>. Like for developers</w:t>
      </w:r>
      <w:r w:rsidR="0046439D">
        <w:rPr>
          <w:rFonts w:asciiTheme="minorHAnsi" w:hAnsiTheme="minorHAnsi" w:cstheme="minorHAnsi"/>
          <w:color w:val="auto"/>
        </w:rPr>
        <w:t>,</w:t>
      </w:r>
      <w:r w:rsidR="002D529D">
        <w:rPr>
          <w:rFonts w:asciiTheme="minorHAnsi" w:hAnsiTheme="minorHAnsi" w:cstheme="minorHAnsi"/>
          <w:color w:val="auto"/>
        </w:rPr>
        <w:t xml:space="preserve"> it should also be only applied for new connections and not retrospectively</w:t>
      </w:r>
      <w:r w:rsidR="006567A9">
        <w:rPr>
          <w:rFonts w:asciiTheme="minorHAnsi" w:hAnsiTheme="minorHAnsi" w:cstheme="minorHAnsi"/>
          <w:color w:val="auto"/>
        </w:rPr>
        <w:t xml:space="preserve"> </w:t>
      </w:r>
      <w:r w:rsidR="00BF28EA">
        <w:rPr>
          <w:rFonts w:asciiTheme="minorHAnsi" w:hAnsiTheme="minorHAnsi" w:cstheme="minorHAnsi"/>
          <w:color w:val="auto"/>
        </w:rPr>
        <w:t>for</w:t>
      </w:r>
      <w:r w:rsidR="006567A9">
        <w:rPr>
          <w:rFonts w:asciiTheme="minorHAnsi" w:hAnsiTheme="minorHAnsi" w:cstheme="minorHAnsi"/>
          <w:color w:val="auto"/>
        </w:rPr>
        <w:t xml:space="preserve"> applications already accepted</w:t>
      </w:r>
      <w:r w:rsidR="002D529D">
        <w:rPr>
          <w:rFonts w:asciiTheme="minorHAnsi" w:hAnsiTheme="minorHAnsi" w:cstheme="minorHAnsi"/>
          <w:color w:val="auto"/>
        </w:rPr>
        <w:t xml:space="preserve">. </w:t>
      </w:r>
    </w:p>
    <w:p w:rsidR="004D3869" w:rsidRDefault="004D3869" w:rsidP="004D3869">
      <w:pPr>
        <w:pStyle w:val="Heading3"/>
      </w:pPr>
      <w:r>
        <w:t xml:space="preserve">Minimum Service Standards and Access Technology </w:t>
      </w:r>
    </w:p>
    <w:p w:rsidR="00435643" w:rsidRDefault="004D3869" w:rsidP="004D3869">
      <w:pPr>
        <w:jc w:val="both"/>
        <w:rPr>
          <w:lang w:val="en-US" w:eastAsia="en-US"/>
        </w:rPr>
      </w:pPr>
      <w:r>
        <w:rPr>
          <w:lang w:val="en-US" w:eastAsia="en-US"/>
        </w:rPr>
        <w:t xml:space="preserve">The previous policy document which this document replaces - Fibre in new developments - ensured that new developments were fibre-ready. While ACCAN is technology agnostic, we support the rationale behind this policy and </w:t>
      </w:r>
      <w:r w:rsidR="005D1B2B">
        <w:rPr>
          <w:lang w:val="en-US" w:eastAsia="en-US"/>
        </w:rPr>
        <w:t xml:space="preserve">related </w:t>
      </w:r>
      <w:r>
        <w:rPr>
          <w:lang w:val="en-US" w:eastAsia="en-US"/>
        </w:rPr>
        <w:t>legislation</w:t>
      </w:r>
      <w:r>
        <w:rPr>
          <w:rStyle w:val="FootnoteReference"/>
          <w:lang w:val="en-US" w:eastAsia="en-US"/>
        </w:rPr>
        <w:footnoteReference w:id="2"/>
      </w:r>
      <w:r>
        <w:rPr>
          <w:lang w:val="en-US" w:eastAsia="en-US"/>
        </w:rPr>
        <w:t xml:space="preserve"> </w:t>
      </w:r>
      <w:r w:rsidR="005D1B2B">
        <w:rPr>
          <w:lang w:val="en-US" w:eastAsia="en-US"/>
        </w:rPr>
        <w:t xml:space="preserve">- </w:t>
      </w:r>
      <w:r>
        <w:rPr>
          <w:lang w:val="en-US" w:eastAsia="en-US"/>
        </w:rPr>
        <w:t xml:space="preserve">that installing fibre in new developments </w:t>
      </w:r>
      <w:r>
        <w:t xml:space="preserve">is less costly than retrofitting at a later stage. </w:t>
      </w:r>
      <w:r>
        <w:rPr>
          <w:lang w:val="en-US" w:eastAsia="en-US"/>
        </w:rPr>
        <w:t>We are c</w:t>
      </w:r>
      <w:r w:rsidR="005D1B2B">
        <w:rPr>
          <w:lang w:val="en-US" w:eastAsia="en-US"/>
        </w:rPr>
        <w:t xml:space="preserve">oncerned </w:t>
      </w:r>
      <w:r>
        <w:rPr>
          <w:lang w:val="en-US" w:eastAsia="en-US"/>
        </w:rPr>
        <w:t xml:space="preserve">that this policy update is taking a short sighted view by </w:t>
      </w:r>
      <w:r w:rsidR="00BF28EA">
        <w:rPr>
          <w:lang w:val="en-US" w:eastAsia="en-US"/>
        </w:rPr>
        <w:t xml:space="preserve">giving </w:t>
      </w:r>
      <w:r>
        <w:rPr>
          <w:lang w:val="en-US" w:eastAsia="en-US"/>
        </w:rPr>
        <w:t>developers t</w:t>
      </w:r>
      <w:r w:rsidR="00BF28EA">
        <w:rPr>
          <w:lang w:val="en-US" w:eastAsia="en-US"/>
        </w:rPr>
        <w:t>he choice</w:t>
      </w:r>
      <w:r>
        <w:rPr>
          <w:lang w:val="en-US" w:eastAsia="en-US"/>
        </w:rPr>
        <w:t xml:space="preserve"> to </w:t>
      </w:r>
      <w:r w:rsidR="00A67DD5">
        <w:rPr>
          <w:lang w:val="en-US" w:eastAsia="en-US"/>
        </w:rPr>
        <w:t>choose a cheaper infrastructure provider</w:t>
      </w:r>
      <w:r w:rsidR="00B26FE7" w:rsidRPr="00B26FE7">
        <w:rPr>
          <w:lang w:val="en-US" w:eastAsia="en-US"/>
        </w:rPr>
        <w:t xml:space="preserve"> </w:t>
      </w:r>
      <w:r w:rsidR="00B26FE7">
        <w:rPr>
          <w:lang w:val="en-US" w:eastAsia="en-US"/>
        </w:rPr>
        <w:t>where it is the most cost-effective option in the short term and where next generation broadband will be rolled out in the future</w:t>
      </w:r>
      <w:r w:rsidR="005D1B2B">
        <w:rPr>
          <w:lang w:val="en-US" w:eastAsia="en-US"/>
        </w:rPr>
        <w:t>.</w:t>
      </w:r>
      <w:r>
        <w:rPr>
          <w:lang w:val="en-US" w:eastAsia="en-US"/>
        </w:rPr>
        <w:t xml:space="preserve"> While installing FTTP is a selling point for home buyers</w:t>
      </w:r>
      <w:r w:rsidR="00A91B7A">
        <w:rPr>
          <w:lang w:val="en-US" w:eastAsia="en-US"/>
        </w:rPr>
        <w:t>,</w:t>
      </w:r>
      <w:r>
        <w:rPr>
          <w:lang w:val="en-US" w:eastAsia="en-US"/>
        </w:rPr>
        <w:t xml:space="preserve"> there may be developments and developers who choose the least cost option. This may result in lower quality services for end users and ultimately a higher cost</w:t>
      </w:r>
      <w:r w:rsidR="00653DA9">
        <w:rPr>
          <w:lang w:val="en-US" w:eastAsia="en-US"/>
        </w:rPr>
        <w:t xml:space="preserve"> when the service has to be retrofitted</w:t>
      </w:r>
      <w:r>
        <w:rPr>
          <w:lang w:val="en-US" w:eastAsia="en-US"/>
        </w:rPr>
        <w:t>. The policy puts the developers’ right to choose an infrastructure provider first, ahead of and in some situations may be in conflict with, end users</w:t>
      </w:r>
      <w:r w:rsidR="00A91B7A">
        <w:rPr>
          <w:lang w:val="en-US" w:eastAsia="en-US"/>
        </w:rPr>
        <w:t>’</w:t>
      </w:r>
      <w:r>
        <w:rPr>
          <w:lang w:val="en-US" w:eastAsia="en-US"/>
        </w:rPr>
        <w:t xml:space="preserve"> rights to have superfast broadband. </w:t>
      </w:r>
      <w:r w:rsidR="00264A33">
        <w:rPr>
          <w:lang w:val="en-US" w:eastAsia="en-US"/>
        </w:rPr>
        <w:t xml:space="preserve">Returns to developers and infrastructure providers may be put ahead of connecting end users to high quality services. </w:t>
      </w:r>
      <w:r>
        <w:rPr>
          <w:lang w:val="en-US" w:eastAsia="en-US"/>
        </w:rPr>
        <w:t>If NBN Co has to retrofit new developments as part of its future roll out it will add additional cost for NBN, the tax payers and ultimately end users</w:t>
      </w:r>
      <w:r w:rsidR="00435643">
        <w:rPr>
          <w:lang w:val="en-US" w:eastAsia="en-US"/>
        </w:rPr>
        <w:t>.</w:t>
      </w:r>
    </w:p>
    <w:p w:rsidR="00D80625" w:rsidRDefault="00DF6E30" w:rsidP="004D3869">
      <w:pPr>
        <w:jc w:val="both"/>
        <w:rPr>
          <w:lang w:val="en-US" w:eastAsia="en-US"/>
        </w:rPr>
      </w:pPr>
      <w:r>
        <w:rPr>
          <w:lang w:val="en-US" w:eastAsia="en-US"/>
        </w:rPr>
        <w:t>The Department should also be cognizant of the fact that owners may not be aware of the co</w:t>
      </w:r>
      <w:r w:rsidR="002C6EBA">
        <w:rPr>
          <w:lang w:val="en-US" w:eastAsia="en-US"/>
        </w:rPr>
        <w:t>nsequences associated</w:t>
      </w:r>
      <w:r w:rsidR="009005A1">
        <w:rPr>
          <w:lang w:val="en-US" w:eastAsia="en-US"/>
        </w:rPr>
        <w:t xml:space="preserve"> with chosen infrastructure services</w:t>
      </w:r>
      <w:r>
        <w:rPr>
          <w:lang w:val="en-US" w:eastAsia="en-US"/>
        </w:rPr>
        <w:t>. End users often do</w:t>
      </w:r>
      <w:r w:rsidR="0046439D">
        <w:rPr>
          <w:lang w:val="en-US" w:eastAsia="en-US"/>
        </w:rPr>
        <w:t xml:space="preserve"> </w:t>
      </w:r>
      <w:r>
        <w:rPr>
          <w:lang w:val="en-US" w:eastAsia="en-US"/>
        </w:rPr>
        <w:t>n</w:t>
      </w:r>
      <w:r w:rsidR="0046439D">
        <w:rPr>
          <w:lang w:val="en-US" w:eastAsia="en-US"/>
        </w:rPr>
        <w:t>o</w:t>
      </w:r>
      <w:r>
        <w:rPr>
          <w:lang w:val="en-US" w:eastAsia="en-US"/>
        </w:rPr>
        <w:t xml:space="preserve">t </w:t>
      </w:r>
      <w:r w:rsidR="006D08A5">
        <w:rPr>
          <w:lang w:val="en-US" w:eastAsia="en-US"/>
        </w:rPr>
        <w:t xml:space="preserve">understand </w:t>
      </w:r>
      <w:r>
        <w:rPr>
          <w:lang w:val="en-US" w:eastAsia="en-US"/>
        </w:rPr>
        <w:t xml:space="preserve">what options, limitations and costs are placed on them by the chosen </w:t>
      </w:r>
      <w:r w:rsidR="002C6EBA">
        <w:rPr>
          <w:lang w:val="en-US" w:eastAsia="en-US"/>
        </w:rPr>
        <w:t xml:space="preserve">infrastructure </w:t>
      </w:r>
      <w:r>
        <w:rPr>
          <w:lang w:val="en-US" w:eastAsia="en-US"/>
        </w:rPr>
        <w:t xml:space="preserve">technologies </w:t>
      </w:r>
      <w:r w:rsidR="002C6EBA">
        <w:rPr>
          <w:lang w:val="en-US" w:eastAsia="en-US"/>
        </w:rPr>
        <w:t xml:space="preserve">and providers </w:t>
      </w:r>
      <w:r>
        <w:rPr>
          <w:lang w:val="en-US" w:eastAsia="en-US"/>
        </w:rPr>
        <w:t xml:space="preserve">until they are using them. Therefore while </w:t>
      </w:r>
      <w:r w:rsidR="005323E7">
        <w:rPr>
          <w:lang w:val="en-US" w:eastAsia="en-US"/>
        </w:rPr>
        <w:t>communication services are</w:t>
      </w:r>
      <w:r>
        <w:rPr>
          <w:lang w:val="en-US" w:eastAsia="en-US"/>
        </w:rPr>
        <w:t xml:space="preserve"> a selling point for developers it is possible that sub-optimal situations may arise</w:t>
      </w:r>
      <w:r w:rsidR="002C6EBA">
        <w:rPr>
          <w:lang w:val="en-US" w:eastAsia="en-US"/>
        </w:rPr>
        <w:t xml:space="preserve"> where the installed infrastructure does not live up to owners’ expectations</w:t>
      </w:r>
      <w:r w:rsidR="00AD287A">
        <w:rPr>
          <w:lang w:val="en-US" w:eastAsia="en-US"/>
        </w:rPr>
        <w:t xml:space="preserve">. </w:t>
      </w:r>
      <w:r w:rsidR="002C6EBA">
        <w:rPr>
          <w:lang w:val="en-US" w:eastAsia="en-US"/>
        </w:rPr>
        <w:t>It should be</w:t>
      </w:r>
      <w:r w:rsidR="00AD287A">
        <w:rPr>
          <w:lang w:val="en-US" w:eastAsia="en-US"/>
        </w:rPr>
        <w:t xml:space="preserve"> </w:t>
      </w:r>
      <w:r>
        <w:rPr>
          <w:lang w:val="en-US" w:eastAsia="en-US"/>
        </w:rPr>
        <w:t>ensure</w:t>
      </w:r>
      <w:r w:rsidR="002C6EBA">
        <w:rPr>
          <w:lang w:val="en-US" w:eastAsia="en-US"/>
        </w:rPr>
        <w:t>d</w:t>
      </w:r>
      <w:r>
        <w:rPr>
          <w:lang w:val="en-US" w:eastAsia="en-US"/>
        </w:rPr>
        <w:t xml:space="preserve"> that the most appropriate technologies are installed in developments and standards are met in each development.</w:t>
      </w:r>
    </w:p>
    <w:p w:rsidR="004D3869" w:rsidRDefault="004D3869" w:rsidP="004D3869">
      <w:pPr>
        <w:jc w:val="both"/>
        <w:rPr>
          <w:lang w:val="en-US" w:eastAsia="en-US"/>
        </w:rPr>
      </w:pPr>
      <w:r>
        <w:rPr>
          <w:lang w:val="en-US" w:eastAsia="en-US"/>
        </w:rPr>
        <w:t xml:space="preserve">ACCAN agrees that infrastructure should provide services that are capable of meeting a minimum level of services </w:t>
      </w:r>
      <w:r w:rsidR="005D1B2B">
        <w:rPr>
          <w:lang w:val="en-US" w:eastAsia="en-US"/>
        </w:rPr>
        <w:t xml:space="preserve">comparable to NBN Co </w:t>
      </w:r>
      <w:r>
        <w:rPr>
          <w:lang w:val="en-US" w:eastAsia="en-US"/>
        </w:rPr>
        <w:t>and that this should be upgradeable and competitive.</w:t>
      </w:r>
    </w:p>
    <w:p w:rsidR="005E057E" w:rsidRDefault="00DA08CE" w:rsidP="00DA08CE">
      <w:pPr>
        <w:pStyle w:val="Heading3"/>
      </w:pPr>
      <w:r>
        <w:t>Overbuilding</w:t>
      </w:r>
    </w:p>
    <w:p w:rsidR="00DA08CE" w:rsidRDefault="000859A9" w:rsidP="00214649">
      <w:pPr>
        <w:pStyle w:val="BodyText1"/>
        <w:jc w:val="both"/>
        <w:rPr>
          <w:rFonts w:asciiTheme="minorHAnsi" w:hAnsiTheme="minorHAnsi" w:cstheme="minorHAnsi"/>
          <w:color w:val="auto"/>
        </w:rPr>
      </w:pPr>
      <w:r>
        <w:rPr>
          <w:rFonts w:asciiTheme="minorHAnsi" w:hAnsiTheme="minorHAnsi" w:cstheme="minorHAnsi"/>
          <w:color w:val="auto"/>
        </w:rPr>
        <w:t>ACCAN believes that NBN Co should prioritise areas that are not adequately</w:t>
      </w:r>
      <w:r w:rsidR="006567A9">
        <w:rPr>
          <w:rFonts w:asciiTheme="minorHAnsi" w:hAnsiTheme="minorHAnsi" w:cstheme="minorHAnsi"/>
          <w:color w:val="auto"/>
        </w:rPr>
        <w:t xml:space="preserve"> serviced</w:t>
      </w:r>
      <w:r>
        <w:rPr>
          <w:rFonts w:asciiTheme="minorHAnsi" w:hAnsiTheme="minorHAnsi" w:cstheme="minorHAnsi"/>
          <w:color w:val="auto"/>
        </w:rPr>
        <w:t>. F</w:t>
      </w:r>
      <w:r w:rsidR="00DA08CE">
        <w:rPr>
          <w:rFonts w:asciiTheme="minorHAnsi" w:hAnsiTheme="minorHAnsi" w:cstheme="minorHAnsi"/>
          <w:color w:val="auto"/>
        </w:rPr>
        <w:t>urther clarity</w:t>
      </w:r>
      <w:r>
        <w:rPr>
          <w:rFonts w:asciiTheme="minorHAnsi" w:hAnsiTheme="minorHAnsi" w:cstheme="minorHAnsi"/>
          <w:color w:val="auto"/>
        </w:rPr>
        <w:t xml:space="preserve"> would be welcomed</w:t>
      </w:r>
      <w:r w:rsidR="00DA08CE">
        <w:rPr>
          <w:rFonts w:asciiTheme="minorHAnsi" w:hAnsiTheme="minorHAnsi" w:cstheme="minorHAnsi"/>
          <w:color w:val="auto"/>
        </w:rPr>
        <w:t xml:space="preserve"> on the procedure</w:t>
      </w:r>
      <w:r>
        <w:rPr>
          <w:rFonts w:asciiTheme="minorHAnsi" w:hAnsiTheme="minorHAnsi" w:cstheme="minorHAnsi"/>
          <w:color w:val="auto"/>
        </w:rPr>
        <w:t>s</w:t>
      </w:r>
      <w:r w:rsidR="00DA08CE">
        <w:rPr>
          <w:rFonts w:asciiTheme="minorHAnsi" w:hAnsiTheme="minorHAnsi" w:cstheme="minorHAnsi"/>
          <w:color w:val="auto"/>
        </w:rPr>
        <w:t xml:space="preserve"> for </w:t>
      </w:r>
      <w:r w:rsidR="00D25A1E">
        <w:rPr>
          <w:rFonts w:asciiTheme="minorHAnsi" w:hAnsiTheme="minorHAnsi" w:cstheme="minorHAnsi"/>
          <w:color w:val="auto"/>
        </w:rPr>
        <w:t xml:space="preserve">when NBN Co can </w:t>
      </w:r>
      <w:r w:rsidR="00DA08CE">
        <w:rPr>
          <w:rFonts w:asciiTheme="minorHAnsi" w:hAnsiTheme="minorHAnsi" w:cstheme="minorHAnsi"/>
          <w:color w:val="auto"/>
        </w:rPr>
        <w:t>overbui</w:t>
      </w:r>
      <w:r w:rsidR="00D25A1E">
        <w:rPr>
          <w:rFonts w:asciiTheme="minorHAnsi" w:hAnsiTheme="minorHAnsi" w:cstheme="minorHAnsi"/>
          <w:color w:val="auto"/>
        </w:rPr>
        <w:t>ld.</w:t>
      </w:r>
      <w:r w:rsidR="0078499A">
        <w:rPr>
          <w:rFonts w:asciiTheme="minorHAnsi" w:hAnsiTheme="minorHAnsi" w:cstheme="minorHAnsi"/>
          <w:color w:val="auto"/>
        </w:rPr>
        <w:t xml:space="preserve"> </w:t>
      </w:r>
      <w:r>
        <w:rPr>
          <w:rFonts w:asciiTheme="minorHAnsi" w:hAnsiTheme="minorHAnsi" w:cstheme="minorHAnsi"/>
          <w:color w:val="auto"/>
        </w:rPr>
        <w:t xml:space="preserve">The policy update states that NBN Co will be </w:t>
      </w:r>
      <w:r w:rsidRPr="00775494">
        <w:rPr>
          <w:rFonts w:asciiTheme="minorHAnsi" w:hAnsiTheme="minorHAnsi" w:cstheme="minorHAnsi"/>
          <w:i/>
          <w:color w:val="auto"/>
          <w:u w:val="single"/>
        </w:rPr>
        <w:t>directed</w:t>
      </w:r>
      <w:r w:rsidRPr="00775494">
        <w:rPr>
          <w:rFonts w:asciiTheme="minorHAnsi" w:hAnsiTheme="minorHAnsi" w:cstheme="minorHAnsi"/>
          <w:color w:val="auto"/>
        </w:rPr>
        <w:t xml:space="preserve"> to advise </w:t>
      </w:r>
      <w:r w:rsidR="007006E4">
        <w:rPr>
          <w:rFonts w:asciiTheme="minorHAnsi" w:hAnsiTheme="minorHAnsi" w:cstheme="minorHAnsi"/>
          <w:color w:val="auto"/>
        </w:rPr>
        <w:t xml:space="preserve">Shareholder </w:t>
      </w:r>
      <w:r w:rsidRPr="00775494">
        <w:rPr>
          <w:rFonts w:asciiTheme="minorHAnsi" w:hAnsiTheme="minorHAnsi" w:cstheme="minorHAnsi"/>
          <w:color w:val="auto"/>
        </w:rPr>
        <w:t>Ministers where there is a commercial case.</w:t>
      </w:r>
      <w:r>
        <w:rPr>
          <w:rFonts w:asciiTheme="minorHAnsi" w:hAnsiTheme="minorHAnsi" w:cstheme="minorHAnsi"/>
          <w:color w:val="auto"/>
        </w:rPr>
        <w:t xml:space="preserve"> </w:t>
      </w:r>
      <w:r w:rsidR="00612C38">
        <w:rPr>
          <w:rFonts w:asciiTheme="minorHAnsi" w:hAnsiTheme="minorHAnsi" w:cstheme="minorHAnsi"/>
          <w:color w:val="auto"/>
        </w:rPr>
        <w:t xml:space="preserve">What criteria will </w:t>
      </w:r>
      <w:r>
        <w:rPr>
          <w:rFonts w:asciiTheme="minorHAnsi" w:hAnsiTheme="minorHAnsi" w:cstheme="minorHAnsi"/>
          <w:color w:val="auto"/>
        </w:rPr>
        <w:t xml:space="preserve">the Department use in deciding if NBN Co can </w:t>
      </w:r>
      <w:r w:rsidR="007006E4">
        <w:rPr>
          <w:rFonts w:asciiTheme="minorHAnsi" w:hAnsiTheme="minorHAnsi" w:cstheme="minorHAnsi"/>
          <w:color w:val="auto"/>
        </w:rPr>
        <w:t xml:space="preserve">then </w:t>
      </w:r>
      <w:r>
        <w:rPr>
          <w:rFonts w:asciiTheme="minorHAnsi" w:hAnsiTheme="minorHAnsi" w:cstheme="minorHAnsi"/>
          <w:color w:val="auto"/>
        </w:rPr>
        <w:t xml:space="preserve">overbuild in a commercially served development? </w:t>
      </w:r>
      <w:r w:rsidR="00775494">
        <w:rPr>
          <w:rFonts w:asciiTheme="minorHAnsi" w:hAnsiTheme="minorHAnsi" w:cstheme="minorHAnsi"/>
          <w:color w:val="auto"/>
        </w:rPr>
        <w:t xml:space="preserve">Conversely, the document states that </w:t>
      </w:r>
      <w:r w:rsidR="00D25A1E">
        <w:rPr>
          <w:rFonts w:asciiTheme="minorHAnsi" w:hAnsiTheme="minorHAnsi" w:cstheme="minorHAnsi"/>
          <w:color w:val="auto"/>
        </w:rPr>
        <w:t>where NBN-</w:t>
      </w:r>
      <w:r w:rsidR="00662F5D">
        <w:rPr>
          <w:rFonts w:asciiTheme="minorHAnsi" w:hAnsiTheme="minorHAnsi" w:cstheme="minorHAnsi"/>
          <w:color w:val="auto"/>
        </w:rPr>
        <w:t>c</w:t>
      </w:r>
      <w:r w:rsidR="00D25A1E">
        <w:rPr>
          <w:rFonts w:asciiTheme="minorHAnsi" w:hAnsiTheme="minorHAnsi" w:cstheme="minorHAnsi"/>
          <w:color w:val="auto"/>
        </w:rPr>
        <w:t xml:space="preserve">onsistent outcomes are not being provided NBN Co </w:t>
      </w:r>
      <w:r w:rsidR="00D25A1E" w:rsidRPr="00775494">
        <w:rPr>
          <w:rFonts w:asciiTheme="minorHAnsi" w:hAnsiTheme="minorHAnsi" w:cstheme="minorHAnsi"/>
          <w:i/>
          <w:color w:val="auto"/>
          <w:u w:val="single"/>
        </w:rPr>
        <w:t>may</w:t>
      </w:r>
      <w:r w:rsidR="00D25A1E">
        <w:rPr>
          <w:rFonts w:asciiTheme="minorHAnsi" w:hAnsiTheme="minorHAnsi" w:cstheme="minorHAnsi"/>
          <w:color w:val="auto"/>
        </w:rPr>
        <w:t xml:space="preserve"> choose to overbuild. In these situations end</w:t>
      </w:r>
      <w:r w:rsidR="00DA08CE">
        <w:rPr>
          <w:rFonts w:asciiTheme="minorHAnsi" w:hAnsiTheme="minorHAnsi" w:cstheme="minorHAnsi"/>
          <w:color w:val="auto"/>
        </w:rPr>
        <w:t xml:space="preserve"> users’ needs are not being served to the </w:t>
      </w:r>
      <w:r w:rsidR="00775494">
        <w:rPr>
          <w:rFonts w:asciiTheme="minorHAnsi" w:hAnsiTheme="minorHAnsi" w:cstheme="minorHAnsi"/>
          <w:color w:val="auto"/>
        </w:rPr>
        <w:t xml:space="preserve">required </w:t>
      </w:r>
      <w:r w:rsidR="002C6EBA">
        <w:rPr>
          <w:rFonts w:asciiTheme="minorHAnsi" w:hAnsiTheme="minorHAnsi" w:cstheme="minorHAnsi"/>
          <w:color w:val="auto"/>
        </w:rPr>
        <w:t xml:space="preserve">NBN equivalent </w:t>
      </w:r>
      <w:r w:rsidR="00DA08CE">
        <w:rPr>
          <w:rFonts w:asciiTheme="minorHAnsi" w:hAnsiTheme="minorHAnsi" w:cstheme="minorHAnsi"/>
          <w:color w:val="auto"/>
        </w:rPr>
        <w:t xml:space="preserve">standard and </w:t>
      </w:r>
      <w:r w:rsidR="00662F5D">
        <w:rPr>
          <w:rFonts w:asciiTheme="minorHAnsi" w:hAnsiTheme="minorHAnsi" w:cstheme="minorHAnsi"/>
          <w:color w:val="auto"/>
        </w:rPr>
        <w:t xml:space="preserve">action should be taken to correct this. </w:t>
      </w:r>
      <w:r w:rsidR="00D25A1E">
        <w:rPr>
          <w:rFonts w:asciiTheme="minorHAnsi" w:hAnsiTheme="minorHAnsi" w:cstheme="minorHAnsi"/>
          <w:color w:val="auto"/>
        </w:rPr>
        <w:t>Procedures should be developed for these situations so end users are not left with poor or no service for length</w:t>
      </w:r>
      <w:r w:rsidR="005D1B2B">
        <w:rPr>
          <w:rFonts w:asciiTheme="minorHAnsi" w:hAnsiTheme="minorHAnsi" w:cstheme="minorHAnsi"/>
          <w:color w:val="auto"/>
        </w:rPr>
        <w:t>y</w:t>
      </w:r>
      <w:r w:rsidR="00D25A1E">
        <w:rPr>
          <w:rFonts w:asciiTheme="minorHAnsi" w:hAnsiTheme="minorHAnsi" w:cstheme="minorHAnsi"/>
          <w:color w:val="auto"/>
        </w:rPr>
        <w:t xml:space="preserve"> periods. </w:t>
      </w:r>
      <w:r w:rsidR="00221E1E">
        <w:rPr>
          <w:rFonts w:asciiTheme="minorHAnsi" w:hAnsiTheme="minorHAnsi" w:cstheme="minorHAnsi"/>
          <w:color w:val="auto"/>
        </w:rPr>
        <w:t xml:space="preserve">ACCAN would advocate that NBN Co should be directed to advise </w:t>
      </w:r>
      <w:r w:rsidR="00221E1E">
        <w:rPr>
          <w:rFonts w:asciiTheme="minorHAnsi" w:hAnsiTheme="minorHAnsi" w:cstheme="minorHAnsi"/>
          <w:color w:val="auto"/>
        </w:rPr>
        <w:lastRenderedPageBreak/>
        <w:t>Shareholder Ministers</w:t>
      </w:r>
      <w:r w:rsidR="00264A33">
        <w:rPr>
          <w:rFonts w:asciiTheme="minorHAnsi" w:hAnsiTheme="minorHAnsi" w:cstheme="minorHAnsi"/>
          <w:color w:val="auto"/>
        </w:rPr>
        <w:t xml:space="preserve"> of</w:t>
      </w:r>
      <w:r w:rsidR="00221E1E">
        <w:rPr>
          <w:rFonts w:asciiTheme="minorHAnsi" w:hAnsiTheme="minorHAnsi" w:cstheme="minorHAnsi"/>
          <w:color w:val="auto"/>
        </w:rPr>
        <w:t xml:space="preserve"> developments that it is aware of that are not meeting equivalent standards, that it considered to overbuild and the reason</w:t>
      </w:r>
      <w:r w:rsidR="0062477B">
        <w:rPr>
          <w:rFonts w:asciiTheme="minorHAnsi" w:hAnsiTheme="minorHAnsi" w:cstheme="minorHAnsi"/>
          <w:color w:val="auto"/>
        </w:rPr>
        <w:t>s</w:t>
      </w:r>
      <w:r w:rsidR="00221E1E">
        <w:rPr>
          <w:rFonts w:asciiTheme="minorHAnsi" w:hAnsiTheme="minorHAnsi" w:cstheme="minorHAnsi"/>
          <w:color w:val="auto"/>
        </w:rPr>
        <w:t xml:space="preserve"> why it choose to overbuild or not.</w:t>
      </w:r>
    </w:p>
    <w:p w:rsidR="00B32455" w:rsidRDefault="00B32455" w:rsidP="00B32455">
      <w:pPr>
        <w:pStyle w:val="Heading3"/>
      </w:pPr>
      <w:r>
        <w:t xml:space="preserve">Standards and Interfaces </w:t>
      </w:r>
    </w:p>
    <w:p w:rsidR="00B32455" w:rsidRPr="00520857" w:rsidRDefault="00B32455" w:rsidP="00B32455">
      <w:pPr>
        <w:jc w:val="both"/>
      </w:pPr>
      <w:r w:rsidRPr="00F406D9">
        <w:t>Multiple interfaces are likely to result in reduced RSP competition and increased costs which would negatively impact on consumers</w:t>
      </w:r>
      <w:r>
        <w:t xml:space="preserve">. </w:t>
      </w:r>
      <w:r w:rsidR="00C34F6B">
        <w:rPr>
          <w:rFonts w:cstheme="minorHAnsi"/>
        </w:rPr>
        <w:t>In fact there are instances in current developments where monopoly RSPs exist due, in part, to differing infrastructure interfaces</w:t>
      </w:r>
      <w:r w:rsidR="00D80625">
        <w:rPr>
          <w:rFonts w:cstheme="minorHAnsi"/>
        </w:rPr>
        <w:t xml:space="preserve"> and RSPs choosing not to service developments because of this</w:t>
      </w:r>
      <w:r w:rsidR="00C34F6B">
        <w:rPr>
          <w:rFonts w:cstheme="minorHAnsi"/>
        </w:rPr>
        <w:t xml:space="preserve">. </w:t>
      </w:r>
      <w:r>
        <w:rPr>
          <w:rFonts w:cstheme="minorHAnsi"/>
        </w:rPr>
        <w:t xml:space="preserve">ACCAN </w:t>
      </w:r>
      <w:r w:rsidR="00E84F80">
        <w:rPr>
          <w:rFonts w:cstheme="minorHAnsi"/>
        </w:rPr>
        <w:t>supports</w:t>
      </w:r>
      <w:r>
        <w:rPr>
          <w:rFonts w:cstheme="minorHAnsi"/>
        </w:rPr>
        <w:t xml:space="preserve"> a standard interface </w:t>
      </w:r>
      <w:r w:rsidR="00E84F80">
        <w:rPr>
          <w:rFonts w:cstheme="minorHAnsi"/>
        </w:rPr>
        <w:t xml:space="preserve">for </w:t>
      </w:r>
      <w:r>
        <w:rPr>
          <w:rFonts w:cstheme="minorHAnsi"/>
        </w:rPr>
        <w:t>network</w:t>
      </w:r>
      <w:r w:rsidR="00E84F80">
        <w:rPr>
          <w:rFonts w:cstheme="minorHAnsi"/>
        </w:rPr>
        <w:t>s and RSPs</w:t>
      </w:r>
      <w:r>
        <w:rPr>
          <w:rFonts w:cstheme="minorHAnsi"/>
        </w:rPr>
        <w:t xml:space="preserve"> to ensure </w:t>
      </w:r>
      <w:r w:rsidR="00E84F80">
        <w:rPr>
          <w:rFonts w:cstheme="minorHAnsi"/>
        </w:rPr>
        <w:t xml:space="preserve">open </w:t>
      </w:r>
      <w:r>
        <w:rPr>
          <w:rFonts w:cstheme="minorHAnsi"/>
        </w:rPr>
        <w:t>competition among RSPs and choice for consumers</w:t>
      </w:r>
      <w:r w:rsidR="00C96612">
        <w:rPr>
          <w:rFonts w:cstheme="minorHAnsi"/>
        </w:rPr>
        <w:t xml:space="preserve"> but </w:t>
      </w:r>
      <w:r w:rsidR="00264A33">
        <w:rPr>
          <w:rFonts w:cstheme="minorHAnsi"/>
        </w:rPr>
        <w:t>we have</w:t>
      </w:r>
      <w:r w:rsidR="00C96612">
        <w:rPr>
          <w:rFonts w:cstheme="minorHAnsi"/>
        </w:rPr>
        <w:t xml:space="preserve"> no preference on </w:t>
      </w:r>
      <w:r w:rsidR="00D80625">
        <w:rPr>
          <w:rFonts w:cstheme="minorHAnsi"/>
        </w:rPr>
        <w:t>how this model should be delivered</w:t>
      </w:r>
      <w:r>
        <w:rPr>
          <w:rFonts w:cstheme="minorHAnsi"/>
        </w:rPr>
        <w:t xml:space="preserve">. </w:t>
      </w:r>
      <w:r w:rsidR="006270C8">
        <w:rPr>
          <w:rFonts w:cstheme="minorHAnsi"/>
        </w:rPr>
        <w:t xml:space="preserve">We would advocate that the business-to-business interface integration standards would apply to all developments currently offering services which would help address competition issues faced </w:t>
      </w:r>
      <w:r w:rsidR="00837174">
        <w:rPr>
          <w:rFonts w:cstheme="minorHAnsi"/>
        </w:rPr>
        <w:t>in</w:t>
      </w:r>
      <w:r w:rsidR="006270C8">
        <w:rPr>
          <w:rFonts w:cstheme="minorHAnsi"/>
        </w:rPr>
        <w:t xml:space="preserve"> current developments.</w:t>
      </w:r>
    </w:p>
    <w:p w:rsidR="001E4883" w:rsidRPr="001E4883" w:rsidRDefault="00F406D9" w:rsidP="001E4883">
      <w:pPr>
        <w:pStyle w:val="Heading3"/>
      </w:pPr>
      <w:r>
        <w:t xml:space="preserve">Section 4 – </w:t>
      </w:r>
      <w:r w:rsidR="001E4883" w:rsidRPr="001E4883">
        <w:t>I</w:t>
      </w:r>
      <w:r>
        <w:t xml:space="preserve">nfrastructure </w:t>
      </w:r>
      <w:r w:rsidR="001E4883" w:rsidRPr="001E4883">
        <w:t>P</w:t>
      </w:r>
      <w:r>
        <w:t xml:space="preserve">rovider </w:t>
      </w:r>
      <w:r w:rsidRPr="001E4883">
        <w:t>of</w:t>
      </w:r>
      <w:r>
        <w:t xml:space="preserve"> </w:t>
      </w:r>
      <w:r w:rsidR="001E4883" w:rsidRPr="001E4883">
        <w:t>L</w:t>
      </w:r>
      <w:r>
        <w:t xml:space="preserve">ast </w:t>
      </w:r>
      <w:r w:rsidR="001E4883" w:rsidRPr="001E4883">
        <w:t>R</w:t>
      </w:r>
      <w:r>
        <w:t>esort</w:t>
      </w:r>
      <w:r w:rsidR="00A95AE5">
        <w:t xml:space="preserve"> (IPOLR)</w:t>
      </w:r>
    </w:p>
    <w:p w:rsidR="00D80625" w:rsidRDefault="005F6D17" w:rsidP="00520857">
      <w:pPr>
        <w:jc w:val="both"/>
        <w:rPr>
          <w:rFonts w:cstheme="minorHAnsi"/>
        </w:rPr>
      </w:pPr>
      <w:r>
        <w:rPr>
          <w:rFonts w:cstheme="minorHAnsi"/>
        </w:rPr>
        <w:t>While ACCAN accepts and appreciates that there are circumstances wh</w:t>
      </w:r>
      <w:r w:rsidR="00C046D0">
        <w:rPr>
          <w:rFonts w:cstheme="minorHAnsi"/>
        </w:rPr>
        <w:t>ere</w:t>
      </w:r>
      <w:r>
        <w:rPr>
          <w:rFonts w:cstheme="minorHAnsi"/>
        </w:rPr>
        <w:t xml:space="preserve"> interim services over wireless technolog</w:t>
      </w:r>
      <w:r w:rsidR="00C25D19">
        <w:rPr>
          <w:rFonts w:cstheme="minorHAnsi"/>
        </w:rPr>
        <w:t>ies</w:t>
      </w:r>
      <w:r>
        <w:rPr>
          <w:rFonts w:cstheme="minorHAnsi"/>
        </w:rPr>
        <w:t xml:space="preserve"> are the most viable option pending the roll out of the NBN, end users are faced with limited options in these circumstances. Even though the policy expects that this would be limited to 12 months, this is a signif</w:t>
      </w:r>
      <w:r w:rsidR="0041030C">
        <w:rPr>
          <w:rFonts w:cstheme="minorHAnsi"/>
        </w:rPr>
        <w:t xml:space="preserve">icant </w:t>
      </w:r>
      <w:r>
        <w:rPr>
          <w:rFonts w:cstheme="minorHAnsi"/>
        </w:rPr>
        <w:t xml:space="preserve">period of time for end users to be on costly </w:t>
      </w:r>
      <w:r w:rsidR="00A95AE5">
        <w:rPr>
          <w:rFonts w:cstheme="minorHAnsi"/>
        </w:rPr>
        <w:t>services that</w:t>
      </w:r>
      <w:r w:rsidR="0041030C">
        <w:rPr>
          <w:rFonts w:cstheme="minorHAnsi"/>
        </w:rPr>
        <w:t xml:space="preserve"> do</w:t>
      </w:r>
      <w:r w:rsidR="00C046D0">
        <w:rPr>
          <w:rFonts w:cstheme="minorHAnsi"/>
        </w:rPr>
        <w:t xml:space="preserve"> </w:t>
      </w:r>
      <w:r w:rsidR="0041030C">
        <w:rPr>
          <w:rFonts w:cstheme="minorHAnsi"/>
        </w:rPr>
        <w:t>n</w:t>
      </w:r>
      <w:r w:rsidR="00C046D0">
        <w:rPr>
          <w:rFonts w:cstheme="minorHAnsi"/>
        </w:rPr>
        <w:t>o</w:t>
      </w:r>
      <w:r w:rsidR="0041030C">
        <w:rPr>
          <w:rFonts w:cstheme="minorHAnsi"/>
        </w:rPr>
        <w:t xml:space="preserve">t compare with fixed line services in terms of speeds or data </w:t>
      </w:r>
      <w:r w:rsidR="00C25D19">
        <w:rPr>
          <w:rFonts w:cstheme="minorHAnsi"/>
        </w:rPr>
        <w:t>allowances</w:t>
      </w:r>
      <w:r w:rsidR="0041030C">
        <w:rPr>
          <w:rFonts w:cstheme="minorHAnsi"/>
        </w:rPr>
        <w:t xml:space="preserve">. </w:t>
      </w:r>
      <w:r w:rsidR="00B27C68">
        <w:rPr>
          <w:rFonts w:cstheme="minorHAnsi"/>
        </w:rPr>
        <w:t>While an incentive is there for developers to pay an alternative provider, ultimately the</w:t>
      </w:r>
      <w:r w:rsidR="00FB7700">
        <w:rPr>
          <w:rFonts w:cstheme="minorHAnsi"/>
        </w:rPr>
        <w:t xml:space="preserve"> higher</w:t>
      </w:r>
      <w:r w:rsidR="00B27C68">
        <w:rPr>
          <w:rFonts w:cstheme="minorHAnsi"/>
        </w:rPr>
        <w:t xml:space="preserve"> </w:t>
      </w:r>
      <w:r w:rsidR="00A95AE5">
        <w:rPr>
          <w:rFonts w:cstheme="minorHAnsi"/>
        </w:rPr>
        <w:t>costs of the interim service (financial and quality of service) are</w:t>
      </w:r>
      <w:r w:rsidR="00B27C68">
        <w:rPr>
          <w:rFonts w:cstheme="minorHAnsi"/>
        </w:rPr>
        <w:t xml:space="preserve"> borne </w:t>
      </w:r>
      <w:r w:rsidR="00C046D0">
        <w:rPr>
          <w:rFonts w:cstheme="minorHAnsi"/>
        </w:rPr>
        <w:t>by</w:t>
      </w:r>
      <w:r w:rsidR="00B27C68">
        <w:rPr>
          <w:rFonts w:cstheme="minorHAnsi"/>
        </w:rPr>
        <w:t xml:space="preserve"> the end user and not the developer</w:t>
      </w:r>
      <w:r w:rsidR="00FB7700">
        <w:rPr>
          <w:rFonts w:cstheme="minorHAnsi"/>
        </w:rPr>
        <w:t xml:space="preserve"> and may not be fully understood by the owners when purchasing the property</w:t>
      </w:r>
      <w:r w:rsidR="00A95AE5">
        <w:rPr>
          <w:rFonts w:cstheme="minorHAnsi"/>
        </w:rPr>
        <w:t>.</w:t>
      </w:r>
      <w:r w:rsidR="00B27C68">
        <w:rPr>
          <w:rFonts w:cstheme="minorHAnsi"/>
        </w:rPr>
        <w:t xml:space="preserve"> </w:t>
      </w:r>
      <w:r w:rsidR="00A95AE5">
        <w:rPr>
          <w:rFonts w:cstheme="minorHAnsi"/>
        </w:rPr>
        <w:t xml:space="preserve">ACCAN </w:t>
      </w:r>
      <w:r w:rsidR="007A45BD">
        <w:rPr>
          <w:rFonts w:cstheme="minorHAnsi"/>
        </w:rPr>
        <w:t>wishes to see developments in these circumstances prioritised and consider</w:t>
      </w:r>
      <w:r w:rsidR="00C046D0">
        <w:rPr>
          <w:rFonts w:cstheme="minorHAnsi"/>
        </w:rPr>
        <w:t>ation given</w:t>
      </w:r>
      <w:r w:rsidR="007A45BD">
        <w:rPr>
          <w:rFonts w:cstheme="minorHAnsi"/>
        </w:rPr>
        <w:t xml:space="preserve"> by Government </w:t>
      </w:r>
      <w:r w:rsidR="00C046D0">
        <w:rPr>
          <w:rFonts w:cstheme="minorHAnsi"/>
        </w:rPr>
        <w:t>as to whether</w:t>
      </w:r>
      <w:r w:rsidR="007A45BD">
        <w:rPr>
          <w:rFonts w:cstheme="minorHAnsi"/>
        </w:rPr>
        <w:t xml:space="preserve"> </w:t>
      </w:r>
      <w:r w:rsidR="00A70A2E">
        <w:rPr>
          <w:rFonts w:cstheme="minorHAnsi"/>
        </w:rPr>
        <w:t xml:space="preserve">an </w:t>
      </w:r>
      <w:r w:rsidR="007A45BD">
        <w:rPr>
          <w:rFonts w:cstheme="minorHAnsi"/>
        </w:rPr>
        <w:t>alternative carrier</w:t>
      </w:r>
      <w:r w:rsidR="00C25D19">
        <w:rPr>
          <w:rFonts w:cstheme="minorHAnsi"/>
        </w:rPr>
        <w:t xml:space="preserve"> acting as an IPOLR</w:t>
      </w:r>
      <w:r w:rsidR="007A45BD">
        <w:rPr>
          <w:rFonts w:cstheme="minorHAnsi"/>
        </w:rPr>
        <w:t xml:space="preserve"> could serve them </w:t>
      </w:r>
      <w:r w:rsidR="0062477B">
        <w:rPr>
          <w:rFonts w:cstheme="minorHAnsi"/>
        </w:rPr>
        <w:t xml:space="preserve">better </w:t>
      </w:r>
      <w:r w:rsidR="007A45BD">
        <w:rPr>
          <w:rFonts w:cstheme="minorHAnsi"/>
        </w:rPr>
        <w:t>under carrier licence conditions.</w:t>
      </w:r>
    </w:p>
    <w:p w:rsidR="00520857" w:rsidRDefault="00520857" w:rsidP="00520857">
      <w:pPr>
        <w:jc w:val="both"/>
        <w:rPr>
          <w:rFonts w:cstheme="minorHAnsi"/>
        </w:rPr>
      </w:pPr>
      <w:r>
        <w:rPr>
          <w:rFonts w:cstheme="minorHAnsi"/>
        </w:rPr>
        <w:t>ACCAN believes that there should be a clear resolution mechanism</w:t>
      </w:r>
      <w:r w:rsidR="00954852">
        <w:rPr>
          <w:rFonts w:cstheme="minorHAnsi"/>
        </w:rPr>
        <w:t xml:space="preserve"> for industry disputes</w:t>
      </w:r>
      <w:r>
        <w:rPr>
          <w:rFonts w:cstheme="minorHAnsi"/>
        </w:rPr>
        <w:t xml:space="preserve">, in cases where IPOLR disputes arise. </w:t>
      </w:r>
      <w:r w:rsidR="00954852">
        <w:rPr>
          <w:rFonts w:cstheme="minorHAnsi"/>
        </w:rPr>
        <w:t xml:space="preserve">We think this </w:t>
      </w:r>
      <w:r w:rsidR="009C07F7">
        <w:rPr>
          <w:rFonts w:cstheme="minorHAnsi"/>
        </w:rPr>
        <w:t xml:space="preserve">should be a transparent mechanism </w:t>
      </w:r>
      <w:r w:rsidR="00E86588">
        <w:rPr>
          <w:rFonts w:cstheme="minorHAnsi"/>
        </w:rPr>
        <w:t xml:space="preserve">but </w:t>
      </w:r>
      <w:r w:rsidR="005B7C79">
        <w:rPr>
          <w:rFonts w:cstheme="minorHAnsi"/>
        </w:rPr>
        <w:t>suggest</w:t>
      </w:r>
      <w:r w:rsidR="00E86588">
        <w:rPr>
          <w:rFonts w:cstheme="minorHAnsi"/>
        </w:rPr>
        <w:t xml:space="preserve"> the Government should consider if an owner / end user perspective should be involved also to ensure that their needs are considered and met in the process. </w:t>
      </w:r>
      <w:r w:rsidR="009C07F7">
        <w:rPr>
          <w:rFonts w:cstheme="minorHAnsi"/>
        </w:rPr>
        <w:t xml:space="preserve"> </w:t>
      </w:r>
    </w:p>
    <w:p w:rsidR="00B27C68" w:rsidRDefault="00B27C68" w:rsidP="00B27C68">
      <w:pPr>
        <w:jc w:val="both"/>
      </w:pPr>
      <w:r>
        <w:t>There is a risk that section 4.9</w:t>
      </w:r>
      <w:r w:rsidR="00FB7700">
        <w:t>, which gives</w:t>
      </w:r>
      <w:r>
        <w:t xml:space="preserve"> Telstra the option to not provide voice services under its USO obligation in areas </w:t>
      </w:r>
      <w:r w:rsidR="007C2B65">
        <w:t xml:space="preserve">that have </w:t>
      </w:r>
      <w:r w:rsidR="00A70A2E">
        <w:t xml:space="preserve">an </w:t>
      </w:r>
      <w:r>
        <w:t>alternative</w:t>
      </w:r>
      <w:r w:rsidR="00A70A2E">
        <w:t xml:space="preserve"> network and voice</w:t>
      </w:r>
      <w:r>
        <w:t xml:space="preserve"> service, would result in a first entrant monopoly provider being the only option for end users. </w:t>
      </w:r>
      <w:r w:rsidR="00FF2E56">
        <w:t>ACCAN suggests that this</w:t>
      </w:r>
      <w:r>
        <w:t xml:space="preserve"> should be qualified to say “alternative network and voice services are already available </w:t>
      </w:r>
      <w:r w:rsidR="00954852" w:rsidRPr="00A06A3B">
        <w:rPr>
          <w:b/>
          <w:i/>
        </w:rPr>
        <w:t>and comparable to Telstra services</w:t>
      </w:r>
      <w:r>
        <w:rPr>
          <w:b/>
          <w:i/>
        </w:rPr>
        <w:t>”</w:t>
      </w:r>
      <w:r>
        <w:t>. Otherwise Telstra may opt not to service an area that has services that are</w:t>
      </w:r>
      <w:r w:rsidR="0062477B">
        <w:t xml:space="preserve"> </w:t>
      </w:r>
      <w:r>
        <w:t>n</w:t>
      </w:r>
      <w:r w:rsidR="0062477B">
        <w:t>o</w:t>
      </w:r>
      <w:r>
        <w:t xml:space="preserve">t competitive. </w:t>
      </w:r>
    </w:p>
    <w:p w:rsidR="00DD1B6E" w:rsidRDefault="00F71DE5" w:rsidP="00DD1B6E">
      <w:pPr>
        <w:pStyle w:val="BodyText1"/>
        <w:rPr>
          <w:rFonts w:asciiTheme="minorHAnsi" w:hAnsiTheme="minorHAnsi" w:cstheme="minorHAnsi"/>
          <w:color w:val="auto"/>
        </w:rPr>
      </w:pPr>
      <w:r>
        <w:rPr>
          <w:rFonts w:asciiTheme="minorHAnsi" w:hAnsiTheme="minorHAnsi" w:cstheme="minorHAnsi"/>
          <w:color w:val="auto"/>
        </w:rPr>
        <w:t>Yours s</w:t>
      </w:r>
      <w:r w:rsidR="00B61BF2">
        <w:rPr>
          <w:rFonts w:asciiTheme="minorHAnsi" w:hAnsiTheme="minorHAnsi" w:cstheme="minorHAnsi"/>
          <w:color w:val="auto"/>
        </w:rPr>
        <w:t>incerely</w:t>
      </w:r>
    </w:p>
    <w:p w:rsidR="00881845" w:rsidRDefault="00881845" w:rsidP="003A2051">
      <w:pPr>
        <w:pStyle w:val="BodyText1"/>
        <w:spacing w:after="0"/>
        <w:rPr>
          <w:rFonts w:asciiTheme="minorHAnsi" w:hAnsiTheme="minorHAnsi" w:cstheme="minorHAnsi"/>
          <w:color w:val="auto"/>
        </w:rPr>
      </w:pPr>
      <w:r>
        <w:rPr>
          <w:rFonts w:asciiTheme="minorHAnsi" w:hAnsiTheme="minorHAnsi" w:cstheme="minorHAnsi"/>
          <w:noProof/>
          <w:color w:val="auto"/>
          <w:lang w:val="en-IE" w:eastAsia="en-IE"/>
        </w:rPr>
        <w:drawing>
          <wp:inline distT="0" distB="0" distL="0" distR="0">
            <wp:extent cx="1581912" cy="4297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912" cy="429768"/>
                    </a:xfrm>
                    <a:prstGeom prst="rect">
                      <a:avLst/>
                    </a:prstGeom>
                  </pic:spPr>
                </pic:pic>
              </a:graphicData>
            </a:graphic>
          </wp:inline>
        </w:drawing>
      </w:r>
      <w:bookmarkStart w:id="0" w:name="_GoBack"/>
      <w:bookmarkEnd w:id="0"/>
    </w:p>
    <w:p w:rsidR="00B61BF2" w:rsidRDefault="00B61BF2" w:rsidP="003A2051">
      <w:pPr>
        <w:pStyle w:val="BodyText1"/>
        <w:spacing w:after="0"/>
        <w:rPr>
          <w:rFonts w:asciiTheme="minorHAnsi" w:hAnsiTheme="minorHAnsi" w:cstheme="minorHAnsi"/>
          <w:color w:val="auto"/>
        </w:rPr>
      </w:pPr>
      <w:r>
        <w:rPr>
          <w:rFonts w:asciiTheme="minorHAnsi" w:hAnsiTheme="minorHAnsi" w:cstheme="minorHAnsi"/>
          <w:color w:val="auto"/>
        </w:rPr>
        <w:t>Rachel Thomas</w:t>
      </w:r>
    </w:p>
    <w:p w:rsidR="00B61BF2" w:rsidRDefault="00B61BF2" w:rsidP="003A2051">
      <w:pPr>
        <w:pStyle w:val="BodyText1"/>
        <w:spacing w:after="0"/>
        <w:rPr>
          <w:rFonts w:asciiTheme="minorHAnsi" w:hAnsiTheme="minorHAnsi" w:cstheme="minorHAnsi"/>
          <w:color w:val="auto"/>
        </w:rPr>
      </w:pPr>
      <w:r>
        <w:rPr>
          <w:rFonts w:asciiTheme="minorHAnsi" w:hAnsiTheme="minorHAnsi" w:cstheme="minorHAnsi"/>
          <w:color w:val="auto"/>
        </w:rPr>
        <w:t>Policy Officer</w:t>
      </w:r>
    </w:p>
    <w:sectPr w:rsidR="00B61BF2" w:rsidSect="00084A5B">
      <w:headerReference w:type="default" r:id="rId13"/>
      <w:footerReference w:type="default" r:id="rId14"/>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37" w:rsidRDefault="00466937" w:rsidP="005820C9">
      <w:pPr>
        <w:spacing w:after="0" w:line="240" w:lineRule="auto"/>
      </w:pPr>
      <w:r>
        <w:separator/>
      </w:r>
    </w:p>
  </w:endnote>
  <w:endnote w:type="continuationSeparator" w:id="0">
    <w:p w:rsidR="00466937" w:rsidRDefault="00466937"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A0" w:rsidRDefault="008761A0" w:rsidP="00002D94">
    <w:pPr>
      <w:pStyle w:val="Footer"/>
    </w:pPr>
    <w:r>
      <w:rPr>
        <w:noProof/>
        <w:lang w:val="en-IE" w:eastAsia="en-IE"/>
      </w:rPr>
      <mc:AlternateContent>
        <mc:Choice Requires="wpg">
          <w:drawing>
            <wp:anchor distT="0" distB="0" distL="114300" distR="114300" simplePos="0" relativeHeight="251659264" behindDoc="1" locked="0" layoutInCell="1" allowOverlap="1" wp14:anchorId="1D7F7896" wp14:editId="3E41C2D2">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8761A0" w:rsidRDefault="008761A0" w:rsidP="001C28E7">
                            <w:pPr>
                              <w:spacing w:after="0" w:line="240" w:lineRule="auto"/>
                              <w:rPr>
                                <w:color w:val="23B0E6"/>
                                <w:sz w:val="20"/>
                                <w:szCs w:val="20"/>
                              </w:rPr>
                            </w:pPr>
                          </w:p>
                          <w:p w:rsidR="008761A0" w:rsidRPr="00002D94" w:rsidRDefault="008761A0" w:rsidP="001C28E7">
                            <w:pPr>
                              <w:spacing w:after="0" w:line="240" w:lineRule="auto"/>
                              <w:rPr>
                                <w:color w:val="23B0E6"/>
                                <w:sz w:val="20"/>
                                <w:szCs w:val="20"/>
                              </w:rPr>
                            </w:pPr>
                            <w:r w:rsidRPr="00002D94">
                              <w:rPr>
                                <w:color w:val="23B0E6"/>
                                <w:sz w:val="20"/>
                                <w:szCs w:val="20"/>
                              </w:rPr>
                              <w:t>Australian Communications Consumer Action Network (ACCAN)</w:t>
                            </w:r>
                          </w:p>
                          <w:p w:rsidR="008761A0" w:rsidRPr="00002D94" w:rsidRDefault="008761A0" w:rsidP="007D3F16">
                            <w:pPr>
                              <w:spacing w:after="0" w:line="240" w:lineRule="auto"/>
                              <w:rPr>
                                <w:i/>
                                <w:color w:val="23B0E6"/>
                                <w:sz w:val="20"/>
                                <w:szCs w:val="20"/>
                              </w:rPr>
                            </w:pPr>
                            <w:r w:rsidRPr="00002D94">
                              <w:rPr>
                                <w:i/>
                                <w:color w:val="23B0E6"/>
                                <w:sz w:val="20"/>
                                <w:szCs w:val="20"/>
                              </w:rPr>
                              <w:t>Australia’s peak telecommunications consumer organisation</w:t>
                            </w:r>
                          </w:p>
                          <w:p w:rsidR="008761A0" w:rsidRPr="00002D94" w:rsidRDefault="008761A0" w:rsidP="007D3F16">
                            <w:pPr>
                              <w:spacing w:after="0" w:line="240" w:lineRule="auto"/>
                              <w:rPr>
                                <w:sz w:val="20"/>
                                <w:szCs w:val="20"/>
                              </w:rPr>
                            </w:pPr>
                            <w:r w:rsidRPr="00002D94">
                              <w:rPr>
                                <w:sz w:val="20"/>
                                <w:szCs w:val="20"/>
                              </w:rPr>
                              <w:t>Suite 4.02, 55 Mountain St, Ultimo NSW 2007</w:t>
                            </w:r>
                          </w:p>
                          <w:p w:rsidR="008761A0" w:rsidRPr="00002D94" w:rsidRDefault="008761A0" w:rsidP="007D3F16">
                            <w:pPr>
                              <w:spacing w:after="0" w:line="240" w:lineRule="auto"/>
                              <w:rPr>
                                <w:sz w:val="20"/>
                                <w:szCs w:val="20"/>
                              </w:rPr>
                            </w:pPr>
                            <w:r w:rsidRPr="00002D94">
                              <w:rPr>
                                <w:sz w:val="20"/>
                                <w:szCs w:val="20"/>
                              </w:rPr>
                              <w:t>Tel: (02) 9288 4000 | TTY: (02) 9281 5322 | Fax: (02) 9288 4019</w:t>
                            </w:r>
                          </w:p>
                          <w:p w:rsidR="008761A0" w:rsidRPr="00002D94" w:rsidRDefault="008761A0"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761A0" w:rsidRDefault="008761A0" w:rsidP="001C28E7">
                      <w:pPr>
                        <w:spacing w:after="0" w:line="240" w:lineRule="auto"/>
                        <w:rPr>
                          <w:color w:val="23B0E6"/>
                          <w:sz w:val="20"/>
                          <w:szCs w:val="20"/>
                        </w:rPr>
                      </w:pPr>
                    </w:p>
                    <w:p w:rsidR="008761A0" w:rsidRPr="00002D94" w:rsidRDefault="008761A0" w:rsidP="001C28E7">
                      <w:pPr>
                        <w:spacing w:after="0" w:line="240" w:lineRule="auto"/>
                        <w:rPr>
                          <w:color w:val="23B0E6"/>
                          <w:sz w:val="20"/>
                          <w:szCs w:val="20"/>
                        </w:rPr>
                      </w:pPr>
                      <w:r w:rsidRPr="00002D94">
                        <w:rPr>
                          <w:color w:val="23B0E6"/>
                          <w:sz w:val="20"/>
                          <w:szCs w:val="20"/>
                        </w:rPr>
                        <w:t>Australian Communications Consumer Action Network (ACCAN)</w:t>
                      </w:r>
                    </w:p>
                    <w:p w:rsidR="008761A0" w:rsidRPr="00002D94" w:rsidRDefault="008761A0" w:rsidP="007D3F16">
                      <w:pPr>
                        <w:spacing w:after="0" w:line="240" w:lineRule="auto"/>
                        <w:rPr>
                          <w:i/>
                          <w:color w:val="23B0E6"/>
                          <w:sz w:val="20"/>
                          <w:szCs w:val="20"/>
                        </w:rPr>
                      </w:pPr>
                      <w:r w:rsidRPr="00002D94">
                        <w:rPr>
                          <w:i/>
                          <w:color w:val="23B0E6"/>
                          <w:sz w:val="20"/>
                          <w:szCs w:val="20"/>
                        </w:rPr>
                        <w:t>Australia’s peak telecommunications consumer organisation</w:t>
                      </w:r>
                    </w:p>
                    <w:p w:rsidR="008761A0" w:rsidRPr="00002D94" w:rsidRDefault="008761A0" w:rsidP="007D3F16">
                      <w:pPr>
                        <w:spacing w:after="0" w:line="240" w:lineRule="auto"/>
                        <w:rPr>
                          <w:sz w:val="20"/>
                          <w:szCs w:val="20"/>
                        </w:rPr>
                      </w:pPr>
                      <w:r w:rsidRPr="00002D94">
                        <w:rPr>
                          <w:sz w:val="20"/>
                          <w:szCs w:val="20"/>
                        </w:rPr>
                        <w:t>Suite 4.02, 55 Mountain St, Ultimo NSW 2007</w:t>
                      </w:r>
                    </w:p>
                    <w:p w:rsidR="008761A0" w:rsidRPr="00002D94" w:rsidRDefault="008761A0" w:rsidP="007D3F16">
                      <w:pPr>
                        <w:spacing w:after="0" w:line="240" w:lineRule="auto"/>
                        <w:rPr>
                          <w:sz w:val="20"/>
                          <w:szCs w:val="20"/>
                        </w:rPr>
                      </w:pPr>
                      <w:r w:rsidRPr="00002D94">
                        <w:rPr>
                          <w:sz w:val="20"/>
                          <w:szCs w:val="20"/>
                        </w:rPr>
                        <w:t>Tel: (02) 9288 4000 | TTY: (02) 9281 5322 | Fax: (02) 9288 4019</w:t>
                      </w:r>
                    </w:p>
                    <w:p w:rsidR="008761A0" w:rsidRPr="00002D94" w:rsidRDefault="008761A0"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A0" w:rsidRPr="00E05115" w:rsidRDefault="008761A0"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B230B7">
      <w:rPr>
        <w:noProof/>
      </w:rPr>
      <w:t>3</w:t>
    </w:r>
    <w:r w:rsidRPr="00C4251E">
      <w:rPr>
        <w:noProof/>
      </w:rPr>
      <w:fldChar w:fldCharType="end"/>
    </w:r>
  </w:p>
  <w:p w:rsidR="008761A0" w:rsidRDefault="00876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37" w:rsidRDefault="00466937" w:rsidP="005820C9">
      <w:pPr>
        <w:spacing w:after="0" w:line="240" w:lineRule="auto"/>
      </w:pPr>
      <w:r>
        <w:separator/>
      </w:r>
    </w:p>
  </w:footnote>
  <w:footnote w:type="continuationSeparator" w:id="0">
    <w:p w:rsidR="00466937" w:rsidRDefault="00466937" w:rsidP="005820C9">
      <w:pPr>
        <w:spacing w:after="0" w:line="240" w:lineRule="auto"/>
      </w:pPr>
      <w:r>
        <w:continuationSeparator/>
      </w:r>
    </w:p>
  </w:footnote>
  <w:footnote w:id="1">
    <w:p w:rsidR="008761A0" w:rsidRPr="009315B6" w:rsidRDefault="008761A0">
      <w:pPr>
        <w:pStyle w:val="FootnoteText"/>
        <w:rPr>
          <w:lang w:val="en-AU"/>
        </w:rPr>
      </w:pPr>
      <w:r>
        <w:rPr>
          <w:rStyle w:val="FootnoteReference"/>
        </w:rPr>
        <w:footnoteRef/>
      </w:r>
      <w:r>
        <w:t xml:space="preserve"> </w:t>
      </w:r>
      <w:hyperlink r:id="rId1" w:history="1">
        <w:r w:rsidRPr="00B27C23">
          <w:rPr>
            <w:rStyle w:val="Hyperlink"/>
          </w:rPr>
          <w:t>http://www.tenants.org.au/factsheet-23-utilities</w:t>
        </w:r>
      </w:hyperlink>
      <w:r>
        <w:rPr>
          <w:rStyle w:val="Hyperlink"/>
        </w:rPr>
        <w:t xml:space="preserve">, </w:t>
      </w:r>
      <w:hyperlink r:id="rId2" w:history="1">
        <w:r w:rsidRPr="00375EB1">
          <w:rPr>
            <w:rStyle w:val="Hyperlink"/>
          </w:rPr>
          <w:t>http://www.tuv.org.au/articles/files/resources/utility_charges_RT_FS_052010.pdf</w:t>
        </w:r>
      </w:hyperlink>
      <w:r>
        <w:rPr>
          <w:rStyle w:val="Hyperlink"/>
        </w:rPr>
        <w:t xml:space="preserve">, </w:t>
      </w:r>
    </w:p>
  </w:footnote>
  <w:footnote w:id="2">
    <w:p w:rsidR="008761A0" w:rsidRPr="006567A9" w:rsidRDefault="008761A0" w:rsidP="004D3869">
      <w:pPr>
        <w:pStyle w:val="FootnoteText"/>
        <w:rPr>
          <w:lang w:val="en-AU"/>
        </w:rPr>
      </w:pPr>
      <w:r>
        <w:rPr>
          <w:rStyle w:val="FootnoteReference"/>
        </w:rPr>
        <w:footnoteRef/>
      </w:r>
      <w:r>
        <w:t xml:space="preserve"> </w:t>
      </w:r>
      <w:r w:rsidRPr="001C211A">
        <w:t>Telecommunications Legislation Amendment (Fibre Deployment) Bill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A0" w:rsidRDefault="008761A0" w:rsidP="00DD7C1C">
    <w:pPr>
      <w:pStyle w:val="Header"/>
      <w:tabs>
        <w:tab w:val="clear" w:pos="4513"/>
        <w:tab w:val="clear" w:pos="9026"/>
      </w:tabs>
      <w:ind w:right="-1"/>
      <w:jc w:val="right"/>
    </w:pPr>
    <w:r>
      <w:rPr>
        <w:noProof/>
        <w:lang w:val="en-IE" w:eastAsia="en-IE"/>
      </w:rPr>
      <w:drawing>
        <wp:anchor distT="0" distB="0" distL="114300" distR="114300" simplePos="0" relativeHeight="251660288" behindDoc="1" locked="0" layoutInCell="1" allowOverlap="1" wp14:anchorId="5456B6EA" wp14:editId="1DB40062">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A0" w:rsidRDefault="008761A0"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3FEE"/>
    <w:multiLevelType w:val="hybridMultilevel"/>
    <w:tmpl w:val="B958DD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6C"/>
    <w:rsid w:val="00002D94"/>
    <w:rsid w:val="0002022C"/>
    <w:rsid w:val="00023A9C"/>
    <w:rsid w:val="00027253"/>
    <w:rsid w:val="00041765"/>
    <w:rsid w:val="000547B3"/>
    <w:rsid w:val="00067065"/>
    <w:rsid w:val="00073EFF"/>
    <w:rsid w:val="00084A5B"/>
    <w:rsid w:val="000859A9"/>
    <w:rsid w:val="000B31A5"/>
    <w:rsid w:val="000C05C6"/>
    <w:rsid w:val="000C7B03"/>
    <w:rsid w:val="00107CBB"/>
    <w:rsid w:val="001114BB"/>
    <w:rsid w:val="001172EE"/>
    <w:rsid w:val="001356B4"/>
    <w:rsid w:val="00156DFA"/>
    <w:rsid w:val="001627E8"/>
    <w:rsid w:val="00165C36"/>
    <w:rsid w:val="00173EBF"/>
    <w:rsid w:val="001A7A0C"/>
    <w:rsid w:val="001C28E7"/>
    <w:rsid w:val="001E1FDF"/>
    <w:rsid w:val="001E4883"/>
    <w:rsid w:val="00214649"/>
    <w:rsid w:val="00221085"/>
    <w:rsid w:val="00221E1E"/>
    <w:rsid w:val="00234042"/>
    <w:rsid w:val="00262D68"/>
    <w:rsid w:val="00264750"/>
    <w:rsid w:val="00264A33"/>
    <w:rsid w:val="00266183"/>
    <w:rsid w:val="00267D77"/>
    <w:rsid w:val="002A4C88"/>
    <w:rsid w:val="002B0D08"/>
    <w:rsid w:val="002C6EBA"/>
    <w:rsid w:val="002D529D"/>
    <w:rsid w:val="002F22DD"/>
    <w:rsid w:val="002F4C66"/>
    <w:rsid w:val="00355904"/>
    <w:rsid w:val="003A2051"/>
    <w:rsid w:val="003B1499"/>
    <w:rsid w:val="003E6503"/>
    <w:rsid w:val="003F3F18"/>
    <w:rsid w:val="00405393"/>
    <w:rsid w:val="00407A53"/>
    <w:rsid w:val="0041030C"/>
    <w:rsid w:val="00413FA5"/>
    <w:rsid w:val="0042593B"/>
    <w:rsid w:val="00431F48"/>
    <w:rsid w:val="00432F8C"/>
    <w:rsid w:val="00433188"/>
    <w:rsid w:val="00435643"/>
    <w:rsid w:val="00452E30"/>
    <w:rsid w:val="0045421D"/>
    <w:rsid w:val="00454A6B"/>
    <w:rsid w:val="004552EA"/>
    <w:rsid w:val="0046439D"/>
    <w:rsid w:val="00466937"/>
    <w:rsid w:val="00472C7E"/>
    <w:rsid w:val="004850E4"/>
    <w:rsid w:val="00492444"/>
    <w:rsid w:val="004A01EB"/>
    <w:rsid w:val="004B5F63"/>
    <w:rsid w:val="004C3718"/>
    <w:rsid w:val="004C3886"/>
    <w:rsid w:val="004D0862"/>
    <w:rsid w:val="004D3869"/>
    <w:rsid w:val="004D6EED"/>
    <w:rsid w:val="00506EB4"/>
    <w:rsid w:val="00520857"/>
    <w:rsid w:val="005323E7"/>
    <w:rsid w:val="005820C9"/>
    <w:rsid w:val="005A463E"/>
    <w:rsid w:val="005A673E"/>
    <w:rsid w:val="005B7C79"/>
    <w:rsid w:val="005D1B2B"/>
    <w:rsid w:val="005E057E"/>
    <w:rsid w:val="005F6D17"/>
    <w:rsid w:val="00604DD0"/>
    <w:rsid w:val="00612C38"/>
    <w:rsid w:val="0062477B"/>
    <w:rsid w:val="006270C8"/>
    <w:rsid w:val="00652B3C"/>
    <w:rsid w:val="00653DA9"/>
    <w:rsid w:val="006567A9"/>
    <w:rsid w:val="0066055B"/>
    <w:rsid w:val="00662F5D"/>
    <w:rsid w:val="006713DD"/>
    <w:rsid w:val="00675B78"/>
    <w:rsid w:val="006A1AA2"/>
    <w:rsid w:val="006C0779"/>
    <w:rsid w:val="006D08A5"/>
    <w:rsid w:val="006D6B16"/>
    <w:rsid w:val="007006E4"/>
    <w:rsid w:val="00725796"/>
    <w:rsid w:val="007506AE"/>
    <w:rsid w:val="007575FD"/>
    <w:rsid w:val="007624EE"/>
    <w:rsid w:val="00775494"/>
    <w:rsid w:val="0078499A"/>
    <w:rsid w:val="007A3E1A"/>
    <w:rsid w:val="007A45BD"/>
    <w:rsid w:val="007C2B65"/>
    <w:rsid w:val="007D3F16"/>
    <w:rsid w:val="007D7007"/>
    <w:rsid w:val="007E5C2B"/>
    <w:rsid w:val="007F2630"/>
    <w:rsid w:val="008022E4"/>
    <w:rsid w:val="0080355E"/>
    <w:rsid w:val="00837174"/>
    <w:rsid w:val="00853C86"/>
    <w:rsid w:val="008703B9"/>
    <w:rsid w:val="00874727"/>
    <w:rsid w:val="008761A0"/>
    <w:rsid w:val="00881845"/>
    <w:rsid w:val="008A19E7"/>
    <w:rsid w:val="008A6DE7"/>
    <w:rsid w:val="008C69A3"/>
    <w:rsid w:val="008D10A0"/>
    <w:rsid w:val="008E0334"/>
    <w:rsid w:val="008F7E90"/>
    <w:rsid w:val="009005A1"/>
    <w:rsid w:val="009315B6"/>
    <w:rsid w:val="00952C08"/>
    <w:rsid w:val="0095480E"/>
    <w:rsid w:val="00954852"/>
    <w:rsid w:val="009810E4"/>
    <w:rsid w:val="00981F17"/>
    <w:rsid w:val="009A069B"/>
    <w:rsid w:val="009A113B"/>
    <w:rsid w:val="009A227B"/>
    <w:rsid w:val="009A434B"/>
    <w:rsid w:val="009C07F7"/>
    <w:rsid w:val="009D442F"/>
    <w:rsid w:val="00A06A3B"/>
    <w:rsid w:val="00A4447D"/>
    <w:rsid w:val="00A67DD5"/>
    <w:rsid w:val="00A70A2E"/>
    <w:rsid w:val="00A91B7A"/>
    <w:rsid w:val="00A95AE5"/>
    <w:rsid w:val="00AA686C"/>
    <w:rsid w:val="00AD287A"/>
    <w:rsid w:val="00AD6EA5"/>
    <w:rsid w:val="00AE2840"/>
    <w:rsid w:val="00AE6A6C"/>
    <w:rsid w:val="00B230B7"/>
    <w:rsid w:val="00B26A29"/>
    <w:rsid w:val="00B26FE7"/>
    <w:rsid w:val="00B27C68"/>
    <w:rsid w:val="00B32455"/>
    <w:rsid w:val="00B4140A"/>
    <w:rsid w:val="00B418A0"/>
    <w:rsid w:val="00B61BF2"/>
    <w:rsid w:val="00B7084E"/>
    <w:rsid w:val="00B87233"/>
    <w:rsid w:val="00B94449"/>
    <w:rsid w:val="00B96502"/>
    <w:rsid w:val="00BA0FC8"/>
    <w:rsid w:val="00BB29F5"/>
    <w:rsid w:val="00BD749D"/>
    <w:rsid w:val="00BF28EA"/>
    <w:rsid w:val="00C046D0"/>
    <w:rsid w:val="00C23063"/>
    <w:rsid w:val="00C25D19"/>
    <w:rsid w:val="00C32DD1"/>
    <w:rsid w:val="00C34F6B"/>
    <w:rsid w:val="00C4251E"/>
    <w:rsid w:val="00C613FC"/>
    <w:rsid w:val="00C946CC"/>
    <w:rsid w:val="00C96612"/>
    <w:rsid w:val="00CA50D5"/>
    <w:rsid w:val="00CA6A74"/>
    <w:rsid w:val="00CD459D"/>
    <w:rsid w:val="00CF3B0A"/>
    <w:rsid w:val="00CF5B31"/>
    <w:rsid w:val="00D00334"/>
    <w:rsid w:val="00D016CB"/>
    <w:rsid w:val="00D0786C"/>
    <w:rsid w:val="00D13570"/>
    <w:rsid w:val="00D1440C"/>
    <w:rsid w:val="00D25A1E"/>
    <w:rsid w:val="00D30709"/>
    <w:rsid w:val="00D3636E"/>
    <w:rsid w:val="00D6114B"/>
    <w:rsid w:val="00D66D95"/>
    <w:rsid w:val="00D80625"/>
    <w:rsid w:val="00D85BF5"/>
    <w:rsid w:val="00D94569"/>
    <w:rsid w:val="00DA08CE"/>
    <w:rsid w:val="00DA56B2"/>
    <w:rsid w:val="00DB1573"/>
    <w:rsid w:val="00DC031F"/>
    <w:rsid w:val="00DD1B6E"/>
    <w:rsid w:val="00DD741A"/>
    <w:rsid w:val="00DD7C1C"/>
    <w:rsid w:val="00DE50C0"/>
    <w:rsid w:val="00DE537F"/>
    <w:rsid w:val="00DE71E9"/>
    <w:rsid w:val="00DF1199"/>
    <w:rsid w:val="00DF6E30"/>
    <w:rsid w:val="00E02A08"/>
    <w:rsid w:val="00E05115"/>
    <w:rsid w:val="00E54047"/>
    <w:rsid w:val="00E63082"/>
    <w:rsid w:val="00E71265"/>
    <w:rsid w:val="00E71CE3"/>
    <w:rsid w:val="00E81ECD"/>
    <w:rsid w:val="00E84F80"/>
    <w:rsid w:val="00E85814"/>
    <w:rsid w:val="00E860C0"/>
    <w:rsid w:val="00E86588"/>
    <w:rsid w:val="00EA1D33"/>
    <w:rsid w:val="00EF38A8"/>
    <w:rsid w:val="00EF7262"/>
    <w:rsid w:val="00F04362"/>
    <w:rsid w:val="00F26FC5"/>
    <w:rsid w:val="00F305D6"/>
    <w:rsid w:val="00F31F4C"/>
    <w:rsid w:val="00F406D9"/>
    <w:rsid w:val="00F47C64"/>
    <w:rsid w:val="00F50673"/>
    <w:rsid w:val="00F61950"/>
    <w:rsid w:val="00F71DE5"/>
    <w:rsid w:val="00F75348"/>
    <w:rsid w:val="00F76853"/>
    <w:rsid w:val="00F860D4"/>
    <w:rsid w:val="00FB16B2"/>
    <w:rsid w:val="00FB7700"/>
    <w:rsid w:val="00FF2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 w:type="paragraph" w:styleId="Revision">
    <w:name w:val="Revision"/>
    <w:hidden/>
    <w:uiPriority w:val="99"/>
    <w:semiHidden/>
    <w:rsid w:val="00262D68"/>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 w:type="paragraph" w:styleId="Revision">
    <w:name w:val="Revision"/>
    <w:hidden/>
    <w:uiPriority w:val="99"/>
    <w:semiHidden/>
    <w:rsid w:val="00262D68"/>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eenfields@communications.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tuv.org.au/articles/files/resources/utility_charges_RT_FS_052010.pdf" TargetMode="External"/><Relationship Id="rId1" Type="http://schemas.openxmlformats.org/officeDocument/2006/relationships/hyperlink" Target="http://www.tenants.org.au/factsheet-23-ut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4%20-%20sans%20advocacy\Short%20submis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5F5D8-9D5F-4A1C-AE8C-DDC835D5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2014</Template>
  <TotalTime>4</TotalTime>
  <Pages>3</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6</cp:revision>
  <cp:lastPrinted>2016-08-03T03:52:00Z</cp:lastPrinted>
  <dcterms:created xsi:type="dcterms:W3CDTF">2015-01-15T05:44:00Z</dcterms:created>
  <dcterms:modified xsi:type="dcterms:W3CDTF">2016-08-03T03:52:00Z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