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564701" w:rsidP="00B14DFB">
      <w:pPr>
        <w:pStyle w:val="Title"/>
      </w:pPr>
      <w:bookmarkStart w:id="0" w:name="_GoBack"/>
      <w:bookmarkEnd w:id="0"/>
      <w:r>
        <w:t xml:space="preserve">Mobile Coverage Expansion </w:t>
      </w:r>
      <w:r w:rsidR="00DC1119">
        <w:t>Program</w:t>
      </w:r>
    </w:p>
    <w:p w:rsidR="009F4B9D" w:rsidRPr="003441E5" w:rsidRDefault="009F4B9D" w:rsidP="00B14DFB">
      <w:pPr>
        <w:pStyle w:val="Subtitle"/>
      </w:pPr>
      <w:r w:rsidRPr="003441E5">
        <w:t xml:space="preserve">Submission by the Australian Communications Consumer Action Network to the </w:t>
      </w:r>
      <w:r w:rsidR="004B18A3">
        <w:t>Department of Communications</w:t>
      </w:r>
    </w:p>
    <w:p w:rsidR="009F4B9D" w:rsidRPr="003441E5" w:rsidRDefault="00564701" w:rsidP="00B14DFB">
      <w:pPr>
        <w:pStyle w:val="Subtitle"/>
      </w:pPr>
      <w:r>
        <w:t>February</w:t>
      </w:r>
      <w:r w:rsidR="004B18A3">
        <w:t xml:space="preserve"> 2014</w:t>
      </w: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Default="003E6066" w:rsidP="00A13B92">
      <w:pPr>
        <w:rPr>
          <w:lang w:eastAsia="en-US"/>
        </w:rPr>
      </w:pPr>
    </w:p>
    <w:p w:rsidR="003E6066" w:rsidRPr="003441E5" w:rsidRDefault="003E6066" w:rsidP="00A13B92">
      <w:pPr>
        <w:rPr>
          <w:lang w:eastAsia="en-US"/>
        </w:rPr>
      </w:pPr>
    </w:p>
    <w:p w:rsidR="00B5751D" w:rsidRDefault="00B5751D">
      <w:pPr>
        <w:spacing w:before="0" w:beforeAutospacing="0" w:after="0" w:afterAutospacing="0"/>
        <w:rPr>
          <w:b/>
        </w:rPr>
      </w:pPr>
      <w: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9F4B9D" w:rsidRDefault="00564701" w:rsidP="004B18A3">
      <w:pPr>
        <w:spacing w:before="0" w:beforeAutospacing="0" w:after="0" w:afterAutospacing="0"/>
      </w:pPr>
      <w:r>
        <w:t>Penney Wood</w:t>
      </w:r>
    </w:p>
    <w:p w:rsidR="004B18A3" w:rsidRPr="003441E5" w:rsidRDefault="004B18A3" w:rsidP="004B18A3">
      <w:pPr>
        <w:spacing w:before="0" w:beforeAutospacing="0" w:after="0" w:afterAutospacing="0"/>
      </w:pPr>
      <w: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107EA3"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81349309" w:history="1">
            <w:r w:rsidR="00107EA3" w:rsidRPr="00FC53C4">
              <w:rPr>
                <w:rStyle w:val="Hyperlink"/>
                <w:noProof/>
              </w:rPr>
              <w:t>1.</w:t>
            </w:r>
            <w:r w:rsidR="00107EA3">
              <w:rPr>
                <w:rFonts w:asciiTheme="minorHAnsi" w:hAnsiTheme="minorHAnsi"/>
                <w:noProof/>
              </w:rPr>
              <w:tab/>
            </w:r>
            <w:r w:rsidR="00107EA3" w:rsidRPr="00FC53C4">
              <w:rPr>
                <w:rStyle w:val="Hyperlink"/>
                <w:noProof/>
              </w:rPr>
              <w:t>Introduction: importance of improved mobile coverage</w:t>
            </w:r>
            <w:r w:rsidR="00107EA3">
              <w:rPr>
                <w:noProof/>
                <w:webHidden/>
              </w:rPr>
              <w:tab/>
            </w:r>
            <w:r w:rsidR="00107EA3">
              <w:rPr>
                <w:noProof/>
                <w:webHidden/>
              </w:rPr>
              <w:fldChar w:fldCharType="begin"/>
            </w:r>
            <w:r w:rsidR="00107EA3">
              <w:rPr>
                <w:noProof/>
                <w:webHidden/>
              </w:rPr>
              <w:instrText xml:space="preserve"> PAGEREF _Toc381349309 \h </w:instrText>
            </w:r>
            <w:r w:rsidR="00107EA3">
              <w:rPr>
                <w:noProof/>
                <w:webHidden/>
              </w:rPr>
            </w:r>
            <w:r w:rsidR="00107EA3">
              <w:rPr>
                <w:noProof/>
                <w:webHidden/>
              </w:rPr>
              <w:fldChar w:fldCharType="separate"/>
            </w:r>
            <w:r w:rsidR="00107EA3">
              <w:rPr>
                <w:noProof/>
                <w:webHidden/>
              </w:rPr>
              <w:t>4</w:t>
            </w:r>
            <w:r w:rsidR="00107EA3">
              <w:rPr>
                <w:noProof/>
                <w:webHidden/>
              </w:rPr>
              <w:fldChar w:fldCharType="end"/>
            </w:r>
          </w:hyperlink>
        </w:p>
        <w:p w:rsidR="00107EA3" w:rsidRDefault="00536BE0">
          <w:pPr>
            <w:pStyle w:val="TOC2"/>
            <w:rPr>
              <w:rFonts w:asciiTheme="minorHAnsi" w:hAnsiTheme="minorHAnsi"/>
            </w:rPr>
          </w:pPr>
          <w:hyperlink w:anchor="_Toc381349310" w:history="1">
            <w:r w:rsidR="00107EA3" w:rsidRPr="00FC53C4">
              <w:rPr>
                <w:rStyle w:val="Hyperlink"/>
                <w:rFonts w:cstheme="minorHAnsi"/>
              </w:rPr>
              <w:t>1.1.</w:t>
            </w:r>
            <w:r w:rsidR="00107EA3">
              <w:rPr>
                <w:rFonts w:asciiTheme="minorHAnsi" w:hAnsiTheme="minorHAnsi"/>
              </w:rPr>
              <w:tab/>
            </w:r>
            <w:r w:rsidR="00107EA3" w:rsidRPr="00FC53C4">
              <w:rPr>
                <w:rStyle w:val="Hyperlink"/>
                <w:rFonts w:cstheme="minorHAnsi"/>
              </w:rPr>
              <w:t>Proposed delivery options and criteria</w:t>
            </w:r>
            <w:r w:rsidR="00107EA3">
              <w:rPr>
                <w:webHidden/>
              </w:rPr>
              <w:tab/>
            </w:r>
            <w:r w:rsidR="00107EA3">
              <w:rPr>
                <w:webHidden/>
              </w:rPr>
              <w:fldChar w:fldCharType="begin"/>
            </w:r>
            <w:r w:rsidR="00107EA3">
              <w:rPr>
                <w:webHidden/>
              </w:rPr>
              <w:instrText xml:space="preserve"> PAGEREF _Toc381349310 \h </w:instrText>
            </w:r>
            <w:r w:rsidR="00107EA3">
              <w:rPr>
                <w:webHidden/>
              </w:rPr>
            </w:r>
            <w:r w:rsidR="00107EA3">
              <w:rPr>
                <w:webHidden/>
              </w:rPr>
              <w:fldChar w:fldCharType="separate"/>
            </w:r>
            <w:r w:rsidR="00107EA3">
              <w:rPr>
                <w:webHidden/>
              </w:rPr>
              <w:t>4</w:t>
            </w:r>
            <w:r w:rsidR="00107EA3">
              <w:rPr>
                <w:webHidden/>
              </w:rPr>
              <w:fldChar w:fldCharType="end"/>
            </w:r>
          </w:hyperlink>
        </w:p>
        <w:p w:rsidR="00107EA3" w:rsidRDefault="00536BE0">
          <w:pPr>
            <w:pStyle w:val="TOC3"/>
            <w:rPr>
              <w:rFonts w:asciiTheme="minorHAnsi" w:hAnsiTheme="minorHAnsi"/>
            </w:rPr>
          </w:pPr>
          <w:hyperlink w:anchor="_Toc381349311" w:history="1">
            <w:r w:rsidR="00107EA3" w:rsidRPr="00FC53C4">
              <w:rPr>
                <w:rStyle w:val="Hyperlink"/>
              </w:rPr>
              <w:t>1.1.1.</w:t>
            </w:r>
            <w:r w:rsidR="00107EA3">
              <w:rPr>
                <w:rFonts w:asciiTheme="minorHAnsi" w:hAnsiTheme="minorHAnsi"/>
              </w:rPr>
              <w:tab/>
            </w:r>
            <w:r w:rsidR="00107EA3" w:rsidRPr="00FC53C4">
              <w:rPr>
                <w:rStyle w:val="Hyperlink"/>
              </w:rPr>
              <w:t>Program delivery</w:t>
            </w:r>
            <w:r w:rsidR="00107EA3">
              <w:rPr>
                <w:webHidden/>
              </w:rPr>
              <w:tab/>
            </w:r>
            <w:r w:rsidR="00107EA3">
              <w:rPr>
                <w:webHidden/>
              </w:rPr>
              <w:fldChar w:fldCharType="begin"/>
            </w:r>
            <w:r w:rsidR="00107EA3">
              <w:rPr>
                <w:webHidden/>
              </w:rPr>
              <w:instrText xml:space="preserve"> PAGEREF _Toc381349311 \h </w:instrText>
            </w:r>
            <w:r w:rsidR="00107EA3">
              <w:rPr>
                <w:webHidden/>
              </w:rPr>
            </w:r>
            <w:r w:rsidR="00107EA3">
              <w:rPr>
                <w:webHidden/>
              </w:rPr>
              <w:fldChar w:fldCharType="separate"/>
            </w:r>
            <w:r w:rsidR="00107EA3">
              <w:rPr>
                <w:webHidden/>
              </w:rPr>
              <w:t>4</w:t>
            </w:r>
            <w:r w:rsidR="00107EA3">
              <w:rPr>
                <w:webHidden/>
              </w:rPr>
              <w:fldChar w:fldCharType="end"/>
            </w:r>
          </w:hyperlink>
        </w:p>
        <w:p w:rsidR="00107EA3" w:rsidRDefault="00536BE0">
          <w:pPr>
            <w:pStyle w:val="TOC3"/>
            <w:rPr>
              <w:rFonts w:asciiTheme="minorHAnsi" w:hAnsiTheme="minorHAnsi"/>
            </w:rPr>
          </w:pPr>
          <w:hyperlink w:anchor="_Toc381349312" w:history="1">
            <w:r w:rsidR="00107EA3" w:rsidRPr="00FC53C4">
              <w:rPr>
                <w:rStyle w:val="Hyperlink"/>
              </w:rPr>
              <w:t>1.1.2.</w:t>
            </w:r>
            <w:r w:rsidR="00107EA3">
              <w:rPr>
                <w:rFonts w:asciiTheme="minorHAnsi" w:hAnsiTheme="minorHAnsi"/>
              </w:rPr>
              <w:tab/>
            </w:r>
            <w:r w:rsidR="00107EA3" w:rsidRPr="00FC53C4">
              <w:rPr>
                <w:rStyle w:val="Hyperlink"/>
              </w:rPr>
              <w:t>$20m Black Spots project: Stage 2 Expressions of Interest (EOI)</w:t>
            </w:r>
            <w:r w:rsidR="00107EA3">
              <w:rPr>
                <w:webHidden/>
              </w:rPr>
              <w:tab/>
            </w:r>
            <w:r w:rsidR="00107EA3">
              <w:rPr>
                <w:webHidden/>
              </w:rPr>
              <w:fldChar w:fldCharType="begin"/>
            </w:r>
            <w:r w:rsidR="00107EA3">
              <w:rPr>
                <w:webHidden/>
              </w:rPr>
              <w:instrText xml:space="preserve"> PAGEREF _Toc381349312 \h </w:instrText>
            </w:r>
            <w:r w:rsidR="00107EA3">
              <w:rPr>
                <w:webHidden/>
              </w:rPr>
            </w:r>
            <w:r w:rsidR="00107EA3">
              <w:rPr>
                <w:webHidden/>
              </w:rPr>
              <w:fldChar w:fldCharType="separate"/>
            </w:r>
            <w:r w:rsidR="00107EA3">
              <w:rPr>
                <w:webHidden/>
              </w:rPr>
              <w:t>5</w:t>
            </w:r>
            <w:r w:rsidR="00107EA3">
              <w:rPr>
                <w:webHidden/>
              </w:rPr>
              <w:fldChar w:fldCharType="end"/>
            </w:r>
          </w:hyperlink>
        </w:p>
        <w:p w:rsidR="00107EA3" w:rsidRDefault="00536BE0">
          <w:pPr>
            <w:pStyle w:val="TOC3"/>
            <w:rPr>
              <w:rFonts w:asciiTheme="minorHAnsi" w:hAnsiTheme="minorHAnsi"/>
            </w:rPr>
          </w:pPr>
          <w:hyperlink w:anchor="_Toc381349313" w:history="1">
            <w:r w:rsidR="00107EA3" w:rsidRPr="00FC53C4">
              <w:rPr>
                <w:rStyle w:val="Hyperlink"/>
              </w:rPr>
              <w:t>1.1.3.</w:t>
            </w:r>
            <w:r w:rsidR="00107EA3">
              <w:rPr>
                <w:rFonts w:asciiTheme="minorHAnsi" w:hAnsiTheme="minorHAnsi"/>
              </w:rPr>
              <w:tab/>
            </w:r>
            <w:r w:rsidR="00107EA3" w:rsidRPr="00FC53C4">
              <w:rPr>
                <w:rStyle w:val="Hyperlink"/>
              </w:rPr>
              <w:t>Assessment criteria</w:t>
            </w:r>
            <w:r w:rsidR="00107EA3">
              <w:rPr>
                <w:webHidden/>
              </w:rPr>
              <w:tab/>
            </w:r>
            <w:r w:rsidR="00107EA3">
              <w:rPr>
                <w:webHidden/>
              </w:rPr>
              <w:fldChar w:fldCharType="begin"/>
            </w:r>
            <w:r w:rsidR="00107EA3">
              <w:rPr>
                <w:webHidden/>
              </w:rPr>
              <w:instrText xml:space="preserve"> PAGEREF _Toc381349313 \h </w:instrText>
            </w:r>
            <w:r w:rsidR="00107EA3">
              <w:rPr>
                <w:webHidden/>
              </w:rPr>
            </w:r>
            <w:r w:rsidR="00107EA3">
              <w:rPr>
                <w:webHidden/>
              </w:rPr>
              <w:fldChar w:fldCharType="separate"/>
            </w:r>
            <w:r w:rsidR="00107EA3">
              <w:rPr>
                <w:webHidden/>
              </w:rPr>
              <w:t>5</w:t>
            </w:r>
            <w:r w:rsidR="00107EA3">
              <w:rPr>
                <w:webHidden/>
              </w:rPr>
              <w:fldChar w:fldCharType="end"/>
            </w:r>
          </w:hyperlink>
        </w:p>
        <w:p w:rsidR="00107EA3" w:rsidRDefault="00536BE0">
          <w:pPr>
            <w:pStyle w:val="TOC3"/>
            <w:rPr>
              <w:rFonts w:asciiTheme="minorHAnsi" w:hAnsiTheme="minorHAnsi"/>
            </w:rPr>
          </w:pPr>
          <w:hyperlink w:anchor="_Toc381349314" w:history="1">
            <w:r w:rsidR="00107EA3" w:rsidRPr="00FC53C4">
              <w:rPr>
                <w:rStyle w:val="Hyperlink"/>
                <w:rFonts w:cstheme="minorHAnsi"/>
              </w:rPr>
              <w:t>1.1.4.</w:t>
            </w:r>
            <w:r w:rsidR="00107EA3">
              <w:rPr>
                <w:rFonts w:asciiTheme="minorHAnsi" w:hAnsiTheme="minorHAnsi"/>
              </w:rPr>
              <w:tab/>
            </w:r>
            <w:r w:rsidR="00107EA3" w:rsidRPr="00FC53C4">
              <w:rPr>
                <w:rStyle w:val="Hyperlink"/>
              </w:rPr>
              <w:t>Service quality standards</w:t>
            </w:r>
            <w:r w:rsidR="00107EA3">
              <w:rPr>
                <w:webHidden/>
              </w:rPr>
              <w:tab/>
            </w:r>
            <w:r w:rsidR="00107EA3">
              <w:rPr>
                <w:webHidden/>
              </w:rPr>
              <w:fldChar w:fldCharType="begin"/>
            </w:r>
            <w:r w:rsidR="00107EA3">
              <w:rPr>
                <w:webHidden/>
              </w:rPr>
              <w:instrText xml:space="preserve"> PAGEREF _Toc381349314 \h </w:instrText>
            </w:r>
            <w:r w:rsidR="00107EA3">
              <w:rPr>
                <w:webHidden/>
              </w:rPr>
            </w:r>
            <w:r w:rsidR="00107EA3">
              <w:rPr>
                <w:webHidden/>
              </w:rPr>
              <w:fldChar w:fldCharType="separate"/>
            </w:r>
            <w:r w:rsidR="00107EA3">
              <w:rPr>
                <w:webHidden/>
              </w:rPr>
              <w:t>5</w:t>
            </w:r>
            <w:r w:rsidR="00107EA3">
              <w:rPr>
                <w:webHidden/>
              </w:rPr>
              <w:fldChar w:fldCharType="end"/>
            </w:r>
          </w:hyperlink>
        </w:p>
        <w:p w:rsidR="00107EA3" w:rsidRDefault="00536BE0">
          <w:pPr>
            <w:pStyle w:val="TOC2"/>
            <w:rPr>
              <w:rFonts w:asciiTheme="minorHAnsi" w:hAnsiTheme="minorHAnsi"/>
            </w:rPr>
          </w:pPr>
          <w:hyperlink w:anchor="_Toc381349315" w:history="1">
            <w:r w:rsidR="00107EA3" w:rsidRPr="00FC53C4">
              <w:rPr>
                <w:rStyle w:val="Hyperlink"/>
              </w:rPr>
              <w:t>1.2.</w:t>
            </w:r>
            <w:r w:rsidR="00107EA3">
              <w:rPr>
                <w:rFonts w:asciiTheme="minorHAnsi" w:hAnsiTheme="minorHAnsi"/>
              </w:rPr>
              <w:tab/>
            </w:r>
            <w:r w:rsidR="00107EA3" w:rsidRPr="00FC53C4">
              <w:rPr>
                <w:rStyle w:val="Hyperlink"/>
              </w:rPr>
              <w:t>Open access</w:t>
            </w:r>
            <w:r w:rsidR="00107EA3">
              <w:rPr>
                <w:webHidden/>
              </w:rPr>
              <w:tab/>
            </w:r>
            <w:r w:rsidR="00107EA3">
              <w:rPr>
                <w:webHidden/>
              </w:rPr>
              <w:fldChar w:fldCharType="begin"/>
            </w:r>
            <w:r w:rsidR="00107EA3">
              <w:rPr>
                <w:webHidden/>
              </w:rPr>
              <w:instrText xml:space="preserve"> PAGEREF _Toc381349315 \h </w:instrText>
            </w:r>
            <w:r w:rsidR="00107EA3">
              <w:rPr>
                <w:webHidden/>
              </w:rPr>
            </w:r>
            <w:r w:rsidR="00107EA3">
              <w:rPr>
                <w:webHidden/>
              </w:rPr>
              <w:fldChar w:fldCharType="separate"/>
            </w:r>
            <w:r w:rsidR="00107EA3">
              <w:rPr>
                <w:webHidden/>
              </w:rPr>
              <w:t>6</w:t>
            </w:r>
            <w:r w:rsidR="00107EA3">
              <w:rPr>
                <w:webHidden/>
              </w:rPr>
              <w:fldChar w:fldCharType="end"/>
            </w:r>
          </w:hyperlink>
        </w:p>
        <w:p w:rsidR="00107EA3" w:rsidRDefault="00536BE0">
          <w:pPr>
            <w:pStyle w:val="TOC2"/>
            <w:rPr>
              <w:rFonts w:asciiTheme="minorHAnsi" w:hAnsiTheme="minorHAnsi"/>
            </w:rPr>
          </w:pPr>
          <w:hyperlink w:anchor="_Toc381349316" w:history="1">
            <w:r w:rsidR="00107EA3" w:rsidRPr="00FC53C4">
              <w:rPr>
                <w:rStyle w:val="Hyperlink"/>
                <w:rFonts w:cstheme="minorHAnsi"/>
              </w:rPr>
              <w:t>1.3.</w:t>
            </w:r>
            <w:r w:rsidR="00107EA3">
              <w:rPr>
                <w:rFonts w:asciiTheme="minorHAnsi" w:hAnsiTheme="minorHAnsi"/>
              </w:rPr>
              <w:tab/>
            </w:r>
            <w:r w:rsidR="00107EA3" w:rsidRPr="00FC53C4">
              <w:rPr>
                <w:rStyle w:val="Hyperlink"/>
                <w:rFonts w:cstheme="minorHAnsi"/>
              </w:rPr>
              <w:t>Coverage transparency and strategic consultation</w:t>
            </w:r>
            <w:r w:rsidR="00107EA3">
              <w:rPr>
                <w:webHidden/>
              </w:rPr>
              <w:tab/>
            </w:r>
            <w:r w:rsidR="00107EA3">
              <w:rPr>
                <w:webHidden/>
              </w:rPr>
              <w:fldChar w:fldCharType="begin"/>
            </w:r>
            <w:r w:rsidR="00107EA3">
              <w:rPr>
                <w:webHidden/>
              </w:rPr>
              <w:instrText xml:space="preserve"> PAGEREF _Toc381349316 \h </w:instrText>
            </w:r>
            <w:r w:rsidR="00107EA3">
              <w:rPr>
                <w:webHidden/>
              </w:rPr>
            </w:r>
            <w:r w:rsidR="00107EA3">
              <w:rPr>
                <w:webHidden/>
              </w:rPr>
              <w:fldChar w:fldCharType="separate"/>
            </w:r>
            <w:r w:rsidR="00107EA3">
              <w:rPr>
                <w:webHidden/>
              </w:rPr>
              <w:t>6</w:t>
            </w:r>
            <w:r w:rsidR="00107EA3">
              <w:rPr>
                <w:webHidden/>
              </w:rPr>
              <w:fldChar w:fldCharType="end"/>
            </w:r>
          </w:hyperlink>
        </w:p>
        <w:p w:rsidR="00107EA3" w:rsidRDefault="00536BE0">
          <w:pPr>
            <w:pStyle w:val="TOC2"/>
            <w:rPr>
              <w:rFonts w:asciiTheme="minorHAnsi" w:hAnsiTheme="minorHAnsi"/>
            </w:rPr>
          </w:pPr>
          <w:hyperlink w:anchor="_Toc381349317" w:history="1">
            <w:r w:rsidR="00107EA3" w:rsidRPr="00FC53C4">
              <w:rPr>
                <w:rStyle w:val="Hyperlink"/>
                <w:rFonts w:cstheme="minorHAnsi"/>
              </w:rPr>
              <w:t>1.4.</w:t>
            </w:r>
            <w:r w:rsidR="00107EA3">
              <w:rPr>
                <w:rFonts w:asciiTheme="minorHAnsi" w:hAnsiTheme="minorHAnsi"/>
              </w:rPr>
              <w:tab/>
            </w:r>
            <w:r w:rsidR="00107EA3" w:rsidRPr="00FC53C4">
              <w:rPr>
                <w:rStyle w:val="Hyperlink"/>
                <w:rFonts w:cstheme="minorHAnsi"/>
              </w:rPr>
              <w:t>Utilisation of existing infrastructure and bridging options</w:t>
            </w:r>
            <w:r w:rsidR="00107EA3">
              <w:rPr>
                <w:webHidden/>
              </w:rPr>
              <w:tab/>
            </w:r>
            <w:r w:rsidR="00107EA3">
              <w:rPr>
                <w:webHidden/>
              </w:rPr>
              <w:fldChar w:fldCharType="begin"/>
            </w:r>
            <w:r w:rsidR="00107EA3">
              <w:rPr>
                <w:webHidden/>
              </w:rPr>
              <w:instrText xml:space="preserve"> PAGEREF _Toc381349317 \h </w:instrText>
            </w:r>
            <w:r w:rsidR="00107EA3">
              <w:rPr>
                <w:webHidden/>
              </w:rPr>
            </w:r>
            <w:r w:rsidR="00107EA3">
              <w:rPr>
                <w:webHidden/>
              </w:rPr>
              <w:fldChar w:fldCharType="separate"/>
            </w:r>
            <w:r w:rsidR="00107EA3">
              <w:rPr>
                <w:webHidden/>
              </w:rPr>
              <w:t>8</w:t>
            </w:r>
            <w:r w:rsidR="00107EA3">
              <w:rPr>
                <w:webHidden/>
              </w:rPr>
              <w:fldChar w:fldCharType="end"/>
            </w:r>
          </w:hyperlink>
        </w:p>
        <w:p w:rsidR="00107EA3" w:rsidRDefault="00536BE0">
          <w:pPr>
            <w:pStyle w:val="TOC3"/>
            <w:rPr>
              <w:rFonts w:asciiTheme="minorHAnsi" w:hAnsiTheme="minorHAnsi"/>
            </w:rPr>
          </w:pPr>
          <w:hyperlink w:anchor="_Toc381349318" w:history="1">
            <w:r w:rsidR="00107EA3" w:rsidRPr="00FC53C4">
              <w:rPr>
                <w:rStyle w:val="Hyperlink"/>
                <w:rFonts w:cstheme="minorHAnsi"/>
              </w:rPr>
              <w:t>1.4.1.</w:t>
            </w:r>
            <w:r w:rsidR="00107EA3">
              <w:rPr>
                <w:rFonts w:asciiTheme="minorHAnsi" w:hAnsiTheme="minorHAnsi"/>
              </w:rPr>
              <w:tab/>
            </w:r>
            <w:r w:rsidR="00107EA3" w:rsidRPr="00FC53C4">
              <w:rPr>
                <w:rStyle w:val="Hyperlink"/>
              </w:rPr>
              <w:t>A greater role for NBN backhaul</w:t>
            </w:r>
            <w:r w:rsidR="00107EA3">
              <w:rPr>
                <w:webHidden/>
              </w:rPr>
              <w:tab/>
            </w:r>
            <w:r w:rsidR="00107EA3">
              <w:rPr>
                <w:webHidden/>
              </w:rPr>
              <w:fldChar w:fldCharType="begin"/>
            </w:r>
            <w:r w:rsidR="00107EA3">
              <w:rPr>
                <w:webHidden/>
              </w:rPr>
              <w:instrText xml:space="preserve"> PAGEREF _Toc381349318 \h </w:instrText>
            </w:r>
            <w:r w:rsidR="00107EA3">
              <w:rPr>
                <w:webHidden/>
              </w:rPr>
            </w:r>
            <w:r w:rsidR="00107EA3">
              <w:rPr>
                <w:webHidden/>
              </w:rPr>
              <w:fldChar w:fldCharType="separate"/>
            </w:r>
            <w:r w:rsidR="00107EA3">
              <w:rPr>
                <w:webHidden/>
              </w:rPr>
              <w:t>9</w:t>
            </w:r>
            <w:r w:rsidR="00107EA3">
              <w:rPr>
                <w:webHidden/>
              </w:rPr>
              <w:fldChar w:fldCharType="end"/>
            </w:r>
          </w:hyperlink>
        </w:p>
        <w:p w:rsidR="00107EA3" w:rsidRDefault="00536BE0">
          <w:pPr>
            <w:pStyle w:val="TOC2"/>
            <w:rPr>
              <w:rFonts w:asciiTheme="minorHAnsi" w:hAnsiTheme="minorHAnsi"/>
            </w:rPr>
          </w:pPr>
          <w:hyperlink w:anchor="_Toc381349321" w:history="1">
            <w:r w:rsidR="00107EA3" w:rsidRPr="00FC53C4">
              <w:rPr>
                <w:rStyle w:val="Hyperlink"/>
                <w:rFonts w:cstheme="minorHAnsi"/>
              </w:rPr>
              <w:t>1.5.</w:t>
            </w:r>
            <w:r w:rsidR="00107EA3">
              <w:rPr>
                <w:rFonts w:asciiTheme="minorHAnsi" w:hAnsiTheme="minorHAnsi"/>
              </w:rPr>
              <w:tab/>
            </w:r>
            <w:r w:rsidR="00107EA3" w:rsidRPr="00FC53C4">
              <w:rPr>
                <w:rStyle w:val="Hyperlink"/>
                <w:rFonts w:cstheme="minorHAnsi"/>
              </w:rPr>
              <w:t>Concluding remarks</w:t>
            </w:r>
            <w:r w:rsidR="00107EA3">
              <w:rPr>
                <w:webHidden/>
              </w:rPr>
              <w:tab/>
            </w:r>
            <w:r w:rsidR="00107EA3">
              <w:rPr>
                <w:webHidden/>
              </w:rPr>
              <w:fldChar w:fldCharType="begin"/>
            </w:r>
            <w:r w:rsidR="00107EA3">
              <w:rPr>
                <w:webHidden/>
              </w:rPr>
              <w:instrText xml:space="preserve"> PAGEREF _Toc381349321 \h </w:instrText>
            </w:r>
            <w:r w:rsidR="00107EA3">
              <w:rPr>
                <w:webHidden/>
              </w:rPr>
            </w:r>
            <w:r w:rsidR="00107EA3">
              <w:rPr>
                <w:webHidden/>
              </w:rPr>
              <w:fldChar w:fldCharType="separate"/>
            </w:r>
            <w:r w:rsidR="00107EA3">
              <w:rPr>
                <w:webHidden/>
              </w:rPr>
              <w:t>10</w:t>
            </w:r>
            <w:r w:rsidR="00107EA3">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542267" w:rsidRPr="003441E5" w:rsidRDefault="00542267" w:rsidP="00542267"/>
    <w:p w:rsidR="0088571C" w:rsidRPr="00EA3886" w:rsidRDefault="00EA3886" w:rsidP="002A629E">
      <w:pPr>
        <w:pStyle w:val="Heading1"/>
        <w:numPr>
          <w:ilvl w:val="0"/>
          <w:numId w:val="3"/>
        </w:numPr>
        <w:rPr>
          <w:sz w:val="32"/>
          <w:szCs w:val="32"/>
        </w:rPr>
      </w:pPr>
      <w:bookmarkStart w:id="1" w:name="_Toc381349309"/>
      <w:r w:rsidRPr="00EA3886">
        <w:rPr>
          <w:sz w:val="32"/>
          <w:szCs w:val="32"/>
        </w:rPr>
        <w:lastRenderedPageBreak/>
        <w:t xml:space="preserve">Introduction: </w:t>
      </w:r>
      <w:r w:rsidR="00107EA3">
        <w:rPr>
          <w:sz w:val="32"/>
          <w:szCs w:val="32"/>
        </w:rPr>
        <w:t xml:space="preserve">The </w:t>
      </w:r>
      <w:r w:rsidRPr="00EA3886">
        <w:rPr>
          <w:sz w:val="32"/>
          <w:szCs w:val="32"/>
        </w:rPr>
        <w:t>importance of improved mobile coverage</w:t>
      </w:r>
      <w:bookmarkEnd w:id="1"/>
    </w:p>
    <w:p w:rsidR="00F47F64" w:rsidRPr="00DE1549" w:rsidRDefault="00B7205E" w:rsidP="007B7076">
      <w:pPr>
        <w:autoSpaceDE w:val="0"/>
        <w:autoSpaceDN w:val="0"/>
        <w:adjustRightInd w:val="0"/>
        <w:spacing w:before="0" w:beforeAutospacing="0" w:after="0" w:afterAutospacing="0"/>
        <w:rPr>
          <w:rFonts w:eastAsiaTheme="minorHAnsi" w:cs="Calibri"/>
          <w:lang w:eastAsia="en-US"/>
        </w:rPr>
      </w:pPr>
      <w:r w:rsidRPr="00DE1549">
        <w:rPr>
          <w:rFonts w:eastAsiaTheme="minorHAnsi" w:cs="Calibri"/>
          <w:lang w:eastAsia="en-US"/>
        </w:rPr>
        <w:t xml:space="preserve">ACCAN’s engagement with </w:t>
      </w:r>
      <w:r w:rsidR="00E62D74" w:rsidRPr="00DE1549">
        <w:rPr>
          <w:rFonts w:eastAsiaTheme="minorHAnsi" w:cs="Calibri"/>
          <w:lang w:eastAsia="en-US"/>
        </w:rPr>
        <w:t xml:space="preserve">rural, </w:t>
      </w:r>
      <w:r w:rsidRPr="00DE1549">
        <w:rPr>
          <w:rFonts w:eastAsiaTheme="minorHAnsi" w:cs="Calibri"/>
          <w:lang w:eastAsia="en-US"/>
        </w:rPr>
        <w:t xml:space="preserve">regional and remote </w:t>
      </w:r>
      <w:r w:rsidR="00763930" w:rsidRPr="00DE1549">
        <w:rPr>
          <w:rFonts w:eastAsiaTheme="minorHAnsi" w:cs="Calibri"/>
          <w:lang w:eastAsia="en-US"/>
        </w:rPr>
        <w:t xml:space="preserve">consumers </w:t>
      </w:r>
      <w:r w:rsidRPr="00DE1549">
        <w:rPr>
          <w:rFonts w:eastAsiaTheme="minorHAnsi" w:cs="Calibri"/>
          <w:lang w:eastAsia="en-US"/>
        </w:rPr>
        <w:t>has continually h</w:t>
      </w:r>
      <w:r w:rsidR="00E62D74" w:rsidRPr="00DE1549">
        <w:rPr>
          <w:rFonts w:eastAsiaTheme="minorHAnsi" w:cs="Calibri"/>
          <w:lang w:eastAsia="en-US"/>
        </w:rPr>
        <w:t>ighlighted to us the importance of improving</w:t>
      </w:r>
      <w:r w:rsidRPr="00DE1549">
        <w:rPr>
          <w:rFonts w:eastAsiaTheme="minorHAnsi" w:cs="Calibri"/>
          <w:lang w:eastAsia="en-US"/>
        </w:rPr>
        <w:t xml:space="preserve"> mobile communications</w:t>
      </w:r>
      <w:r w:rsidR="001A472B" w:rsidRPr="00DE1549">
        <w:rPr>
          <w:rFonts w:eastAsiaTheme="minorHAnsi" w:cs="Calibri"/>
          <w:lang w:eastAsia="en-US"/>
        </w:rPr>
        <w:t xml:space="preserve"> </w:t>
      </w:r>
      <w:r w:rsidR="00E62D74" w:rsidRPr="00DE1549">
        <w:rPr>
          <w:rFonts w:eastAsiaTheme="minorHAnsi" w:cs="Calibri"/>
          <w:lang w:eastAsia="en-US"/>
        </w:rPr>
        <w:t>outside of</w:t>
      </w:r>
      <w:r w:rsidR="00470C1C" w:rsidRPr="00DE1549">
        <w:rPr>
          <w:rFonts w:eastAsiaTheme="minorHAnsi" w:cs="Calibri"/>
          <w:lang w:eastAsia="en-US"/>
        </w:rPr>
        <w:t xml:space="preserve"> </w:t>
      </w:r>
      <w:r w:rsidR="00763930" w:rsidRPr="00DE1549">
        <w:rPr>
          <w:rFonts w:eastAsiaTheme="minorHAnsi" w:cs="Calibri"/>
          <w:lang w:eastAsia="en-US"/>
        </w:rPr>
        <w:t>urban centres</w:t>
      </w:r>
      <w:r w:rsidRPr="00DE1549">
        <w:rPr>
          <w:rFonts w:eastAsiaTheme="minorHAnsi" w:cs="Calibri"/>
          <w:lang w:eastAsia="en-US"/>
        </w:rPr>
        <w:t>.</w:t>
      </w:r>
      <w:r w:rsidR="00E62D74" w:rsidRPr="00DE1549">
        <w:rPr>
          <w:rFonts w:eastAsiaTheme="minorHAnsi" w:cs="Calibri"/>
          <w:lang w:eastAsia="en-US"/>
        </w:rPr>
        <w:t xml:space="preserve"> </w:t>
      </w:r>
    </w:p>
    <w:p w:rsidR="00F47F64" w:rsidRPr="00DE1549" w:rsidRDefault="00F47F64" w:rsidP="007B7076">
      <w:pPr>
        <w:autoSpaceDE w:val="0"/>
        <w:autoSpaceDN w:val="0"/>
        <w:adjustRightInd w:val="0"/>
        <w:spacing w:before="0" w:beforeAutospacing="0" w:after="0" w:afterAutospacing="0"/>
        <w:rPr>
          <w:rFonts w:eastAsiaTheme="minorHAnsi" w:cs="Calibri"/>
          <w:lang w:eastAsia="en-US"/>
        </w:rPr>
      </w:pPr>
    </w:p>
    <w:p w:rsidR="00F47F64" w:rsidRPr="00DE1549" w:rsidRDefault="00F47F64" w:rsidP="007B7076">
      <w:pPr>
        <w:autoSpaceDE w:val="0"/>
        <w:autoSpaceDN w:val="0"/>
        <w:adjustRightInd w:val="0"/>
        <w:spacing w:before="0" w:beforeAutospacing="0" w:after="0" w:afterAutospacing="0"/>
        <w:rPr>
          <w:rFonts w:eastAsiaTheme="minorHAnsi" w:cs="Calibri"/>
          <w:lang w:eastAsia="en-US"/>
        </w:rPr>
      </w:pPr>
      <w:r w:rsidRPr="00DE1549">
        <w:rPr>
          <w:rFonts w:eastAsiaTheme="minorHAnsi" w:cs="Calibri"/>
          <w:lang w:eastAsia="en-US"/>
        </w:rPr>
        <w:t>A</w:t>
      </w:r>
      <w:r w:rsidR="00E62D74" w:rsidRPr="00DE1549">
        <w:rPr>
          <w:rFonts w:eastAsiaTheme="minorHAnsi" w:cs="Calibri"/>
          <w:lang w:eastAsia="en-US"/>
        </w:rPr>
        <w:t xml:space="preserve"> survey</w:t>
      </w:r>
      <w:r w:rsidRPr="00DE1549">
        <w:rPr>
          <w:rFonts w:eastAsiaTheme="minorHAnsi" w:cs="Calibri"/>
          <w:lang w:eastAsia="en-US"/>
        </w:rPr>
        <w:t xml:space="preserve"> </w:t>
      </w:r>
      <w:r w:rsidR="00E62D74" w:rsidRPr="00DE1549">
        <w:rPr>
          <w:rFonts w:eastAsiaTheme="minorHAnsi" w:cs="Calibri"/>
          <w:lang w:eastAsia="en-US"/>
        </w:rPr>
        <w:t xml:space="preserve">by the NSW </w:t>
      </w:r>
      <w:r w:rsidRPr="00DE1549">
        <w:rPr>
          <w:rFonts w:eastAsiaTheme="minorHAnsi" w:cs="Calibri"/>
          <w:lang w:eastAsia="en-US"/>
        </w:rPr>
        <w:t>F</w:t>
      </w:r>
      <w:r w:rsidR="00E62D74" w:rsidRPr="00DE1549">
        <w:rPr>
          <w:rFonts w:eastAsiaTheme="minorHAnsi" w:cs="Calibri"/>
          <w:lang w:eastAsia="en-US"/>
        </w:rPr>
        <w:t>armers Association</w:t>
      </w:r>
      <w:r w:rsidRPr="00DE1549">
        <w:rPr>
          <w:rFonts w:eastAsiaTheme="minorHAnsi" w:cs="Calibri"/>
          <w:lang w:eastAsia="en-US"/>
        </w:rPr>
        <w:t>, an ACCAN member organisation,</w:t>
      </w:r>
      <w:r w:rsidR="00E62D74" w:rsidRPr="00DE1549">
        <w:rPr>
          <w:rFonts w:eastAsiaTheme="minorHAnsi" w:cs="Calibri"/>
          <w:lang w:eastAsia="en-US"/>
        </w:rPr>
        <w:t xml:space="preserve"> found that rural Australians are at a severe disadvantage due to poor mobile phone coverage and recommended, among other things, that mobile be considered an essential phone service</w:t>
      </w:r>
      <w:r w:rsidRPr="00DE1549">
        <w:rPr>
          <w:rFonts w:eastAsiaTheme="minorHAnsi" w:cs="Calibri"/>
          <w:lang w:eastAsia="en-US"/>
        </w:rPr>
        <w:t xml:space="preserve">, and that </w:t>
      </w:r>
      <w:r w:rsidR="00E62D74" w:rsidRPr="00DE1549">
        <w:rPr>
          <w:rFonts w:eastAsiaTheme="minorHAnsi" w:cs="Calibri"/>
          <w:lang w:eastAsia="en-US"/>
        </w:rPr>
        <w:t>the government invest to expand mobile coverage</w:t>
      </w:r>
      <w:r w:rsidR="00E62D74" w:rsidRPr="00DE1549">
        <w:rPr>
          <w:rStyle w:val="FootnoteReference"/>
          <w:rFonts w:eastAsiaTheme="minorHAnsi" w:cs="Calibri"/>
          <w:lang w:eastAsia="en-US"/>
        </w:rPr>
        <w:footnoteReference w:id="1"/>
      </w:r>
      <w:r w:rsidR="00E62D74" w:rsidRPr="00DE1549">
        <w:rPr>
          <w:rFonts w:eastAsiaTheme="minorHAnsi" w:cs="Calibri"/>
          <w:lang w:eastAsia="en-US"/>
        </w:rPr>
        <w:t xml:space="preserve">. </w:t>
      </w:r>
    </w:p>
    <w:p w:rsidR="00F47F64" w:rsidRPr="00DE1549" w:rsidRDefault="00F47F64" w:rsidP="007B7076">
      <w:pPr>
        <w:autoSpaceDE w:val="0"/>
        <w:autoSpaceDN w:val="0"/>
        <w:adjustRightInd w:val="0"/>
        <w:spacing w:before="0" w:beforeAutospacing="0" w:after="0" w:afterAutospacing="0"/>
        <w:rPr>
          <w:rFonts w:eastAsiaTheme="minorHAnsi" w:cs="Calibri"/>
          <w:lang w:eastAsia="en-US"/>
        </w:rPr>
      </w:pPr>
    </w:p>
    <w:p w:rsidR="00763930" w:rsidRPr="00DE1549" w:rsidRDefault="00451EE0" w:rsidP="007B7076">
      <w:pPr>
        <w:autoSpaceDE w:val="0"/>
        <w:autoSpaceDN w:val="0"/>
        <w:adjustRightInd w:val="0"/>
        <w:spacing w:before="0" w:beforeAutospacing="0" w:after="0" w:afterAutospacing="0"/>
        <w:rPr>
          <w:rFonts w:eastAsiaTheme="minorHAnsi" w:cs="Calibri"/>
          <w:lang w:eastAsia="en-US"/>
        </w:rPr>
      </w:pPr>
      <w:r w:rsidRPr="00DE1549">
        <w:rPr>
          <w:rFonts w:eastAsiaTheme="minorHAnsi" w:cs="Calibri"/>
          <w:lang w:eastAsia="en-US"/>
        </w:rPr>
        <w:t>ACCAN therefore welcomes the Government’s mobile network expansion and black spots programs</w:t>
      </w:r>
      <w:r w:rsidRPr="00DE1549">
        <w:rPr>
          <w:rFonts w:eastAsia="Calibri" w:cs="Calibri"/>
          <w:lang w:eastAsia="en-US"/>
        </w:rPr>
        <w:t xml:space="preserve">. </w:t>
      </w:r>
      <w:r w:rsidR="00E62D74" w:rsidRPr="00DE1549">
        <w:rPr>
          <w:rFonts w:eastAsiaTheme="minorHAnsi" w:cs="Calibri"/>
          <w:lang w:eastAsia="en-US"/>
        </w:rPr>
        <w:t xml:space="preserve">It is clear to </w:t>
      </w:r>
      <w:r w:rsidRPr="00DE1549">
        <w:rPr>
          <w:rFonts w:eastAsiaTheme="minorHAnsi" w:cs="Calibri"/>
          <w:lang w:eastAsia="en-US"/>
        </w:rPr>
        <w:t xml:space="preserve">us </w:t>
      </w:r>
      <w:r w:rsidR="00E62D74" w:rsidRPr="00DE1549">
        <w:rPr>
          <w:rFonts w:eastAsiaTheme="minorHAnsi" w:cs="Calibri"/>
          <w:lang w:eastAsia="en-US"/>
        </w:rPr>
        <w:t xml:space="preserve">that government </w:t>
      </w:r>
      <w:r w:rsidR="00B269D1" w:rsidRPr="00DE1549">
        <w:rPr>
          <w:rFonts w:eastAsiaTheme="minorHAnsi" w:cs="Calibri"/>
          <w:lang w:eastAsia="en-US"/>
        </w:rPr>
        <w:t>has a vital role to play</w:t>
      </w:r>
      <w:r w:rsidR="00F47F64" w:rsidRPr="00DE1549">
        <w:rPr>
          <w:rFonts w:eastAsiaTheme="minorHAnsi" w:cs="Calibri"/>
          <w:lang w:eastAsia="en-US"/>
        </w:rPr>
        <w:t xml:space="preserve"> </w:t>
      </w:r>
      <w:r w:rsidR="00B269D1" w:rsidRPr="00DE1549">
        <w:rPr>
          <w:rFonts w:eastAsiaTheme="minorHAnsi" w:cs="Calibri"/>
          <w:lang w:eastAsia="en-US"/>
        </w:rPr>
        <w:t xml:space="preserve">in </w:t>
      </w:r>
      <w:r w:rsidR="00E62D74" w:rsidRPr="00DE1549">
        <w:rPr>
          <w:rFonts w:eastAsiaTheme="minorHAnsi" w:cs="Calibri"/>
          <w:lang w:eastAsia="en-US"/>
        </w:rPr>
        <w:t>ensur</w:t>
      </w:r>
      <w:r w:rsidR="00B269D1" w:rsidRPr="00DE1549">
        <w:rPr>
          <w:rFonts w:eastAsiaTheme="minorHAnsi" w:cs="Calibri"/>
          <w:lang w:eastAsia="en-US"/>
        </w:rPr>
        <w:t>ing</w:t>
      </w:r>
      <w:r w:rsidR="00E62D74" w:rsidRPr="00DE1549">
        <w:rPr>
          <w:rFonts w:eastAsiaTheme="minorHAnsi" w:cs="Calibri"/>
          <w:lang w:eastAsia="en-US"/>
        </w:rPr>
        <w:t xml:space="preserve"> that </w:t>
      </w:r>
      <w:r w:rsidR="00F47F64" w:rsidRPr="00DE1549">
        <w:rPr>
          <w:rFonts w:eastAsiaTheme="minorHAnsi" w:cs="Calibri"/>
          <w:lang w:eastAsia="en-US"/>
        </w:rPr>
        <w:t xml:space="preserve">people in </w:t>
      </w:r>
      <w:r w:rsidR="00E62D74" w:rsidRPr="00DE1549">
        <w:rPr>
          <w:rFonts w:eastAsiaTheme="minorHAnsi" w:cs="Calibri"/>
          <w:lang w:eastAsia="en-US"/>
        </w:rPr>
        <w:t xml:space="preserve">regional Australia are not further left behind </w:t>
      </w:r>
      <w:r w:rsidR="00F47F64" w:rsidRPr="00DE1549">
        <w:rPr>
          <w:rFonts w:eastAsiaTheme="minorHAnsi" w:cs="Calibri"/>
          <w:lang w:eastAsia="en-US"/>
        </w:rPr>
        <w:t>as</w:t>
      </w:r>
      <w:r w:rsidR="00E62D74" w:rsidRPr="00DE1549">
        <w:rPr>
          <w:rFonts w:eastAsiaTheme="minorHAnsi" w:cs="Calibri"/>
          <w:lang w:eastAsia="en-US"/>
        </w:rPr>
        <w:t xml:space="preserve"> mobile communications</w:t>
      </w:r>
      <w:r w:rsidR="00F47F64" w:rsidRPr="00DE1549">
        <w:rPr>
          <w:rFonts w:eastAsiaTheme="minorHAnsi" w:cs="Calibri"/>
          <w:lang w:eastAsia="en-US"/>
        </w:rPr>
        <w:t xml:space="preserve"> becomes ever more important</w:t>
      </w:r>
      <w:r w:rsidR="00897F1B" w:rsidRPr="00DE1549">
        <w:rPr>
          <w:rFonts w:eastAsiaTheme="minorHAnsi" w:cs="Calibri"/>
          <w:lang w:eastAsia="en-US"/>
        </w:rPr>
        <w:t>.</w:t>
      </w:r>
    </w:p>
    <w:p w:rsidR="00F47F64" w:rsidRPr="00DE1549" w:rsidRDefault="00F47F64" w:rsidP="007B7076">
      <w:pPr>
        <w:autoSpaceDE w:val="0"/>
        <w:autoSpaceDN w:val="0"/>
        <w:adjustRightInd w:val="0"/>
        <w:spacing w:before="0" w:beforeAutospacing="0" w:after="0" w:afterAutospacing="0"/>
      </w:pPr>
    </w:p>
    <w:p w:rsidR="00451EE0" w:rsidRPr="00DE1549" w:rsidRDefault="00451EE0" w:rsidP="00451EE0">
      <w:pPr>
        <w:autoSpaceDE w:val="0"/>
        <w:autoSpaceDN w:val="0"/>
        <w:adjustRightInd w:val="0"/>
        <w:spacing w:before="0" w:beforeAutospacing="0" w:after="0" w:afterAutospacing="0"/>
        <w:rPr>
          <w:rFonts w:cs="Calibri"/>
        </w:rPr>
      </w:pPr>
      <w:r w:rsidRPr="00DE1549">
        <w:rPr>
          <w:rFonts w:eastAsiaTheme="minorHAnsi" w:cs="Calibri"/>
          <w:lang w:eastAsia="en-US"/>
        </w:rPr>
        <w:t xml:space="preserve">We note that in 2008 the Mobile Connect Program, which aimed to extend terrestrial mobile coverage by offering subsidies of up to 100 percent of capital costs, did not receive any applications indicating that carriers are at or very close to, the limits of their commercial interest in further coverage, particularly for locations with no accessible backhaul. </w:t>
      </w:r>
      <w:r w:rsidRPr="00DE1549">
        <w:rPr>
          <w:rStyle w:val="FootnoteReference"/>
          <w:rFonts w:eastAsiaTheme="minorHAnsi" w:cs="Calibri"/>
          <w:lang w:eastAsia="en-US"/>
        </w:rPr>
        <w:footnoteReference w:id="2"/>
      </w:r>
    </w:p>
    <w:p w:rsidR="00451EE0" w:rsidRPr="00DE1549" w:rsidRDefault="00451EE0" w:rsidP="00451EE0">
      <w:pPr>
        <w:autoSpaceDE w:val="0"/>
        <w:autoSpaceDN w:val="0"/>
        <w:adjustRightInd w:val="0"/>
        <w:spacing w:before="0" w:beforeAutospacing="0" w:after="0" w:afterAutospacing="0"/>
        <w:rPr>
          <w:rFonts w:eastAsiaTheme="minorHAnsi" w:cs="Calibri"/>
          <w:lang w:eastAsia="en-US"/>
        </w:rPr>
      </w:pPr>
    </w:p>
    <w:p w:rsidR="00451EE0" w:rsidRPr="00DE1549" w:rsidRDefault="00451EE0" w:rsidP="00451EE0">
      <w:pPr>
        <w:autoSpaceDE w:val="0"/>
        <w:autoSpaceDN w:val="0"/>
        <w:adjustRightInd w:val="0"/>
        <w:spacing w:before="0" w:beforeAutospacing="0" w:after="0" w:afterAutospacing="0"/>
        <w:rPr>
          <w:rFonts w:eastAsiaTheme="minorHAnsi" w:cs="Calibri"/>
          <w:lang w:eastAsia="en-US"/>
        </w:rPr>
      </w:pPr>
      <w:r w:rsidRPr="00DE1549">
        <w:rPr>
          <w:rFonts w:eastAsiaTheme="minorHAnsi" w:cs="Calibri"/>
          <w:lang w:eastAsia="en-US"/>
        </w:rPr>
        <w:t xml:space="preserve">As such, exploring other options such as utilising existing infrastructure and opening up NBN fixed and satellite backhaul is a welcome initiative. </w:t>
      </w:r>
    </w:p>
    <w:p w:rsidR="00451EE0" w:rsidRPr="00DE1549" w:rsidRDefault="00451EE0" w:rsidP="007B7076">
      <w:pPr>
        <w:autoSpaceDE w:val="0"/>
        <w:autoSpaceDN w:val="0"/>
        <w:adjustRightInd w:val="0"/>
        <w:spacing w:before="0" w:beforeAutospacing="0" w:after="0" w:afterAutospacing="0"/>
      </w:pPr>
    </w:p>
    <w:p w:rsidR="00897F1B" w:rsidRPr="00DE1549" w:rsidRDefault="00B269D1" w:rsidP="007B7076">
      <w:pPr>
        <w:autoSpaceDE w:val="0"/>
        <w:autoSpaceDN w:val="0"/>
        <w:adjustRightInd w:val="0"/>
        <w:spacing w:before="0" w:beforeAutospacing="0" w:after="0" w:afterAutospacing="0"/>
        <w:rPr>
          <w:rFonts w:eastAsiaTheme="minorHAnsi" w:cs="Calibri"/>
          <w:lang w:eastAsia="en-US"/>
        </w:rPr>
      </w:pPr>
      <w:r w:rsidRPr="00DE1549">
        <w:rPr>
          <w:rFonts w:eastAsiaTheme="minorHAnsi" w:cs="Calibri"/>
          <w:lang w:eastAsia="en-US"/>
        </w:rPr>
        <w:t xml:space="preserve">Better </w:t>
      </w:r>
      <w:r w:rsidR="008C535D" w:rsidRPr="00DE1549">
        <w:rPr>
          <w:rFonts w:eastAsiaTheme="minorHAnsi" w:cs="Calibri"/>
          <w:lang w:eastAsia="en-US"/>
        </w:rPr>
        <w:t>mobile co</w:t>
      </w:r>
      <w:r w:rsidRPr="00DE1549">
        <w:rPr>
          <w:rFonts w:eastAsiaTheme="minorHAnsi" w:cs="Calibri"/>
          <w:lang w:eastAsia="en-US"/>
        </w:rPr>
        <w:t>verage</w:t>
      </w:r>
      <w:r w:rsidR="008C535D" w:rsidRPr="00DE1549">
        <w:rPr>
          <w:rFonts w:eastAsiaTheme="minorHAnsi" w:cs="Calibri"/>
          <w:lang w:eastAsia="en-US"/>
        </w:rPr>
        <w:t xml:space="preserve"> </w:t>
      </w:r>
      <w:r w:rsidRPr="00DE1549">
        <w:rPr>
          <w:rFonts w:eastAsiaTheme="minorHAnsi" w:cs="Calibri"/>
          <w:lang w:eastAsia="en-US"/>
        </w:rPr>
        <w:t xml:space="preserve">will yield a range of </w:t>
      </w:r>
      <w:r w:rsidR="008C535D" w:rsidRPr="00DE1549">
        <w:rPr>
          <w:rFonts w:eastAsiaTheme="minorHAnsi" w:cs="Calibri"/>
          <w:lang w:eastAsia="en-US"/>
        </w:rPr>
        <w:t xml:space="preserve">benefits to </w:t>
      </w:r>
      <w:r w:rsidR="00F47F64" w:rsidRPr="00DE1549">
        <w:rPr>
          <w:rFonts w:eastAsiaTheme="minorHAnsi" w:cs="Calibri"/>
          <w:lang w:eastAsia="en-US"/>
        </w:rPr>
        <w:t>regional Australia</w:t>
      </w:r>
      <w:r w:rsidRPr="00DE1549">
        <w:rPr>
          <w:rFonts w:eastAsiaTheme="minorHAnsi" w:cs="Calibri"/>
          <w:lang w:eastAsia="en-US"/>
        </w:rPr>
        <w:t xml:space="preserve"> including improved business opportunities, better access to essential services and enhanced safety and well-being</w:t>
      </w:r>
      <w:r w:rsidR="00B7205E" w:rsidRPr="00DE1549">
        <w:rPr>
          <w:rFonts w:eastAsiaTheme="minorHAnsi" w:cs="Calibri"/>
          <w:lang w:eastAsia="en-US"/>
        </w:rPr>
        <w:t>.</w:t>
      </w:r>
      <w:r w:rsidR="00470C1C" w:rsidRPr="00DE1549">
        <w:rPr>
          <w:rFonts w:eastAsiaTheme="minorHAnsi" w:cs="Calibri"/>
          <w:lang w:eastAsia="en-US"/>
        </w:rPr>
        <w:t xml:space="preserve"> </w:t>
      </w:r>
    </w:p>
    <w:p w:rsidR="00F47F64" w:rsidRPr="00DE1549" w:rsidRDefault="00F47F64" w:rsidP="007B7076">
      <w:pPr>
        <w:autoSpaceDE w:val="0"/>
        <w:autoSpaceDN w:val="0"/>
        <w:adjustRightInd w:val="0"/>
        <w:spacing w:before="0" w:beforeAutospacing="0" w:after="0" w:afterAutospacing="0"/>
        <w:rPr>
          <w:rFonts w:eastAsiaTheme="minorHAnsi" w:cs="Calibri"/>
          <w:lang w:eastAsia="en-US"/>
        </w:rPr>
      </w:pPr>
    </w:p>
    <w:p w:rsidR="001E1F38" w:rsidRPr="00DE1549" w:rsidRDefault="00DC1119" w:rsidP="007B7076">
      <w:pPr>
        <w:autoSpaceDE w:val="0"/>
        <w:autoSpaceDN w:val="0"/>
        <w:adjustRightInd w:val="0"/>
        <w:spacing w:before="0" w:beforeAutospacing="0" w:after="0" w:afterAutospacing="0"/>
        <w:rPr>
          <w:rFonts w:eastAsiaTheme="minorHAnsi" w:cs="Calibri"/>
          <w:lang w:eastAsia="en-US"/>
        </w:rPr>
      </w:pPr>
      <w:r w:rsidRPr="00DE1549">
        <w:rPr>
          <w:rFonts w:eastAsiaTheme="minorHAnsi" w:cs="Calibri"/>
          <w:lang w:eastAsia="en-US"/>
        </w:rPr>
        <w:t>There is support in</w:t>
      </w:r>
      <w:r w:rsidR="00F24517" w:rsidRPr="00DE1549">
        <w:rPr>
          <w:rFonts w:eastAsiaTheme="minorHAnsi" w:cs="Calibri"/>
          <w:lang w:eastAsia="en-US"/>
        </w:rPr>
        <w:t xml:space="preserve"> regional </w:t>
      </w:r>
      <w:r w:rsidRPr="00DE1549">
        <w:rPr>
          <w:rFonts w:eastAsiaTheme="minorHAnsi" w:cs="Calibri"/>
          <w:lang w:eastAsia="en-US"/>
        </w:rPr>
        <w:t>Australia f</w:t>
      </w:r>
      <w:r w:rsidR="00F24517" w:rsidRPr="00DE1549">
        <w:rPr>
          <w:rFonts w:eastAsiaTheme="minorHAnsi" w:cs="Calibri"/>
          <w:lang w:eastAsia="en-US"/>
        </w:rPr>
        <w:t>or competitive arrangements to encourage open access to infrastruc</w:t>
      </w:r>
      <w:r w:rsidR="002C3425" w:rsidRPr="00DE1549">
        <w:rPr>
          <w:rFonts w:eastAsiaTheme="minorHAnsi" w:cs="Calibri"/>
          <w:lang w:eastAsia="en-US"/>
        </w:rPr>
        <w:t xml:space="preserve">ture sharing. </w:t>
      </w:r>
      <w:r w:rsidR="001E1F38" w:rsidRPr="00DE1549">
        <w:rPr>
          <w:rFonts w:eastAsiaTheme="minorHAnsi" w:cs="Calibri"/>
          <w:lang w:eastAsia="en-US"/>
        </w:rPr>
        <w:t>However as</w:t>
      </w:r>
      <w:r w:rsidR="002C3425" w:rsidRPr="00DE1549">
        <w:rPr>
          <w:rFonts w:eastAsiaTheme="minorHAnsi" w:cs="Calibri"/>
          <w:lang w:eastAsia="en-US"/>
        </w:rPr>
        <w:t xml:space="preserve"> there is no coverage at all </w:t>
      </w:r>
      <w:r w:rsidR="001E1F38" w:rsidRPr="00DE1549">
        <w:rPr>
          <w:rFonts w:eastAsiaTheme="minorHAnsi" w:cs="Calibri"/>
          <w:lang w:eastAsia="en-US"/>
        </w:rPr>
        <w:t xml:space="preserve">in some areas, </w:t>
      </w:r>
      <w:r w:rsidR="002C3425" w:rsidRPr="00DE1549">
        <w:rPr>
          <w:rFonts w:eastAsiaTheme="minorHAnsi" w:cs="Calibri"/>
          <w:lang w:eastAsia="en-US"/>
        </w:rPr>
        <w:t>competition</w:t>
      </w:r>
      <w:r w:rsidR="001E1F38" w:rsidRPr="00DE1549">
        <w:rPr>
          <w:rFonts w:eastAsiaTheme="minorHAnsi" w:cs="Calibri"/>
          <w:lang w:eastAsia="en-US"/>
        </w:rPr>
        <w:t xml:space="preserve"> in those areas</w:t>
      </w:r>
      <w:r w:rsidR="002C3425" w:rsidRPr="00DE1549">
        <w:rPr>
          <w:rFonts w:eastAsiaTheme="minorHAnsi" w:cs="Calibri"/>
          <w:lang w:eastAsia="en-US"/>
        </w:rPr>
        <w:t xml:space="preserve"> is </w:t>
      </w:r>
      <w:r w:rsidR="007131C9" w:rsidRPr="00DE1549">
        <w:rPr>
          <w:rFonts w:eastAsiaTheme="minorHAnsi" w:cs="Calibri"/>
          <w:lang w:eastAsia="en-US"/>
        </w:rPr>
        <w:t>a</w:t>
      </w:r>
      <w:r w:rsidR="001E1F38" w:rsidRPr="00DE1549">
        <w:rPr>
          <w:rFonts w:eastAsiaTheme="minorHAnsi" w:cs="Calibri"/>
          <w:lang w:eastAsia="en-US"/>
        </w:rPr>
        <w:t xml:space="preserve"> </w:t>
      </w:r>
      <w:r w:rsidR="007131C9" w:rsidRPr="00DE1549">
        <w:rPr>
          <w:rFonts w:eastAsiaTheme="minorHAnsi" w:cs="Calibri"/>
          <w:lang w:eastAsia="en-US"/>
        </w:rPr>
        <w:t>secondary</w:t>
      </w:r>
      <w:r w:rsidR="001E1F38" w:rsidRPr="00DE1549">
        <w:rPr>
          <w:rFonts w:eastAsiaTheme="minorHAnsi" w:cs="Calibri"/>
          <w:lang w:eastAsia="en-US"/>
        </w:rPr>
        <w:t xml:space="preserve"> </w:t>
      </w:r>
      <w:r w:rsidR="007131C9" w:rsidRPr="00DE1549">
        <w:rPr>
          <w:rFonts w:eastAsiaTheme="minorHAnsi" w:cs="Calibri"/>
          <w:lang w:eastAsia="en-US"/>
        </w:rPr>
        <w:t>consideration to</w:t>
      </w:r>
      <w:r w:rsidR="001E1F38" w:rsidRPr="00DE1549">
        <w:rPr>
          <w:rFonts w:eastAsiaTheme="minorHAnsi" w:cs="Calibri"/>
          <w:lang w:eastAsia="en-US"/>
        </w:rPr>
        <w:t xml:space="preserve"> </w:t>
      </w:r>
      <w:r w:rsidR="007131C9" w:rsidRPr="00DE1549">
        <w:rPr>
          <w:rFonts w:eastAsiaTheme="minorHAnsi" w:cs="Calibri"/>
          <w:lang w:eastAsia="en-US"/>
        </w:rPr>
        <w:t>securing</w:t>
      </w:r>
      <w:r w:rsidR="001E1F38" w:rsidRPr="00DE1549">
        <w:rPr>
          <w:rFonts w:eastAsiaTheme="minorHAnsi" w:cs="Calibri"/>
          <w:lang w:eastAsia="en-US"/>
        </w:rPr>
        <w:t xml:space="preserve"> coverage. </w:t>
      </w:r>
    </w:p>
    <w:p w:rsidR="00343EFF" w:rsidRDefault="00E87F2C" w:rsidP="00B463A0">
      <w:pPr>
        <w:pStyle w:val="Heading2"/>
        <w:rPr>
          <w:rFonts w:asciiTheme="minorHAnsi" w:hAnsiTheme="minorHAnsi" w:cstheme="minorHAnsi"/>
        </w:rPr>
      </w:pPr>
      <w:bookmarkStart w:id="2" w:name="_Toc381349310"/>
      <w:r w:rsidRPr="00E87F2C">
        <w:rPr>
          <w:rFonts w:asciiTheme="minorHAnsi" w:hAnsiTheme="minorHAnsi" w:cstheme="minorHAnsi"/>
        </w:rPr>
        <w:t>Proposed delivery options and criteria</w:t>
      </w:r>
      <w:bookmarkEnd w:id="2"/>
    </w:p>
    <w:p w:rsidR="0040481E" w:rsidRPr="0040481E" w:rsidRDefault="00DC1119" w:rsidP="0040481E">
      <w:pPr>
        <w:pStyle w:val="Heading3"/>
      </w:pPr>
      <w:bookmarkStart w:id="3" w:name="_Toc381349311"/>
      <w:r>
        <w:t>Program</w:t>
      </w:r>
      <w:r w:rsidR="00343EFF">
        <w:t xml:space="preserve"> delivery</w:t>
      </w:r>
      <w:bookmarkEnd w:id="3"/>
      <w:r w:rsidR="00691C94">
        <w:t xml:space="preserve"> </w:t>
      </w:r>
    </w:p>
    <w:p w:rsidR="007503DC" w:rsidRDefault="00B7205E" w:rsidP="007B7076">
      <w:pPr>
        <w:rPr>
          <w:lang w:eastAsia="en-US"/>
        </w:rPr>
      </w:pPr>
      <w:r>
        <w:rPr>
          <w:lang w:eastAsia="en-US"/>
        </w:rPr>
        <w:t>A</w:t>
      </w:r>
      <w:r w:rsidR="00B463A0">
        <w:rPr>
          <w:lang w:eastAsia="en-US"/>
        </w:rPr>
        <w:t>CCAN believes that a</w:t>
      </w:r>
      <w:r>
        <w:rPr>
          <w:lang w:eastAsia="en-US"/>
        </w:rPr>
        <w:t xml:space="preserve">ll three </w:t>
      </w:r>
      <w:r w:rsidR="00D015CB">
        <w:rPr>
          <w:lang w:eastAsia="en-US"/>
        </w:rPr>
        <w:t xml:space="preserve">delivery </w:t>
      </w:r>
      <w:r>
        <w:rPr>
          <w:lang w:eastAsia="en-US"/>
        </w:rPr>
        <w:t xml:space="preserve">options </w:t>
      </w:r>
      <w:r w:rsidR="00DC1119">
        <w:rPr>
          <w:lang w:eastAsia="en-US"/>
        </w:rPr>
        <w:t>proposed</w:t>
      </w:r>
      <w:r>
        <w:rPr>
          <w:lang w:eastAsia="en-US"/>
        </w:rPr>
        <w:t xml:space="preserve"> </w:t>
      </w:r>
      <w:r w:rsidR="00BB009D">
        <w:rPr>
          <w:lang w:eastAsia="en-US"/>
        </w:rPr>
        <w:t xml:space="preserve">in the Discussion Paper </w:t>
      </w:r>
      <w:r>
        <w:rPr>
          <w:lang w:eastAsia="en-US"/>
        </w:rPr>
        <w:t xml:space="preserve">have potential benefits. </w:t>
      </w:r>
      <w:r w:rsidR="00DC1119">
        <w:rPr>
          <w:lang w:eastAsia="en-US"/>
        </w:rPr>
        <w:t xml:space="preserve">However, </w:t>
      </w:r>
      <w:r w:rsidR="00343EFF">
        <w:rPr>
          <w:lang w:eastAsia="en-US"/>
        </w:rPr>
        <w:t xml:space="preserve">it is important </w:t>
      </w:r>
      <w:r w:rsidR="00D015CB">
        <w:rPr>
          <w:lang w:eastAsia="en-US"/>
        </w:rPr>
        <w:t xml:space="preserve">for </w:t>
      </w:r>
      <w:r w:rsidR="00343EFF">
        <w:rPr>
          <w:lang w:eastAsia="en-US"/>
        </w:rPr>
        <w:t>factors</w:t>
      </w:r>
      <w:r w:rsidR="00B87554">
        <w:rPr>
          <w:lang w:eastAsia="en-US"/>
        </w:rPr>
        <w:t xml:space="preserve"> </w:t>
      </w:r>
      <w:r w:rsidR="00343EFF">
        <w:rPr>
          <w:lang w:eastAsia="en-US"/>
        </w:rPr>
        <w:t>beyond</w:t>
      </w:r>
      <w:r w:rsidR="00B87554">
        <w:rPr>
          <w:lang w:eastAsia="en-US"/>
        </w:rPr>
        <w:t xml:space="preserve"> design specifications</w:t>
      </w:r>
      <w:r w:rsidR="00DC1119">
        <w:rPr>
          <w:lang w:eastAsia="en-US"/>
        </w:rPr>
        <w:t xml:space="preserve"> to be taken into account in assessing the relative merits of these options. </w:t>
      </w:r>
      <w:r w:rsidR="007503DC">
        <w:rPr>
          <w:lang w:eastAsia="en-US"/>
        </w:rPr>
        <w:t>These include:</w:t>
      </w:r>
    </w:p>
    <w:p w:rsidR="007503DC" w:rsidRDefault="00DC1119" w:rsidP="007B7076">
      <w:pPr>
        <w:pStyle w:val="ListParagraph"/>
        <w:numPr>
          <w:ilvl w:val="0"/>
          <w:numId w:val="38"/>
        </w:numPr>
      </w:pPr>
      <w:r>
        <w:t>The future</w:t>
      </w:r>
      <w:r w:rsidR="00BE7089">
        <w:t xml:space="preserve"> cost</w:t>
      </w:r>
      <w:r w:rsidR="00B87554">
        <w:t xml:space="preserve"> </w:t>
      </w:r>
      <w:r w:rsidR="00BE7089">
        <w:t xml:space="preserve">to consumers </w:t>
      </w:r>
      <w:r w:rsidR="00B87554">
        <w:t xml:space="preserve">and </w:t>
      </w:r>
      <w:r w:rsidR="00B87554" w:rsidRPr="003F7721">
        <w:rPr>
          <w:rFonts w:cstheme="minorHAnsi"/>
        </w:rPr>
        <w:t xml:space="preserve">the </w:t>
      </w:r>
      <w:r w:rsidRPr="003F7721">
        <w:rPr>
          <w:rFonts w:cstheme="minorHAnsi"/>
        </w:rPr>
        <w:t xml:space="preserve">quality </w:t>
      </w:r>
      <w:r w:rsidR="00BE7089" w:rsidRPr="003F7721">
        <w:rPr>
          <w:rFonts w:cstheme="minorHAnsi"/>
        </w:rPr>
        <w:t>of</w:t>
      </w:r>
      <w:r w:rsidRPr="003F7721">
        <w:rPr>
          <w:rFonts w:cstheme="minorHAnsi"/>
        </w:rPr>
        <w:t xml:space="preserve"> the service for </w:t>
      </w:r>
      <w:r w:rsidR="00BE7089" w:rsidRPr="003F7721">
        <w:rPr>
          <w:rFonts w:cstheme="minorHAnsi"/>
        </w:rPr>
        <w:t>c</w:t>
      </w:r>
      <w:r w:rsidRPr="003F7721">
        <w:rPr>
          <w:rFonts w:cstheme="minorHAnsi"/>
        </w:rPr>
        <w:t>onsumers</w:t>
      </w:r>
      <w:r w:rsidR="007503DC">
        <w:t>;</w:t>
      </w:r>
    </w:p>
    <w:p w:rsidR="00897F1B" w:rsidRDefault="00897F1B" w:rsidP="007B7076">
      <w:pPr>
        <w:pStyle w:val="ListParagraph"/>
      </w:pPr>
    </w:p>
    <w:p w:rsidR="006933DA" w:rsidRPr="007B7076" w:rsidRDefault="007503DC" w:rsidP="007B7076">
      <w:pPr>
        <w:pStyle w:val="ListParagraph"/>
        <w:numPr>
          <w:ilvl w:val="0"/>
          <w:numId w:val="38"/>
        </w:numPr>
      </w:pPr>
      <w:r>
        <w:rPr>
          <w:rFonts w:eastAsia="Calibri" w:cs="Calibri"/>
        </w:rPr>
        <w:t>C</w:t>
      </w:r>
      <w:r w:rsidR="006933DA" w:rsidRPr="003F7721">
        <w:rPr>
          <w:rFonts w:eastAsia="Calibri" w:cs="Calibri"/>
        </w:rPr>
        <w:t>ultivat</w:t>
      </w:r>
      <w:r>
        <w:rPr>
          <w:rFonts w:eastAsia="Calibri" w:cs="Calibri"/>
        </w:rPr>
        <w:t>ing</w:t>
      </w:r>
      <w:r w:rsidR="006933DA" w:rsidRPr="003F7721">
        <w:rPr>
          <w:rFonts w:eastAsia="Calibri" w:cs="Calibri"/>
        </w:rPr>
        <w:t xml:space="preserve"> a sustainable competitive wholesale and retail market, </w:t>
      </w:r>
      <w:r>
        <w:rPr>
          <w:rFonts w:eastAsia="Calibri" w:cs="Calibri"/>
        </w:rPr>
        <w:t xml:space="preserve">whether through </w:t>
      </w:r>
      <w:r w:rsidR="006933DA" w:rsidRPr="003F7721">
        <w:rPr>
          <w:rFonts w:eastAsia="Calibri" w:cs="Calibri"/>
        </w:rPr>
        <w:t>infrastructure sharing or shared local roaming.</w:t>
      </w:r>
      <w:r w:rsidR="006933DA">
        <w:t xml:space="preserve"> </w:t>
      </w:r>
      <w:r>
        <w:t>R</w:t>
      </w:r>
      <w:r w:rsidR="006933DA" w:rsidRPr="003F7721">
        <w:rPr>
          <w:rFonts w:eastAsia="Calibri" w:cs="Calibri"/>
        </w:rPr>
        <w:t xml:space="preserve">egulation designed to actively assist new operators to break into markets </w:t>
      </w:r>
      <w:r>
        <w:rPr>
          <w:rFonts w:eastAsia="Calibri" w:cs="Calibri"/>
        </w:rPr>
        <w:t>with</w:t>
      </w:r>
      <w:r w:rsidR="006933DA" w:rsidRPr="003F7721">
        <w:rPr>
          <w:rFonts w:eastAsia="Calibri" w:cs="Calibri"/>
        </w:rPr>
        <w:t xml:space="preserve"> barriers to </w:t>
      </w:r>
      <w:r>
        <w:rPr>
          <w:rFonts w:eastAsia="Calibri" w:cs="Calibri"/>
        </w:rPr>
        <w:t xml:space="preserve">entry </w:t>
      </w:r>
      <w:r w:rsidR="006933DA" w:rsidRPr="003F7721">
        <w:rPr>
          <w:rFonts w:eastAsia="Calibri" w:cs="Calibri"/>
        </w:rPr>
        <w:t>is now common in developed economies</w:t>
      </w:r>
      <w:r w:rsidR="006933DA">
        <w:rPr>
          <w:rStyle w:val="FootnoteReference"/>
          <w:rFonts w:eastAsia="Calibri" w:cs="Calibri"/>
        </w:rPr>
        <w:footnoteReference w:id="3"/>
      </w:r>
      <w:r w:rsidR="006933DA" w:rsidRPr="003F7721">
        <w:rPr>
          <w:rFonts w:eastAsia="Calibri" w:cs="Calibri"/>
        </w:rPr>
        <w:t>.</w:t>
      </w:r>
    </w:p>
    <w:p w:rsidR="00C10F77" w:rsidRDefault="00A21774" w:rsidP="00C10F77">
      <w:pPr>
        <w:pStyle w:val="Heading3"/>
      </w:pPr>
      <w:bookmarkStart w:id="4" w:name="_Toc381349312"/>
      <w:r>
        <w:lastRenderedPageBreak/>
        <w:t xml:space="preserve">$20m Black Spots project: </w:t>
      </w:r>
      <w:r w:rsidR="00C10F77">
        <w:t>Stage 2 Expressions of Interest (EOI)</w:t>
      </w:r>
      <w:bookmarkEnd w:id="4"/>
    </w:p>
    <w:p w:rsidR="00C10F77" w:rsidRDefault="00C10F77" w:rsidP="00C10F77">
      <w:pPr>
        <w:spacing w:before="0" w:beforeAutospacing="0" w:after="0" w:afterAutospacing="0"/>
      </w:pPr>
      <w:r w:rsidRPr="00940547">
        <w:t xml:space="preserve">All EOIs that are submitted must include a commitment to provide a co-contribution towards the proposed base station. As suggested by the paper this co-contribution could be provided, for example, by the local government, significant local businesses, large community groups, or the state or territory government. ACCAN believes it is important that these contributions be </w:t>
      </w:r>
      <w:r>
        <w:t>assessed</w:t>
      </w:r>
      <w:r w:rsidRPr="00940547">
        <w:t xml:space="preserve"> in a manner that recognises</w:t>
      </w:r>
      <w:r w:rsidR="00A21774">
        <w:t xml:space="preserve"> fully</w:t>
      </w:r>
      <w:r w:rsidRPr="00940547">
        <w:t xml:space="preserve"> the value of in-kind contributions. </w:t>
      </w:r>
    </w:p>
    <w:p w:rsidR="00C10F77" w:rsidRDefault="00C10F77" w:rsidP="00C10F77">
      <w:pPr>
        <w:spacing w:before="0" w:beforeAutospacing="0" w:after="0" w:afterAutospacing="0"/>
      </w:pPr>
    </w:p>
    <w:p w:rsidR="00C10F77" w:rsidRPr="00940547" w:rsidRDefault="00C10F77" w:rsidP="00C10F77">
      <w:pPr>
        <w:spacing w:before="0" w:beforeAutospacing="0" w:after="0" w:afterAutospacing="0"/>
        <w:rPr>
          <w:rFonts w:eastAsia="Times New Roman" w:cstheme="minorHAnsi"/>
        </w:rPr>
      </w:pPr>
      <w:r>
        <w:t>I</w:t>
      </w:r>
      <w:r w:rsidRPr="00940547">
        <w:t xml:space="preserve">ndustry </w:t>
      </w:r>
      <w:r>
        <w:t>players</w:t>
      </w:r>
      <w:r w:rsidRPr="00940547">
        <w:t xml:space="preserve"> </w:t>
      </w:r>
      <w:r>
        <w:t>at</w:t>
      </w:r>
      <w:r w:rsidRPr="00940547">
        <w:t xml:space="preserve"> ACCAN’s recent mobile expansion forum, ‘Connecting the </w:t>
      </w:r>
      <w:r w:rsidR="009567DB">
        <w:t>C</w:t>
      </w:r>
      <w:r w:rsidRPr="00940547">
        <w:t>ountry’,</w:t>
      </w:r>
      <w:r>
        <w:t xml:space="preserve"> noted that</w:t>
      </w:r>
      <w:r w:rsidRPr="00940547">
        <w:t xml:space="preserve"> contributions </w:t>
      </w:r>
      <w:r>
        <w:t>such as</w:t>
      </w:r>
      <w:r w:rsidRPr="00940547">
        <w:t xml:space="preserve"> </w:t>
      </w:r>
      <w:r>
        <w:t xml:space="preserve">land </w:t>
      </w:r>
      <w:r w:rsidRPr="00940547">
        <w:t xml:space="preserve">access </w:t>
      </w:r>
      <w:r>
        <w:t>or</w:t>
      </w:r>
      <w:r w:rsidRPr="00940547">
        <w:t xml:space="preserve"> coordinated agreement on base station locations would be valuable to </w:t>
      </w:r>
      <w:r w:rsidR="00515876">
        <w:t>network operators</w:t>
      </w:r>
      <w:r w:rsidRPr="00940547">
        <w:t xml:space="preserve"> </w:t>
      </w:r>
      <w:r>
        <w:t>considering</w:t>
      </w:r>
      <w:r w:rsidRPr="00940547">
        <w:t xml:space="preserve"> a</w:t>
      </w:r>
      <w:r>
        <w:t>n</w:t>
      </w:r>
      <w:r w:rsidRPr="00940547">
        <w:t xml:space="preserve"> investment</w:t>
      </w:r>
      <w:r>
        <w:t xml:space="preserve">. Such facilitating contributions </w:t>
      </w:r>
      <w:r w:rsidRPr="00940547">
        <w:t xml:space="preserve">should be </w:t>
      </w:r>
      <w:r>
        <w:t xml:space="preserve">recognised </w:t>
      </w:r>
      <w:r w:rsidR="00DD52F3">
        <w:t>and included in evaluations</w:t>
      </w:r>
      <w:r w:rsidRPr="00940547">
        <w:t>.</w:t>
      </w:r>
      <w:r>
        <w:t xml:space="preserve">  </w:t>
      </w:r>
    </w:p>
    <w:p w:rsidR="00BE36E2" w:rsidRDefault="00BE36E2" w:rsidP="007B7076">
      <w:pPr>
        <w:pStyle w:val="Heading3"/>
      </w:pPr>
      <w:bookmarkStart w:id="5" w:name="_Toc381349313"/>
      <w:r>
        <w:t>Assessment criteria</w:t>
      </w:r>
      <w:bookmarkEnd w:id="5"/>
    </w:p>
    <w:p w:rsidR="000A70B6" w:rsidRPr="007B7076" w:rsidRDefault="000A70B6" w:rsidP="007B7076">
      <w:pPr>
        <w:spacing w:before="0" w:beforeAutospacing="0" w:after="0" w:afterAutospacing="0"/>
        <w:rPr>
          <w:b/>
          <w:lang w:eastAsia="en-US"/>
        </w:rPr>
      </w:pPr>
      <w:r w:rsidRPr="007B7076">
        <w:rPr>
          <w:b/>
          <w:lang w:eastAsia="en-US"/>
        </w:rPr>
        <w:t>Co-contributions</w:t>
      </w:r>
    </w:p>
    <w:p w:rsidR="000A70B6" w:rsidRDefault="000A70B6" w:rsidP="007B7076">
      <w:pPr>
        <w:spacing w:before="0" w:beforeAutospacing="0" w:after="0" w:afterAutospacing="0"/>
        <w:rPr>
          <w:lang w:eastAsia="en-US"/>
        </w:rPr>
      </w:pPr>
    </w:p>
    <w:p w:rsidR="00F81076" w:rsidRPr="00F95CAD" w:rsidRDefault="00F95CAD" w:rsidP="007B7076">
      <w:pPr>
        <w:spacing w:before="0" w:beforeAutospacing="0" w:after="0" w:afterAutospacing="0"/>
        <w:rPr>
          <w:rFonts w:cstheme="minorHAnsi"/>
        </w:rPr>
      </w:pPr>
      <w:r>
        <w:t xml:space="preserve">ACCAN believes that </w:t>
      </w:r>
      <w:r w:rsidR="00BE36E2">
        <w:t>th</w:t>
      </w:r>
      <w:r w:rsidR="000A70B6">
        <w:t>e</w:t>
      </w:r>
      <w:r w:rsidR="00BE36E2">
        <w:t xml:space="preserve"> assessment</w:t>
      </w:r>
      <w:r>
        <w:t xml:space="preserve"> </w:t>
      </w:r>
      <w:r w:rsidRPr="00593713">
        <w:rPr>
          <w:rFonts w:cstheme="minorHAnsi"/>
        </w:rPr>
        <w:t>shou</w:t>
      </w:r>
      <w:r>
        <w:rPr>
          <w:rFonts w:cstheme="minorHAnsi"/>
        </w:rPr>
        <w:t xml:space="preserve">ld </w:t>
      </w:r>
      <w:r w:rsidR="00BE36E2">
        <w:rPr>
          <w:rFonts w:cstheme="minorHAnsi"/>
        </w:rPr>
        <w:t>be</w:t>
      </w:r>
      <w:r w:rsidRPr="00593713">
        <w:rPr>
          <w:rFonts w:cstheme="minorHAnsi"/>
        </w:rPr>
        <w:t xml:space="preserve"> </w:t>
      </w:r>
      <w:r w:rsidR="000A70B6">
        <w:rPr>
          <w:rFonts w:cstheme="minorHAnsi"/>
        </w:rPr>
        <w:t xml:space="preserve">as </w:t>
      </w:r>
      <w:r w:rsidRPr="00593713">
        <w:rPr>
          <w:rFonts w:cstheme="minorHAnsi"/>
        </w:rPr>
        <w:t>transparent</w:t>
      </w:r>
      <w:r w:rsidR="000A70B6">
        <w:rPr>
          <w:rFonts w:cstheme="minorHAnsi"/>
        </w:rPr>
        <w:t xml:space="preserve"> as possible</w:t>
      </w:r>
      <w:r w:rsidRPr="00593713">
        <w:rPr>
          <w:rFonts w:cstheme="minorHAnsi"/>
        </w:rPr>
        <w:t>.</w:t>
      </w:r>
      <w:r>
        <w:rPr>
          <w:rFonts w:cstheme="minorHAnsi"/>
        </w:rPr>
        <w:t xml:space="preserve"> As such </w:t>
      </w:r>
      <w:r w:rsidR="000A70B6">
        <w:rPr>
          <w:rFonts w:cstheme="minorHAnsi"/>
        </w:rPr>
        <w:t>we are</w:t>
      </w:r>
      <w:r w:rsidR="00CA7E0A">
        <w:t xml:space="preserve"> concern</w:t>
      </w:r>
      <w:r w:rsidR="000A70B6">
        <w:t>ed</w:t>
      </w:r>
      <w:r w:rsidR="00CA7E0A">
        <w:t xml:space="preserve"> to</w:t>
      </w:r>
      <w:r w:rsidR="000A70B6">
        <w:t xml:space="preserve"> ensure that</w:t>
      </w:r>
      <w:r w:rsidR="00F81076" w:rsidRPr="00AB4E57">
        <w:t xml:space="preserve"> </w:t>
      </w:r>
      <w:r w:rsidR="00CA7E0A">
        <w:t xml:space="preserve">information on </w:t>
      </w:r>
      <w:r w:rsidR="000A70B6">
        <w:t>proposed co-</w:t>
      </w:r>
      <w:r w:rsidR="00CA7E0A">
        <w:t>contributions be made public</w:t>
      </w:r>
      <w:r w:rsidR="000A70B6">
        <w:t>ly available to assist interested parties who may wish to consider a co-contribution. We are also concerned as to whether</w:t>
      </w:r>
      <w:r w:rsidR="00940547">
        <w:t xml:space="preserve"> a</w:t>
      </w:r>
      <w:r w:rsidR="00F81076" w:rsidRPr="00AB4E57">
        <w:t xml:space="preserve"> state/territory government</w:t>
      </w:r>
      <w:r w:rsidR="000A70B6">
        <w:t xml:space="preserve">’s failure to </w:t>
      </w:r>
      <w:r w:rsidR="00F81076" w:rsidRPr="00AB4E57">
        <w:t xml:space="preserve">commit </w:t>
      </w:r>
      <w:r w:rsidR="000A70B6">
        <w:t>to a co-contribution</w:t>
      </w:r>
      <w:r w:rsidR="00940547">
        <w:t xml:space="preserve"> </w:t>
      </w:r>
      <w:r w:rsidR="000A70B6">
        <w:t>would effectively</w:t>
      </w:r>
      <w:r w:rsidR="00940547">
        <w:t xml:space="preserve"> </w:t>
      </w:r>
      <w:r w:rsidR="000A70B6">
        <w:t>block a proposed base station.</w:t>
      </w:r>
    </w:p>
    <w:p w:rsidR="008E47B8" w:rsidRPr="00D36404" w:rsidRDefault="008E47B8" w:rsidP="00B7205E">
      <w:pPr>
        <w:spacing w:before="0" w:beforeAutospacing="0" w:after="0" w:afterAutospacing="0"/>
        <w:rPr>
          <w:rFonts w:eastAsia="Times New Roman" w:cstheme="minorHAnsi"/>
          <w:u w:val="single"/>
        </w:rPr>
      </w:pPr>
    </w:p>
    <w:p w:rsidR="00593713" w:rsidRPr="0040481E" w:rsidRDefault="00BB009D" w:rsidP="00593713">
      <w:pPr>
        <w:pStyle w:val="Recommendation"/>
        <w:numPr>
          <w:ilvl w:val="0"/>
          <w:numId w:val="0"/>
        </w:numPr>
        <w:jc w:val="both"/>
        <w:rPr>
          <w:rFonts w:asciiTheme="minorHAnsi" w:hAnsiTheme="minorHAnsi" w:cstheme="minorHAnsi"/>
          <w:i/>
        </w:rPr>
      </w:pPr>
      <w:r>
        <w:rPr>
          <w:b/>
        </w:rPr>
        <w:t xml:space="preserve">Discussion Paper </w:t>
      </w:r>
      <w:r w:rsidR="00593713" w:rsidRPr="00AB4E57">
        <w:rPr>
          <w:b/>
        </w:rPr>
        <w:t>Question 16:</w:t>
      </w:r>
      <w:r w:rsidR="00593713">
        <w:t xml:space="preserve"> </w:t>
      </w:r>
      <w:r w:rsidR="00593713" w:rsidRPr="0040481E">
        <w:rPr>
          <w:rFonts w:asciiTheme="minorHAnsi" w:hAnsiTheme="minorHAnsi" w:cstheme="minorHAnsi"/>
          <w:i/>
        </w:rPr>
        <w:t>should the proposed criteria be weighted and if so how?</w:t>
      </w:r>
    </w:p>
    <w:p w:rsidR="00053FCB" w:rsidRPr="007E32A7" w:rsidRDefault="00F81076" w:rsidP="007B7076">
      <w:pPr>
        <w:pStyle w:val="Recommendation"/>
        <w:numPr>
          <w:ilvl w:val="0"/>
          <w:numId w:val="0"/>
        </w:numPr>
        <w:jc w:val="both"/>
        <w:rPr>
          <w:rFonts w:cstheme="minorHAnsi"/>
        </w:rPr>
      </w:pPr>
      <w:r>
        <w:rPr>
          <w:rFonts w:cstheme="minorHAnsi"/>
        </w:rPr>
        <w:t xml:space="preserve">It is ACCAN’s </w:t>
      </w:r>
      <w:r w:rsidR="00DD52F3">
        <w:rPr>
          <w:rFonts w:cstheme="minorHAnsi"/>
        </w:rPr>
        <w:t>view</w:t>
      </w:r>
      <w:r>
        <w:rPr>
          <w:rFonts w:cstheme="minorHAnsi"/>
        </w:rPr>
        <w:t xml:space="preserve"> that w</w:t>
      </w:r>
      <w:r w:rsidR="00593713" w:rsidRPr="00593713">
        <w:rPr>
          <w:rFonts w:cstheme="minorHAnsi"/>
        </w:rPr>
        <w:t xml:space="preserve">eighting should not be applied </w:t>
      </w:r>
      <w:r w:rsidR="00257A6C">
        <w:rPr>
          <w:rFonts w:cstheme="minorHAnsi"/>
        </w:rPr>
        <w:t xml:space="preserve">to </w:t>
      </w:r>
      <w:r>
        <w:rPr>
          <w:rFonts w:cstheme="minorHAnsi"/>
        </w:rPr>
        <w:t xml:space="preserve">any of the criteria </w:t>
      </w:r>
      <w:r w:rsidR="00755571">
        <w:rPr>
          <w:rFonts w:cstheme="minorHAnsi"/>
        </w:rPr>
        <w:t>proposed</w:t>
      </w:r>
      <w:r>
        <w:rPr>
          <w:rFonts w:cstheme="minorHAnsi"/>
        </w:rPr>
        <w:t xml:space="preserve"> as</w:t>
      </w:r>
      <w:r w:rsidR="00257A6C">
        <w:rPr>
          <w:rFonts w:cstheme="minorHAnsi"/>
        </w:rPr>
        <w:t xml:space="preserve"> this could </w:t>
      </w:r>
      <w:r w:rsidR="00755571">
        <w:rPr>
          <w:rFonts w:cstheme="minorHAnsi"/>
        </w:rPr>
        <w:t>reduce</w:t>
      </w:r>
      <w:r w:rsidR="00593713" w:rsidRPr="00593713">
        <w:rPr>
          <w:rFonts w:cstheme="minorHAnsi"/>
        </w:rPr>
        <w:t xml:space="preserve"> </w:t>
      </w:r>
      <w:r w:rsidR="00755571">
        <w:rPr>
          <w:rFonts w:cstheme="minorHAnsi"/>
        </w:rPr>
        <w:t xml:space="preserve">incentives </w:t>
      </w:r>
      <w:r w:rsidR="00593713" w:rsidRPr="00593713">
        <w:rPr>
          <w:rFonts w:cstheme="minorHAnsi"/>
        </w:rPr>
        <w:t xml:space="preserve">for </w:t>
      </w:r>
      <w:r w:rsidR="00755571">
        <w:rPr>
          <w:rFonts w:cstheme="minorHAnsi"/>
        </w:rPr>
        <w:t>proposals in m</w:t>
      </w:r>
      <w:r w:rsidR="00257A6C">
        <w:rPr>
          <w:rFonts w:cstheme="minorHAnsi"/>
        </w:rPr>
        <w:t xml:space="preserve">ore </w:t>
      </w:r>
      <w:r w:rsidR="00515876">
        <w:rPr>
          <w:rFonts w:cstheme="minorHAnsi"/>
        </w:rPr>
        <w:t>marginal areas</w:t>
      </w:r>
      <w:r w:rsidR="00593713" w:rsidRPr="00593713">
        <w:rPr>
          <w:rFonts w:cstheme="minorHAnsi"/>
        </w:rPr>
        <w:t xml:space="preserve"> without accounting for the social and economic gains that providing a service could have for  those communities. </w:t>
      </w:r>
    </w:p>
    <w:p w:rsidR="00257A6C" w:rsidRPr="00F95CAD" w:rsidRDefault="00755571" w:rsidP="007B7076">
      <w:pPr>
        <w:pStyle w:val="Recommendation"/>
        <w:numPr>
          <w:ilvl w:val="0"/>
          <w:numId w:val="0"/>
        </w:numPr>
        <w:jc w:val="both"/>
        <w:rPr>
          <w:rFonts w:cstheme="minorHAnsi"/>
        </w:rPr>
      </w:pPr>
      <w:r>
        <w:t>If a</w:t>
      </w:r>
      <w:r w:rsidR="00257A6C">
        <w:t xml:space="preserve"> key priorit</w:t>
      </w:r>
      <w:r>
        <w:t>y</w:t>
      </w:r>
      <w:r w:rsidR="00257A6C">
        <w:t xml:space="preserve"> for this </w:t>
      </w:r>
      <w:r w:rsidR="00DC1119">
        <w:t>program</w:t>
      </w:r>
      <w:r w:rsidR="00257A6C">
        <w:t xml:space="preserve"> is to provide coverage for areas most</w:t>
      </w:r>
      <w:r>
        <w:t xml:space="preserve"> in</w:t>
      </w:r>
      <w:r w:rsidR="00257A6C">
        <w:t xml:space="preserve"> need of service</w:t>
      </w:r>
      <w:r>
        <w:t>,</w:t>
      </w:r>
      <w:r w:rsidR="00257A6C">
        <w:t xml:space="preserve"> ACCAN </w:t>
      </w:r>
      <w:r>
        <w:t xml:space="preserve">recommends an </w:t>
      </w:r>
      <w:r w:rsidR="00257A6C">
        <w:t>additional assessment criteri</w:t>
      </w:r>
      <w:r>
        <w:t>on</w:t>
      </w:r>
      <w:r w:rsidR="00257A6C">
        <w:t xml:space="preserve"> </w:t>
      </w:r>
      <w:r>
        <w:t>of meeting an acute</w:t>
      </w:r>
      <w:r w:rsidR="00257A6C">
        <w:t xml:space="preserve"> </w:t>
      </w:r>
      <w:r>
        <w:t>community need</w:t>
      </w:r>
      <w:r w:rsidR="00257A6C">
        <w:t xml:space="preserve">. </w:t>
      </w:r>
    </w:p>
    <w:p w:rsidR="00AB4E57" w:rsidRPr="00F81076" w:rsidRDefault="00AB4E57" w:rsidP="00AB4E57">
      <w:pPr>
        <w:pStyle w:val="Heading3"/>
        <w:rPr>
          <w:rFonts w:asciiTheme="minorHAnsi" w:hAnsiTheme="minorHAnsi" w:cstheme="minorHAnsi"/>
        </w:rPr>
      </w:pPr>
      <w:bookmarkStart w:id="6" w:name="_Toc381349314"/>
      <w:r>
        <w:t>Service quality standards</w:t>
      </w:r>
      <w:bookmarkEnd w:id="6"/>
    </w:p>
    <w:p w:rsidR="00A45707" w:rsidRPr="00DE14F9" w:rsidRDefault="009F7D23" w:rsidP="007B7076">
      <w:pPr>
        <w:spacing w:before="0" w:beforeAutospacing="0" w:after="0" w:afterAutospacing="0"/>
        <w:rPr>
          <w:rFonts w:cstheme="minorHAnsi"/>
        </w:rPr>
      </w:pPr>
      <w:r w:rsidRPr="00DE14F9">
        <w:rPr>
          <w:rFonts w:cstheme="minorHAnsi"/>
        </w:rPr>
        <w:t>ACCAN s</w:t>
      </w:r>
      <w:r w:rsidR="00D22E18">
        <w:rPr>
          <w:rFonts w:cstheme="minorHAnsi"/>
        </w:rPr>
        <w:t>upports</w:t>
      </w:r>
      <w:r w:rsidRPr="00DE14F9">
        <w:rPr>
          <w:rFonts w:cstheme="minorHAnsi"/>
        </w:rPr>
        <w:t xml:space="preserve"> </w:t>
      </w:r>
      <w:r w:rsidR="00DE14F9" w:rsidRPr="00DE14F9">
        <w:rPr>
          <w:rFonts w:cstheme="minorHAnsi"/>
        </w:rPr>
        <w:t>high</w:t>
      </w:r>
      <w:r w:rsidRPr="00DE14F9">
        <w:rPr>
          <w:rFonts w:cstheme="minorHAnsi"/>
        </w:rPr>
        <w:t xml:space="preserve"> quality standards</w:t>
      </w:r>
      <w:r w:rsidR="00DE14F9" w:rsidRPr="00DE14F9">
        <w:rPr>
          <w:rFonts w:cstheme="minorHAnsi"/>
        </w:rPr>
        <w:t xml:space="preserve"> that </w:t>
      </w:r>
      <w:r w:rsidR="00D22E18">
        <w:rPr>
          <w:rFonts w:cstheme="minorHAnsi"/>
        </w:rPr>
        <w:t>meet the</w:t>
      </w:r>
      <w:r w:rsidR="00DE14F9" w:rsidRPr="00DE14F9">
        <w:rPr>
          <w:rFonts w:cstheme="minorHAnsi"/>
        </w:rPr>
        <w:t xml:space="preserve"> needs of </w:t>
      </w:r>
      <w:r w:rsidR="00D22E18">
        <w:rPr>
          <w:rFonts w:cstheme="minorHAnsi"/>
        </w:rPr>
        <w:t>regional</w:t>
      </w:r>
      <w:r w:rsidR="00DE14F9" w:rsidRPr="00DE14F9">
        <w:rPr>
          <w:rFonts w:cstheme="minorHAnsi"/>
        </w:rPr>
        <w:t xml:space="preserve"> communities</w:t>
      </w:r>
      <w:r w:rsidR="00D22E18">
        <w:rPr>
          <w:rFonts w:cstheme="minorHAnsi"/>
        </w:rPr>
        <w:t>.</w:t>
      </w:r>
      <w:r w:rsidR="00DE14F9" w:rsidRPr="00DE14F9">
        <w:rPr>
          <w:rFonts w:cstheme="minorHAnsi"/>
        </w:rPr>
        <w:t xml:space="preserve"> </w:t>
      </w:r>
      <w:r w:rsidR="00D22E18">
        <w:rPr>
          <w:rFonts w:cstheme="minorHAnsi"/>
        </w:rPr>
        <w:t>M</w:t>
      </w:r>
      <w:r w:rsidR="00DE14F9" w:rsidRPr="00DE14F9">
        <w:rPr>
          <w:rFonts w:cstheme="minorHAnsi"/>
        </w:rPr>
        <w:t xml:space="preserve">inimum standards should allow for </w:t>
      </w:r>
      <w:r w:rsidRPr="00DE14F9">
        <w:t>monitoring and performance measurement with consumer feedback from new coverage</w:t>
      </w:r>
      <w:r w:rsidR="00DE14F9" w:rsidRPr="00DE14F9">
        <w:t xml:space="preserve"> areas </w:t>
      </w:r>
      <w:r w:rsidRPr="00DE14F9">
        <w:t>taken to gauge quality of service experience.</w:t>
      </w:r>
      <w:r w:rsidR="00DE14F9">
        <w:t xml:space="preserve"> </w:t>
      </w:r>
    </w:p>
    <w:p w:rsidR="004B18A3" w:rsidRPr="009577B8" w:rsidRDefault="00BB009D" w:rsidP="00CE7E7B">
      <w:pPr>
        <w:pStyle w:val="Recommendation"/>
        <w:numPr>
          <w:ilvl w:val="0"/>
          <w:numId w:val="0"/>
        </w:numPr>
        <w:jc w:val="both"/>
        <w:rPr>
          <w:rFonts w:cstheme="minorHAnsi"/>
          <w:i/>
        </w:rPr>
      </w:pPr>
      <w:r>
        <w:rPr>
          <w:b/>
        </w:rPr>
        <w:t xml:space="preserve">Discussion Paper </w:t>
      </w:r>
      <w:r w:rsidR="008E47B8" w:rsidRPr="0040481E">
        <w:rPr>
          <w:b/>
        </w:rPr>
        <w:t>Question 1</w:t>
      </w:r>
      <w:r w:rsidR="008E47B8" w:rsidRPr="0040481E">
        <w:t xml:space="preserve">: </w:t>
      </w:r>
      <w:r w:rsidR="008E47B8" w:rsidRPr="00515876">
        <w:rPr>
          <w:rFonts w:cstheme="minorHAnsi"/>
          <w:i/>
        </w:rPr>
        <w:t>Would an appropriate minimum quality standard be that base stations must provide high</w:t>
      </w:r>
      <w:r w:rsidR="008E47B8" w:rsidRPr="00515876">
        <w:rPr>
          <w:rFonts w:cstheme="minorHAnsi"/>
          <w:i/>
        </w:rPr>
        <w:noBreakHyphen/>
        <w:t xml:space="preserve">speed 4G LTE mobile broadband data communication services and also </w:t>
      </w:r>
      <w:r w:rsidR="008E47B8" w:rsidRPr="00557BE5">
        <w:rPr>
          <w:rFonts w:cstheme="minorHAnsi"/>
          <w:i/>
        </w:rPr>
        <w:t>high quality 3G mobile voice and broadband data services? If this is not an appropriate minimum quality standard, what is?</w:t>
      </w:r>
    </w:p>
    <w:p w:rsidR="00107513" w:rsidRDefault="00107513" w:rsidP="00107513">
      <w:pPr>
        <w:pStyle w:val="Recommendation"/>
        <w:numPr>
          <w:ilvl w:val="0"/>
          <w:numId w:val="0"/>
        </w:numPr>
        <w:jc w:val="both"/>
        <w:rPr>
          <w:rFonts w:cstheme="minorHAnsi"/>
        </w:rPr>
      </w:pPr>
      <w:r w:rsidRPr="00AA79E7">
        <w:rPr>
          <w:rFonts w:cstheme="minorHAnsi"/>
        </w:rPr>
        <w:t xml:space="preserve">ACCAN believes that </w:t>
      </w:r>
      <w:r>
        <w:rPr>
          <w:rFonts w:cstheme="minorHAnsi"/>
        </w:rPr>
        <w:t>standards</w:t>
      </w:r>
      <w:r w:rsidRPr="00AA79E7">
        <w:rPr>
          <w:rFonts w:cstheme="minorHAnsi"/>
        </w:rPr>
        <w:t xml:space="preserve"> should be based on maximising coverage. </w:t>
      </w:r>
      <w:r>
        <w:rPr>
          <w:rFonts w:cstheme="minorHAnsi"/>
        </w:rPr>
        <w:t>Adopting the 4G</w:t>
      </w:r>
      <w:r w:rsidRPr="00AA79E7">
        <w:rPr>
          <w:rFonts w:cstheme="minorHAnsi"/>
        </w:rPr>
        <w:t xml:space="preserve"> LTE service</w:t>
      </w:r>
      <w:r>
        <w:rPr>
          <w:rFonts w:cstheme="minorHAnsi"/>
        </w:rPr>
        <w:t xml:space="preserve"> as</w:t>
      </w:r>
      <w:r w:rsidRPr="00AA79E7">
        <w:rPr>
          <w:rFonts w:cstheme="minorHAnsi"/>
        </w:rPr>
        <w:t xml:space="preserve"> a</w:t>
      </w:r>
      <w:r>
        <w:rPr>
          <w:rFonts w:cstheme="minorHAnsi"/>
        </w:rPr>
        <w:t xml:space="preserve"> </w:t>
      </w:r>
      <w:r w:rsidRPr="00AA79E7">
        <w:rPr>
          <w:rFonts w:cstheme="minorHAnsi"/>
        </w:rPr>
        <w:t xml:space="preserve">minimum standard </w:t>
      </w:r>
      <w:r>
        <w:rPr>
          <w:rFonts w:cstheme="minorHAnsi"/>
        </w:rPr>
        <w:t>may mean</w:t>
      </w:r>
      <w:r w:rsidRPr="00AA79E7">
        <w:rPr>
          <w:rFonts w:cstheme="minorHAnsi"/>
        </w:rPr>
        <w:t xml:space="preserve"> limit</w:t>
      </w:r>
      <w:r>
        <w:rPr>
          <w:rFonts w:cstheme="minorHAnsi"/>
        </w:rPr>
        <w:t>ing</w:t>
      </w:r>
      <w:r w:rsidRPr="00AA79E7">
        <w:rPr>
          <w:rFonts w:cstheme="minorHAnsi"/>
        </w:rPr>
        <w:t xml:space="preserve"> the number of stations</w:t>
      </w:r>
      <w:r>
        <w:rPr>
          <w:rFonts w:cstheme="minorHAnsi"/>
        </w:rPr>
        <w:t xml:space="preserve"> and </w:t>
      </w:r>
      <w:r>
        <w:rPr>
          <w:rFonts w:cstheme="minorHAnsi"/>
        </w:rPr>
        <w:lastRenderedPageBreak/>
        <w:t xml:space="preserve">mandating </w:t>
      </w:r>
      <w:r w:rsidRPr="00AA79E7">
        <w:rPr>
          <w:rFonts w:cstheme="minorHAnsi"/>
        </w:rPr>
        <w:t>a technology tha</w:t>
      </w:r>
      <w:r>
        <w:rPr>
          <w:rFonts w:cstheme="minorHAnsi"/>
        </w:rPr>
        <w:t>t is not yet fully accessible in rural areas where geographic distance can affect signal transmission on some bands currently used for 4G</w:t>
      </w:r>
      <w:r>
        <w:rPr>
          <w:rStyle w:val="FootnoteReference"/>
          <w:rFonts w:cstheme="minorHAnsi"/>
        </w:rPr>
        <w:footnoteReference w:id="4"/>
      </w:r>
      <w:r>
        <w:rPr>
          <w:rFonts w:cstheme="minorHAnsi"/>
        </w:rPr>
        <w:t>.</w:t>
      </w:r>
      <w:r w:rsidRPr="00AA79E7">
        <w:rPr>
          <w:rFonts w:cstheme="minorHAnsi"/>
        </w:rPr>
        <w:t xml:space="preserve"> </w:t>
      </w:r>
    </w:p>
    <w:p w:rsidR="00053FCB" w:rsidRDefault="008E47B8" w:rsidP="007B7076">
      <w:pPr>
        <w:pStyle w:val="Recommendation"/>
        <w:numPr>
          <w:ilvl w:val="0"/>
          <w:numId w:val="0"/>
        </w:numPr>
        <w:jc w:val="both"/>
        <w:rPr>
          <w:rFonts w:cstheme="minorHAnsi"/>
        </w:rPr>
      </w:pPr>
      <w:r w:rsidRPr="00AA79E7">
        <w:rPr>
          <w:rFonts w:cstheme="minorHAnsi"/>
        </w:rPr>
        <w:t xml:space="preserve">In </w:t>
      </w:r>
      <w:r w:rsidR="00107513">
        <w:rPr>
          <w:rFonts w:cstheme="minorHAnsi"/>
        </w:rPr>
        <w:t xml:space="preserve">contrast, adopting </w:t>
      </w:r>
      <w:r w:rsidRPr="00AA79E7">
        <w:rPr>
          <w:rFonts w:cstheme="minorHAnsi"/>
        </w:rPr>
        <w:t xml:space="preserve">high quality 3G mobile voice and broadband data services as the minimum standard may allow bidding companies to offer more stations to cover more areas providing </w:t>
      </w:r>
      <w:r w:rsidR="00107513">
        <w:rPr>
          <w:rFonts w:cstheme="minorHAnsi"/>
        </w:rPr>
        <w:t>a</w:t>
      </w:r>
      <w:r w:rsidRPr="00AA79E7">
        <w:rPr>
          <w:rFonts w:cstheme="minorHAnsi"/>
        </w:rPr>
        <w:t xml:space="preserve"> </w:t>
      </w:r>
      <w:r w:rsidR="00107513">
        <w:rPr>
          <w:rFonts w:cstheme="minorHAnsi"/>
        </w:rPr>
        <w:t>better</w:t>
      </w:r>
      <w:r w:rsidRPr="00AA79E7">
        <w:rPr>
          <w:rFonts w:cstheme="minorHAnsi"/>
        </w:rPr>
        <w:t xml:space="preserve"> outcome for the largest number of communities.</w:t>
      </w:r>
    </w:p>
    <w:p w:rsidR="008E47B8" w:rsidRPr="00AA79E7" w:rsidRDefault="00AA79E7" w:rsidP="007B7076">
      <w:pPr>
        <w:pStyle w:val="Recommendation"/>
        <w:numPr>
          <w:ilvl w:val="0"/>
          <w:numId w:val="0"/>
        </w:numPr>
        <w:jc w:val="both"/>
        <w:rPr>
          <w:rFonts w:cstheme="minorHAnsi"/>
        </w:rPr>
      </w:pPr>
      <w:r w:rsidRPr="00AA79E7">
        <w:rPr>
          <w:rFonts w:cstheme="minorHAnsi"/>
        </w:rPr>
        <w:t xml:space="preserve">In addition it is reasonable to </w:t>
      </w:r>
      <w:r w:rsidR="00107513">
        <w:rPr>
          <w:rFonts w:cstheme="minorHAnsi"/>
        </w:rPr>
        <w:t>assume</w:t>
      </w:r>
      <w:r w:rsidRPr="00AA79E7">
        <w:rPr>
          <w:rFonts w:cstheme="minorHAnsi"/>
        </w:rPr>
        <w:t xml:space="preserve"> that infrastructure can later be </w:t>
      </w:r>
      <w:r w:rsidR="00107513">
        <w:rPr>
          <w:rFonts w:cstheme="minorHAnsi"/>
        </w:rPr>
        <w:t>upgraded</w:t>
      </w:r>
      <w:r w:rsidRPr="00AA79E7">
        <w:rPr>
          <w:rFonts w:cstheme="minorHAnsi"/>
        </w:rPr>
        <w:t xml:space="preserve"> by providers </w:t>
      </w:r>
      <w:r w:rsidR="00107513">
        <w:rPr>
          <w:rFonts w:cstheme="minorHAnsi"/>
        </w:rPr>
        <w:t>incrementally</w:t>
      </w:r>
      <w:r w:rsidR="007B7076">
        <w:rPr>
          <w:rFonts w:cstheme="minorHAnsi"/>
        </w:rPr>
        <w:t xml:space="preserve"> in the course of their normal business and within the scope of planned upgrades.</w:t>
      </w:r>
    </w:p>
    <w:p w:rsidR="004B18A3" w:rsidRDefault="00C15A63" w:rsidP="004B18A3">
      <w:pPr>
        <w:pStyle w:val="Heading2"/>
      </w:pPr>
      <w:bookmarkStart w:id="7" w:name="_Toc381349315"/>
      <w:r>
        <w:t>O</w:t>
      </w:r>
      <w:r w:rsidR="00E87F2C">
        <w:t>pen access</w:t>
      </w:r>
      <w:bookmarkEnd w:id="7"/>
    </w:p>
    <w:p w:rsidR="00053FCB" w:rsidRDefault="00F21ACB" w:rsidP="007B7076">
      <w:pPr>
        <w:rPr>
          <w:rFonts w:eastAsia="Calibri" w:cs="Calibri"/>
          <w:lang w:eastAsia="en-US"/>
        </w:rPr>
      </w:pPr>
      <w:r>
        <w:rPr>
          <w:rFonts w:eastAsia="Calibri" w:cs="Calibri"/>
          <w:lang w:eastAsia="en-US"/>
        </w:rPr>
        <w:t xml:space="preserve">ACCAN is aware that some </w:t>
      </w:r>
      <w:r w:rsidR="004A43C6" w:rsidRPr="00194E5E">
        <w:rPr>
          <w:rFonts w:eastAsia="Calibri" w:cs="Calibri"/>
          <w:lang w:eastAsia="en-US"/>
        </w:rPr>
        <w:t xml:space="preserve">mobile expansion plans </w:t>
      </w:r>
      <w:r>
        <w:rPr>
          <w:rFonts w:eastAsia="Calibri" w:cs="Calibri"/>
          <w:lang w:eastAsia="en-US"/>
        </w:rPr>
        <w:t xml:space="preserve">have </w:t>
      </w:r>
      <w:r w:rsidR="004A43C6" w:rsidRPr="00194E5E">
        <w:rPr>
          <w:rFonts w:eastAsia="Calibri" w:cs="Calibri"/>
          <w:lang w:eastAsia="en-US"/>
        </w:rPr>
        <w:t>stalled despite community support due to Telstra</w:t>
      </w:r>
      <w:r>
        <w:rPr>
          <w:rFonts w:eastAsia="Calibri" w:cs="Calibri"/>
          <w:lang w:eastAsia="en-US"/>
        </w:rPr>
        <w:t>’s reluctance</w:t>
      </w:r>
      <w:r w:rsidR="004A43C6" w:rsidRPr="00194E5E">
        <w:rPr>
          <w:rFonts w:eastAsia="Calibri" w:cs="Calibri"/>
          <w:lang w:eastAsia="en-US"/>
        </w:rPr>
        <w:t xml:space="preserve"> to invest (Gladstone, Queensland and Junee/Temora in NSW)</w:t>
      </w:r>
      <w:r w:rsidR="00557BE5">
        <w:rPr>
          <w:rStyle w:val="FootnoteReference"/>
          <w:rFonts w:eastAsia="Calibri" w:cs="Calibri"/>
          <w:lang w:eastAsia="en-US"/>
        </w:rPr>
        <w:footnoteReference w:id="5"/>
      </w:r>
      <w:r w:rsidR="004A43C6" w:rsidRPr="00194E5E">
        <w:rPr>
          <w:rFonts w:eastAsia="Calibri" w:cs="Calibri"/>
          <w:lang w:eastAsia="en-US"/>
        </w:rPr>
        <w:t>. In light of examples such as these</w:t>
      </w:r>
      <w:r w:rsidR="00F515B0">
        <w:rPr>
          <w:rFonts w:eastAsia="Calibri" w:cs="Calibri"/>
          <w:lang w:eastAsia="en-US"/>
        </w:rPr>
        <w:t>,</w:t>
      </w:r>
      <w:r w:rsidR="004A43C6" w:rsidRPr="00194E5E">
        <w:rPr>
          <w:rFonts w:eastAsia="Calibri" w:cs="Calibri"/>
          <w:lang w:eastAsia="en-US"/>
        </w:rPr>
        <w:t xml:space="preserve"> increased competition is </w:t>
      </w:r>
      <w:r>
        <w:rPr>
          <w:rFonts w:eastAsia="Calibri" w:cs="Calibri"/>
          <w:lang w:eastAsia="en-US"/>
        </w:rPr>
        <w:t>an important consideration for regional Australia</w:t>
      </w:r>
      <w:r w:rsidR="004A43C6" w:rsidRPr="00194E5E">
        <w:rPr>
          <w:rFonts w:eastAsia="Calibri" w:cs="Calibri"/>
          <w:lang w:eastAsia="en-US"/>
        </w:rPr>
        <w:t>.  Precedent</w:t>
      </w:r>
      <w:r>
        <w:rPr>
          <w:rFonts w:eastAsia="Calibri" w:cs="Calibri"/>
          <w:lang w:eastAsia="en-US"/>
        </w:rPr>
        <w:t>s</w:t>
      </w:r>
      <w:r w:rsidR="004A43C6" w:rsidRPr="00194E5E">
        <w:rPr>
          <w:rFonts w:eastAsia="Calibri" w:cs="Calibri"/>
          <w:lang w:eastAsia="en-US"/>
        </w:rPr>
        <w:t xml:space="preserve"> exist in infrastructure sharing arrangement</w:t>
      </w:r>
      <w:r w:rsidR="00194E5E">
        <w:rPr>
          <w:rFonts w:eastAsia="Calibri" w:cs="Calibri"/>
          <w:lang w:eastAsia="en-US"/>
        </w:rPr>
        <w:t>s</w:t>
      </w:r>
      <w:r w:rsidR="004A43C6" w:rsidRPr="00194E5E">
        <w:rPr>
          <w:rFonts w:eastAsia="Calibri" w:cs="Calibri"/>
          <w:lang w:eastAsia="en-US"/>
        </w:rPr>
        <w:t xml:space="preserve"> between network providers which</w:t>
      </w:r>
      <w:r>
        <w:rPr>
          <w:rFonts w:eastAsia="Calibri" w:cs="Calibri"/>
          <w:lang w:eastAsia="en-US"/>
        </w:rPr>
        <w:t>, for example,</w:t>
      </w:r>
      <w:r w:rsidR="004A43C6" w:rsidRPr="00194E5E">
        <w:rPr>
          <w:rFonts w:eastAsia="Calibri" w:cs="Calibri"/>
          <w:lang w:eastAsia="en-US"/>
        </w:rPr>
        <w:t xml:space="preserve"> </w:t>
      </w:r>
      <w:r>
        <w:rPr>
          <w:rFonts w:eastAsia="Calibri" w:cs="Calibri"/>
          <w:lang w:eastAsia="en-US"/>
        </w:rPr>
        <w:t xml:space="preserve">boost </w:t>
      </w:r>
      <w:r w:rsidR="004A43C6" w:rsidRPr="00194E5E">
        <w:rPr>
          <w:rFonts w:eastAsia="Calibri" w:cs="Calibri"/>
          <w:lang w:eastAsia="en-US"/>
        </w:rPr>
        <w:t xml:space="preserve">mobile reception in </w:t>
      </w:r>
      <w:r>
        <w:rPr>
          <w:rFonts w:eastAsia="Calibri" w:cs="Calibri"/>
          <w:lang w:eastAsia="en-US"/>
        </w:rPr>
        <w:t>road</w:t>
      </w:r>
      <w:r w:rsidR="004A43C6" w:rsidRPr="00194E5E">
        <w:rPr>
          <w:rFonts w:eastAsia="Calibri" w:cs="Calibri"/>
          <w:lang w:eastAsia="en-US"/>
        </w:rPr>
        <w:t xml:space="preserve"> tunnels</w:t>
      </w:r>
      <w:r>
        <w:rPr>
          <w:rFonts w:eastAsia="Calibri" w:cs="Calibri"/>
          <w:lang w:eastAsia="en-US"/>
        </w:rPr>
        <w:t>.</w:t>
      </w:r>
      <w:r w:rsidR="004A43C6" w:rsidRPr="00194E5E">
        <w:rPr>
          <w:rFonts w:eastAsia="Calibri" w:cs="Calibri"/>
          <w:lang w:eastAsia="en-US"/>
        </w:rPr>
        <w:t xml:space="preserve"> </w:t>
      </w:r>
    </w:p>
    <w:p w:rsidR="00F515B0" w:rsidRDefault="00C15A63" w:rsidP="007B7076">
      <w:pPr>
        <w:rPr>
          <w:rFonts w:asciiTheme="minorHAnsi" w:hAnsiTheme="minorHAnsi" w:cstheme="minorHAnsi"/>
        </w:rPr>
      </w:pPr>
      <w:r w:rsidRPr="00194E5E">
        <w:rPr>
          <w:rFonts w:asciiTheme="minorHAnsi" w:hAnsiTheme="minorHAnsi" w:cstheme="minorHAnsi"/>
        </w:rPr>
        <w:t>To best facilitate serv</w:t>
      </w:r>
      <w:r w:rsidR="00194E5E" w:rsidRPr="00194E5E">
        <w:rPr>
          <w:rFonts w:asciiTheme="minorHAnsi" w:hAnsiTheme="minorHAnsi" w:cstheme="minorHAnsi"/>
        </w:rPr>
        <w:t>ice expansion and competition</w:t>
      </w:r>
      <w:r w:rsidR="00557BE5">
        <w:rPr>
          <w:rFonts w:asciiTheme="minorHAnsi" w:hAnsiTheme="minorHAnsi" w:cstheme="minorHAnsi"/>
        </w:rPr>
        <w:t>,</w:t>
      </w:r>
      <w:r w:rsidRPr="00194E5E">
        <w:rPr>
          <w:rFonts w:asciiTheme="minorHAnsi" w:hAnsiTheme="minorHAnsi" w:cstheme="minorHAnsi"/>
        </w:rPr>
        <w:t xml:space="preserve"> </w:t>
      </w:r>
      <w:r w:rsidR="00194E5E" w:rsidRPr="00194E5E">
        <w:rPr>
          <w:rFonts w:asciiTheme="minorHAnsi" w:hAnsiTheme="minorHAnsi" w:cstheme="minorHAnsi"/>
        </w:rPr>
        <w:t xml:space="preserve">future </w:t>
      </w:r>
      <w:r w:rsidR="00A871A5" w:rsidRPr="00194E5E">
        <w:rPr>
          <w:rFonts w:asciiTheme="minorHAnsi" w:hAnsiTheme="minorHAnsi" w:cstheme="minorHAnsi"/>
        </w:rPr>
        <w:t xml:space="preserve">programs </w:t>
      </w:r>
      <w:r w:rsidR="00194E5E" w:rsidRPr="00194E5E">
        <w:rPr>
          <w:rFonts w:asciiTheme="minorHAnsi" w:hAnsiTheme="minorHAnsi" w:cstheme="minorHAnsi"/>
        </w:rPr>
        <w:t xml:space="preserve">may wish to </w:t>
      </w:r>
      <w:r w:rsidR="00EA2350" w:rsidRPr="00194E5E">
        <w:rPr>
          <w:rFonts w:asciiTheme="minorHAnsi" w:hAnsiTheme="minorHAnsi" w:cstheme="minorHAnsi"/>
        </w:rPr>
        <w:t xml:space="preserve">look at </w:t>
      </w:r>
      <w:r w:rsidR="00194E5E">
        <w:rPr>
          <w:rFonts w:asciiTheme="minorHAnsi" w:hAnsiTheme="minorHAnsi" w:cstheme="minorHAnsi"/>
        </w:rPr>
        <w:t xml:space="preserve">incentivising </w:t>
      </w:r>
      <w:r w:rsidR="00EA2350" w:rsidRPr="00194E5E">
        <w:rPr>
          <w:rFonts w:asciiTheme="minorHAnsi" w:hAnsiTheme="minorHAnsi" w:cstheme="minorHAnsi"/>
        </w:rPr>
        <w:t>open access for existing station</w:t>
      </w:r>
      <w:r w:rsidR="00A871A5" w:rsidRPr="00194E5E">
        <w:rPr>
          <w:rFonts w:asciiTheme="minorHAnsi" w:hAnsiTheme="minorHAnsi" w:cstheme="minorHAnsi"/>
        </w:rPr>
        <w:t>s</w:t>
      </w:r>
      <w:r w:rsidR="0094519B">
        <w:rPr>
          <w:rFonts w:asciiTheme="minorHAnsi" w:hAnsiTheme="minorHAnsi" w:cstheme="minorHAnsi"/>
        </w:rPr>
        <w:t xml:space="preserve">. </w:t>
      </w:r>
    </w:p>
    <w:p w:rsidR="0094519B" w:rsidRDefault="0094519B" w:rsidP="007B7076">
      <w:pPr>
        <w:rPr>
          <w:rFonts w:asciiTheme="minorHAnsi" w:hAnsiTheme="minorHAnsi" w:cstheme="minorHAnsi"/>
          <w:b/>
        </w:rPr>
      </w:pPr>
      <w:r>
        <w:rPr>
          <w:rFonts w:asciiTheme="minorHAnsi" w:hAnsiTheme="minorHAnsi" w:cstheme="minorHAnsi"/>
          <w:b/>
        </w:rPr>
        <w:t>O</w:t>
      </w:r>
      <w:r w:rsidRPr="0040481E">
        <w:rPr>
          <w:rFonts w:asciiTheme="minorHAnsi" w:hAnsiTheme="minorHAnsi" w:cstheme="minorHAnsi"/>
          <w:b/>
        </w:rPr>
        <w:t xml:space="preserve">pen access arrangement to </w:t>
      </w:r>
      <w:r>
        <w:rPr>
          <w:rFonts w:asciiTheme="minorHAnsi" w:hAnsiTheme="minorHAnsi" w:cstheme="minorHAnsi"/>
          <w:b/>
        </w:rPr>
        <w:t>existing</w:t>
      </w:r>
      <w:r w:rsidRPr="0040481E">
        <w:rPr>
          <w:rFonts w:asciiTheme="minorHAnsi" w:hAnsiTheme="minorHAnsi" w:cstheme="minorHAnsi"/>
          <w:b/>
        </w:rPr>
        <w:t xml:space="preserve"> base stations and backhaul</w:t>
      </w:r>
    </w:p>
    <w:p w:rsidR="0094519B" w:rsidRPr="0094519B" w:rsidRDefault="0094519B" w:rsidP="007B7076">
      <w:pPr>
        <w:rPr>
          <w:rFonts w:eastAsia="Calibri" w:cs="Calibri"/>
          <w:lang w:eastAsia="en-US"/>
        </w:rPr>
      </w:pPr>
      <w:r>
        <w:rPr>
          <w:rFonts w:asciiTheme="minorHAnsi" w:hAnsiTheme="minorHAnsi" w:cstheme="minorHAnsi"/>
        </w:rPr>
        <w:t xml:space="preserve">The Discussion Paper proposes that open access arrangement relate to new base stations and fibre backhaul, but does not contemplate that this will extend to existing infrastructure. Consideration should be given to including existing infrastructure in these arrangements, to mitigate against scenarios where the business case for open access arrangement for new infrastructure in more marginal areas can only be supported if there is open access in ‘brownfields’ areas.  </w:t>
      </w:r>
    </w:p>
    <w:p w:rsidR="00194E5E" w:rsidRPr="007B7076" w:rsidRDefault="007670B7" w:rsidP="00A871A5">
      <w:pPr>
        <w:pStyle w:val="Recommendation"/>
        <w:numPr>
          <w:ilvl w:val="0"/>
          <w:numId w:val="0"/>
        </w:numPr>
        <w:rPr>
          <w:i/>
        </w:rPr>
      </w:pPr>
      <w:r>
        <w:rPr>
          <w:b/>
        </w:rPr>
        <w:t xml:space="preserve">Discussion Paper </w:t>
      </w:r>
      <w:r w:rsidR="00CE7E7B" w:rsidRPr="0040481E">
        <w:rPr>
          <w:b/>
        </w:rPr>
        <w:t>Question 1</w:t>
      </w:r>
      <w:r w:rsidR="00A871A5" w:rsidRPr="0040481E">
        <w:rPr>
          <w:b/>
        </w:rPr>
        <w:t>3</w:t>
      </w:r>
      <w:r w:rsidR="00CE7E7B" w:rsidRPr="007B7076">
        <w:rPr>
          <w:i/>
        </w:rPr>
        <w:t xml:space="preserve">: </w:t>
      </w:r>
      <w:r w:rsidR="00C15A63" w:rsidRPr="007B7076">
        <w:rPr>
          <w:i/>
        </w:rPr>
        <w:t xml:space="preserve">should the proposed open access provisions be applicable to base stations funded under the $20 Million component, or should there be scope to </w:t>
      </w:r>
      <w:r w:rsidR="00194E5E" w:rsidRPr="007B7076">
        <w:rPr>
          <w:i/>
        </w:rPr>
        <w:t>exclude</w:t>
      </w:r>
      <w:r w:rsidR="00C15A63" w:rsidRPr="007B7076">
        <w:rPr>
          <w:i/>
        </w:rPr>
        <w:t xml:space="preserve"> some base stations from these requirements? </w:t>
      </w:r>
    </w:p>
    <w:p w:rsidR="004B18A3" w:rsidRDefault="009E6CB5" w:rsidP="007B7076">
      <w:pPr>
        <w:pStyle w:val="Recommendation"/>
        <w:numPr>
          <w:ilvl w:val="0"/>
          <w:numId w:val="0"/>
        </w:numPr>
      </w:pPr>
      <w:r>
        <w:t xml:space="preserve">As reflected in </w:t>
      </w:r>
      <w:r w:rsidR="00194E5E">
        <w:t xml:space="preserve">our comments above ACCAN suggests that the open access provisions should apply to all base stations included in this incentive under both </w:t>
      </w:r>
      <w:r w:rsidR="00F21ACB">
        <w:t xml:space="preserve">program </w:t>
      </w:r>
      <w:r w:rsidR="00194E5E">
        <w:t>components</w:t>
      </w:r>
      <w:r w:rsidR="00F21ACB">
        <w:t>.</w:t>
      </w:r>
      <w:r w:rsidR="00515876">
        <w:t xml:space="preserve"> However, where the need for coverage in a community is particularly acute, </w:t>
      </w:r>
      <w:r w:rsidR="00075992">
        <w:t xml:space="preserve">the unviability of </w:t>
      </w:r>
      <w:r w:rsidR="00515876">
        <w:t>open ac</w:t>
      </w:r>
      <w:r w:rsidR="00075992">
        <w:t>c</w:t>
      </w:r>
      <w:r w:rsidR="00515876">
        <w:t>ess provisions</w:t>
      </w:r>
      <w:r w:rsidR="00075992">
        <w:t xml:space="preserve"> should not be an impediment to government subsidy to increase coverage.</w:t>
      </w:r>
      <w:r w:rsidR="00515876">
        <w:t xml:space="preserve">  </w:t>
      </w:r>
    </w:p>
    <w:p w:rsidR="00E87F2C" w:rsidRDefault="00E87F2C" w:rsidP="00E87F2C">
      <w:pPr>
        <w:pStyle w:val="Heading2"/>
        <w:rPr>
          <w:rFonts w:cstheme="minorHAnsi"/>
          <w:szCs w:val="32"/>
        </w:rPr>
      </w:pPr>
      <w:bookmarkStart w:id="8" w:name="_Toc381349316"/>
      <w:r w:rsidRPr="00E87F2C">
        <w:rPr>
          <w:rFonts w:cstheme="minorHAnsi"/>
          <w:szCs w:val="32"/>
        </w:rPr>
        <w:t>Coverage transparency and strategic consultation</w:t>
      </w:r>
      <w:bookmarkEnd w:id="8"/>
      <w:r w:rsidRPr="00E87F2C">
        <w:rPr>
          <w:rFonts w:cstheme="minorHAnsi"/>
          <w:szCs w:val="32"/>
        </w:rPr>
        <w:t xml:space="preserve"> </w:t>
      </w:r>
    </w:p>
    <w:p w:rsidR="00273C81" w:rsidRPr="00762820" w:rsidRDefault="00F21ACB" w:rsidP="007B7076">
      <w:pPr>
        <w:rPr>
          <w:rFonts w:asciiTheme="minorHAnsi" w:hAnsiTheme="minorHAnsi" w:cstheme="minorHAnsi"/>
        </w:rPr>
      </w:pPr>
      <w:r>
        <w:rPr>
          <w:rFonts w:asciiTheme="minorHAnsi" w:hAnsiTheme="minorHAnsi" w:cstheme="minorHAnsi"/>
        </w:rPr>
        <w:t>It</w:t>
      </w:r>
      <w:r w:rsidR="00B8526D">
        <w:rPr>
          <w:rFonts w:asciiTheme="minorHAnsi" w:hAnsiTheme="minorHAnsi" w:cstheme="minorHAnsi"/>
        </w:rPr>
        <w:t xml:space="preserve"> is </w:t>
      </w:r>
      <w:r>
        <w:rPr>
          <w:rFonts w:asciiTheme="minorHAnsi" w:hAnsiTheme="minorHAnsi" w:cstheme="minorHAnsi"/>
        </w:rPr>
        <w:t xml:space="preserve">important </w:t>
      </w:r>
      <w:r w:rsidR="00B8526D">
        <w:rPr>
          <w:rFonts w:asciiTheme="minorHAnsi" w:hAnsiTheme="minorHAnsi" w:cstheme="minorHAnsi"/>
        </w:rPr>
        <w:t xml:space="preserve">that all stages of the project are carefully considered to </w:t>
      </w:r>
      <w:r w:rsidR="00E04F2C">
        <w:rPr>
          <w:rFonts w:asciiTheme="minorHAnsi" w:hAnsiTheme="minorHAnsi" w:cstheme="minorHAnsi"/>
        </w:rPr>
        <w:t xml:space="preserve">enable </w:t>
      </w:r>
      <w:r w:rsidR="00B8526D">
        <w:rPr>
          <w:rFonts w:asciiTheme="minorHAnsi" w:hAnsiTheme="minorHAnsi" w:cstheme="minorHAnsi"/>
        </w:rPr>
        <w:t xml:space="preserve">competitive bids. </w:t>
      </w:r>
    </w:p>
    <w:p w:rsidR="00C53A59" w:rsidRDefault="00C53A59" w:rsidP="007B7076">
      <w:r>
        <w:lastRenderedPageBreak/>
        <w:t>The paper explains that the Department is compiling a list of locations in need of improved coverage based on community identifi</w:t>
      </w:r>
      <w:r w:rsidR="00706C78">
        <w:t>cation, identification by state and territory governments, and empirical data</w:t>
      </w:r>
      <w:r w:rsidR="00706C78">
        <w:rPr>
          <w:rStyle w:val="FootnoteReference"/>
        </w:rPr>
        <w:footnoteReference w:id="6"/>
      </w:r>
      <w:r w:rsidR="00706C78">
        <w:t xml:space="preserve">. </w:t>
      </w:r>
      <w:r w:rsidR="00700D21">
        <w:t>However, there is a lack of clarity about how this list is to be used in the design of the overall programme. In particular, i</w:t>
      </w:r>
      <w:r w:rsidR="00706C78">
        <w:t>t is of concern that:</w:t>
      </w:r>
    </w:p>
    <w:p w:rsidR="00EC0DBA" w:rsidRDefault="00706C78" w:rsidP="0040481E">
      <w:pPr>
        <w:pStyle w:val="ListParagraph"/>
        <w:numPr>
          <w:ilvl w:val="0"/>
          <w:numId w:val="40"/>
        </w:numPr>
      </w:pPr>
      <w:r>
        <w:t>This list is identified as an element bidders ‘should</w:t>
      </w:r>
      <w:r w:rsidR="00700D21">
        <w:t xml:space="preserve"> have </w:t>
      </w:r>
      <w:proofErr w:type="gramStart"/>
      <w:r w:rsidR="00700D21">
        <w:t>regard</w:t>
      </w:r>
      <w:proofErr w:type="gramEnd"/>
      <w:r w:rsidR="00700D21">
        <w:t xml:space="preserve"> to</w:t>
      </w:r>
      <w:r>
        <w:t>’</w:t>
      </w:r>
      <w:r w:rsidR="00700D21">
        <w:rPr>
          <w:rStyle w:val="FootnoteReference"/>
        </w:rPr>
        <w:footnoteReference w:id="7"/>
      </w:r>
      <w:r w:rsidR="00700D21">
        <w:t xml:space="preserve"> </w:t>
      </w:r>
      <w:r w:rsidR="00EC0DBA">
        <w:t>.</w:t>
      </w:r>
      <w:r w:rsidR="009E6CB5">
        <w:t xml:space="preserve"> </w:t>
      </w:r>
      <w:r>
        <w:t>ACCAN suggests that this list should be adopted as one of the mandatory criteria to be addressed under each bid</w:t>
      </w:r>
      <w:r w:rsidR="00FC760F">
        <w:t>.</w:t>
      </w:r>
      <w:r>
        <w:t xml:space="preserve"> </w:t>
      </w:r>
    </w:p>
    <w:p w:rsidR="00706C78" w:rsidRDefault="00706C78" w:rsidP="0040481E">
      <w:pPr>
        <w:pStyle w:val="ListParagraph"/>
        <w:numPr>
          <w:ilvl w:val="0"/>
          <w:numId w:val="40"/>
        </w:numPr>
      </w:pPr>
      <w:r>
        <w:t>The list is identified as an element to be taken into account under Option 1 of the $80m component, but not under Options 2 or 3</w:t>
      </w:r>
      <w:r w:rsidR="00EC0DBA">
        <w:t xml:space="preserve">. Again, our view is that for the object of the </w:t>
      </w:r>
      <w:r w:rsidR="009E6CB5">
        <w:t>p</w:t>
      </w:r>
      <w:r w:rsidR="00DD121F">
        <w:t>rogramme to be met, it must be clear that all bids must address locations identified on the list.</w:t>
      </w:r>
    </w:p>
    <w:p w:rsidR="00E41674" w:rsidRDefault="00DD121F" w:rsidP="0040481E">
      <w:pPr>
        <w:pStyle w:val="ListParagraph"/>
        <w:numPr>
          <w:ilvl w:val="0"/>
          <w:numId w:val="40"/>
        </w:numPr>
      </w:pPr>
      <w:r>
        <w:t xml:space="preserve">There is no mention of the list of locations in the Proposed Assessment Criteria </w:t>
      </w:r>
      <w:r w:rsidR="00CA499C">
        <w:t xml:space="preserve">identified in the Discussion Paper. Subsequently, it is unclear how the list </w:t>
      </w:r>
      <w:r>
        <w:t xml:space="preserve">will inform the evaluation of bids under the proposed assessment criteria for both </w:t>
      </w:r>
      <w:r w:rsidR="00CA499C">
        <w:t xml:space="preserve">the $80m and $20m </w:t>
      </w:r>
      <w:r>
        <w:t xml:space="preserve">components. More </w:t>
      </w:r>
      <w:r w:rsidR="00CA499C">
        <w:t xml:space="preserve">explanation and </w:t>
      </w:r>
      <w:r>
        <w:t xml:space="preserve">transparency is needed so that communities can understand how the areas they have nominated for more coverage will be taken into account in the assessment process. </w:t>
      </w:r>
      <w:r w:rsidR="00CA499C">
        <w:t>ACCAN strongly suggests that the list of locations be clearly identified as one of the criteria to be addressed by bidders, so that community input is taken into account upfront.</w:t>
      </w:r>
    </w:p>
    <w:p w:rsidR="00203728" w:rsidRDefault="009E6CB5" w:rsidP="007B7076">
      <w:r>
        <w:t>Many c</w:t>
      </w:r>
      <w:r w:rsidR="007D22E0">
        <w:t>ommunities have already invested time and resources in identifying areas in need of coverage. As noted by Parliamentary Secretary for Communications Paul Fletcher at ACCAN</w:t>
      </w:r>
      <w:r w:rsidR="00FC760F">
        <w:t>’</w:t>
      </w:r>
      <w:r w:rsidR="007D22E0">
        <w:t xml:space="preserve">s recent </w:t>
      </w:r>
      <w:r w:rsidR="00107EA3">
        <w:t>‘Connecting the Country’ forum,</w:t>
      </w:r>
      <w:r w:rsidR="007D22E0">
        <w:t xml:space="preserve"> 800 locations have already been </w:t>
      </w:r>
      <w:r w:rsidR="009305EE">
        <w:t>identified to</w:t>
      </w:r>
      <w:r w:rsidR="007D22E0">
        <w:t xml:space="preserve"> the Department. The scale of this list so far </w:t>
      </w:r>
      <w:r w:rsidR="0040481E">
        <w:t xml:space="preserve">demonstrates </w:t>
      </w:r>
      <w:r w:rsidR="007D22E0">
        <w:t xml:space="preserve">its importance </w:t>
      </w:r>
      <w:r w:rsidR="0040481E">
        <w:t xml:space="preserve">as </w:t>
      </w:r>
      <w:r w:rsidR="007D22E0">
        <w:t>an access point for community contribution in this project</w:t>
      </w:r>
      <w:r w:rsidR="0040481E">
        <w:t xml:space="preserve"> and highlights the need for this process to be</w:t>
      </w:r>
      <w:r w:rsidR="007D22E0">
        <w:t xml:space="preserve"> transparent and subject to scrutiny</w:t>
      </w:r>
      <w:r w:rsidR="0040481E">
        <w:t>. T</w:t>
      </w:r>
      <w:r w:rsidR="007D22E0">
        <w:t xml:space="preserve">o achieve this we suggest that this list be made available on the </w:t>
      </w:r>
      <w:r w:rsidR="00FC760F">
        <w:t>D</w:t>
      </w:r>
      <w:r w:rsidR="007D22E0">
        <w:t>epartment</w:t>
      </w:r>
      <w:r w:rsidR="00FC760F">
        <w:t>’</w:t>
      </w:r>
      <w:r w:rsidR="007D22E0">
        <w:t>s website</w:t>
      </w:r>
      <w:r>
        <w:t>.</w:t>
      </w:r>
    </w:p>
    <w:p w:rsidR="00350320" w:rsidRPr="00350320" w:rsidRDefault="00203728" w:rsidP="007B7076">
      <w:pPr>
        <w:rPr>
          <w:rFonts w:eastAsia="Calibri" w:cs="Calibri"/>
        </w:rPr>
      </w:pPr>
      <w:r>
        <w:t>N</w:t>
      </w:r>
      <w:r w:rsidR="008F4E62">
        <w:t xml:space="preserve">etwork service provider coverage maps </w:t>
      </w:r>
      <w:r w:rsidR="00AD2AA9">
        <w:t>can provide some insight</w:t>
      </w:r>
      <w:r w:rsidR="00553BAB">
        <w:t xml:space="preserve"> into coverage issues</w:t>
      </w:r>
      <w:r w:rsidR="00E04F2C">
        <w:t>. H</w:t>
      </w:r>
      <w:r>
        <w:t xml:space="preserve">owever this information </w:t>
      </w:r>
      <w:r w:rsidR="00553BAB">
        <w:t xml:space="preserve">should be </w:t>
      </w:r>
      <w:r>
        <w:t>supplemented by additional</w:t>
      </w:r>
      <w:r w:rsidR="00553BAB">
        <w:t xml:space="preserve"> evidence. </w:t>
      </w:r>
      <w:r w:rsidR="00762820">
        <w:t>ACCAN cons</w:t>
      </w:r>
      <w:r w:rsidR="008F4E62">
        <w:t>ultation</w:t>
      </w:r>
      <w:r w:rsidR="00762820">
        <w:t xml:space="preserve"> with members and stakeholders has identified that </w:t>
      </w:r>
      <w:r w:rsidR="00E04F2C">
        <w:t>widespread</w:t>
      </w:r>
      <w:r w:rsidR="00762820">
        <w:t xml:space="preserve"> inaccuracies exist in </w:t>
      </w:r>
      <w:r w:rsidR="008F4E62">
        <w:rPr>
          <w:rFonts w:eastAsia="Calibri" w:cs="Calibri"/>
        </w:rPr>
        <w:t xml:space="preserve">these </w:t>
      </w:r>
      <w:r w:rsidR="00762820" w:rsidRPr="00762820">
        <w:rPr>
          <w:rFonts w:eastAsia="Calibri" w:cs="Calibri"/>
        </w:rPr>
        <w:t>maps</w:t>
      </w:r>
      <w:r w:rsidR="00E04F2C">
        <w:rPr>
          <w:rFonts w:eastAsia="Calibri" w:cs="Calibri"/>
        </w:rPr>
        <w:t>. T</w:t>
      </w:r>
      <w:r w:rsidR="00553BAB">
        <w:rPr>
          <w:rFonts w:eastAsia="Calibri" w:cs="Calibri"/>
        </w:rPr>
        <w:t xml:space="preserve">hese observations </w:t>
      </w:r>
      <w:r w:rsidR="00E04F2C">
        <w:rPr>
          <w:rFonts w:eastAsia="Calibri" w:cs="Calibri"/>
        </w:rPr>
        <w:t xml:space="preserve">have been </w:t>
      </w:r>
      <w:r w:rsidR="00553BAB">
        <w:rPr>
          <w:rFonts w:eastAsia="Calibri" w:cs="Calibri"/>
        </w:rPr>
        <w:t>supported by</w:t>
      </w:r>
      <w:r w:rsidR="00762820" w:rsidRPr="00762820">
        <w:rPr>
          <w:rFonts w:eastAsia="Calibri" w:cs="Calibri"/>
        </w:rPr>
        <w:t xml:space="preserve"> technical </w:t>
      </w:r>
      <w:r w:rsidR="00553BAB">
        <w:rPr>
          <w:rFonts w:eastAsia="Calibri" w:cs="Calibri"/>
        </w:rPr>
        <w:t xml:space="preserve">and experimental </w:t>
      </w:r>
      <w:r w:rsidR="00762820" w:rsidRPr="00762820">
        <w:rPr>
          <w:rFonts w:eastAsia="Calibri" w:cs="Calibri"/>
        </w:rPr>
        <w:t xml:space="preserve">data gathered across a number of </w:t>
      </w:r>
      <w:r>
        <w:rPr>
          <w:rFonts w:eastAsia="Calibri" w:cs="Calibri"/>
        </w:rPr>
        <w:t>local government areas</w:t>
      </w:r>
      <w:r w:rsidR="00762820" w:rsidRPr="00762820">
        <w:rPr>
          <w:rFonts w:eastAsia="Calibri" w:cs="Calibri"/>
        </w:rPr>
        <w:t xml:space="preserve">. The Digital Economy Group </w:t>
      </w:r>
      <w:r w:rsidR="00553BAB">
        <w:rPr>
          <w:rFonts w:eastAsia="Calibri" w:cs="Calibri"/>
        </w:rPr>
        <w:t xml:space="preserve">in particular </w:t>
      </w:r>
      <w:r w:rsidR="00762820" w:rsidRPr="00762820">
        <w:rPr>
          <w:rFonts w:eastAsia="Calibri" w:cs="Calibri"/>
        </w:rPr>
        <w:t xml:space="preserve">has provided ACCAN with </w:t>
      </w:r>
      <w:r w:rsidR="00553BAB">
        <w:rPr>
          <w:rFonts w:eastAsia="Calibri" w:cs="Calibri"/>
        </w:rPr>
        <w:t>evidence that</w:t>
      </w:r>
      <w:r w:rsidR="00762820" w:rsidRPr="00762820">
        <w:rPr>
          <w:rFonts w:eastAsia="Calibri" w:cs="Calibri"/>
        </w:rPr>
        <w:t xml:space="preserve"> demonstrate</w:t>
      </w:r>
      <w:r w:rsidR="00553BAB">
        <w:rPr>
          <w:rFonts w:eastAsia="Calibri" w:cs="Calibri"/>
        </w:rPr>
        <w:t>s</w:t>
      </w:r>
      <w:r w:rsidR="00762820" w:rsidRPr="00762820">
        <w:rPr>
          <w:rFonts w:eastAsia="Calibri" w:cs="Calibri"/>
        </w:rPr>
        <w:t xml:space="preserve"> the inaccuracy of network maps when assessed against its own independent testing</w:t>
      </w:r>
      <w:r w:rsidR="00762820">
        <w:rPr>
          <w:rStyle w:val="FootnoteReference"/>
          <w:rFonts w:eastAsia="Calibri" w:cs="Calibri"/>
          <w:lang w:eastAsia="en-US"/>
        </w:rPr>
        <w:footnoteReference w:id="8"/>
      </w:r>
      <w:r w:rsidR="00762820" w:rsidRPr="00762820">
        <w:rPr>
          <w:rFonts w:eastAsia="Calibri" w:cs="Calibri"/>
        </w:rPr>
        <w:t>.</w:t>
      </w:r>
      <w:r w:rsidR="008F4E62">
        <w:rPr>
          <w:rFonts w:eastAsia="Calibri" w:cs="Calibri"/>
        </w:rPr>
        <w:t xml:space="preserve"> </w:t>
      </w:r>
      <w:r w:rsidR="00012477">
        <w:rPr>
          <w:rFonts w:eastAsia="Calibri" w:cs="Calibri"/>
        </w:rPr>
        <w:t>Furthermore,</w:t>
      </w:r>
      <w:r w:rsidR="0040481E">
        <w:rPr>
          <w:rFonts w:eastAsia="Calibri" w:cs="Calibri"/>
        </w:rPr>
        <w:t xml:space="preserve"> </w:t>
      </w:r>
      <w:r w:rsidR="005E69A8">
        <w:rPr>
          <w:rFonts w:eastAsia="Calibri" w:cs="Calibri"/>
        </w:rPr>
        <w:t>f</w:t>
      </w:r>
      <w:r w:rsidR="00350320">
        <w:rPr>
          <w:rFonts w:eastAsia="Calibri" w:cs="Calibri"/>
        </w:rPr>
        <w:t xml:space="preserve">ormer government personnel involved in existing </w:t>
      </w:r>
      <w:r w:rsidR="005E69A8">
        <w:rPr>
          <w:rFonts w:eastAsia="Calibri" w:cs="Calibri"/>
        </w:rPr>
        <w:t>projects</w:t>
      </w:r>
      <w:r w:rsidR="00350320">
        <w:rPr>
          <w:rFonts w:eastAsia="Calibri" w:cs="Calibri"/>
        </w:rPr>
        <w:t xml:space="preserve"> in Western Australia</w:t>
      </w:r>
      <w:r w:rsidR="005E69A8">
        <w:rPr>
          <w:rFonts w:eastAsia="Calibri" w:cs="Calibri"/>
        </w:rPr>
        <w:t xml:space="preserve"> and the Northern </w:t>
      </w:r>
      <w:r w:rsidR="00012477">
        <w:rPr>
          <w:rFonts w:eastAsia="Calibri" w:cs="Calibri"/>
        </w:rPr>
        <w:t>T</w:t>
      </w:r>
      <w:r w:rsidR="005E69A8">
        <w:rPr>
          <w:rFonts w:eastAsia="Calibri" w:cs="Calibri"/>
        </w:rPr>
        <w:t>erritory</w:t>
      </w:r>
      <w:r>
        <w:rPr>
          <w:rFonts w:eastAsia="Calibri" w:cs="Calibri"/>
        </w:rPr>
        <w:t xml:space="preserve"> have </w:t>
      </w:r>
      <w:r w:rsidR="00E100EE">
        <w:rPr>
          <w:rFonts w:eastAsia="Calibri" w:cs="Calibri"/>
        </w:rPr>
        <w:t xml:space="preserve">pointed to </w:t>
      </w:r>
      <w:r w:rsidR="00012477">
        <w:rPr>
          <w:rFonts w:eastAsia="Calibri" w:cs="Calibri"/>
        </w:rPr>
        <w:t>problems with</w:t>
      </w:r>
      <w:r w:rsidR="005E69A8">
        <w:rPr>
          <w:rFonts w:eastAsia="Calibri" w:cs="Calibri"/>
        </w:rPr>
        <w:t xml:space="preserve"> storing and logging coverage information</w:t>
      </w:r>
      <w:r w:rsidR="00012477">
        <w:rPr>
          <w:rFonts w:eastAsia="Calibri" w:cs="Calibri"/>
        </w:rPr>
        <w:t>,</w:t>
      </w:r>
      <w:r w:rsidR="005E69A8">
        <w:rPr>
          <w:rFonts w:eastAsia="Calibri" w:cs="Calibri"/>
        </w:rPr>
        <w:t xml:space="preserve"> and the inability to accurately assess, compare and prioritise anecdotal evidence from multiple sources as road blocks to successful program rol</w:t>
      </w:r>
      <w:r w:rsidR="007670B7">
        <w:rPr>
          <w:rFonts w:eastAsia="Calibri" w:cs="Calibri"/>
        </w:rPr>
        <w:t>l</w:t>
      </w:r>
      <w:r w:rsidR="005E69A8">
        <w:rPr>
          <w:rFonts w:eastAsia="Calibri" w:cs="Calibri"/>
        </w:rPr>
        <w:t xml:space="preserve"> outs across regions. </w:t>
      </w:r>
    </w:p>
    <w:p w:rsidR="00E100EE" w:rsidRPr="007B7076" w:rsidRDefault="00E100EE" w:rsidP="007B7076">
      <w:pPr>
        <w:rPr>
          <w:rFonts w:eastAsia="Calibri" w:cs="Calibri"/>
          <w:b/>
        </w:rPr>
      </w:pPr>
      <w:r w:rsidRPr="007B7076">
        <w:rPr>
          <w:rFonts w:eastAsia="Calibri" w:cs="Calibri"/>
          <w:b/>
        </w:rPr>
        <w:t>Mobile Pulse</w:t>
      </w:r>
    </w:p>
    <w:p w:rsidR="00E100EE" w:rsidRDefault="00E100EE" w:rsidP="007B7076">
      <w:pPr>
        <w:rPr>
          <w:rFonts w:eastAsia="Calibri" w:cs="Calibri"/>
        </w:rPr>
      </w:pPr>
      <w:r>
        <w:rPr>
          <w:rFonts w:eastAsia="Calibri" w:cs="Calibri"/>
        </w:rPr>
        <w:t xml:space="preserve">One way to meet the challenge of identifying black spots is </w:t>
      </w:r>
      <w:r w:rsidR="008036F9">
        <w:rPr>
          <w:rFonts w:eastAsia="Calibri" w:cs="Calibri"/>
        </w:rPr>
        <w:t>Mobile Pulse</w:t>
      </w:r>
      <w:r>
        <w:rPr>
          <w:rFonts w:eastAsia="Calibri" w:cs="Calibri"/>
        </w:rPr>
        <w:t xml:space="preserve"> –</w:t>
      </w:r>
      <w:r w:rsidR="008036F9">
        <w:rPr>
          <w:rFonts w:eastAsia="Calibri" w:cs="Calibri"/>
        </w:rPr>
        <w:t xml:space="preserve"> a</w:t>
      </w:r>
      <w:r>
        <w:rPr>
          <w:rFonts w:eastAsia="Calibri" w:cs="Calibri"/>
        </w:rPr>
        <w:t xml:space="preserve"> </w:t>
      </w:r>
      <w:r w:rsidR="008036F9">
        <w:rPr>
          <w:rFonts w:eastAsia="Calibri" w:cs="Calibri"/>
        </w:rPr>
        <w:t>network data perform</w:t>
      </w:r>
      <w:r w:rsidR="00350320">
        <w:rPr>
          <w:rFonts w:eastAsia="Calibri" w:cs="Calibri"/>
        </w:rPr>
        <w:t>ance monitoring app</w:t>
      </w:r>
      <w:r w:rsidR="008036F9">
        <w:rPr>
          <w:rFonts w:eastAsia="Calibri" w:cs="Calibri"/>
        </w:rPr>
        <w:t xml:space="preserve"> that allows users to monitor wireless network across devices, carriers and geographies over time</w:t>
      </w:r>
      <w:r>
        <w:rPr>
          <w:rFonts w:eastAsia="Calibri" w:cs="Calibri"/>
        </w:rPr>
        <w:t>. It</w:t>
      </w:r>
      <w:r w:rsidR="008036F9">
        <w:rPr>
          <w:rFonts w:eastAsia="Calibri" w:cs="Calibri"/>
        </w:rPr>
        <w:t xml:space="preserve"> can be used to create a comprehensive map of coverage strength, performance and consistency over time within specific geographical locations</w:t>
      </w:r>
      <w:r w:rsidR="007E2F82">
        <w:rPr>
          <w:rStyle w:val="FootnoteReference"/>
          <w:rFonts w:eastAsia="Calibri" w:cs="Calibri"/>
        </w:rPr>
        <w:footnoteReference w:id="9"/>
      </w:r>
      <w:r w:rsidR="008036F9">
        <w:rPr>
          <w:rFonts w:eastAsia="Calibri" w:cs="Calibri"/>
        </w:rPr>
        <w:t xml:space="preserve">.  </w:t>
      </w:r>
    </w:p>
    <w:p w:rsidR="00E100EE" w:rsidRDefault="007E2F82" w:rsidP="007B7076">
      <w:pPr>
        <w:rPr>
          <w:rFonts w:eastAsia="Calibri" w:cs="Calibri"/>
        </w:rPr>
      </w:pPr>
      <w:r>
        <w:rPr>
          <w:rFonts w:eastAsia="Calibri" w:cs="Calibri"/>
        </w:rPr>
        <w:lastRenderedPageBreak/>
        <w:t>There is existing evidence that this application has already been successfull</w:t>
      </w:r>
      <w:r w:rsidR="00350320">
        <w:rPr>
          <w:rFonts w:eastAsia="Calibri" w:cs="Calibri"/>
        </w:rPr>
        <w:t xml:space="preserve">y used in completed government </w:t>
      </w:r>
      <w:r>
        <w:rPr>
          <w:rFonts w:eastAsia="Calibri" w:cs="Calibri"/>
        </w:rPr>
        <w:t xml:space="preserve">initiatives in the US to accurately monitor and assess coverage to improve </w:t>
      </w:r>
      <w:r w:rsidR="00350320">
        <w:rPr>
          <w:rFonts w:eastAsia="Calibri" w:cs="Calibri"/>
        </w:rPr>
        <w:t>usage</w:t>
      </w:r>
      <w:r>
        <w:rPr>
          <w:rFonts w:eastAsia="Calibri" w:cs="Calibri"/>
        </w:rPr>
        <w:t>, value for money and community safety</w:t>
      </w:r>
      <w:r>
        <w:rPr>
          <w:rStyle w:val="FootnoteReference"/>
          <w:rFonts w:eastAsia="Calibri" w:cs="Calibri"/>
        </w:rPr>
        <w:footnoteReference w:id="10"/>
      </w:r>
      <w:r>
        <w:rPr>
          <w:rFonts w:eastAsia="Calibri" w:cs="Calibri"/>
        </w:rPr>
        <w:t xml:space="preserve">. </w:t>
      </w:r>
    </w:p>
    <w:p w:rsidR="00C26CDD" w:rsidRPr="00350320" w:rsidRDefault="00C26CDD" w:rsidP="007B7076">
      <w:r w:rsidRPr="00C26CDD">
        <w:rPr>
          <w:rFonts w:eastAsia="Calibri" w:cs="Calibri"/>
        </w:rPr>
        <w:t>As the identification of coverage issues underpins this project</w:t>
      </w:r>
      <w:r w:rsidR="009E6CB5">
        <w:rPr>
          <w:rFonts w:eastAsia="Calibri" w:cs="Calibri"/>
        </w:rPr>
        <w:t>,</w:t>
      </w:r>
      <w:r w:rsidRPr="00C26CDD">
        <w:rPr>
          <w:rFonts w:eastAsia="Calibri" w:cs="Calibri"/>
        </w:rPr>
        <w:t xml:space="preserve"> ACCAN believes that </w:t>
      </w:r>
      <w:r w:rsidR="008036F9">
        <w:rPr>
          <w:rFonts w:eastAsia="Calibri" w:cs="Calibri"/>
        </w:rPr>
        <w:t xml:space="preserve">any method that can provide </w:t>
      </w:r>
      <w:r w:rsidR="00762820">
        <w:rPr>
          <w:rFonts w:eastAsia="Calibri" w:cs="Calibri"/>
        </w:rPr>
        <w:t xml:space="preserve">comprehensive and transparent process of </w:t>
      </w:r>
      <w:r w:rsidR="008036F9">
        <w:rPr>
          <w:rFonts w:eastAsia="Calibri" w:cs="Calibri"/>
        </w:rPr>
        <w:t xml:space="preserve">black spot </w:t>
      </w:r>
      <w:r w:rsidR="00762820">
        <w:rPr>
          <w:rFonts w:eastAsia="Calibri" w:cs="Calibri"/>
        </w:rPr>
        <w:t xml:space="preserve">identification is </w:t>
      </w:r>
      <w:r w:rsidR="00E100EE">
        <w:rPr>
          <w:rFonts w:eastAsia="Calibri" w:cs="Calibri"/>
        </w:rPr>
        <w:t>valuable.</w:t>
      </w:r>
    </w:p>
    <w:p w:rsidR="00472250" w:rsidRPr="0040481E" w:rsidRDefault="007670B7" w:rsidP="00472250">
      <w:pPr>
        <w:pStyle w:val="Recommendation"/>
        <w:numPr>
          <w:ilvl w:val="0"/>
          <w:numId w:val="0"/>
        </w:numPr>
        <w:rPr>
          <w:rFonts w:asciiTheme="minorHAnsi" w:hAnsiTheme="minorHAnsi" w:cstheme="minorHAnsi"/>
          <w:i/>
        </w:rPr>
      </w:pPr>
      <w:r>
        <w:rPr>
          <w:b/>
        </w:rPr>
        <w:t xml:space="preserve">Discussion Paper </w:t>
      </w:r>
      <w:r w:rsidR="00472250" w:rsidRPr="0040481E">
        <w:rPr>
          <w:b/>
        </w:rPr>
        <w:t>Question 17:</w:t>
      </w:r>
      <w:r w:rsidR="00472250">
        <w:t xml:space="preserve"> </w:t>
      </w:r>
      <w:r w:rsidR="00472250" w:rsidRPr="0040481E">
        <w:rPr>
          <w:rFonts w:asciiTheme="minorHAnsi" w:hAnsiTheme="minorHAnsi" w:cstheme="minorHAnsi"/>
          <w:i/>
        </w:rPr>
        <w:t>Is there a more effective means of assessing seasonal demand than proposed in criterion 3(c)?</w:t>
      </w:r>
    </w:p>
    <w:p w:rsidR="00F938ED" w:rsidRDefault="002C3639" w:rsidP="007B7076">
      <w:pPr>
        <w:pStyle w:val="Recommendation"/>
        <w:numPr>
          <w:ilvl w:val="0"/>
          <w:numId w:val="0"/>
        </w:numPr>
        <w:rPr>
          <w:rFonts w:asciiTheme="minorHAnsi" w:hAnsiTheme="minorHAnsi" w:cstheme="minorHAnsi"/>
        </w:rPr>
      </w:pPr>
      <w:r>
        <w:rPr>
          <w:rFonts w:asciiTheme="minorHAnsi" w:hAnsiTheme="minorHAnsi" w:cstheme="minorHAnsi"/>
        </w:rPr>
        <w:t>S</w:t>
      </w:r>
      <w:r w:rsidR="00472250">
        <w:rPr>
          <w:rFonts w:asciiTheme="minorHAnsi" w:hAnsiTheme="minorHAnsi" w:cstheme="minorHAnsi"/>
        </w:rPr>
        <w:t>easonal demand may be more effectively and reliably assessed by relying on existing tourism data</w:t>
      </w:r>
      <w:r>
        <w:rPr>
          <w:rFonts w:asciiTheme="minorHAnsi" w:hAnsiTheme="minorHAnsi" w:cstheme="minorHAnsi"/>
        </w:rPr>
        <w:t xml:space="preserve"> rather than the number of sites, rooms or cabins adjacent to the area</w:t>
      </w:r>
      <w:r w:rsidR="00472250">
        <w:rPr>
          <w:rFonts w:asciiTheme="minorHAnsi" w:hAnsiTheme="minorHAnsi" w:cstheme="minorHAnsi"/>
        </w:rPr>
        <w:t xml:space="preserve">. </w:t>
      </w:r>
    </w:p>
    <w:p w:rsidR="00472250" w:rsidRPr="005949C9" w:rsidRDefault="00472250" w:rsidP="007B7076">
      <w:pPr>
        <w:pStyle w:val="Recommendation"/>
        <w:numPr>
          <w:ilvl w:val="0"/>
          <w:numId w:val="0"/>
        </w:numPr>
        <w:rPr>
          <w:rFonts w:asciiTheme="minorHAnsi" w:hAnsiTheme="minorHAnsi" w:cstheme="minorHAnsi"/>
        </w:rPr>
      </w:pPr>
      <w:r>
        <w:rPr>
          <w:rFonts w:asciiTheme="minorHAnsi" w:hAnsiTheme="minorHAnsi" w:cstheme="minorHAnsi"/>
        </w:rPr>
        <w:t xml:space="preserve">The unique nature of some of Australia’s most popular tourism hot </w:t>
      </w:r>
      <w:r w:rsidR="002C3639">
        <w:rPr>
          <w:rFonts w:asciiTheme="minorHAnsi" w:hAnsiTheme="minorHAnsi" w:cstheme="minorHAnsi"/>
        </w:rPr>
        <w:t>spots means</w:t>
      </w:r>
      <w:r w:rsidR="002C3639">
        <w:rPr>
          <w:rFonts w:asciiTheme="minorHAnsi" w:hAnsiTheme="minorHAnsi" w:cstheme="minorHAnsi"/>
          <w:b/>
        </w:rPr>
        <w:t xml:space="preserve"> </w:t>
      </w:r>
      <w:r w:rsidR="002C3639" w:rsidRPr="00F23E22">
        <w:rPr>
          <w:rFonts w:asciiTheme="minorHAnsi" w:hAnsiTheme="minorHAnsi" w:cstheme="minorHAnsi"/>
        </w:rPr>
        <w:t>that areas of interest may be isolated or remote with visitors travelling some distance fr</w:t>
      </w:r>
      <w:r w:rsidR="00F938ED">
        <w:rPr>
          <w:rFonts w:asciiTheme="minorHAnsi" w:hAnsiTheme="minorHAnsi" w:cstheme="minorHAnsi"/>
        </w:rPr>
        <w:t>o</w:t>
      </w:r>
      <w:r w:rsidR="002C3639" w:rsidRPr="00F23E22">
        <w:rPr>
          <w:rFonts w:asciiTheme="minorHAnsi" w:hAnsiTheme="minorHAnsi" w:cstheme="minorHAnsi"/>
        </w:rPr>
        <w:t xml:space="preserve">m their accommodation to view these areas. </w:t>
      </w:r>
      <w:r w:rsidR="00F938ED">
        <w:rPr>
          <w:rFonts w:asciiTheme="minorHAnsi" w:hAnsiTheme="minorHAnsi" w:cstheme="minorHAnsi"/>
        </w:rPr>
        <w:t>C</w:t>
      </w:r>
      <w:r w:rsidR="002C3639" w:rsidRPr="00F23E22">
        <w:rPr>
          <w:rFonts w:asciiTheme="minorHAnsi" w:hAnsiTheme="minorHAnsi" w:cstheme="minorHAnsi"/>
        </w:rPr>
        <w:t xml:space="preserve">overage that encompasses </w:t>
      </w:r>
      <w:r w:rsidR="00F938ED">
        <w:rPr>
          <w:rFonts w:asciiTheme="minorHAnsi" w:hAnsiTheme="minorHAnsi" w:cstheme="minorHAnsi"/>
        </w:rPr>
        <w:t>tourist</w:t>
      </w:r>
      <w:r w:rsidR="002C3639" w:rsidRPr="00F23E22">
        <w:rPr>
          <w:rFonts w:asciiTheme="minorHAnsi" w:hAnsiTheme="minorHAnsi" w:cstheme="minorHAnsi"/>
        </w:rPr>
        <w:t xml:space="preserve"> locations themselves is important for the provision of emergency services and the ability of tourism operators to </w:t>
      </w:r>
      <w:r w:rsidR="00F938ED">
        <w:rPr>
          <w:rFonts w:asciiTheme="minorHAnsi" w:hAnsiTheme="minorHAnsi" w:cstheme="minorHAnsi"/>
        </w:rPr>
        <w:t>maximise</w:t>
      </w:r>
      <w:r w:rsidR="002C3639" w:rsidRPr="00F23E22">
        <w:rPr>
          <w:rFonts w:asciiTheme="minorHAnsi" w:hAnsiTheme="minorHAnsi" w:cstheme="minorHAnsi"/>
        </w:rPr>
        <w:t xml:space="preserve"> safety. </w:t>
      </w:r>
      <w:r w:rsidR="00F23E22" w:rsidRPr="00F23E22">
        <w:rPr>
          <w:rFonts w:asciiTheme="minorHAnsi" w:hAnsiTheme="minorHAnsi" w:cstheme="minorHAnsi"/>
        </w:rPr>
        <w:t xml:space="preserve"> </w:t>
      </w:r>
    </w:p>
    <w:p w:rsidR="00260EBA" w:rsidRDefault="005949C9" w:rsidP="007B7076">
      <w:pPr>
        <w:pStyle w:val="Recommendation"/>
        <w:numPr>
          <w:ilvl w:val="0"/>
          <w:numId w:val="0"/>
        </w:numPr>
        <w:rPr>
          <w:rFonts w:asciiTheme="minorHAnsi" w:hAnsiTheme="minorHAnsi" w:cstheme="minorHAnsi"/>
        </w:rPr>
      </w:pPr>
      <w:r w:rsidRPr="005949C9">
        <w:rPr>
          <w:rFonts w:asciiTheme="minorHAnsi" w:hAnsiTheme="minorHAnsi" w:cstheme="minorHAnsi"/>
        </w:rPr>
        <w:t xml:space="preserve">In addition </w:t>
      </w:r>
      <w:r>
        <w:rPr>
          <w:rFonts w:asciiTheme="minorHAnsi" w:hAnsiTheme="minorHAnsi" w:cstheme="minorHAnsi"/>
        </w:rPr>
        <w:t>point 3a</w:t>
      </w:r>
      <w:r w:rsidRPr="005949C9">
        <w:rPr>
          <w:rFonts w:asciiTheme="minorHAnsi" w:hAnsiTheme="minorHAnsi" w:cstheme="minorHAnsi"/>
        </w:rPr>
        <w:t xml:space="preserve"> </w:t>
      </w:r>
      <w:r>
        <w:rPr>
          <w:rFonts w:asciiTheme="minorHAnsi" w:hAnsiTheme="minorHAnsi" w:cstheme="minorHAnsi"/>
        </w:rPr>
        <w:t xml:space="preserve">(page 12) </w:t>
      </w:r>
      <w:r w:rsidRPr="005949C9">
        <w:rPr>
          <w:rFonts w:asciiTheme="minorHAnsi" w:hAnsiTheme="minorHAnsi" w:cstheme="minorHAnsi"/>
        </w:rPr>
        <w:t>of the proposed assessment criteria</w:t>
      </w:r>
      <w:r>
        <w:rPr>
          <w:rFonts w:asciiTheme="minorHAnsi" w:hAnsiTheme="minorHAnsi" w:cstheme="minorHAnsi"/>
        </w:rPr>
        <w:t xml:space="preserve"> </w:t>
      </w:r>
      <w:r w:rsidRPr="005949C9">
        <w:rPr>
          <w:rFonts w:asciiTheme="minorHAnsi" w:hAnsiTheme="minorHAnsi" w:cstheme="minorHAnsi"/>
        </w:rPr>
        <w:t>states that extent of coverage benefit will be measured by the “number of premises located within the new mobile coverage footprint</w:t>
      </w:r>
      <w:r>
        <w:rPr>
          <w:rFonts w:asciiTheme="minorHAnsi" w:hAnsiTheme="minorHAnsi" w:cstheme="minorHAnsi"/>
        </w:rPr>
        <w:t>”</w:t>
      </w:r>
      <w:r w:rsidR="003E5CA3">
        <w:rPr>
          <w:rStyle w:val="FootnoteReference"/>
          <w:rFonts w:asciiTheme="minorHAnsi" w:hAnsiTheme="minorHAnsi" w:cstheme="minorHAnsi"/>
        </w:rPr>
        <w:footnoteReference w:id="11"/>
      </w:r>
      <w:r w:rsidR="00703D4D">
        <w:rPr>
          <w:rFonts w:asciiTheme="minorHAnsi" w:hAnsiTheme="minorHAnsi" w:cstheme="minorHAnsi"/>
        </w:rPr>
        <w:t>. This</w:t>
      </w:r>
      <w:r w:rsidR="00260EBA">
        <w:rPr>
          <w:rFonts w:asciiTheme="minorHAnsi" w:hAnsiTheme="minorHAnsi" w:cstheme="minorHAnsi"/>
        </w:rPr>
        <w:t xml:space="preserve"> clause has the potential to</w:t>
      </w:r>
      <w:r w:rsidR="00F938ED">
        <w:rPr>
          <w:rFonts w:asciiTheme="minorHAnsi" w:hAnsiTheme="minorHAnsi" w:cstheme="minorHAnsi"/>
        </w:rPr>
        <w:t xml:space="preserve"> under-</w:t>
      </w:r>
      <w:r w:rsidR="00260EBA">
        <w:rPr>
          <w:rFonts w:asciiTheme="minorHAnsi" w:hAnsiTheme="minorHAnsi" w:cstheme="minorHAnsi"/>
        </w:rPr>
        <w:t xml:space="preserve">represent </w:t>
      </w:r>
      <w:r w:rsidR="00703D4D">
        <w:rPr>
          <w:rFonts w:asciiTheme="minorHAnsi" w:hAnsiTheme="minorHAnsi" w:cstheme="minorHAnsi"/>
        </w:rPr>
        <w:t xml:space="preserve">actual population numbers within potential coverage areas.  </w:t>
      </w:r>
      <w:r w:rsidR="000A4512">
        <w:rPr>
          <w:rFonts w:asciiTheme="minorHAnsi" w:hAnsiTheme="minorHAnsi" w:cstheme="minorHAnsi"/>
        </w:rPr>
        <w:t xml:space="preserve">Remote </w:t>
      </w:r>
      <w:r w:rsidR="00012477">
        <w:rPr>
          <w:rFonts w:asciiTheme="minorHAnsi" w:hAnsiTheme="minorHAnsi" w:cstheme="minorHAnsi"/>
        </w:rPr>
        <w:t>I</w:t>
      </w:r>
      <w:r w:rsidR="00664383">
        <w:rPr>
          <w:rFonts w:asciiTheme="minorHAnsi" w:hAnsiTheme="minorHAnsi" w:cstheme="minorHAnsi"/>
        </w:rPr>
        <w:t xml:space="preserve">ndigenous communities </w:t>
      </w:r>
      <w:r w:rsidR="00F938ED">
        <w:rPr>
          <w:rFonts w:asciiTheme="minorHAnsi" w:hAnsiTheme="minorHAnsi" w:cstheme="minorHAnsi"/>
        </w:rPr>
        <w:t xml:space="preserve">in particular </w:t>
      </w:r>
      <w:r w:rsidR="00664383">
        <w:rPr>
          <w:rFonts w:asciiTheme="minorHAnsi" w:hAnsiTheme="minorHAnsi" w:cstheme="minorHAnsi"/>
        </w:rPr>
        <w:t>often consist of a large number of families who shar</w:t>
      </w:r>
      <w:r w:rsidR="00F938ED">
        <w:rPr>
          <w:rFonts w:asciiTheme="minorHAnsi" w:hAnsiTheme="minorHAnsi" w:cstheme="minorHAnsi"/>
        </w:rPr>
        <w:t>e homes</w:t>
      </w:r>
      <w:r w:rsidR="00664383">
        <w:rPr>
          <w:rFonts w:asciiTheme="minorHAnsi" w:hAnsiTheme="minorHAnsi" w:cstheme="minorHAnsi"/>
        </w:rPr>
        <w:t xml:space="preserve">. </w:t>
      </w:r>
      <w:r w:rsidR="00F938ED">
        <w:rPr>
          <w:rFonts w:asciiTheme="minorHAnsi" w:hAnsiTheme="minorHAnsi" w:cstheme="minorHAnsi"/>
        </w:rPr>
        <w:t>C</w:t>
      </w:r>
      <w:r w:rsidR="00664383">
        <w:rPr>
          <w:rFonts w:asciiTheme="minorHAnsi" w:hAnsiTheme="minorHAnsi" w:cstheme="minorHAnsi"/>
        </w:rPr>
        <w:t xml:space="preserve">ensus data indicates that a </w:t>
      </w:r>
      <w:r w:rsidR="002B7F30">
        <w:rPr>
          <w:rFonts w:asciiTheme="minorHAnsi" w:hAnsiTheme="minorHAnsi" w:cstheme="minorHAnsi"/>
        </w:rPr>
        <w:t>larger</w:t>
      </w:r>
      <w:r w:rsidR="00664383">
        <w:rPr>
          <w:rFonts w:asciiTheme="minorHAnsi" w:hAnsiTheme="minorHAnsi" w:cstheme="minorHAnsi"/>
        </w:rPr>
        <w:t xml:space="preserve"> proportion of Aboriginal and Torres Strait </w:t>
      </w:r>
      <w:r w:rsidR="00F938ED">
        <w:rPr>
          <w:rFonts w:asciiTheme="minorHAnsi" w:hAnsiTheme="minorHAnsi" w:cstheme="minorHAnsi"/>
        </w:rPr>
        <w:t>I</w:t>
      </w:r>
      <w:r w:rsidR="00664383">
        <w:rPr>
          <w:rFonts w:asciiTheme="minorHAnsi" w:hAnsiTheme="minorHAnsi" w:cstheme="minorHAnsi"/>
        </w:rPr>
        <w:t>slander households are multiple-family</w:t>
      </w:r>
      <w:r w:rsidR="00664383">
        <w:rPr>
          <w:rStyle w:val="FootnoteReference"/>
          <w:rFonts w:asciiTheme="minorHAnsi" w:hAnsiTheme="minorHAnsi" w:cstheme="minorHAnsi"/>
        </w:rPr>
        <w:footnoteReference w:id="12"/>
      </w:r>
      <w:r w:rsidR="00664383">
        <w:rPr>
          <w:rFonts w:asciiTheme="minorHAnsi" w:hAnsiTheme="minorHAnsi" w:cstheme="minorHAnsi"/>
        </w:rPr>
        <w:t>.</w:t>
      </w:r>
    </w:p>
    <w:p w:rsidR="00472250" w:rsidRPr="00703D4D" w:rsidRDefault="00703D4D" w:rsidP="007B7076">
      <w:pPr>
        <w:pStyle w:val="Recommendation"/>
        <w:numPr>
          <w:ilvl w:val="0"/>
          <w:numId w:val="0"/>
        </w:numPr>
        <w:rPr>
          <w:rFonts w:asciiTheme="minorHAnsi" w:hAnsiTheme="minorHAnsi" w:cstheme="minorHAnsi"/>
        </w:rPr>
      </w:pPr>
      <w:r>
        <w:rPr>
          <w:rFonts w:asciiTheme="minorHAnsi" w:hAnsiTheme="minorHAnsi" w:cstheme="minorHAnsi"/>
        </w:rPr>
        <w:t xml:space="preserve">ACCAN recommends the use of </w:t>
      </w:r>
      <w:r w:rsidR="005949C9" w:rsidRPr="005949C9">
        <w:rPr>
          <w:rFonts w:asciiTheme="minorHAnsi" w:hAnsiTheme="minorHAnsi" w:cstheme="minorHAnsi"/>
        </w:rPr>
        <w:t xml:space="preserve">population </w:t>
      </w:r>
      <w:r>
        <w:rPr>
          <w:rFonts w:asciiTheme="minorHAnsi" w:hAnsiTheme="minorHAnsi" w:cstheme="minorHAnsi"/>
        </w:rPr>
        <w:t xml:space="preserve">data similar to that proposed under the </w:t>
      </w:r>
      <w:r w:rsidR="00012477">
        <w:rPr>
          <w:rFonts w:asciiTheme="minorHAnsi" w:hAnsiTheme="minorHAnsi" w:cstheme="minorHAnsi"/>
        </w:rPr>
        <w:t>$</w:t>
      </w:r>
      <w:r>
        <w:rPr>
          <w:rFonts w:asciiTheme="minorHAnsi" w:hAnsiTheme="minorHAnsi" w:cstheme="minorHAnsi"/>
        </w:rPr>
        <w:t>20 million component</w:t>
      </w:r>
      <w:r w:rsidR="00664383">
        <w:rPr>
          <w:rFonts w:asciiTheme="minorHAnsi" w:hAnsiTheme="minorHAnsi" w:cstheme="minorHAnsi"/>
        </w:rPr>
        <w:t xml:space="preserve"> to assure that criteria most accurately represent the number of people likely to be </w:t>
      </w:r>
      <w:r w:rsidR="00F938ED">
        <w:rPr>
          <w:rFonts w:asciiTheme="minorHAnsi" w:hAnsiTheme="minorHAnsi" w:cstheme="minorHAnsi"/>
        </w:rPr>
        <w:t>in a</w:t>
      </w:r>
      <w:r w:rsidR="00664383">
        <w:rPr>
          <w:rFonts w:asciiTheme="minorHAnsi" w:hAnsiTheme="minorHAnsi" w:cstheme="minorHAnsi"/>
        </w:rPr>
        <w:t xml:space="preserve"> coverag</w:t>
      </w:r>
      <w:r w:rsidR="00F938ED">
        <w:rPr>
          <w:rFonts w:asciiTheme="minorHAnsi" w:hAnsiTheme="minorHAnsi" w:cstheme="minorHAnsi"/>
        </w:rPr>
        <w:t>e area.</w:t>
      </w:r>
      <w:r w:rsidR="00664383">
        <w:rPr>
          <w:rFonts w:asciiTheme="minorHAnsi" w:hAnsiTheme="minorHAnsi" w:cstheme="minorHAnsi"/>
        </w:rPr>
        <w:t xml:space="preserve"> </w:t>
      </w:r>
    </w:p>
    <w:p w:rsidR="00E87F2C" w:rsidRPr="00E87F2C" w:rsidRDefault="00E87F2C" w:rsidP="00E87F2C">
      <w:pPr>
        <w:pStyle w:val="Heading2"/>
        <w:rPr>
          <w:rFonts w:asciiTheme="minorHAnsi" w:hAnsiTheme="minorHAnsi" w:cstheme="minorHAnsi"/>
          <w:szCs w:val="32"/>
        </w:rPr>
      </w:pPr>
      <w:bookmarkStart w:id="9" w:name="_Toc381349317"/>
      <w:r w:rsidRPr="00E87F2C">
        <w:rPr>
          <w:rFonts w:asciiTheme="minorHAnsi" w:hAnsiTheme="minorHAnsi" w:cstheme="minorHAnsi"/>
        </w:rPr>
        <w:t>Utilisation of existing infrastructure and bridging options</w:t>
      </w:r>
      <w:bookmarkEnd w:id="9"/>
      <w:r w:rsidRPr="00E87F2C">
        <w:rPr>
          <w:rFonts w:asciiTheme="minorHAnsi" w:hAnsiTheme="minorHAnsi" w:cstheme="minorHAnsi"/>
          <w:szCs w:val="32"/>
        </w:rPr>
        <w:t xml:space="preserve"> </w:t>
      </w:r>
    </w:p>
    <w:p w:rsidR="006B492D" w:rsidRDefault="00F938ED" w:rsidP="007B7076">
      <w:pPr>
        <w:autoSpaceDE w:val="0"/>
        <w:autoSpaceDN w:val="0"/>
        <w:adjustRightInd w:val="0"/>
        <w:spacing w:before="0" w:beforeAutospacing="0" w:after="0" w:afterAutospacing="0"/>
        <w:rPr>
          <w:rFonts w:asciiTheme="minorHAnsi" w:eastAsiaTheme="minorHAnsi" w:hAnsiTheme="minorHAnsi" w:cstheme="minorHAnsi"/>
          <w:lang w:eastAsia="en-US"/>
        </w:rPr>
      </w:pPr>
      <w:r>
        <w:rPr>
          <w:rFonts w:eastAsiaTheme="minorHAnsi" w:cstheme="minorHAnsi"/>
          <w:lang w:eastAsia="en-US"/>
        </w:rPr>
        <w:t>Utilising existing infrastructure presents a valuable way for coverage to be improved.  Any such initiatives should</w:t>
      </w:r>
      <w:r w:rsidR="007C4B46">
        <w:rPr>
          <w:rFonts w:eastAsiaTheme="minorHAnsi" w:cstheme="minorHAnsi"/>
          <w:lang w:eastAsia="en-US"/>
        </w:rPr>
        <w:t xml:space="preserve"> be coordinated and strategically targeted</w:t>
      </w:r>
      <w:r w:rsidR="00412184">
        <w:rPr>
          <w:rFonts w:eastAsiaTheme="minorHAnsi" w:cstheme="minorHAnsi"/>
          <w:lang w:eastAsia="en-US"/>
        </w:rPr>
        <w:t>.</w:t>
      </w:r>
      <w:r w:rsidR="006B492D">
        <w:rPr>
          <w:rFonts w:eastAsiaTheme="minorHAnsi" w:cstheme="minorHAnsi"/>
          <w:lang w:eastAsia="en-US"/>
        </w:rPr>
        <w:t xml:space="preserve"> </w:t>
      </w:r>
      <w:r w:rsidR="00B412F2" w:rsidRPr="00442046">
        <w:rPr>
          <w:rFonts w:asciiTheme="minorHAnsi" w:eastAsiaTheme="minorHAnsi" w:hAnsiTheme="minorHAnsi" w:cstheme="minorHAnsi"/>
          <w:lang w:eastAsia="en-US"/>
        </w:rPr>
        <w:t xml:space="preserve">ACCAN shares the </w:t>
      </w:r>
      <w:r>
        <w:rPr>
          <w:rFonts w:asciiTheme="minorHAnsi" w:eastAsiaTheme="minorHAnsi" w:hAnsiTheme="minorHAnsi" w:cstheme="minorHAnsi"/>
          <w:lang w:eastAsia="en-US"/>
        </w:rPr>
        <w:t>view</w:t>
      </w:r>
      <w:r w:rsidR="00B412F2" w:rsidRPr="00442046">
        <w:rPr>
          <w:rFonts w:asciiTheme="minorHAnsi" w:eastAsiaTheme="minorHAnsi" w:hAnsiTheme="minorHAnsi" w:cstheme="minorHAnsi"/>
          <w:lang w:eastAsia="en-US"/>
        </w:rPr>
        <w:t xml:space="preserve"> advocated by the Broad</w:t>
      </w:r>
      <w:r>
        <w:rPr>
          <w:rFonts w:asciiTheme="minorHAnsi" w:eastAsiaTheme="minorHAnsi" w:hAnsiTheme="minorHAnsi" w:cstheme="minorHAnsi"/>
          <w:lang w:eastAsia="en-US"/>
        </w:rPr>
        <w:t>b</w:t>
      </w:r>
      <w:r w:rsidR="00B412F2" w:rsidRPr="00442046">
        <w:rPr>
          <w:rFonts w:asciiTheme="minorHAnsi" w:eastAsiaTheme="minorHAnsi" w:hAnsiTheme="minorHAnsi" w:cstheme="minorHAnsi"/>
          <w:lang w:eastAsia="en-US"/>
        </w:rPr>
        <w:t xml:space="preserve">and for the Bush </w:t>
      </w:r>
      <w:r>
        <w:rPr>
          <w:rFonts w:asciiTheme="minorHAnsi" w:eastAsiaTheme="minorHAnsi" w:hAnsiTheme="minorHAnsi" w:cstheme="minorHAnsi"/>
          <w:lang w:eastAsia="en-US"/>
        </w:rPr>
        <w:t>A</w:t>
      </w:r>
      <w:r w:rsidR="00B412F2" w:rsidRPr="00442046">
        <w:rPr>
          <w:rFonts w:asciiTheme="minorHAnsi" w:eastAsiaTheme="minorHAnsi" w:hAnsiTheme="minorHAnsi" w:cstheme="minorHAnsi"/>
          <w:lang w:eastAsia="en-US"/>
        </w:rPr>
        <w:t>lliance that</w:t>
      </w:r>
      <w:r w:rsidR="00FE23A5" w:rsidRPr="00442046">
        <w:rPr>
          <w:rFonts w:asciiTheme="minorHAnsi" w:eastAsiaTheme="minorHAnsi" w:hAnsiTheme="minorHAnsi" w:cstheme="minorHAnsi"/>
          <w:lang w:eastAsia="en-US"/>
        </w:rPr>
        <w:t xml:space="preserve"> opportunities could </w:t>
      </w:r>
      <w:r>
        <w:rPr>
          <w:rFonts w:asciiTheme="minorHAnsi" w:eastAsiaTheme="minorHAnsi" w:hAnsiTheme="minorHAnsi" w:cstheme="minorHAnsi"/>
          <w:lang w:eastAsia="en-US"/>
        </w:rPr>
        <w:t>emerge</w:t>
      </w:r>
      <w:r w:rsidR="00FE23A5" w:rsidRPr="00442046">
        <w:rPr>
          <w:rFonts w:asciiTheme="minorHAnsi" w:eastAsiaTheme="minorHAnsi" w:hAnsiTheme="minorHAnsi" w:cstheme="minorHAnsi"/>
          <w:lang w:eastAsia="en-US"/>
        </w:rPr>
        <w:t xml:space="preserve"> from </w:t>
      </w:r>
      <w:r w:rsidR="00B412F2" w:rsidRPr="00442046">
        <w:rPr>
          <w:rFonts w:asciiTheme="minorHAnsi" w:eastAsiaTheme="minorHAnsi" w:hAnsiTheme="minorHAnsi" w:cstheme="minorHAnsi"/>
          <w:lang w:eastAsia="en-US"/>
        </w:rPr>
        <w:t>examining the practical application of existing infrast</w:t>
      </w:r>
      <w:r w:rsidR="004B6212" w:rsidRPr="00442046">
        <w:rPr>
          <w:rFonts w:asciiTheme="minorHAnsi" w:eastAsiaTheme="minorHAnsi" w:hAnsiTheme="minorHAnsi" w:cstheme="minorHAnsi"/>
          <w:lang w:eastAsia="en-US"/>
        </w:rPr>
        <w:t xml:space="preserve">ructure and new technological solutions </w:t>
      </w:r>
      <w:r w:rsidR="00563F59" w:rsidRPr="00442046">
        <w:rPr>
          <w:rFonts w:asciiTheme="minorHAnsi" w:eastAsiaTheme="minorHAnsi" w:hAnsiTheme="minorHAnsi" w:cstheme="minorHAnsi"/>
          <w:lang w:eastAsia="en-US"/>
        </w:rPr>
        <w:t xml:space="preserve">most </w:t>
      </w:r>
      <w:r w:rsidR="004B6212" w:rsidRPr="00442046">
        <w:rPr>
          <w:rFonts w:asciiTheme="minorHAnsi" w:eastAsiaTheme="minorHAnsi" w:hAnsiTheme="minorHAnsi" w:cstheme="minorHAnsi"/>
          <w:lang w:eastAsia="en-US"/>
        </w:rPr>
        <w:t xml:space="preserve">appropriate to specific </w:t>
      </w:r>
      <w:r w:rsidR="006B492D">
        <w:rPr>
          <w:rFonts w:asciiTheme="minorHAnsi" w:eastAsiaTheme="minorHAnsi" w:hAnsiTheme="minorHAnsi" w:cstheme="minorHAnsi"/>
          <w:lang w:eastAsia="en-US"/>
        </w:rPr>
        <w:t>areas.</w:t>
      </w:r>
      <w:r w:rsidR="00FE23A5" w:rsidRPr="00442046">
        <w:rPr>
          <w:rStyle w:val="FootnoteReference"/>
          <w:rFonts w:asciiTheme="minorHAnsi" w:eastAsiaTheme="minorHAnsi" w:hAnsiTheme="minorHAnsi" w:cstheme="minorHAnsi"/>
          <w:lang w:eastAsia="en-US"/>
        </w:rPr>
        <w:footnoteReference w:id="13"/>
      </w:r>
      <w:r w:rsidR="000A4512">
        <w:rPr>
          <w:rFonts w:asciiTheme="minorHAnsi" w:eastAsiaTheme="minorHAnsi" w:hAnsiTheme="minorHAnsi" w:cstheme="minorHAnsi"/>
          <w:lang w:eastAsia="en-US"/>
        </w:rPr>
        <w:t xml:space="preserve"> </w:t>
      </w:r>
    </w:p>
    <w:p w:rsidR="006B492D" w:rsidRDefault="006B492D" w:rsidP="007B7076">
      <w:pPr>
        <w:autoSpaceDE w:val="0"/>
        <w:autoSpaceDN w:val="0"/>
        <w:adjustRightInd w:val="0"/>
        <w:spacing w:before="0" w:beforeAutospacing="0" w:after="0" w:afterAutospacing="0"/>
        <w:rPr>
          <w:rFonts w:asciiTheme="minorHAnsi" w:eastAsiaTheme="minorHAnsi" w:hAnsiTheme="minorHAnsi" w:cstheme="minorHAnsi"/>
          <w:lang w:eastAsia="en-US"/>
        </w:rPr>
      </w:pPr>
    </w:p>
    <w:p w:rsidR="006B492D" w:rsidRDefault="00563F59" w:rsidP="007B7076">
      <w:pPr>
        <w:autoSpaceDE w:val="0"/>
        <w:autoSpaceDN w:val="0"/>
        <w:adjustRightInd w:val="0"/>
        <w:spacing w:before="0" w:beforeAutospacing="0" w:after="0" w:afterAutospacing="0"/>
        <w:rPr>
          <w:rFonts w:asciiTheme="minorHAnsi" w:eastAsiaTheme="minorHAnsi" w:hAnsiTheme="minorHAnsi" w:cstheme="minorHAnsi"/>
          <w:lang w:eastAsia="en-US"/>
        </w:rPr>
      </w:pPr>
      <w:r w:rsidRPr="00442046">
        <w:rPr>
          <w:rFonts w:asciiTheme="minorHAnsi" w:eastAsiaTheme="minorHAnsi" w:hAnsiTheme="minorHAnsi" w:cstheme="minorHAnsi"/>
          <w:lang w:eastAsia="en-US"/>
        </w:rPr>
        <w:t>Some opportunities</w:t>
      </w:r>
      <w:r w:rsidR="00FE23A5" w:rsidRPr="00442046">
        <w:rPr>
          <w:rFonts w:asciiTheme="minorHAnsi" w:eastAsiaTheme="minorHAnsi" w:hAnsiTheme="minorHAnsi" w:cstheme="minorHAnsi"/>
          <w:lang w:eastAsia="en-US"/>
        </w:rPr>
        <w:t xml:space="preserve"> </w:t>
      </w:r>
      <w:r w:rsidRPr="00442046">
        <w:rPr>
          <w:rFonts w:asciiTheme="minorHAnsi" w:eastAsiaTheme="minorHAnsi" w:hAnsiTheme="minorHAnsi" w:cstheme="minorHAnsi"/>
          <w:lang w:eastAsia="en-US"/>
        </w:rPr>
        <w:t>outlined in the Broad</w:t>
      </w:r>
      <w:r w:rsidR="006B492D">
        <w:rPr>
          <w:rFonts w:asciiTheme="minorHAnsi" w:eastAsiaTheme="minorHAnsi" w:hAnsiTheme="minorHAnsi" w:cstheme="minorHAnsi"/>
          <w:lang w:eastAsia="en-US"/>
        </w:rPr>
        <w:t>b</w:t>
      </w:r>
      <w:r w:rsidRPr="00442046">
        <w:rPr>
          <w:rFonts w:asciiTheme="minorHAnsi" w:eastAsiaTheme="minorHAnsi" w:hAnsiTheme="minorHAnsi" w:cstheme="minorHAnsi"/>
          <w:lang w:eastAsia="en-US"/>
        </w:rPr>
        <w:t xml:space="preserve">and </w:t>
      </w:r>
      <w:r w:rsidR="006B492D">
        <w:rPr>
          <w:rFonts w:asciiTheme="minorHAnsi" w:eastAsiaTheme="minorHAnsi" w:hAnsiTheme="minorHAnsi" w:cstheme="minorHAnsi"/>
          <w:lang w:eastAsia="en-US"/>
        </w:rPr>
        <w:t>f</w:t>
      </w:r>
      <w:r w:rsidRPr="00442046">
        <w:rPr>
          <w:rFonts w:asciiTheme="minorHAnsi" w:eastAsiaTheme="minorHAnsi" w:hAnsiTheme="minorHAnsi" w:cstheme="minorHAnsi"/>
          <w:lang w:eastAsia="en-US"/>
        </w:rPr>
        <w:t xml:space="preserve">or the Bush </w:t>
      </w:r>
      <w:r w:rsidR="006B492D">
        <w:rPr>
          <w:rFonts w:asciiTheme="minorHAnsi" w:eastAsiaTheme="minorHAnsi" w:hAnsiTheme="minorHAnsi" w:cstheme="minorHAnsi"/>
          <w:lang w:eastAsia="en-US"/>
        </w:rPr>
        <w:t>A</w:t>
      </w:r>
      <w:r w:rsidRPr="00442046">
        <w:rPr>
          <w:rFonts w:asciiTheme="minorHAnsi" w:eastAsiaTheme="minorHAnsi" w:hAnsiTheme="minorHAnsi" w:cstheme="minorHAnsi"/>
          <w:lang w:eastAsia="en-US"/>
        </w:rPr>
        <w:t xml:space="preserve">lliance ‘Extending remote and rural cellular mobile’ discussion paper include </w:t>
      </w:r>
      <w:r w:rsidR="00FE23A5" w:rsidRPr="00442046">
        <w:rPr>
          <w:rFonts w:asciiTheme="minorHAnsi" w:eastAsiaTheme="minorHAnsi" w:hAnsiTheme="minorHAnsi" w:cstheme="minorHAnsi"/>
          <w:lang w:eastAsia="en-US"/>
        </w:rPr>
        <w:t>use of existing privately owned fibre and outback phone towers (HCRC), and newer low cost microcell</w:t>
      </w:r>
      <w:r w:rsidR="006B492D">
        <w:rPr>
          <w:rFonts w:asciiTheme="minorHAnsi" w:eastAsiaTheme="minorHAnsi" w:hAnsiTheme="minorHAnsi" w:cstheme="minorHAnsi"/>
          <w:lang w:eastAsia="en-US"/>
        </w:rPr>
        <w:t>s</w:t>
      </w:r>
      <w:r w:rsidR="00FE23A5" w:rsidRPr="00442046">
        <w:rPr>
          <w:rFonts w:asciiTheme="minorHAnsi" w:eastAsiaTheme="minorHAnsi" w:hAnsiTheme="minorHAnsi" w:cstheme="minorHAnsi"/>
          <w:lang w:eastAsia="en-US"/>
        </w:rPr>
        <w:t xml:space="preserve"> </w:t>
      </w:r>
      <w:r w:rsidR="006B492D">
        <w:rPr>
          <w:rFonts w:asciiTheme="minorHAnsi" w:eastAsiaTheme="minorHAnsi" w:hAnsiTheme="minorHAnsi" w:cstheme="minorHAnsi"/>
          <w:lang w:eastAsia="en-US"/>
        </w:rPr>
        <w:t>and</w:t>
      </w:r>
      <w:r w:rsidR="00FE23A5" w:rsidRPr="00442046">
        <w:rPr>
          <w:rFonts w:asciiTheme="minorHAnsi" w:eastAsiaTheme="minorHAnsi" w:hAnsiTheme="minorHAnsi" w:cstheme="minorHAnsi"/>
          <w:lang w:eastAsia="en-US"/>
        </w:rPr>
        <w:t xml:space="preserve"> microwave technologies</w:t>
      </w:r>
      <w:r w:rsidR="006B492D">
        <w:rPr>
          <w:rFonts w:asciiTheme="minorHAnsi" w:eastAsiaTheme="minorHAnsi" w:hAnsiTheme="minorHAnsi" w:cstheme="minorHAnsi"/>
          <w:lang w:eastAsia="en-US"/>
        </w:rPr>
        <w:t>.</w:t>
      </w:r>
      <w:r w:rsidR="002101BA" w:rsidRPr="00442046">
        <w:rPr>
          <w:rStyle w:val="FootnoteReference"/>
          <w:rFonts w:asciiTheme="minorHAnsi" w:eastAsiaTheme="minorHAnsi" w:hAnsiTheme="minorHAnsi" w:cstheme="minorHAnsi"/>
          <w:lang w:eastAsia="en-US"/>
        </w:rPr>
        <w:footnoteReference w:id="14"/>
      </w:r>
      <w:r w:rsidRPr="00442046">
        <w:rPr>
          <w:rFonts w:asciiTheme="minorHAnsi" w:eastAsiaTheme="minorHAnsi" w:hAnsiTheme="minorHAnsi" w:cstheme="minorHAnsi"/>
          <w:lang w:eastAsia="en-US"/>
        </w:rPr>
        <w:t xml:space="preserve"> </w:t>
      </w:r>
    </w:p>
    <w:p w:rsidR="006B492D" w:rsidRDefault="006B492D" w:rsidP="007B7076">
      <w:pPr>
        <w:autoSpaceDE w:val="0"/>
        <w:autoSpaceDN w:val="0"/>
        <w:adjustRightInd w:val="0"/>
        <w:spacing w:before="0" w:beforeAutospacing="0" w:after="0" w:afterAutospacing="0"/>
        <w:rPr>
          <w:rFonts w:asciiTheme="minorHAnsi" w:eastAsiaTheme="minorHAnsi" w:hAnsiTheme="minorHAnsi" w:cstheme="minorHAnsi"/>
          <w:lang w:eastAsia="en-US"/>
        </w:rPr>
      </w:pPr>
    </w:p>
    <w:p w:rsidR="000A4512" w:rsidRDefault="006B492D" w:rsidP="00366292">
      <w:pPr>
        <w:autoSpaceDE w:val="0"/>
        <w:autoSpaceDN w:val="0"/>
        <w:adjustRightInd w:val="0"/>
        <w:spacing w:before="0" w:beforeAutospacing="0" w:after="0" w:afterAutospacing="0"/>
        <w:rPr>
          <w:rFonts w:asciiTheme="minorHAnsi" w:eastAsiaTheme="minorHAnsi" w:hAnsiTheme="minorHAnsi" w:cstheme="minorHAnsi"/>
          <w:lang w:eastAsia="en-US"/>
        </w:rPr>
      </w:pPr>
      <w:r>
        <w:rPr>
          <w:rFonts w:asciiTheme="minorHAnsi" w:eastAsia="SymbolMT" w:hAnsiTheme="minorHAnsi" w:cstheme="minorHAnsi"/>
          <w:lang w:eastAsia="en-US"/>
        </w:rPr>
        <w:t>T</w:t>
      </w:r>
      <w:r w:rsidR="008E3D59" w:rsidRPr="00442046">
        <w:rPr>
          <w:rFonts w:asciiTheme="minorHAnsi" w:eastAsia="SymbolMT" w:hAnsiTheme="minorHAnsi" w:cstheme="minorHAnsi"/>
          <w:lang w:eastAsia="en-US"/>
        </w:rPr>
        <w:t xml:space="preserve">he </w:t>
      </w:r>
      <w:r>
        <w:rPr>
          <w:rFonts w:asciiTheme="minorHAnsi" w:eastAsia="SymbolMT" w:hAnsiTheme="minorHAnsi" w:cstheme="minorHAnsi"/>
          <w:lang w:eastAsia="en-US"/>
        </w:rPr>
        <w:t>G</w:t>
      </w:r>
      <w:r w:rsidR="008E3D59" w:rsidRPr="00442046">
        <w:rPr>
          <w:rFonts w:asciiTheme="minorHAnsi" w:eastAsia="SymbolMT" w:hAnsiTheme="minorHAnsi" w:cstheme="minorHAnsi"/>
          <w:lang w:eastAsia="en-US"/>
        </w:rPr>
        <w:t xml:space="preserve">overnment </w:t>
      </w:r>
      <w:r>
        <w:rPr>
          <w:rFonts w:asciiTheme="minorHAnsi" w:eastAsia="SymbolMT" w:hAnsiTheme="minorHAnsi" w:cstheme="minorHAnsi"/>
          <w:lang w:eastAsia="en-US"/>
        </w:rPr>
        <w:t xml:space="preserve">should </w:t>
      </w:r>
      <w:r w:rsidR="008E3D59" w:rsidRPr="00442046">
        <w:rPr>
          <w:rFonts w:asciiTheme="minorHAnsi" w:eastAsia="SymbolMT" w:hAnsiTheme="minorHAnsi" w:cstheme="minorHAnsi"/>
          <w:lang w:eastAsia="en-US"/>
        </w:rPr>
        <w:t>undertak</w:t>
      </w:r>
      <w:r>
        <w:rPr>
          <w:rFonts w:asciiTheme="minorHAnsi" w:eastAsia="SymbolMT" w:hAnsiTheme="minorHAnsi" w:cstheme="minorHAnsi"/>
          <w:lang w:eastAsia="en-US"/>
        </w:rPr>
        <w:t>e</w:t>
      </w:r>
      <w:r w:rsidR="008E3D59" w:rsidRPr="00442046">
        <w:rPr>
          <w:rFonts w:asciiTheme="minorHAnsi" w:eastAsia="SymbolMT" w:hAnsiTheme="minorHAnsi" w:cstheme="minorHAnsi"/>
          <w:lang w:eastAsia="en-US"/>
        </w:rPr>
        <w:t xml:space="preserve"> a</w:t>
      </w:r>
      <w:r>
        <w:rPr>
          <w:rFonts w:asciiTheme="minorHAnsi" w:eastAsia="SymbolMT" w:hAnsiTheme="minorHAnsi" w:cstheme="minorHAnsi"/>
          <w:lang w:eastAsia="en-US"/>
        </w:rPr>
        <w:t xml:space="preserve"> </w:t>
      </w:r>
      <w:r w:rsidR="008E3D59" w:rsidRPr="00442046">
        <w:rPr>
          <w:rFonts w:asciiTheme="minorHAnsi" w:eastAsia="SymbolMT" w:hAnsiTheme="minorHAnsi" w:cstheme="minorHAnsi"/>
          <w:lang w:eastAsia="en-US"/>
        </w:rPr>
        <w:t>study of regional and remote mobile communications, including what existing infrastructure can be utilised to extend coverage</w:t>
      </w:r>
      <w:r>
        <w:rPr>
          <w:rFonts w:asciiTheme="minorHAnsi" w:eastAsia="SymbolMT" w:hAnsiTheme="minorHAnsi" w:cstheme="minorHAnsi"/>
          <w:lang w:eastAsia="en-US"/>
        </w:rPr>
        <w:t>.</w:t>
      </w:r>
      <w:r w:rsidR="008E3D59" w:rsidRPr="00442046">
        <w:rPr>
          <w:rStyle w:val="FootnoteReference"/>
          <w:rFonts w:asciiTheme="minorHAnsi" w:eastAsia="SymbolMT" w:hAnsiTheme="minorHAnsi" w:cstheme="minorHAnsi"/>
          <w:lang w:eastAsia="en-US"/>
        </w:rPr>
        <w:footnoteReference w:id="15"/>
      </w:r>
      <w:r w:rsidR="008E3D59" w:rsidRPr="00442046">
        <w:rPr>
          <w:rFonts w:asciiTheme="minorHAnsi" w:eastAsia="SymbolMT" w:hAnsiTheme="minorHAnsi" w:cstheme="minorHAnsi"/>
          <w:lang w:eastAsia="en-US"/>
        </w:rPr>
        <w:t xml:space="preserve"> This study would allow industry, government and </w:t>
      </w:r>
      <w:r>
        <w:rPr>
          <w:rFonts w:asciiTheme="minorHAnsi" w:eastAsiaTheme="minorHAnsi" w:hAnsiTheme="minorHAnsi" w:cstheme="minorHAnsi"/>
          <w:lang w:eastAsia="en-US"/>
        </w:rPr>
        <w:t xml:space="preserve">consumers </w:t>
      </w:r>
      <w:r w:rsidR="008E3D59" w:rsidRPr="00442046">
        <w:rPr>
          <w:rFonts w:asciiTheme="minorHAnsi" w:eastAsiaTheme="minorHAnsi" w:hAnsiTheme="minorHAnsi" w:cstheme="minorHAnsi"/>
          <w:lang w:eastAsia="en-US"/>
        </w:rPr>
        <w:t>to make proposals for tailored solutions to remote coverage problems though the assessment of community needs and existing capabilities</w:t>
      </w:r>
      <w:r>
        <w:rPr>
          <w:rFonts w:asciiTheme="minorHAnsi" w:eastAsiaTheme="minorHAnsi" w:hAnsiTheme="minorHAnsi" w:cstheme="minorHAnsi"/>
          <w:lang w:eastAsia="en-US"/>
        </w:rPr>
        <w:t>.</w:t>
      </w:r>
      <w:r w:rsidR="008E3D59" w:rsidRPr="0044204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Such an approach could </w:t>
      </w:r>
      <w:r w:rsidR="008E3D59" w:rsidRPr="00442046">
        <w:rPr>
          <w:rFonts w:asciiTheme="minorHAnsi" w:eastAsiaTheme="minorHAnsi" w:hAnsiTheme="minorHAnsi" w:cstheme="minorHAnsi"/>
          <w:lang w:eastAsia="en-US"/>
        </w:rPr>
        <w:t xml:space="preserve">lower costs </w:t>
      </w:r>
      <w:r>
        <w:rPr>
          <w:rFonts w:asciiTheme="minorHAnsi" w:eastAsiaTheme="minorHAnsi" w:hAnsiTheme="minorHAnsi" w:cstheme="minorHAnsi"/>
          <w:lang w:eastAsia="en-US"/>
        </w:rPr>
        <w:t>and</w:t>
      </w:r>
      <w:r w:rsidR="008E3D59" w:rsidRPr="00442046">
        <w:rPr>
          <w:rFonts w:asciiTheme="minorHAnsi" w:eastAsiaTheme="minorHAnsi" w:hAnsiTheme="minorHAnsi" w:cstheme="minorHAnsi"/>
          <w:lang w:eastAsia="en-US"/>
        </w:rPr>
        <w:t xml:space="preserve"> maximise efficiency and uptake</w:t>
      </w:r>
      <w:r>
        <w:rPr>
          <w:rFonts w:asciiTheme="minorHAnsi" w:eastAsiaTheme="minorHAnsi" w:hAnsiTheme="minorHAnsi" w:cstheme="minorHAnsi"/>
          <w:lang w:eastAsia="en-US"/>
        </w:rPr>
        <w:t>.</w:t>
      </w:r>
      <w:r w:rsidR="002B7F30">
        <w:rPr>
          <w:rFonts w:asciiTheme="minorHAnsi" w:eastAsiaTheme="minorHAnsi" w:hAnsiTheme="minorHAnsi" w:cstheme="minorHAnsi"/>
          <w:lang w:eastAsia="en-US"/>
        </w:rPr>
        <w:t xml:space="preserve"> </w:t>
      </w:r>
      <w:r w:rsidR="008E3D59" w:rsidRPr="003E6066">
        <w:rPr>
          <w:rFonts w:asciiTheme="minorHAnsi" w:eastAsiaTheme="minorHAnsi" w:hAnsiTheme="minorHAnsi" w:cstheme="minorHAnsi"/>
          <w:lang w:eastAsia="en-US"/>
        </w:rPr>
        <w:t>Existing studies such as the</w:t>
      </w:r>
      <w:r w:rsidR="00442046" w:rsidRPr="003E6066">
        <w:rPr>
          <w:rFonts w:asciiTheme="minorHAnsi" w:hAnsiTheme="minorHAnsi" w:cstheme="minorHAnsi"/>
        </w:rPr>
        <w:t xml:space="preserve"> Telecommunications in Remote Indigenous Communities </w:t>
      </w:r>
      <w:r w:rsidR="00012477">
        <w:rPr>
          <w:rFonts w:asciiTheme="minorHAnsi" w:hAnsiTheme="minorHAnsi" w:cstheme="minorHAnsi"/>
        </w:rPr>
        <w:t>R</w:t>
      </w:r>
      <w:r w:rsidR="00442046" w:rsidRPr="003E6066">
        <w:rPr>
          <w:rFonts w:asciiTheme="minorHAnsi" w:hAnsiTheme="minorHAnsi" w:cstheme="minorHAnsi"/>
        </w:rPr>
        <w:t>eport</w:t>
      </w:r>
      <w:r w:rsidR="00012477">
        <w:rPr>
          <w:rFonts w:asciiTheme="minorHAnsi" w:hAnsiTheme="minorHAnsi" w:cstheme="minorHAnsi"/>
        </w:rPr>
        <w:t>,</w:t>
      </w:r>
      <w:r w:rsidR="00442046" w:rsidRPr="003E6066">
        <w:rPr>
          <w:rFonts w:asciiTheme="minorHAnsi" w:hAnsiTheme="minorHAnsi" w:cstheme="minorHAnsi"/>
        </w:rPr>
        <w:t xml:space="preserve"> a survey </w:t>
      </w:r>
      <w:r w:rsidR="00DB1E48" w:rsidRPr="003E6066">
        <w:rPr>
          <w:rFonts w:asciiTheme="minorHAnsi" w:hAnsiTheme="minorHAnsi" w:cstheme="minorHAnsi"/>
        </w:rPr>
        <w:t>undertaken</w:t>
      </w:r>
      <w:r w:rsidR="008E3D59" w:rsidRPr="003E6066">
        <w:rPr>
          <w:rFonts w:asciiTheme="minorHAnsi" w:eastAsiaTheme="minorHAnsi" w:hAnsiTheme="minorHAnsi" w:cstheme="minorHAnsi"/>
          <w:lang w:eastAsia="en-US"/>
        </w:rPr>
        <w:t xml:space="preserve"> by the ACMA in 2008</w:t>
      </w:r>
      <w:r w:rsidR="00742749">
        <w:rPr>
          <w:rFonts w:asciiTheme="minorHAnsi" w:eastAsiaTheme="minorHAnsi" w:hAnsiTheme="minorHAnsi" w:cstheme="minorHAnsi"/>
          <w:lang w:eastAsia="en-US"/>
        </w:rPr>
        <w:t>,</w:t>
      </w:r>
      <w:r w:rsidR="008E3D59" w:rsidRPr="003E6066">
        <w:rPr>
          <w:rFonts w:asciiTheme="minorHAnsi" w:eastAsiaTheme="minorHAnsi" w:hAnsiTheme="minorHAnsi" w:cstheme="minorHAnsi"/>
          <w:lang w:eastAsia="en-US"/>
        </w:rPr>
        <w:t xml:space="preserve"> may provide a good context for the design of such research</w:t>
      </w:r>
      <w:r w:rsidR="00442046" w:rsidRPr="003E6066">
        <w:rPr>
          <w:rStyle w:val="FootnoteReference"/>
          <w:rFonts w:asciiTheme="minorHAnsi" w:hAnsiTheme="minorHAnsi" w:cstheme="minorHAnsi"/>
        </w:rPr>
        <w:footnoteReference w:id="16"/>
      </w:r>
      <w:r w:rsidR="008E3D59" w:rsidRPr="003E6066">
        <w:rPr>
          <w:rFonts w:asciiTheme="minorHAnsi" w:eastAsiaTheme="minorHAnsi" w:hAnsiTheme="minorHAnsi" w:cstheme="minorHAnsi"/>
          <w:lang w:eastAsia="en-US"/>
        </w:rPr>
        <w:t>.</w:t>
      </w:r>
      <w:r w:rsidR="008E3D59" w:rsidRPr="00442046">
        <w:rPr>
          <w:rFonts w:asciiTheme="minorHAnsi" w:eastAsiaTheme="minorHAnsi" w:hAnsiTheme="minorHAnsi" w:cstheme="minorHAnsi"/>
          <w:lang w:eastAsia="en-US"/>
        </w:rPr>
        <w:t xml:space="preserve"> </w:t>
      </w:r>
    </w:p>
    <w:p w:rsidR="003E6066" w:rsidRPr="003E6066" w:rsidRDefault="003E6066" w:rsidP="003E6066">
      <w:pPr>
        <w:pStyle w:val="Heading3"/>
        <w:rPr>
          <w:rFonts w:asciiTheme="minorHAnsi" w:hAnsiTheme="minorHAnsi" w:cstheme="minorHAnsi"/>
        </w:rPr>
      </w:pPr>
      <w:bookmarkStart w:id="10" w:name="_Toc381349318"/>
      <w:r>
        <w:t>A greater role for NBN backhaul</w:t>
      </w:r>
      <w:bookmarkEnd w:id="10"/>
    </w:p>
    <w:p w:rsidR="00742749" w:rsidRPr="00742749" w:rsidRDefault="002101BA" w:rsidP="00742749">
      <w:pPr>
        <w:pStyle w:val="Heading3"/>
        <w:numPr>
          <w:ilvl w:val="0"/>
          <w:numId w:val="0"/>
        </w:numPr>
        <w:rPr>
          <w:rFonts w:cstheme="minorHAnsi"/>
          <w:sz w:val="22"/>
          <w:szCs w:val="22"/>
        </w:rPr>
      </w:pPr>
      <w:bookmarkStart w:id="11" w:name="_Toc381349319"/>
      <w:bookmarkStart w:id="12" w:name="_Toc380674250"/>
      <w:r w:rsidRPr="003E6066">
        <w:rPr>
          <w:rFonts w:cstheme="minorHAnsi"/>
          <w:sz w:val="22"/>
          <w:szCs w:val="22"/>
        </w:rPr>
        <w:t>ACCAN believes that utilising the NBN fixed wireless net</w:t>
      </w:r>
      <w:r w:rsidR="00103801" w:rsidRPr="003E6066">
        <w:rPr>
          <w:rFonts w:cstheme="minorHAnsi"/>
          <w:sz w:val="22"/>
          <w:szCs w:val="22"/>
        </w:rPr>
        <w:t xml:space="preserve">work for backhaul </w:t>
      </w:r>
      <w:r w:rsidR="003664DF">
        <w:rPr>
          <w:rFonts w:cstheme="minorHAnsi"/>
          <w:sz w:val="22"/>
          <w:szCs w:val="22"/>
        </w:rPr>
        <w:t>is an important and positive step</w:t>
      </w:r>
      <w:r w:rsidR="003943EA">
        <w:rPr>
          <w:rFonts w:cstheme="minorHAnsi"/>
          <w:sz w:val="22"/>
          <w:szCs w:val="22"/>
        </w:rPr>
        <w:t xml:space="preserve"> which may provide </w:t>
      </w:r>
      <w:r w:rsidR="002B7F30">
        <w:rPr>
          <w:rFonts w:cstheme="minorHAnsi"/>
          <w:sz w:val="22"/>
          <w:szCs w:val="22"/>
        </w:rPr>
        <w:t xml:space="preserve">increased access </w:t>
      </w:r>
      <w:r w:rsidR="003943EA">
        <w:rPr>
          <w:rFonts w:cstheme="minorHAnsi"/>
          <w:sz w:val="22"/>
          <w:szCs w:val="22"/>
        </w:rPr>
        <w:t>as the NBN wireless roll out expands into coverage deficient areas</w:t>
      </w:r>
      <w:r w:rsidR="00103801" w:rsidRPr="003E6066">
        <w:rPr>
          <w:rFonts w:cstheme="minorHAnsi"/>
          <w:sz w:val="22"/>
          <w:szCs w:val="22"/>
        </w:rPr>
        <w:t>.</w:t>
      </w:r>
      <w:r w:rsidRPr="003E6066">
        <w:rPr>
          <w:rFonts w:cstheme="minorHAnsi"/>
          <w:sz w:val="22"/>
          <w:szCs w:val="22"/>
        </w:rPr>
        <w:t xml:space="preserve"> </w:t>
      </w:r>
      <w:r w:rsidR="00742749">
        <w:rPr>
          <w:rFonts w:cstheme="minorHAnsi"/>
          <w:sz w:val="22"/>
          <w:szCs w:val="22"/>
        </w:rPr>
        <w:t>T</w:t>
      </w:r>
      <w:r w:rsidR="00742749" w:rsidRPr="00742749">
        <w:rPr>
          <w:rFonts w:cstheme="minorHAnsi"/>
          <w:sz w:val="22"/>
          <w:szCs w:val="22"/>
        </w:rPr>
        <w:t xml:space="preserve">he benefits in increasing competition through open access arrangements would be potentially significant </w:t>
      </w:r>
      <w:r w:rsidR="00742749">
        <w:rPr>
          <w:rFonts w:cstheme="minorHAnsi"/>
          <w:sz w:val="22"/>
          <w:szCs w:val="22"/>
        </w:rPr>
        <w:t>f</w:t>
      </w:r>
      <w:r w:rsidR="00742749" w:rsidRPr="00742749">
        <w:rPr>
          <w:rFonts w:cstheme="minorHAnsi"/>
          <w:sz w:val="22"/>
          <w:szCs w:val="22"/>
        </w:rPr>
        <w:t>o</w:t>
      </w:r>
      <w:r w:rsidR="00742749">
        <w:rPr>
          <w:rFonts w:cstheme="minorHAnsi"/>
          <w:sz w:val="22"/>
          <w:szCs w:val="22"/>
        </w:rPr>
        <w:t>r</w:t>
      </w:r>
      <w:r w:rsidR="00742749" w:rsidRPr="00742749">
        <w:rPr>
          <w:rFonts w:cstheme="minorHAnsi"/>
          <w:sz w:val="22"/>
          <w:szCs w:val="22"/>
        </w:rPr>
        <w:t xml:space="preserve"> consumers within the designated NBN footprint area.</w:t>
      </w:r>
      <w:bookmarkEnd w:id="11"/>
    </w:p>
    <w:p w:rsidR="00974D98" w:rsidRPr="003E6066" w:rsidRDefault="00FB2D92" w:rsidP="00EA3886">
      <w:pPr>
        <w:pStyle w:val="Heading3"/>
        <w:numPr>
          <w:ilvl w:val="0"/>
          <w:numId w:val="0"/>
        </w:numPr>
        <w:spacing w:after="0"/>
        <w:rPr>
          <w:rFonts w:asciiTheme="minorHAnsi" w:hAnsiTheme="minorHAnsi" w:cstheme="minorHAnsi"/>
          <w:sz w:val="22"/>
          <w:szCs w:val="22"/>
        </w:rPr>
      </w:pPr>
      <w:bookmarkStart w:id="13" w:name="_Toc381349320"/>
      <w:r w:rsidRPr="003E6066">
        <w:rPr>
          <w:rFonts w:cstheme="minorHAnsi"/>
          <w:sz w:val="22"/>
          <w:szCs w:val="22"/>
        </w:rPr>
        <w:t>However,</w:t>
      </w:r>
      <w:r w:rsidR="000A4512">
        <w:rPr>
          <w:rFonts w:cstheme="minorHAnsi"/>
          <w:sz w:val="22"/>
          <w:szCs w:val="22"/>
        </w:rPr>
        <w:t xml:space="preserve"> as</w:t>
      </w:r>
      <w:r w:rsidRPr="003E6066">
        <w:rPr>
          <w:rFonts w:cstheme="minorHAnsi"/>
          <w:sz w:val="22"/>
          <w:szCs w:val="22"/>
        </w:rPr>
        <w:t xml:space="preserve"> the majority of NBN fixed wireless towers are currently situated</w:t>
      </w:r>
      <w:r w:rsidR="00742749">
        <w:rPr>
          <w:rFonts w:cstheme="minorHAnsi"/>
          <w:sz w:val="22"/>
          <w:szCs w:val="22"/>
        </w:rPr>
        <w:t xml:space="preserve"> and planned</w:t>
      </w:r>
      <w:r w:rsidRPr="003E6066">
        <w:rPr>
          <w:rFonts w:cstheme="minorHAnsi"/>
          <w:sz w:val="22"/>
          <w:szCs w:val="22"/>
        </w:rPr>
        <w:t xml:space="preserve"> in regional areas that already have mobile coverage, the benefit to coverage expansion</w:t>
      </w:r>
      <w:r w:rsidR="002B7F30">
        <w:rPr>
          <w:rFonts w:cstheme="minorHAnsi"/>
          <w:sz w:val="22"/>
          <w:szCs w:val="22"/>
        </w:rPr>
        <w:t xml:space="preserve"> </w:t>
      </w:r>
      <w:r w:rsidRPr="003E6066">
        <w:rPr>
          <w:rFonts w:cstheme="minorHAnsi"/>
          <w:sz w:val="22"/>
          <w:szCs w:val="22"/>
        </w:rPr>
        <w:t>will likely be minimal</w:t>
      </w:r>
      <w:r w:rsidR="005E69A8">
        <w:rPr>
          <w:rFonts w:cstheme="minorHAnsi"/>
          <w:sz w:val="22"/>
          <w:szCs w:val="22"/>
        </w:rPr>
        <w:t>.</w:t>
      </w:r>
      <w:bookmarkEnd w:id="12"/>
      <w:bookmarkEnd w:id="13"/>
      <w:r w:rsidR="00742749">
        <w:rPr>
          <w:rFonts w:cstheme="minorHAnsi"/>
          <w:sz w:val="22"/>
          <w:szCs w:val="22"/>
        </w:rPr>
        <w:t xml:space="preserve"> </w:t>
      </w:r>
    </w:p>
    <w:p w:rsidR="003664DF" w:rsidRDefault="00FB2D92" w:rsidP="007B7076">
      <w:pPr>
        <w:pStyle w:val="ListParagraph"/>
        <w:spacing w:before="0" w:beforeAutospacing="0" w:after="0" w:afterAutospacing="0" w:line="276" w:lineRule="auto"/>
        <w:ind w:left="0"/>
        <w:rPr>
          <w:rFonts w:asciiTheme="minorHAnsi" w:hAnsiTheme="minorHAnsi" w:cstheme="minorHAnsi"/>
        </w:rPr>
      </w:pPr>
      <w:r w:rsidRPr="00971933">
        <w:rPr>
          <w:rFonts w:asciiTheme="minorHAnsi" w:hAnsiTheme="minorHAnsi" w:cstheme="minorHAnsi"/>
        </w:rPr>
        <w:t>In light of this</w:t>
      </w:r>
      <w:r w:rsidR="00103801" w:rsidRPr="00971933">
        <w:rPr>
          <w:rFonts w:asciiTheme="minorHAnsi" w:hAnsiTheme="minorHAnsi" w:cstheme="minorHAnsi"/>
        </w:rPr>
        <w:t xml:space="preserve">, </w:t>
      </w:r>
      <w:r w:rsidR="002101BA" w:rsidRPr="00971933">
        <w:rPr>
          <w:rFonts w:asciiTheme="minorHAnsi" w:hAnsiTheme="minorHAnsi" w:cstheme="minorHAnsi"/>
        </w:rPr>
        <w:t xml:space="preserve">ACCAN would like to raise the </w:t>
      </w:r>
      <w:r w:rsidRPr="00971933">
        <w:rPr>
          <w:rFonts w:asciiTheme="minorHAnsi" w:hAnsiTheme="minorHAnsi" w:cstheme="minorHAnsi"/>
        </w:rPr>
        <w:t>possibility</w:t>
      </w:r>
      <w:r w:rsidR="002101BA" w:rsidRPr="00971933">
        <w:rPr>
          <w:rFonts w:asciiTheme="minorHAnsi" w:hAnsiTheme="minorHAnsi" w:cstheme="minorHAnsi"/>
        </w:rPr>
        <w:t xml:space="preserve"> that </w:t>
      </w:r>
      <w:r w:rsidR="00563F59" w:rsidRPr="00971933">
        <w:rPr>
          <w:rFonts w:asciiTheme="minorHAnsi" w:hAnsiTheme="minorHAnsi" w:cstheme="minorHAnsi"/>
        </w:rPr>
        <w:t xml:space="preserve">the use of NBN Co satellite </w:t>
      </w:r>
      <w:r w:rsidR="00103801" w:rsidRPr="00971933">
        <w:rPr>
          <w:rFonts w:asciiTheme="minorHAnsi" w:hAnsiTheme="minorHAnsi" w:cstheme="minorHAnsi"/>
        </w:rPr>
        <w:t xml:space="preserve">infrastructure </w:t>
      </w:r>
      <w:r w:rsidRPr="00971933">
        <w:rPr>
          <w:rFonts w:asciiTheme="minorHAnsi" w:hAnsiTheme="minorHAnsi" w:cstheme="minorHAnsi"/>
        </w:rPr>
        <w:t xml:space="preserve">be considered </w:t>
      </w:r>
      <w:r w:rsidR="00103801" w:rsidRPr="00971933">
        <w:rPr>
          <w:rFonts w:asciiTheme="minorHAnsi" w:hAnsiTheme="minorHAnsi" w:cstheme="minorHAnsi"/>
        </w:rPr>
        <w:t xml:space="preserve">as a way </w:t>
      </w:r>
      <w:r w:rsidR="00563F59" w:rsidRPr="00971933">
        <w:rPr>
          <w:rFonts w:asciiTheme="minorHAnsi" w:hAnsiTheme="minorHAnsi" w:cstheme="minorHAnsi"/>
        </w:rPr>
        <w:t xml:space="preserve">to facilitate </w:t>
      </w:r>
      <w:r w:rsidRPr="00971933">
        <w:rPr>
          <w:rFonts w:asciiTheme="minorHAnsi" w:hAnsiTheme="minorHAnsi" w:cstheme="minorHAnsi"/>
        </w:rPr>
        <w:t>coverage expansion through the use of these services for mobile backhaul.</w:t>
      </w:r>
      <w:r w:rsidR="00904FC7" w:rsidRPr="00971933">
        <w:rPr>
          <w:rFonts w:asciiTheme="minorHAnsi" w:hAnsiTheme="minorHAnsi" w:cstheme="minorHAnsi"/>
        </w:rPr>
        <w:t xml:space="preserve"> </w:t>
      </w:r>
    </w:p>
    <w:p w:rsidR="003664DF" w:rsidRDefault="003664DF" w:rsidP="007B7076">
      <w:pPr>
        <w:pStyle w:val="ListParagraph"/>
        <w:spacing w:before="0" w:beforeAutospacing="0" w:after="0" w:afterAutospacing="0" w:line="276" w:lineRule="auto"/>
        <w:ind w:left="0"/>
        <w:rPr>
          <w:rFonts w:asciiTheme="minorHAnsi" w:hAnsiTheme="minorHAnsi" w:cstheme="minorHAnsi"/>
        </w:rPr>
      </w:pPr>
    </w:p>
    <w:p w:rsidR="001B4B3A" w:rsidRDefault="0058692C" w:rsidP="00DE1549">
      <w:pPr>
        <w:pStyle w:val="ListParagraph"/>
        <w:spacing w:before="0" w:beforeAutospacing="0" w:after="0" w:afterAutospacing="0" w:line="276" w:lineRule="auto"/>
        <w:ind w:left="0"/>
        <w:rPr>
          <w:rFonts w:asciiTheme="minorHAnsi" w:hAnsiTheme="minorHAnsi" w:cstheme="minorHAnsi"/>
        </w:rPr>
      </w:pPr>
      <w:proofErr w:type="spellStart"/>
      <w:proofErr w:type="gramStart"/>
      <w:r w:rsidRPr="00971933">
        <w:rPr>
          <w:rFonts w:asciiTheme="minorHAnsi" w:hAnsiTheme="minorHAnsi" w:cstheme="minorHAnsi"/>
        </w:rPr>
        <w:t>iDirect</w:t>
      </w:r>
      <w:proofErr w:type="spellEnd"/>
      <w:proofErr w:type="gramEnd"/>
      <w:r w:rsidRPr="00971933">
        <w:rPr>
          <w:rFonts w:asciiTheme="minorHAnsi" w:hAnsiTheme="minorHAnsi" w:cstheme="minorHAnsi"/>
        </w:rPr>
        <w:t>, a leading satellite provide</w:t>
      </w:r>
      <w:r w:rsidR="007670B7">
        <w:rPr>
          <w:rFonts w:asciiTheme="minorHAnsi" w:hAnsiTheme="minorHAnsi" w:cstheme="minorHAnsi"/>
        </w:rPr>
        <w:t>r</w:t>
      </w:r>
      <w:r w:rsidRPr="00971933">
        <w:rPr>
          <w:rFonts w:asciiTheme="minorHAnsi" w:hAnsiTheme="minorHAnsi" w:cstheme="minorHAnsi"/>
        </w:rPr>
        <w:t xml:space="preserve"> in this US</w:t>
      </w:r>
      <w:r w:rsidR="003664DF">
        <w:rPr>
          <w:rFonts w:asciiTheme="minorHAnsi" w:hAnsiTheme="minorHAnsi" w:cstheme="minorHAnsi"/>
        </w:rPr>
        <w:t>,</w:t>
      </w:r>
      <w:r w:rsidRPr="00971933">
        <w:rPr>
          <w:rFonts w:asciiTheme="minorHAnsi" w:hAnsiTheme="minorHAnsi" w:cstheme="minorHAnsi"/>
        </w:rPr>
        <w:t xml:space="preserve"> explains that satellite backhaul is a perfect solution for supporting the cellular industry and a particularly viable and competitive option for bringing cellular service to remote and rural areas</w:t>
      </w:r>
      <w:r w:rsidRPr="00971933">
        <w:rPr>
          <w:rStyle w:val="FootnoteReference"/>
          <w:rFonts w:asciiTheme="minorHAnsi" w:hAnsiTheme="minorHAnsi" w:cstheme="minorHAnsi"/>
        </w:rPr>
        <w:footnoteReference w:id="17"/>
      </w:r>
      <w:r w:rsidRPr="00971933">
        <w:rPr>
          <w:rFonts w:asciiTheme="minorHAnsi" w:hAnsiTheme="minorHAnsi" w:cstheme="minorHAnsi"/>
        </w:rPr>
        <w:t xml:space="preserve">. </w:t>
      </w:r>
      <w:r w:rsidR="007D254E" w:rsidRPr="00971933">
        <w:rPr>
          <w:rFonts w:asciiTheme="minorHAnsi" w:hAnsiTheme="minorHAnsi" w:cstheme="minorHAnsi"/>
        </w:rPr>
        <w:t xml:space="preserve">Network provider Ericsson has </w:t>
      </w:r>
      <w:r w:rsidRPr="00971933">
        <w:rPr>
          <w:rFonts w:asciiTheme="minorHAnsi" w:hAnsiTheme="minorHAnsi" w:cstheme="minorHAnsi"/>
        </w:rPr>
        <w:t xml:space="preserve">also </w:t>
      </w:r>
      <w:r w:rsidR="007D254E" w:rsidRPr="00971933">
        <w:rPr>
          <w:rFonts w:asciiTheme="minorHAnsi" w:hAnsiTheme="minorHAnsi" w:cstheme="minorHAnsi"/>
        </w:rPr>
        <w:t>advocated the</w:t>
      </w:r>
      <w:r w:rsidR="001D2963" w:rsidRPr="00971933">
        <w:rPr>
          <w:rFonts w:asciiTheme="minorHAnsi" w:hAnsiTheme="minorHAnsi" w:cstheme="minorHAnsi"/>
        </w:rPr>
        <w:t xml:space="preserve"> use of satellite backhaul as a </w:t>
      </w:r>
      <w:r w:rsidR="007D254E" w:rsidRPr="00971933">
        <w:rPr>
          <w:rFonts w:asciiTheme="minorHAnsi" w:hAnsiTheme="minorHAnsi" w:cstheme="minorHAnsi"/>
        </w:rPr>
        <w:t xml:space="preserve">means to provide </w:t>
      </w:r>
      <w:r w:rsidR="001D2963" w:rsidRPr="00971933">
        <w:rPr>
          <w:rFonts w:asciiTheme="minorHAnsi" w:hAnsiTheme="minorHAnsi" w:cstheme="minorHAnsi"/>
        </w:rPr>
        <w:t xml:space="preserve">coverage </w:t>
      </w:r>
      <w:r w:rsidR="007D254E" w:rsidRPr="00971933">
        <w:rPr>
          <w:rFonts w:asciiTheme="minorHAnsi" w:hAnsiTheme="minorHAnsi" w:cstheme="minorHAnsi"/>
        </w:rPr>
        <w:t xml:space="preserve">to difficult to service areas where a number of barriers </w:t>
      </w:r>
      <w:r w:rsidR="000A4512">
        <w:rPr>
          <w:rFonts w:asciiTheme="minorHAnsi" w:hAnsiTheme="minorHAnsi" w:cstheme="minorHAnsi"/>
        </w:rPr>
        <w:t>(</w:t>
      </w:r>
      <w:r w:rsidR="003664DF">
        <w:rPr>
          <w:rFonts w:asciiTheme="minorHAnsi" w:hAnsiTheme="minorHAnsi" w:cstheme="minorHAnsi"/>
        </w:rPr>
        <w:t xml:space="preserve">e.g. </w:t>
      </w:r>
      <w:r w:rsidR="007D254E" w:rsidRPr="00971933">
        <w:rPr>
          <w:rFonts w:asciiTheme="minorHAnsi" w:hAnsiTheme="minorHAnsi" w:cstheme="minorHAnsi"/>
        </w:rPr>
        <w:t>topograph</w:t>
      </w:r>
      <w:r w:rsidR="001D2963" w:rsidRPr="00971933">
        <w:rPr>
          <w:rFonts w:asciiTheme="minorHAnsi" w:hAnsiTheme="minorHAnsi" w:cstheme="minorHAnsi"/>
        </w:rPr>
        <w:t>y</w:t>
      </w:r>
      <w:r w:rsidR="003664DF">
        <w:rPr>
          <w:rFonts w:asciiTheme="minorHAnsi" w:hAnsiTheme="minorHAnsi" w:cstheme="minorHAnsi"/>
        </w:rPr>
        <w:t xml:space="preserve"> or</w:t>
      </w:r>
      <w:r w:rsidR="007D254E" w:rsidRPr="00971933">
        <w:rPr>
          <w:rFonts w:asciiTheme="minorHAnsi" w:hAnsiTheme="minorHAnsi" w:cstheme="minorHAnsi"/>
        </w:rPr>
        <w:t xml:space="preserve"> distance</w:t>
      </w:r>
      <w:r w:rsidR="000A4512">
        <w:rPr>
          <w:rFonts w:asciiTheme="minorHAnsi" w:hAnsiTheme="minorHAnsi" w:cstheme="minorHAnsi"/>
        </w:rPr>
        <w:t>)</w:t>
      </w:r>
      <w:r w:rsidR="007D254E" w:rsidRPr="00971933">
        <w:rPr>
          <w:rFonts w:asciiTheme="minorHAnsi" w:hAnsiTheme="minorHAnsi" w:cstheme="minorHAnsi"/>
        </w:rPr>
        <w:t xml:space="preserve"> </w:t>
      </w:r>
      <w:r w:rsidR="001D2963" w:rsidRPr="00971933">
        <w:rPr>
          <w:rFonts w:asciiTheme="minorHAnsi" w:hAnsiTheme="minorHAnsi" w:cstheme="minorHAnsi"/>
        </w:rPr>
        <w:t>mean market investment incentive is low</w:t>
      </w:r>
      <w:r w:rsidR="001D2963" w:rsidRPr="00971933">
        <w:rPr>
          <w:rStyle w:val="FootnoteReference"/>
          <w:rFonts w:asciiTheme="minorHAnsi" w:hAnsiTheme="minorHAnsi" w:cstheme="minorHAnsi"/>
        </w:rPr>
        <w:footnoteReference w:id="18"/>
      </w:r>
      <w:r w:rsidR="001D2963" w:rsidRPr="00971933">
        <w:rPr>
          <w:rFonts w:asciiTheme="minorHAnsi" w:hAnsiTheme="minorHAnsi" w:cstheme="minorHAnsi"/>
        </w:rPr>
        <w:t xml:space="preserve">. </w:t>
      </w:r>
      <w:r w:rsidR="00E232EE" w:rsidRPr="00971933">
        <w:rPr>
          <w:rFonts w:asciiTheme="minorHAnsi" w:hAnsiTheme="minorHAnsi" w:cstheme="minorHAnsi"/>
        </w:rPr>
        <w:t>This soluti</w:t>
      </w:r>
      <w:r w:rsidR="00914313" w:rsidRPr="00971933">
        <w:rPr>
          <w:rFonts w:asciiTheme="minorHAnsi" w:hAnsiTheme="minorHAnsi" w:cstheme="minorHAnsi"/>
        </w:rPr>
        <w:t>on</w:t>
      </w:r>
      <w:r w:rsidR="000A4512">
        <w:rPr>
          <w:rFonts w:asciiTheme="minorHAnsi" w:hAnsiTheme="minorHAnsi" w:cstheme="minorHAnsi"/>
        </w:rPr>
        <w:t xml:space="preserve"> has</w:t>
      </w:r>
      <w:r w:rsidR="00914313" w:rsidRPr="00971933">
        <w:rPr>
          <w:rFonts w:asciiTheme="minorHAnsi" w:hAnsiTheme="minorHAnsi" w:cstheme="minorHAnsi"/>
        </w:rPr>
        <w:t xml:space="preserve"> already been u</w:t>
      </w:r>
      <w:r w:rsidR="003664DF">
        <w:rPr>
          <w:rFonts w:asciiTheme="minorHAnsi" w:hAnsiTheme="minorHAnsi" w:cstheme="minorHAnsi"/>
        </w:rPr>
        <w:t>sed</w:t>
      </w:r>
      <w:r w:rsidR="00E232EE" w:rsidRPr="00971933">
        <w:rPr>
          <w:rFonts w:asciiTheme="minorHAnsi" w:hAnsiTheme="minorHAnsi" w:cstheme="minorHAnsi"/>
        </w:rPr>
        <w:t xml:space="preserve"> </w:t>
      </w:r>
      <w:r w:rsidR="001B4B3A">
        <w:rPr>
          <w:rFonts w:asciiTheme="minorHAnsi" w:hAnsiTheme="minorHAnsi" w:cstheme="minorHAnsi"/>
        </w:rPr>
        <w:t>in Australia,</w:t>
      </w:r>
      <w:r w:rsidR="00914313" w:rsidRPr="00971933">
        <w:rPr>
          <w:rFonts w:asciiTheme="minorHAnsi" w:hAnsiTheme="minorHAnsi" w:cstheme="minorHAnsi"/>
        </w:rPr>
        <w:t xml:space="preserve"> with both Telstra and </w:t>
      </w:r>
      <w:r w:rsidR="00914313" w:rsidRPr="004A5DDC">
        <w:rPr>
          <w:rFonts w:asciiTheme="minorHAnsi" w:hAnsiTheme="minorHAnsi" w:cstheme="minorHAnsi"/>
        </w:rPr>
        <w:t xml:space="preserve">Optus deploying </w:t>
      </w:r>
      <w:r w:rsidR="00E232EE" w:rsidRPr="004A5DDC">
        <w:rPr>
          <w:rFonts w:asciiTheme="minorHAnsi" w:hAnsiTheme="minorHAnsi" w:cstheme="minorHAnsi"/>
        </w:rPr>
        <w:t>satellite backhaul to extend coverage into regional and remote areas</w:t>
      </w:r>
      <w:r w:rsidR="005714B8">
        <w:rPr>
          <w:rFonts w:asciiTheme="minorHAnsi" w:hAnsiTheme="minorHAnsi" w:cstheme="minorHAnsi"/>
        </w:rPr>
        <w:t>,</w:t>
      </w:r>
      <w:r w:rsidR="00914313" w:rsidRPr="004A5DDC">
        <w:rPr>
          <w:rFonts w:asciiTheme="minorHAnsi" w:hAnsiTheme="minorHAnsi" w:cstheme="minorHAnsi"/>
        </w:rPr>
        <w:t xml:space="preserve"> particularly during emergency situations</w:t>
      </w:r>
      <w:r w:rsidR="005714B8">
        <w:rPr>
          <w:rFonts w:asciiTheme="minorHAnsi" w:hAnsiTheme="minorHAnsi" w:cstheme="minorHAnsi"/>
        </w:rPr>
        <w:t>,</w:t>
      </w:r>
      <w:r w:rsidR="001B4B3A">
        <w:rPr>
          <w:rFonts w:asciiTheme="minorHAnsi" w:hAnsiTheme="minorHAnsi" w:cstheme="minorHAnsi"/>
        </w:rPr>
        <w:t xml:space="preserve"> </w:t>
      </w:r>
      <w:r w:rsidR="00914313" w:rsidRPr="004A5DDC">
        <w:rPr>
          <w:rFonts w:asciiTheme="minorHAnsi" w:hAnsiTheme="minorHAnsi" w:cstheme="minorHAnsi"/>
        </w:rPr>
        <w:t>and to facilitate the delivery of education services</w:t>
      </w:r>
      <w:r w:rsidR="00E232EE" w:rsidRPr="004A5DDC">
        <w:rPr>
          <w:rStyle w:val="FootnoteReference"/>
          <w:rFonts w:asciiTheme="minorHAnsi" w:hAnsiTheme="minorHAnsi" w:cstheme="minorHAnsi"/>
        </w:rPr>
        <w:footnoteReference w:id="19"/>
      </w:r>
      <w:r w:rsidR="00E232EE" w:rsidRPr="004A5DDC">
        <w:rPr>
          <w:rFonts w:asciiTheme="minorHAnsi" w:hAnsiTheme="minorHAnsi" w:cstheme="minorHAnsi"/>
        </w:rPr>
        <w:t xml:space="preserve"> </w:t>
      </w:r>
      <w:r w:rsidR="00E232EE" w:rsidRPr="004A5DDC">
        <w:rPr>
          <w:rStyle w:val="FootnoteReference"/>
          <w:rFonts w:asciiTheme="minorHAnsi" w:hAnsiTheme="minorHAnsi" w:cstheme="minorHAnsi"/>
        </w:rPr>
        <w:footnoteReference w:id="20"/>
      </w:r>
      <w:r w:rsidR="00E232EE" w:rsidRPr="004A5DDC">
        <w:rPr>
          <w:rFonts w:asciiTheme="minorHAnsi" w:hAnsiTheme="minorHAnsi" w:cstheme="minorHAnsi"/>
        </w:rPr>
        <w:t>.</w:t>
      </w:r>
      <w:r w:rsidR="005714B8">
        <w:rPr>
          <w:rFonts w:asciiTheme="minorHAnsi" w:hAnsiTheme="minorHAnsi" w:cstheme="minorHAnsi"/>
        </w:rPr>
        <w:t xml:space="preserve"> </w:t>
      </w:r>
      <w:r w:rsidR="007670B7">
        <w:rPr>
          <w:rFonts w:asciiTheme="minorHAnsi" w:hAnsiTheme="minorHAnsi" w:cstheme="minorHAnsi"/>
        </w:rPr>
        <w:t>Furthermore, a</w:t>
      </w:r>
      <w:r w:rsidR="005714B8">
        <w:rPr>
          <w:rFonts w:asciiTheme="minorHAnsi" w:hAnsiTheme="minorHAnsi" w:cstheme="minorHAnsi"/>
        </w:rPr>
        <w:t xml:space="preserve">t the recent ACCAN Connecting the Country forum, Optus and </w:t>
      </w:r>
      <w:proofErr w:type="spellStart"/>
      <w:r w:rsidR="005714B8">
        <w:rPr>
          <w:rFonts w:asciiTheme="minorHAnsi" w:hAnsiTheme="minorHAnsi" w:cstheme="minorHAnsi"/>
        </w:rPr>
        <w:t>IPStar</w:t>
      </w:r>
      <w:proofErr w:type="spellEnd"/>
      <w:r w:rsidR="005714B8">
        <w:rPr>
          <w:rFonts w:asciiTheme="minorHAnsi" w:hAnsiTheme="minorHAnsi" w:cstheme="minorHAnsi"/>
        </w:rPr>
        <w:t xml:space="preserve"> outlined the viability of satellite technology in expanding mobile coverage in remote communities. </w:t>
      </w:r>
    </w:p>
    <w:p w:rsidR="00971933" w:rsidRPr="004A5DDC" w:rsidRDefault="00914313" w:rsidP="00DE1549">
      <w:pPr>
        <w:pStyle w:val="ListParagraph"/>
        <w:spacing w:before="0" w:beforeAutospacing="0" w:after="0" w:afterAutospacing="0" w:line="276" w:lineRule="auto"/>
        <w:ind w:left="0"/>
        <w:rPr>
          <w:rFonts w:cstheme="minorHAnsi"/>
        </w:rPr>
      </w:pPr>
      <w:r w:rsidRPr="004A5DDC">
        <w:rPr>
          <w:rFonts w:asciiTheme="minorHAnsi" w:hAnsiTheme="minorHAnsi" w:cstheme="minorHAnsi"/>
        </w:rPr>
        <w:t xml:space="preserve"> </w:t>
      </w:r>
    </w:p>
    <w:p w:rsidR="004A5DDC" w:rsidRPr="000A4512" w:rsidRDefault="001B4B3A" w:rsidP="00366292">
      <w:pPr>
        <w:autoSpaceDE w:val="0"/>
        <w:autoSpaceDN w:val="0"/>
        <w:adjustRightInd w:val="0"/>
        <w:spacing w:before="0" w:beforeAutospacing="0" w:after="0" w:afterAutospacing="0" w:line="276" w:lineRule="auto"/>
        <w:rPr>
          <w:rFonts w:eastAsiaTheme="minorHAnsi" w:cs="Calibri"/>
          <w:lang w:eastAsia="en-US"/>
        </w:rPr>
      </w:pPr>
      <w:r>
        <w:rPr>
          <w:rFonts w:asciiTheme="minorHAnsi" w:hAnsiTheme="minorHAnsi" w:cstheme="minorHAnsi"/>
        </w:rPr>
        <w:t>S</w:t>
      </w:r>
      <w:r w:rsidR="004A5DDC">
        <w:rPr>
          <w:rFonts w:asciiTheme="minorHAnsi" w:hAnsiTheme="minorHAnsi" w:cstheme="minorHAnsi"/>
        </w:rPr>
        <w:t>ome industry representatives have argued that</w:t>
      </w:r>
      <w:r>
        <w:rPr>
          <w:rFonts w:asciiTheme="minorHAnsi" w:hAnsiTheme="minorHAnsi" w:cstheme="minorHAnsi"/>
        </w:rPr>
        <w:t xml:space="preserve"> current</w:t>
      </w:r>
      <w:r w:rsidR="004A5DDC">
        <w:rPr>
          <w:rFonts w:asciiTheme="minorHAnsi" w:hAnsiTheme="minorHAnsi" w:cstheme="minorHAnsi"/>
        </w:rPr>
        <w:t xml:space="preserve"> </w:t>
      </w:r>
      <w:r w:rsidR="00F72B75">
        <w:rPr>
          <w:rFonts w:asciiTheme="minorHAnsi" w:hAnsiTheme="minorHAnsi" w:cstheme="minorHAnsi"/>
        </w:rPr>
        <w:t xml:space="preserve">backhaul </w:t>
      </w:r>
      <w:r w:rsidR="004A5DDC">
        <w:rPr>
          <w:rFonts w:eastAsiaTheme="minorHAnsi" w:cs="Calibri"/>
        </w:rPr>
        <w:t xml:space="preserve">access </w:t>
      </w:r>
      <w:r w:rsidR="004A5DDC" w:rsidRPr="00904FC7">
        <w:rPr>
          <w:rFonts w:eastAsiaTheme="minorHAnsi" w:cs="Calibri"/>
        </w:rPr>
        <w:t xml:space="preserve">pricing </w:t>
      </w:r>
      <w:r w:rsidR="00021071">
        <w:rPr>
          <w:rFonts w:eastAsiaTheme="minorHAnsi" w:cs="Calibri"/>
        </w:rPr>
        <w:t>is</w:t>
      </w:r>
      <w:r w:rsidR="004A5DDC" w:rsidRPr="00904FC7">
        <w:rPr>
          <w:rFonts w:eastAsiaTheme="minorHAnsi" w:cs="Calibri"/>
        </w:rPr>
        <w:t xml:space="preserve"> too high to make the bu</w:t>
      </w:r>
      <w:r w:rsidR="004A5DDC">
        <w:rPr>
          <w:rFonts w:eastAsiaTheme="minorHAnsi" w:cs="Calibri"/>
        </w:rPr>
        <w:t>siness case viable for many regions</w:t>
      </w:r>
      <w:r w:rsidR="007670B7">
        <w:rPr>
          <w:rFonts w:eastAsiaTheme="minorHAnsi" w:cs="Calibri"/>
        </w:rPr>
        <w:t>,</w:t>
      </w:r>
      <w:r w:rsidR="00021071">
        <w:rPr>
          <w:rFonts w:eastAsiaTheme="minorHAnsi" w:cs="Calibri"/>
        </w:rPr>
        <w:t xml:space="preserve"> and further expansion of services will not be possible without a regulated reduction in cost</w:t>
      </w:r>
      <w:r w:rsidR="00021071">
        <w:rPr>
          <w:rStyle w:val="FootnoteReference"/>
          <w:rFonts w:eastAsiaTheme="minorHAnsi" w:cs="Calibri"/>
        </w:rPr>
        <w:footnoteReference w:id="21"/>
      </w:r>
      <w:r w:rsidR="004A5DDC">
        <w:rPr>
          <w:rFonts w:eastAsiaTheme="minorHAnsi" w:cs="Calibri"/>
        </w:rPr>
        <w:t xml:space="preserve">. ACCAN believes that opening up the NBN </w:t>
      </w:r>
      <w:r w:rsidR="00021071">
        <w:rPr>
          <w:rFonts w:eastAsiaTheme="minorHAnsi" w:cs="Calibri"/>
        </w:rPr>
        <w:t xml:space="preserve">fixed and satellite </w:t>
      </w:r>
      <w:r w:rsidR="004A5DDC">
        <w:rPr>
          <w:rFonts w:eastAsiaTheme="minorHAnsi" w:cs="Calibri"/>
        </w:rPr>
        <w:t xml:space="preserve">backhaul </w:t>
      </w:r>
      <w:r w:rsidR="004A5DDC">
        <w:rPr>
          <w:rFonts w:asciiTheme="minorHAnsi" w:hAnsiTheme="minorHAnsi" w:cstheme="minorHAnsi"/>
        </w:rPr>
        <w:t xml:space="preserve">services to universal </w:t>
      </w:r>
      <w:r w:rsidR="00D62932">
        <w:rPr>
          <w:rFonts w:asciiTheme="minorHAnsi" w:hAnsiTheme="minorHAnsi" w:cstheme="minorHAnsi"/>
        </w:rPr>
        <w:t xml:space="preserve">MNO access </w:t>
      </w:r>
      <w:r w:rsidR="004A5DDC">
        <w:rPr>
          <w:rFonts w:asciiTheme="minorHAnsi" w:hAnsiTheme="minorHAnsi" w:cstheme="minorHAnsi"/>
        </w:rPr>
        <w:t>is likely to be the smoothest path to overcoming some of the market reluctance</w:t>
      </w:r>
      <w:r w:rsidR="00F72B75">
        <w:rPr>
          <w:rFonts w:eastAsiaTheme="minorHAnsi" w:cs="Calibri"/>
        </w:rPr>
        <w:t>.</w:t>
      </w:r>
      <w:r w:rsidR="00971933" w:rsidRPr="00904FC7">
        <w:rPr>
          <w:rFonts w:eastAsiaTheme="minorHAnsi" w:cs="Calibri"/>
        </w:rPr>
        <w:t xml:space="preserve">  </w:t>
      </w:r>
    </w:p>
    <w:p w:rsidR="004A5DDC" w:rsidRDefault="004A5DDC" w:rsidP="004A5DDC">
      <w:pPr>
        <w:pStyle w:val="Heading2"/>
        <w:rPr>
          <w:rFonts w:asciiTheme="minorHAnsi" w:hAnsiTheme="minorHAnsi" w:cstheme="minorHAnsi"/>
        </w:rPr>
      </w:pPr>
      <w:bookmarkStart w:id="14" w:name="_Toc381349321"/>
      <w:r>
        <w:rPr>
          <w:rFonts w:asciiTheme="minorHAnsi" w:hAnsiTheme="minorHAnsi" w:cstheme="minorHAnsi"/>
        </w:rPr>
        <w:lastRenderedPageBreak/>
        <w:t>Conclu</w:t>
      </w:r>
      <w:r w:rsidR="006A5761">
        <w:rPr>
          <w:rFonts w:asciiTheme="minorHAnsi" w:hAnsiTheme="minorHAnsi" w:cstheme="minorHAnsi"/>
        </w:rPr>
        <w:t>ding remarks</w:t>
      </w:r>
      <w:bookmarkEnd w:id="14"/>
    </w:p>
    <w:p w:rsidR="00F72B75" w:rsidRPr="00DE1549" w:rsidRDefault="004A5DDC" w:rsidP="007B7076">
      <w:pPr>
        <w:autoSpaceDE w:val="0"/>
        <w:autoSpaceDN w:val="0"/>
        <w:adjustRightInd w:val="0"/>
        <w:spacing w:before="0" w:beforeAutospacing="0" w:after="0" w:afterAutospacing="0"/>
        <w:rPr>
          <w:rFonts w:eastAsiaTheme="minorHAnsi" w:cs="Calibri"/>
          <w:lang w:eastAsia="en-US"/>
        </w:rPr>
      </w:pPr>
      <w:r w:rsidRPr="00DE1549">
        <w:rPr>
          <w:rFonts w:eastAsiaTheme="minorHAnsi" w:cs="Calibri"/>
          <w:lang w:eastAsia="en-US"/>
        </w:rPr>
        <w:t xml:space="preserve">ACCAN </w:t>
      </w:r>
      <w:r w:rsidR="00F72B75" w:rsidRPr="00DE1549">
        <w:rPr>
          <w:rFonts w:eastAsiaTheme="minorHAnsi" w:cs="Calibri"/>
          <w:lang w:eastAsia="en-US"/>
        </w:rPr>
        <w:t>sees</w:t>
      </w:r>
      <w:r w:rsidRPr="00DE1549">
        <w:rPr>
          <w:rFonts w:eastAsiaTheme="minorHAnsi" w:cs="Calibri"/>
          <w:lang w:eastAsia="en-US"/>
        </w:rPr>
        <w:t xml:space="preserve"> improved mobile coverage in regional Australia to be an urgent </w:t>
      </w:r>
      <w:r w:rsidR="00F72B75" w:rsidRPr="00DE1549">
        <w:rPr>
          <w:rFonts w:eastAsiaTheme="minorHAnsi" w:cs="Calibri"/>
          <w:lang w:eastAsia="en-US"/>
        </w:rPr>
        <w:t>need</w:t>
      </w:r>
      <w:r w:rsidRPr="00DE1549">
        <w:rPr>
          <w:rFonts w:eastAsiaTheme="minorHAnsi" w:cs="Calibri"/>
          <w:lang w:eastAsia="en-US"/>
        </w:rPr>
        <w:t xml:space="preserve">. Improved mobile communications has the potential to bring a range of social, cultural, and economic benefits to a section of Australia’s population </w:t>
      </w:r>
      <w:r w:rsidR="0040481E" w:rsidRPr="00DE1549">
        <w:rPr>
          <w:rFonts w:eastAsiaTheme="minorHAnsi" w:cs="Calibri"/>
          <w:lang w:eastAsia="en-US"/>
        </w:rPr>
        <w:t>who suffer</w:t>
      </w:r>
      <w:r w:rsidR="00F72B75" w:rsidRPr="00DE1549">
        <w:rPr>
          <w:rFonts w:eastAsiaTheme="minorHAnsi" w:cs="Calibri"/>
          <w:lang w:eastAsia="en-US"/>
        </w:rPr>
        <w:t xml:space="preserve"> from both economic and social disadvantages</w:t>
      </w:r>
      <w:r w:rsidRPr="00DE1549">
        <w:rPr>
          <w:rFonts w:eastAsiaTheme="minorHAnsi" w:cs="Calibri"/>
          <w:lang w:eastAsia="en-US"/>
        </w:rPr>
        <w:t>.</w:t>
      </w:r>
      <w:r w:rsidR="003E6066" w:rsidRPr="00DE1549">
        <w:rPr>
          <w:rFonts w:eastAsiaTheme="minorHAnsi" w:cs="Calibri"/>
          <w:lang w:eastAsia="en-US"/>
        </w:rPr>
        <w:t xml:space="preserve"> </w:t>
      </w:r>
    </w:p>
    <w:p w:rsidR="004B18A3" w:rsidRPr="00DE1549" w:rsidRDefault="004A5DDC" w:rsidP="002B7F30">
      <w:pPr>
        <w:autoSpaceDE w:val="0"/>
        <w:autoSpaceDN w:val="0"/>
        <w:adjustRightInd w:val="0"/>
        <w:spacing w:before="0" w:beforeAutospacing="0" w:after="0" w:afterAutospacing="0"/>
        <w:rPr>
          <w:rFonts w:ascii="Arial" w:hAnsi="Arial" w:cs="Arial"/>
          <w:lang w:eastAsia="en-US"/>
        </w:rPr>
      </w:pPr>
      <w:r w:rsidRPr="00DE1549">
        <w:rPr>
          <w:rFonts w:eastAsiaTheme="minorHAnsi" w:cs="Calibri"/>
          <w:lang w:eastAsia="en-US"/>
        </w:rPr>
        <w:t>ACCAN is committed to working towards improved outcomes in mobile communications</w:t>
      </w:r>
      <w:r w:rsidR="005714B8">
        <w:rPr>
          <w:rFonts w:eastAsiaTheme="minorHAnsi" w:cs="Calibri"/>
          <w:lang w:eastAsia="en-US"/>
        </w:rPr>
        <w:t>. We have already identified a number of areas in need of expanded coverage, and will continue to</w:t>
      </w:r>
      <w:r w:rsidR="008F0138">
        <w:rPr>
          <w:rFonts w:eastAsiaTheme="minorHAnsi" w:cs="Calibri"/>
          <w:lang w:eastAsia="en-US"/>
        </w:rPr>
        <w:t xml:space="preserve"> work with our members to</w:t>
      </w:r>
      <w:r w:rsidR="005714B8">
        <w:rPr>
          <w:rFonts w:eastAsiaTheme="minorHAnsi" w:cs="Calibri"/>
          <w:lang w:eastAsia="en-US"/>
        </w:rPr>
        <w:t xml:space="preserve"> bring these to the attention of the Department</w:t>
      </w:r>
      <w:r w:rsidR="008F0138">
        <w:rPr>
          <w:rFonts w:eastAsiaTheme="minorHAnsi" w:cs="Calibri"/>
          <w:lang w:eastAsia="en-US"/>
        </w:rPr>
        <w:t xml:space="preserve">. </w:t>
      </w:r>
      <w:r w:rsidR="005714B8">
        <w:rPr>
          <w:rFonts w:eastAsiaTheme="minorHAnsi" w:cs="Calibri"/>
          <w:lang w:eastAsia="en-US"/>
        </w:rPr>
        <w:t>We</w:t>
      </w:r>
      <w:r w:rsidR="0040481E">
        <w:rPr>
          <w:rFonts w:eastAsiaTheme="minorHAnsi" w:cs="Calibri"/>
          <w:lang w:eastAsia="en-US"/>
        </w:rPr>
        <w:t xml:space="preserve"> </w:t>
      </w:r>
      <w:r w:rsidRPr="00DE1549">
        <w:rPr>
          <w:rFonts w:eastAsiaTheme="minorHAnsi" w:cs="Calibri"/>
          <w:lang w:eastAsia="en-US"/>
        </w:rPr>
        <w:t>look forward to</w:t>
      </w:r>
      <w:r w:rsidR="003E6066" w:rsidRPr="00DE1549">
        <w:rPr>
          <w:rFonts w:eastAsiaTheme="minorHAnsi" w:cs="Calibri"/>
          <w:lang w:eastAsia="en-US"/>
        </w:rPr>
        <w:t xml:space="preserve"> the official release of the terms of this </w:t>
      </w:r>
      <w:r w:rsidR="00DC1119" w:rsidRPr="00DE1549">
        <w:rPr>
          <w:rFonts w:eastAsiaTheme="minorHAnsi" w:cs="Calibri"/>
          <w:lang w:eastAsia="en-US"/>
        </w:rPr>
        <w:t>program</w:t>
      </w:r>
      <w:r w:rsidR="003E6066" w:rsidRPr="00DE1549">
        <w:rPr>
          <w:rFonts w:eastAsiaTheme="minorHAnsi" w:cs="Calibri"/>
          <w:lang w:eastAsia="en-US"/>
        </w:rPr>
        <w:t xml:space="preserve"> and future opportunities to </w:t>
      </w:r>
      <w:r w:rsidRPr="00DE1549">
        <w:rPr>
          <w:rFonts w:eastAsiaTheme="minorHAnsi" w:cs="Calibri"/>
          <w:lang w:eastAsia="en-US"/>
        </w:rPr>
        <w:t xml:space="preserve">work with </w:t>
      </w:r>
      <w:r w:rsidR="00F72B75" w:rsidRPr="00DE1549">
        <w:rPr>
          <w:rFonts w:eastAsiaTheme="minorHAnsi" w:cs="Calibri"/>
          <w:lang w:eastAsia="en-US"/>
        </w:rPr>
        <w:t>our</w:t>
      </w:r>
      <w:r w:rsidRPr="00DE1549">
        <w:rPr>
          <w:rFonts w:eastAsiaTheme="minorHAnsi" w:cs="Calibri"/>
          <w:lang w:eastAsia="en-US"/>
        </w:rPr>
        <w:t xml:space="preserve"> members, industry and</w:t>
      </w:r>
      <w:r w:rsidR="003E6066" w:rsidRPr="00DE1549">
        <w:rPr>
          <w:rFonts w:eastAsiaTheme="minorHAnsi" w:cs="Calibri"/>
          <w:lang w:eastAsia="en-US"/>
        </w:rPr>
        <w:t xml:space="preserve"> </w:t>
      </w:r>
      <w:r w:rsidR="00F72B75" w:rsidRPr="00DE1549">
        <w:rPr>
          <w:rFonts w:eastAsiaTheme="minorHAnsi" w:cs="Calibri"/>
          <w:lang w:eastAsia="en-US"/>
        </w:rPr>
        <w:t>g</w:t>
      </w:r>
      <w:r w:rsidRPr="00DE1549">
        <w:rPr>
          <w:rFonts w:eastAsiaTheme="minorHAnsi" w:cs="Calibri"/>
          <w:lang w:eastAsia="en-US"/>
        </w:rPr>
        <w:t>overnment</w:t>
      </w:r>
      <w:r w:rsidR="00F72B75" w:rsidRPr="00DE1549">
        <w:rPr>
          <w:rFonts w:eastAsiaTheme="minorHAnsi" w:cs="Calibri"/>
          <w:lang w:eastAsia="en-US"/>
        </w:rPr>
        <w:t xml:space="preserve"> on this issue</w:t>
      </w:r>
      <w:r w:rsidRPr="00DE1549">
        <w:rPr>
          <w:rFonts w:eastAsiaTheme="minorHAnsi" w:cs="Calibri"/>
          <w:lang w:eastAsia="en-US"/>
        </w:rPr>
        <w:t>.</w:t>
      </w:r>
    </w:p>
    <w:sectPr w:rsidR="004B18A3" w:rsidRPr="00DE1549"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F6" w:rsidRDefault="009703F6" w:rsidP="00B14DFB">
      <w:r>
        <w:separator/>
      </w:r>
    </w:p>
  </w:endnote>
  <w:endnote w:type="continuationSeparator" w:id="0">
    <w:p w:rsidR="009703F6" w:rsidRDefault="009703F6"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FB" w:rsidRDefault="000A6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FB" w:rsidRDefault="000A6FFB"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536BE0">
      <w:rPr>
        <w:noProof/>
      </w:rPr>
      <w:t>4</w:t>
    </w:r>
    <w:r w:rsidRPr="00C4251E">
      <w:rPr>
        <w:noProof/>
      </w:rPr>
      <w:fldChar w:fldCharType="end"/>
    </w:r>
  </w:p>
  <w:p w:rsidR="000A6FFB" w:rsidRPr="000F58CC" w:rsidRDefault="000A6FFB"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FB" w:rsidRDefault="000A6FFB" w:rsidP="00A13B92">
    <w:pPr>
      <w:pStyle w:val="Footerpage1"/>
    </w:pPr>
    <w:r w:rsidRPr="004A0B0A">
      <w:rPr>
        <w:color w:val="44C8F5"/>
      </w:rPr>
      <w:t>Australian Communications Consumer Action Network (ACCAN)</w:t>
    </w:r>
  </w:p>
  <w:p w:rsidR="000A6FFB" w:rsidRDefault="000A6FFB" w:rsidP="00A13B92">
    <w:pPr>
      <w:pStyle w:val="Footerpage1"/>
      <w:rPr>
        <w:i/>
      </w:rPr>
    </w:pPr>
    <w:r w:rsidRPr="004A0B0A">
      <w:rPr>
        <w:i/>
        <w:color w:val="44C8F5"/>
      </w:rPr>
      <w:t>Australia’s peak telecommunications consumer advocacy organisation</w:t>
    </w:r>
  </w:p>
  <w:p w:rsidR="000A6FFB" w:rsidRDefault="000A6FFB"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0A6FFB" w:rsidRDefault="000A6FFB" w:rsidP="00A13B92">
    <w:pPr>
      <w:pStyle w:val="Footerpage1"/>
    </w:pPr>
    <w:r w:rsidRPr="008E763A">
      <w:t>Tel: (02) 9288 4000 | TTY: (02) 9281 5322 | Fax: (02) 9288 4019</w:t>
    </w:r>
  </w:p>
  <w:p w:rsidR="000A6FFB" w:rsidRDefault="000A6FFB"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F6" w:rsidRDefault="009703F6" w:rsidP="00B14DFB">
      <w:r>
        <w:separator/>
      </w:r>
    </w:p>
  </w:footnote>
  <w:footnote w:type="continuationSeparator" w:id="0">
    <w:p w:rsidR="009703F6" w:rsidRDefault="009703F6" w:rsidP="00B14DFB">
      <w:r>
        <w:continuationSeparator/>
      </w:r>
    </w:p>
  </w:footnote>
  <w:footnote w:id="1">
    <w:p w:rsidR="000A6FFB" w:rsidRPr="00366292" w:rsidRDefault="000A6FFB" w:rsidP="00E62D74">
      <w:pPr>
        <w:pStyle w:val="FootnoteText"/>
        <w:rPr>
          <w:sz w:val="16"/>
          <w:szCs w:val="16"/>
        </w:rPr>
      </w:pPr>
      <w:r>
        <w:rPr>
          <w:rStyle w:val="FootnoteReference"/>
        </w:rPr>
        <w:footnoteRef/>
      </w:r>
      <w:r>
        <w:t xml:space="preserve"> </w:t>
      </w:r>
      <w:hyperlink r:id="rId1" w:history="1">
        <w:r w:rsidRPr="00366292">
          <w:rPr>
            <w:rStyle w:val="Hyperlink"/>
            <w:color w:val="auto"/>
            <w:sz w:val="16"/>
            <w:szCs w:val="16"/>
            <w:u w:val="none"/>
          </w:rPr>
          <w:t>http://www.nswfarmers.org.au/__data/assets/pdf_file/0009/33678/Telecommunications-Survey-Final-Summary-13-December-2011.pdf</w:t>
        </w:r>
      </w:hyperlink>
      <w:r w:rsidRPr="00366292">
        <w:rPr>
          <w:sz w:val="16"/>
          <w:szCs w:val="16"/>
        </w:rPr>
        <w:t xml:space="preserve"> </w:t>
      </w:r>
    </w:p>
  </w:footnote>
  <w:footnote w:id="2">
    <w:p w:rsidR="000A6FFB" w:rsidRDefault="000A6FFB" w:rsidP="00451EE0">
      <w:pPr>
        <w:pStyle w:val="FootnoteText"/>
      </w:pPr>
      <w:r w:rsidRPr="00366292">
        <w:rPr>
          <w:rStyle w:val="FootnoteReference"/>
          <w:sz w:val="16"/>
          <w:szCs w:val="16"/>
        </w:rPr>
        <w:footnoteRef/>
      </w:r>
      <w:r w:rsidRPr="00366292">
        <w:rPr>
          <w:sz w:val="16"/>
          <w:szCs w:val="16"/>
        </w:rPr>
        <w:t xml:space="preserve"> </w:t>
      </w:r>
      <w:r w:rsidR="002B7F30" w:rsidRPr="00366292">
        <w:rPr>
          <w:rFonts w:cs="Calibri"/>
          <w:sz w:val="16"/>
          <w:szCs w:val="16"/>
        </w:rPr>
        <w:t>http://www.archive.dbcde.gov.au/2009/july/mobile_connect</w:t>
      </w:r>
    </w:p>
  </w:footnote>
  <w:footnote w:id="3">
    <w:p w:rsidR="000A6FFB" w:rsidRPr="00DE1549" w:rsidRDefault="000A6FFB" w:rsidP="006933DA">
      <w:pPr>
        <w:pStyle w:val="FootnoteText"/>
        <w:rPr>
          <w:rFonts w:eastAsia="Calibri" w:cs="Calibri"/>
          <w:sz w:val="16"/>
          <w:szCs w:val="16"/>
        </w:rPr>
      </w:pPr>
      <w:r w:rsidRPr="00366292">
        <w:rPr>
          <w:rStyle w:val="FootnoteReference"/>
          <w:rFonts w:asciiTheme="minorHAnsi" w:hAnsiTheme="minorHAnsi" w:cstheme="minorHAnsi"/>
          <w:sz w:val="16"/>
          <w:szCs w:val="16"/>
        </w:rPr>
        <w:footnoteRef/>
      </w:r>
      <w:r w:rsidRPr="00366292">
        <w:rPr>
          <w:rFonts w:asciiTheme="minorHAnsi" w:hAnsiTheme="minorHAnsi" w:cstheme="minorHAnsi"/>
          <w:sz w:val="16"/>
          <w:szCs w:val="16"/>
        </w:rPr>
        <w:t xml:space="preserve"> </w:t>
      </w:r>
      <w:proofErr w:type="gramStart"/>
      <w:r w:rsidR="00366292" w:rsidRPr="00366292">
        <w:rPr>
          <w:rFonts w:asciiTheme="minorHAnsi" w:hAnsiTheme="minorHAnsi" w:cstheme="minorHAnsi"/>
          <w:color w:val="000000"/>
          <w:sz w:val="16"/>
          <w:szCs w:val="16"/>
        </w:rPr>
        <w:t xml:space="preserve">Grant, A and </w:t>
      </w:r>
      <w:proofErr w:type="spellStart"/>
      <w:r w:rsidR="00366292" w:rsidRPr="00366292">
        <w:rPr>
          <w:rFonts w:asciiTheme="minorHAnsi" w:hAnsiTheme="minorHAnsi" w:cstheme="minorHAnsi"/>
          <w:color w:val="000000"/>
          <w:sz w:val="16"/>
          <w:szCs w:val="16"/>
        </w:rPr>
        <w:t>Howarth</w:t>
      </w:r>
      <w:proofErr w:type="spellEnd"/>
      <w:r w:rsidR="00366292" w:rsidRPr="00366292">
        <w:rPr>
          <w:rFonts w:asciiTheme="minorHAnsi" w:hAnsiTheme="minorHAnsi" w:cstheme="minorHAnsi"/>
          <w:color w:val="000000"/>
          <w:sz w:val="16"/>
          <w:szCs w:val="16"/>
        </w:rPr>
        <w:t>, D. (2011).</w:t>
      </w:r>
      <w:proofErr w:type="gramEnd"/>
      <w:r w:rsidR="00366292" w:rsidRPr="00366292">
        <w:rPr>
          <w:rFonts w:asciiTheme="minorHAnsi" w:hAnsiTheme="minorHAnsi" w:cstheme="minorHAnsi"/>
          <w:color w:val="000000"/>
          <w:sz w:val="16"/>
          <w:szCs w:val="16"/>
        </w:rPr>
        <w:t xml:space="preserve"> </w:t>
      </w:r>
      <w:proofErr w:type="gramStart"/>
      <w:r w:rsidR="00366292" w:rsidRPr="00366292">
        <w:rPr>
          <w:rFonts w:asciiTheme="minorHAnsi" w:hAnsiTheme="minorHAnsi" w:cstheme="minorHAnsi"/>
          <w:color w:val="000000"/>
          <w:sz w:val="16"/>
          <w:szCs w:val="16"/>
        </w:rPr>
        <w:t>Access and structural regulation.</w:t>
      </w:r>
      <w:proofErr w:type="gramEnd"/>
      <w:r w:rsidR="00366292" w:rsidRPr="00366292">
        <w:rPr>
          <w:rFonts w:asciiTheme="minorHAnsi" w:hAnsiTheme="minorHAnsi" w:cstheme="minorHAnsi"/>
          <w:color w:val="000000"/>
          <w:sz w:val="16"/>
          <w:szCs w:val="16"/>
        </w:rPr>
        <w:t xml:space="preserve"> In: Grant, A and </w:t>
      </w:r>
      <w:proofErr w:type="spellStart"/>
      <w:r w:rsidR="00366292" w:rsidRPr="00366292">
        <w:rPr>
          <w:rFonts w:asciiTheme="minorHAnsi" w:hAnsiTheme="minorHAnsi" w:cstheme="minorHAnsi"/>
          <w:color w:val="000000"/>
          <w:sz w:val="16"/>
          <w:szCs w:val="16"/>
        </w:rPr>
        <w:t>Howarth</w:t>
      </w:r>
      <w:proofErr w:type="spellEnd"/>
      <w:r w:rsidR="00366292" w:rsidRPr="00366292">
        <w:rPr>
          <w:rFonts w:asciiTheme="minorHAnsi" w:hAnsiTheme="minorHAnsi" w:cstheme="minorHAnsi"/>
          <w:color w:val="000000"/>
          <w:sz w:val="16"/>
          <w:szCs w:val="16"/>
        </w:rPr>
        <w:t>, D</w:t>
      </w:r>
      <w:r w:rsidR="00366292" w:rsidRPr="00366292">
        <w:rPr>
          <w:rStyle w:val="apple-converted-space"/>
          <w:rFonts w:asciiTheme="minorHAnsi" w:hAnsiTheme="minorHAnsi" w:cstheme="minorHAnsi"/>
          <w:color w:val="000000"/>
          <w:sz w:val="16"/>
          <w:szCs w:val="16"/>
        </w:rPr>
        <w:t> </w:t>
      </w:r>
      <w:r w:rsidR="00366292" w:rsidRPr="00366292">
        <w:rPr>
          <w:rFonts w:asciiTheme="minorHAnsi" w:hAnsiTheme="minorHAnsi" w:cstheme="minorHAnsi"/>
          <w:i/>
          <w:iCs/>
          <w:color w:val="000000"/>
          <w:sz w:val="16"/>
          <w:szCs w:val="16"/>
        </w:rPr>
        <w:t>Australian Telecommunications Regulation</w:t>
      </w:r>
      <w:r w:rsidR="00366292" w:rsidRPr="00366292">
        <w:rPr>
          <w:rFonts w:asciiTheme="minorHAnsi" w:hAnsiTheme="minorHAnsi" w:cstheme="minorHAnsi"/>
          <w:color w:val="000000"/>
          <w:sz w:val="16"/>
          <w:szCs w:val="16"/>
        </w:rPr>
        <w:t>. 4th ed. Sydney: CCH Australia Limited. 195-196.</w:t>
      </w:r>
    </w:p>
  </w:footnote>
  <w:footnote w:id="4">
    <w:p w:rsidR="000A6FFB" w:rsidRPr="00DE1549" w:rsidRDefault="000A6FFB" w:rsidP="0040481E">
      <w:pPr>
        <w:pStyle w:val="FootnoteText"/>
        <w:spacing w:after="0"/>
        <w:rPr>
          <w:sz w:val="16"/>
          <w:szCs w:val="16"/>
        </w:rPr>
      </w:pPr>
      <w:r w:rsidRPr="00DE1549">
        <w:rPr>
          <w:rStyle w:val="FootnoteReference"/>
          <w:sz w:val="16"/>
          <w:szCs w:val="16"/>
        </w:rPr>
        <w:footnoteRef/>
      </w:r>
      <w:r w:rsidRPr="00DE1549">
        <w:rPr>
          <w:sz w:val="16"/>
          <w:szCs w:val="16"/>
        </w:rPr>
        <w:t xml:space="preserve"> http://telcoantennas.com.au/site/telstra-4g-explained</w:t>
      </w:r>
    </w:p>
  </w:footnote>
  <w:footnote w:id="5">
    <w:p w:rsidR="00557BE5" w:rsidRDefault="00557BE5">
      <w:pPr>
        <w:pStyle w:val="FootnoteText"/>
      </w:pPr>
      <w:r>
        <w:rPr>
          <w:rStyle w:val="FootnoteReference"/>
        </w:rPr>
        <w:footnoteRef/>
      </w:r>
      <w:r w:rsidRPr="0040481E">
        <w:rPr>
          <w:sz w:val="16"/>
          <w:szCs w:val="16"/>
        </w:rPr>
        <w:t xml:space="preserve"> ACCAN letter to Department of Communications, December 2013</w:t>
      </w:r>
    </w:p>
  </w:footnote>
  <w:footnote w:id="6">
    <w:p w:rsidR="00706C78" w:rsidRDefault="00706C78">
      <w:pPr>
        <w:pStyle w:val="FootnoteText"/>
      </w:pPr>
      <w:r>
        <w:rPr>
          <w:rStyle w:val="FootnoteReference"/>
        </w:rPr>
        <w:footnoteRef/>
      </w:r>
      <w:r>
        <w:t xml:space="preserve"> Discussion Paper, p.4</w:t>
      </w:r>
    </w:p>
  </w:footnote>
  <w:footnote w:id="7">
    <w:p w:rsidR="00700D21" w:rsidRDefault="00700D21">
      <w:pPr>
        <w:pStyle w:val="FootnoteText"/>
      </w:pPr>
      <w:r>
        <w:rPr>
          <w:rStyle w:val="FootnoteReference"/>
        </w:rPr>
        <w:footnoteRef/>
      </w:r>
      <w:r>
        <w:t xml:space="preserve"> Ibid, p.4</w:t>
      </w:r>
    </w:p>
  </w:footnote>
  <w:footnote w:id="8">
    <w:p w:rsidR="000A6FFB" w:rsidRPr="00DE1549" w:rsidRDefault="000A6FFB" w:rsidP="00762820">
      <w:pPr>
        <w:pStyle w:val="FootnoteText"/>
        <w:rPr>
          <w:sz w:val="16"/>
          <w:szCs w:val="16"/>
        </w:rPr>
      </w:pPr>
      <w:r>
        <w:rPr>
          <w:rStyle w:val="FootnoteReference"/>
        </w:rPr>
        <w:footnoteRef/>
      </w:r>
      <w:r>
        <w:t xml:space="preserve"> </w:t>
      </w:r>
      <w:r w:rsidR="00DE1549" w:rsidRPr="00DE1549">
        <w:rPr>
          <w:rFonts w:eastAsia="Calibri" w:cs="Calibri"/>
          <w:sz w:val="16"/>
          <w:szCs w:val="16"/>
        </w:rPr>
        <w:t>http://digitaleconomygroup.com.au/index.html</w:t>
      </w:r>
      <w:r w:rsidRPr="00DE1549">
        <w:rPr>
          <w:rStyle w:val="Hyperlink"/>
          <w:rFonts w:eastAsia="Calibri" w:cs="Calibri"/>
          <w:sz w:val="16"/>
          <w:szCs w:val="16"/>
        </w:rPr>
        <w:t xml:space="preserve"> </w:t>
      </w:r>
    </w:p>
  </w:footnote>
  <w:footnote w:id="9">
    <w:p w:rsidR="000A6FFB" w:rsidRPr="00DE1549" w:rsidRDefault="000A6FFB">
      <w:pPr>
        <w:pStyle w:val="FootnoteText"/>
        <w:rPr>
          <w:sz w:val="16"/>
          <w:szCs w:val="16"/>
        </w:rPr>
      </w:pPr>
      <w:r w:rsidRPr="00DE1549">
        <w:rPr>
          <w:rStyle w:val="FootnoteReference"/>
          <w:sz w:val="16"/>
          <w:szCs w:val="16"/>
        </w:rPr>
        <w:footnoteRef/>
      </w:r>
      <w:r w:rsidRPr="00DE1549">
        <w:rPr>
          <w:sz w:val="16"/>
          <w:szCs w:val="16"/>
        </w:rPr>
        <w:t xml:space="preserve"> https://play.google.com/store/apps/details?id=com.mobilepulse&amp;hl=en</w:t>
      </w:r>
    </w:p>
  </w:footnote>
  <w:footnote w:id="10">
    <w:p w:rsidR="000A6FFB" w:rsidRDefault="000A6FFB">
      <w:pPr>
        <w:pStyle w:val="FootnoteText"/>
      </w:pPr>
      <w:r w:rsidRPr="00DE1549">
        <w:rPr>
          <w:rStyle w:val="FootnoteReference"/>
          <w:sz w:val="16"/>
          <w:szCs w:val="16"/>
        </w:rPr>
        <w:footnoteRef/>
      </w:r>
      <w:r w:rsidRPr="00DE1549">
        <w:rPr>
          <w:sz w:val="16"/>
          <w:szCs w:val="16"/>
        </w:rPr>
        <w:t xml:space="preserve"> http://www.mobilepulse.com/assets/samples/Castle_Rock_Case_Study_using_Mobile_Pulse.pdf</w:t>
      </w:r>
    </w:p>
  </w:footnote>
  <w:footnote w:id="11">
    <w:p w:rsidR="000A6FFB" w:rsidRPr="00DE1549" w:rsidRDefault="000A6FFB">
      <w:pPr>
        <w:pStyle w:val="FootnoteText"/>
        <w:rPr>
          <w:sz w:val="16"/>
          <w:szCs w:val="16"/>
        </w:rPr>
      </w:pPr>
      <w:r w:rsidRPr="00366292">
        <w:rPr>
          <w:rStyle w:val="FootnoteReference"/>
          <w:sz w:val="16"/>
          <w:szCs w:val="16"/>
        </w:rPr>
        <w:footnoteRef/>
      </w:r>
      <w:r w:rsidRPr="00366292">
        <w:rPr>
          <w:sz w:val="16"/>
          <w:szCs w:val="16"/>
        </w:rPr>
        <w:t xml:space="preserve"> </w:t>
      </w:r>
      <w:r w:rsidR="00366292" w:rsidRPr="00366292">
        <w:rPr>
          <w:sz w:val="16"/>
          <w:szCs w:val="16"/>
        </w:rPr>
        <w:t>http://www.communications.gov.au/mobile_services/mobile_coverage_programme</w:t>
      </w:r>
      <w:r w:rsidR="00366292">
        <w:rPr>
          <w:sz w:val="16"/>
          <w:szCs w:val="16"/>
        </w:rPr>
        <w:t xml:space="preserve"> </w:t>
      </w:r>
    </w:p>
  </w:footnote>
  <w:footnote w:id="12">
    <w:p w:rsidR="000A6FFB" w:rsidRPr="00DE1549" w:rsidRDefault="000A6FFB">
      <w:pPr>
        <w:pStyle w:val="FootnoteText"/>
        <w:rPr>
          <w:sz w:val="16"/>
          <w:szCs w:val="16"/>
        </w:rPr>
      </w:pPr>
      <w:r w:rsidRPr="00DE1549">
        <w:rPr>
          <w:rStyle w:val="FootnoteReference"/>
          <w:sz w:val="16"/>
          <w:szCs w:val="16"/>
        </w:rPr>
        <w:footnoteRef/>
      </w:r>
      <w:r w:rsidRPr="00DE1549">
        <w:rPr>
          <w:sz w:val="16"/>
          <w:szCs w:val="16"/>
        </w:rPr>
        <w:t xml:space="preserve"> </w:t>
      </w:r>
      <w:hyperlink r:id="rId2" w:history="1">
        <w:r w:rsidRPr="00DE1549">
          <w:rPr>
            <w:rStyle w:val="Hyperlink"/>
            <w:color w:val="auto"/>
            <w:sz w:val="16"/>
            <w:szCs w:val="16"/>
            <w:u w:val="none"/>
          </w:rPr>
          <w:t>http://www.abs.gov.au/AUSSTATS/abs@.nsf/lookup/4704.0Chapter250Oct+2010</w:t>
        </w:r>
      </w:hyperlink>
      <w:r w:rsidRPr="00DE1549">
        <w:rPr>
          <w:sz w:val="16"/>
          <w:szCs w:val="16"/>
        </w:rPr>
        <w:t xml:space="preserve"> </w:t>
      </w:r>
    </w:p>
  </w:footnote>
  <w:footnote w:id="13">
    <w:p w:rsidR="000A6FFB" w:rsidRPr="00DE1549" w:rsidRDefault="000A6FFB">
      <w:pPr>
        <w:pStyle w:val="FootnoteText"/>
        <w:rPr>
          <w:sz w:val="16"/>
          <w:szCs w:val="16"/>
        </w:rPr>
      </w:pPr>
      <w:r w:rsidRPr="00DE1549">
        <w:rPr>
          <w:rStyle w:val="FootnoteReference"/>
          <w:sz w:val="16"/>
          <w:szCs w:val="16"/>
        </w:rPr>
        <w:footnoteRef/>
      </w:r>
      <w:r w:rsidRPr="00DE1549">
        <w:rPr>
          <w:sz w:val="16"/>
          <w:szCs w:val="16"/>
        </w:rPr>
        <w:t xml:space="preserve"> </w:t>
      </w:r>
      <w:r w:rsidR="00DE1549" w:rsidRPr="00DE1549">
        <w:rPr>
          <w:rFonts w:cs="Calibri"/>
          <w:sz w:val="16"/>
          <w:szCs w:val="16"/>
        </w:rPr>
        <w:t>http://broadbandforthebush.com.au/wp‐content/uploads/2013/05/Extending‐remote‐and‐rural‐cellularcoverage‐May‐2013.pdf</w:t>
      </w:r>
      <w:r w:rsidRPr="00DE1549">
        <w:rPr>
          <w:rFonts w:cs="Calibri"/>
          <w:sz w:val="16"/>
          <w:szCs w:val="16"/>
        </w:rPr>
        <w:t xml:space="preserve"> </w:t>
      </w:r>
    </w:p>
  </w:footnote>
  <w:footnote w:id="14">
    <w:p w:rsidR="000A6FFB" w:rsidRPr="00DE1549" w:rsidRDefault="000A6FFB">
      <w:pPr>
        <w:pStyle w:val="FootnoteText"/>
        <w:rPr>
          <w:sz w:val="16"/>
          <w:szCs w:val="16"/>
        </w:rPr>
      </w:pPr>
      <w:r w:rsidRPr="00DE1549">
        <w:rPr>
          <w:rStyle w:val="FootnoteReference"/>
          <w:sz w:val="16"/>
          <w:szCs w:val="16"/>
        </w:rPr>
        <w:footnoteRef/>
      </w:r>
      <w:r w:rsidRPr="00DE1549">
        <w:rPr>
          <w:sz w:val="16"/>
          <w:szCs w:val="16"/>
        </w:rPr>
        <w:t xml:space="preserve"> </w:t>
      </w:r>
      <w:r w:rsidR="00DE1549" w:rsidRPr="00DE1549">
        <w:rPr>
          <w:rFonts w:cs="Calibri"/>
          <w:sz w:val="16"/>
          <w:szCs w:val="16"/>
        </w:rPr>
        <w:t>http://broadbandforthebush.com.au/wp‐content/uploads/2013/05/Extending‐remote‐and‐rural‐cellularcoverage‐May‐2013.pdf</w:t>
      </w:r>
      <w:r w:rsidRPr="00DE1549">
        <w:rPr>
          <w:rFonts w:cs="Calibri"/>
          <w:sz w:val="16"/>
          <w:szCs w:val="16"/>
        </w:rPr>
        <w:t xml:space="preserve"> </w:t>
      </w:r>
    </w:p>
  </w:footnote>
  <w:footnote w:id="15">
    <w:p w:rsidR="000A6FFB" w:rsidRDefault="000A6FFB" w:rsidP="008E3D59">
      <w:pPr>
        <w:pStyle w:val="FootnoteText"/>
      </w:pPr>
      <w:r w:rsidRPr="00DE1549">
        <w:rPr>
          <w:rStyle w:val="FootnoteReference"/>
          <w:sz w:val="16"/>
          <w:szCs w:val="16"/>
        </w:rPr>
        <w:footnoteRef/>
      </w:r>
      <w:r w:rsidRPr="00DE1549">
        <w:rPr>
          <w:sz w:val="16"/>
          <w:szCs w:val="16"/>
        </w:rPr>
        <w:t xml:space="preserve"> </w:t>
      </w:r>
      <w:r w:rsidRPr="00DE1549">
        <w:rPr>
          <w:rFonts w:cs="Calibri"/>
          <w:sz w:val="16"/>
          <w:szCs w:val="16"/>
        </w:rPr>
        <w:t>http://broadbandforthebush.com.au/wp‐content/uploads/2013/05/Extending‐remote‐and‐rural‐cellularcoverage‐May‐2013.pdf</w:t>
      </w:r>
    </w:p>
  </w:footnote>
  <w:footnote w:id="16">
    <w:p w:rsidR="000A6FFB" w:rsidRPr="00DE1549" w:rsidRDefault="000A6FFB">
      <w:pPr>
        <w:pStyle w:val="FootnoteText"/>
        <w:rPr>
          <w:sz w:val="16"/>
          <w:szCs w:val="16"/>
        </w:rPr>
      </w:pPr>
      <w:r w:rsidRPr="00DE1549">
        <w:rPr>
          <w:rStyle w:val="FootnoteReference"/>
          <w:sz w:val="16"/>
          <w:szCs w:val="16"/>
        </w:rPr>
        <w:footnoteRef/>
      </w:r>
      <w:r w:rsidRPr="00DE1549">
        <w:rPr>
          <w:sz w:val="16"/>
          <w:szCs w:val="16"/>
        </w:rPr>
        <w:t xml:space="preserve"> </w:t>
      </w:r>
      <w:r w:rsidR="00DE1549" w:rsidRPr="00DE1549">
        <w:rPr>
          <w:sz w:val="16"/>
          <w:szCs w:val="16"/>
        </w:rPr>
        <w:t>http://www.acma.gov.au/theACMA/telecommunications-in-remote-indigenous-communities</w:t>
      </w:r>
      <w:r w:rsidRPr="00DE1549">
        <w:rPr>
          <w:sz w:val="16"/>
          <w:szCs w:val="16"/>
        </w:rPr>
        <w:t xml:space="preserve"> </w:t>
      </w:r>
    </w:p>
  </w:footnote>
  <w:footnote w:id="17">
    <w:p w:rsidR="000A6FFB" w:rsidRPr="00DE1549" w:rsidRDefault="000A6FFB">
      <w:pPr>
        <w:pStyle w:val="FootnoteText"/>
        <w:rPr>
          <w:sz w:val="16"/>
          <w:szCs w:val="16"/>
        </w:rPr>
      </w:pPr>
      <w:r w:rsidRPr="00DE1549">
        <w:rPr>
          <w:rStyle w:val="FootnoteReference"/>
          <w:sz w:val="16"/>
          <w:szCs w:val="16"/>
        </w:rPr>
        <w:footnoteRef/>
      </w:r>
      <w:r w:rsidRPr="00DE1549">
        <w:rPr>
          <w:sz w:val="16"/>
          <w:szCs w:val="16"/>
        </w:rPr>
        <w:t xml:space="preserve"> </w:t>
      </w:r>
      <w:r w:rsidR="00DE1549" w:rsidRPr="00DE1549">
        <w:rPr>
          <w:sz w:val="16"/>
          <w:szCs w:val="16"/>
        </w:rPr>
        <w:t>http://www.idirect.net/Applications/Cellular-Backhaul.aspx</w:t>
      </w:r>
      <w:r w:rsidRPr="00DE1549">
        <w:rPr>
          <w:sz w:val="16"/>
          <w:szCs w:val="16"/>
        </w:rPr>
        <w:t xml:space="preserve"> </w:t>
      </w:r>
    </w:p>
  </w:footnote>
  <w:footnote w:id="18">
    <w:p w:rsidR="000A6FFB" w:rsidRPr="00DE1549" w:rsidRDefault="000A6FFB">
      <w:pPr>
        <w:pStyle w:val="FootnoteText"/>
        <w:rPr>
          <w:sz w:val="16"/>
          <w:szCs w:val="16"/>
        </w:rPr>
      </w:pPr>
      <w:r w:rsidRPr="00DE1549">
        <w:rPr>
          <w:rStyle w:val="FootnoteReference"/>
          <w:sz w:val="16"/>
          <w:szCs w:val="16"/>
        </w:rPr>
        <w:footnoteRef/>
      </w:r>
      <w:r w:rsidRPr="00DE1549">
        <w:rPr>
          <w:sz w:val="16"/>
          <w:szCs w:val="16"/>
        </w:rPr>
        <w:t xml:space="preserve"> </w:t>
      </w:r>
      <w:r w:rsidR="00DE1549" w:rsidRPr="00DE1549">
        <w:rPr>
          <w:sz w:val="16"/>
          <w:szCs w:val="16"/>
        </w:rPr>
        <w:t>http://www.ericsson.com/ourportfolio/telecom-operators/satellite-backhaul</w:t>
      </w:r>
      <w:r w:rsidRPr="00DE1549">
        <w:rPr>
          <w:sz w:val="16"/>
          <w:szCs w:val="16"/>
        </w:rPr>
        <w:t xml:space="preserve"> </w:t>
      </w:r>
    </w:p>
  </w:footnote>
  <w:footnote w:id="19">
    <w:p w:rsidR="000A6FFB" w:rsidRPr="00DE1549" w:rsidRDefault="000A6FFB" w:rsidP="00E232EE">
      <w:pPr>
        <w:autoSpaceDE w:val="0"/>
        <w:autoSpaceDN w:val="0"/>
        <w:adjustRightInd w:val="0"/>
        <w:spacing w:before="0" w:beforeAutospacing="0" w:after="0" w:afterAutospacing="0"/>
        <w:rPr>
          <w:rFonts w:eastAsiaTheme="minorHAnsi" w:cs="Calibri"/>
          <w:sz w:val="16"/>
          <w:szCs w:val="16"/>
          <w:lang w:eastAsia="en-US"/>
        </w:rPr>
      </w:pPr>
      <w:r w:rsidRPr="00DE1549">
        <w:rPr>
          <w:rStyle w:val="FootnoteReference"/>
          <w:sz w:val="16"/>
          <w:szCs w:val="16"/>
        </w:rPr>
        <w:footnoteRef/>
      </w:r>
      <w:r w:rsidRPr="00DE1549">
        <w:rPr>
          <w:sz w:val="16"/>
          <w:szCs w:val="16"/>
        </w:rPr>
        <w:t xml:space="preserve"> </w:t>
      </w:r>
      <w:r w:rsidRPr="00DE1549">
        <w:rPr>
          <w:rFonts w:eastAsiaTheme="minorHAnsi" w:cs="Calibri"/>
          <w:sz w:val="16"/>
          <w:szCs w:val="16"/>
          <w:lang w:eastAsia="en-US"/>
        </w:rPr>
        <w:t>11. Telstra; “2011 ‐ 12 Regional Telecommunications Review ‐ Submission from Telstra”. Telstra</w:t>
      </w:r>
    </w:p>
    <w:p w:rsidR="000A6FFB" w:rsidRPr="00DE1549" w:rsidRDefault="000A6FFB" w:rsidP="00E232EE">
      <w:pPr>
        <w:autoSpaceDE w:val="0"/>
        <w:autoSpaceDN w:val="0"/>
        <w:adjustRightInd w:val="0"/>
        <w:spacing w:before="0" w:beforeAutospacing="0" w:after="0" w:afterAutospacing="0"/>
        <w:rPr>
          <w:rFonts w:eastAsiaTheme="minorHAnsi" w:cs="Calibri"/>
          <w:sz w:val="16"/>
          <w:szCs w:val="16"/>
          <w:lang w:eastAsia="en-US"/>
        </w:rPr>
      </w:pPr>
      <w:r w:rsidRPr="00DE1549">
        <w:rPr>
          <w:rFonts w:eastAsiaTheme="minorHAnsi" w:cs="Calibri"/>
          <w:sz w:val="16"/>
          <w:szCs w:val="16"/>
          <w:lang w:eastAsia="en-US"/>
        </w:rPr>
        <w:t>Corporation Ltd., 16th December 2011</w:t>
      </w:r>
      <w:r w:rsidR="00DE1549" w:rsidRPr="00DE1549">
        <w:rPr>
          <w:rFonts w:eastAsiaTheme="minorHAnsi" w:cs="Calibri"/>
          <w:sz w:val="16"/>
          <w:szCs w:val="16"/>
          <w:lang w:eastAsia="en-US"/>
        </w:rPr>
        <w:t>http://www.rtirc.gov.au/files/2011/12/Telstra.pdf</w:t>
      </w:r>
      <w:r w:rsidR="002B7F30" w:rsidRPr="00DE1549">
        <w:rPr>
          <w:rFonts w:eastAsiaTheme="minorHAnsi" w:cs="Calibri"/>
          <w:sz w:val="16"/>
          <w:szCs w:val="16"/>
          <w:lang w:eastAsia="en-US"/>
        </w:rPr>
        <w:t xml:space="preserve"> </w:t>
      </w:r>
    </w:p>
  </w:footnote>
  <w:footnote w:id="20">
    <w:p w:rsidR="000A6FFB" w:rsidRPr="00DE1549" w:rsidRDefault="000A6FFB" w:rsidP="00E232EE">
      <w:pPr>
        <w:autoSpaceDE w:val="0"/>
        <w:autoSpaceDN w:val="0"/>
        <w:adjustRightInd w:val="0"/>
        <w:spacing w:before="0" w:beforeAutospacing="0" w:after="0" w:afterAutospacing="0"/>
        <w:rPr>
          <w:rFonts w:eastAsiaTheme="minorHAnsi" w:cs="Calibri"/>
          <w:sz w:val="16"/>
          <w:szCs w:val="16"/>
          <w:lang w:eastAsia="en-US"/>
        </w:rPr>
      </w:pPr>
      <w:r w:rsidRPr="00DE1549">
        <w:rPr>
          <w:rStyle w:val="FootnoteReference"/>
          <w:sz w:val="16"/>
          <w:szCs w:val="16"/>
        </w:rPr>
        <w:footnoteRef/>
      </w:r>
      <w:r w:rsidRPr="00DE1549">
        <w:rPr>
          <w:sz w:val="16"/>
          <w:szCs w:val="16"/>
        </w:rPr>
        <w:t xml:space="preserve"> </w:t>
      </w:r>
      <w:r w:rsidRPr="00DE1549">
        <w:rPr>
          <w:rFonts w:eastAsiaTheme="minorHAnsi" w:cs="Calibri"/>
          <w:sz w:val="16"/>
          <w:szCs w:val="16"/>
          <w:lang w:eastAsia="en-US"/>
        </w:rPr>
        <w:t xml:space="preserve">12. Optus; “Optus Submission </w:t>
      </w:r>
      <w:r w:rsidR="00DE1549">
        <w:rPr>
          <w:rFonts w:eastAsiaTheme="minorHAnsi" w:cs="Calibri"/>
          <w:sz w:val="16"/>
          <w:szCs w:val="16"/>
          <w:lang w:eastAsia="en-US"/>
        </w:rPr>
        <w:t>t</w:t>
      </w:r>
      <w:r w:rsidRPr="00DE1549">
        <w:rPr>
          <w:rFonts w:eastAsiaTheme="minorHAnsi" w:cs="Calibri"/>
          <w:sz w:val="16"/>
          <w:szCs w:val="16"/>
          <w:lang w:eastAsia="en-US"/>
        </w:rPr>
        <w:t>o Regional Telecommunications Independent Review Committee; 2011‐12 Regional Telecommunications Review”. Optus; December 2011.</w:t>
      </w:r>
    </w:p>
  </w:footnote>
  <w:footnote w:id="21">
    <w:p w:rsidR="000A6FFB" w:rsidRDefault="000A6FFB">
      <w:pPr>
        <w:pStyle w:val="FootnoteText"/>
      </w:pPr>
      <w:r w:rsidRPr="00DE1549">
        <w:rPr>
          <w:rStyle w:val="FootnoteReference"/>
          <w:sz w:val="16"/>
          <w:szCs w:val="16"/>
        </w:rPr>
        <w:footnoteRef/>
      </w:r>
      <w:r w:rsidRPr="00DE1549">
        <w:rPr>
          <w:sz w:val="16"/>
          <w:szCs w:val="16"/>
        </w:rPr>
        <w:t xml:space="preserve"> </w:t>
      </w:r>
      <w:r w:rsidR="00DE1549" w:rsidRPr="00DE1549">
        <w:rPr>
          <w:sz w:val="16"/>
          <w:szCs w:val="16"/>
        </w:rPr>
        <w:t>http://www.telecompaper.com/news/vodafone-prefers-backhaul-regulation-over-aapt-takeover--974934</w:t>
      </w:r>
      <w:r w:rsidR="002B7F30" w:rsidRPr="00DE154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FB" w:rsidRDefault="000A6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FB" w:rsidRDefault="000A6FFB" w:rsidP="00E45E4C">
    <w:pPr>
      <w:pStyle w:val="Header"/>
      <w:jc w:val="right"/>
    </w:pPr>
    <w:r>
      <w:rPr>
        <w:noProof/>
        <w:lang w:eastAsia="en-AU"/>
      </w:rPr>
      <w:drawing>
        <wp:inline distT="0" distB="0" distL="0" distR="0" wp14:anchorId="7C11D64B" wp14:editId="5356FE98">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FB" w:rsidRDefault="000A6FFB"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B28"/>
    <w:multiLevelType w:val="hybridMultilevel"/>
    <w:tmpl w:val="01405642"/>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EE76B2"/>
    <w:multiLevelType w:val="multilevel"/>
    <w:tmpl w:val="9AC8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C52DA"/>
    <w:multiLevelType w:val="hybridMultilevel"/>
    <w:tmpl w:val="80E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3E65C1"/>
    <w:multiLevelType w:val="hybridMultilevel"/>
    <w:tmpl w:val="F8FC76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6F07354"/>
    <w:multiLevelType w:val="hybridMultilevel"/>
    <w:tmpl w:val="0C36B3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BCC6219"/>
    <w:multiLevelType w:val="multilevel"/>
    <w:tmpl w:val="330C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7">
    <w:nsid w:val="31D57799"/>
    <w:multiLevelType w:val="hybridMultilevel"/>
    <w:tmpl w:val="0C36B3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37C5FB2"/>
    <w:multiLevelType w:val="multilevel"/>
    <w:tmpl w:val="6AFEEB4C"/>
    <w:numStyleLink w:val="Bullets"/>
  </w:abstractNum>
  <w:abstractNum w:abstractNumId="9">
    <w:nsid w:val="33D9536F"/>
    <w:multiLevelType w:val="multilevel"/>
    <w:tmpl w:val="A7920A6E"/>
    <w:numStyleLink w:val="Headings"/>
  </w:abstractNum>
  <w:abstractNum w:abstractNumId="1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nsid w:val="39860C67"/>
    <w:multiLevelType w:val="multilevel"/>
    <w:tmpl w:val="A7920A6E"/>
    <w:numStyleLink w:val="Headings"/>
  </w:abstractNum>
  <w:abstractNum w:abstractNumId="12">
    <w:nsid w:val="3B41772C"/>
    <w:multiLevelType w:val="hybridMultilevel"/>
    <w:tmpl w:val="503EB2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F936BD"/>
    <w:multiLevelType w:val="multilevel"/>
    <w:tmpl w:val="A7920A6E"/>
    <w:numStyleLink w:val="Headings"/>
  </w:abstractNum>
  <w:abstractNum w:abstractNumId="14">
    <w:nsid w:val="41713CCF"/>
    <w:multiLevelType w:val="multilevel"/>
    <w:tmpl w:val="486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E36CD6"/>
    <w:multiLevelType w:val="hybridMultilevel"/>
    <w:tmpl w:val="5AFA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59454C"/>
    <w:multiLevelType w:val="hybridMultilevel"/>
    <w:tmpl w:val="E9EE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51EA46F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A467144"/>
    <w:multiLevelType w:val="multilevel"/>
    <w:tmpl w:val="989E8E90"/>
    <w:numStyleLink w:val="Appendices"/>
  </w:abstractNum>
  <w:abstractNum w:abstractNumId="2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7BD0371"/>
    <w:multiLevelType w:val="hybridMultilevel"/>
    <w:tmpl w:val="6B2E2920"/>
    <w:lvl w:ilvl="0" w:tplc="D840918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9FC386A"/>
    <w:multiLevelType w:val="multilevel"/>
    <w:tmpl w:val="FA52BD2A"/>
    <w:lvl w:ilvl="0">
      <w:start w:val="1"/>
      <w:numFmt w:val="decimal"/>
      <w:lvlText w:val="%1"/>
      <w:lvlJc w:val="left"/>
      <w:pPr>
        <w:ind w:left="435" w:hanging="435"/>
      </w:pPr>
      <w:rPr>
        <w:rFonts w:cstheme="minorHAnsi" w:hint="default"/>
        <w:b/>
      </w:rPr>
    </w:lvl>
    <w:lvl w:ilvl="1">
      <w:start w:val="4"/>
      <w:numFmt w:val="decimal"/>
      <w:lvlText w:val="%1.%2"/>
      <w:lvlJc w:val="left"/>
      <w:pPr>
        <w:ind w:left="435" w:hanging="435"/>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23">
    <w:nsid w:val="6AAF098D"/>
    <w:multiLevelType w:val="multilevel"/>
    <w:tmpl w:val="A7920A6E"/>
    <w:numStyleLink w:val="Headings"/>
  </w:abstractNum>
  <w:abstractNum w:abstractNumId="24">
    <w:nsid w:val="6C8631FC"/>
    <w:multiLevelType w:val="hybridMultilevel"/>
    <w:tmpl w:val="523E9E0A"/>
    <w:lvl w:ilvl="0" w:tplc="ADC04C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0"/>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6"/>
  </w:num>
  <w:num w:numId="7">
    <w:abstractNumId w:val="13"/>
  </w:num>
  <w:num w:numId="8">
    <w:abstractNumId w:val="8"/>
  </w:num>
  <w:num w:numId="9">
    <w:abstractNumId w:val="8"/>
  </w:num>
  <w:num w:numId="10">
    <w:abstractNumId w:val="8"/>
  </w:num>
  <w:num w:numId="11">
    <w:abstractNumId w:val="8"/>
  </w:num>
  <w:num w:numId="12">
    <w:abstractNumId w:val="6"/>
  </w:num>
  <w:num w:numId="13">
    <w:abstractNumId w:val="9"/>
  </w:num>
  <w:num w:numId="14">
    <w:abstractNumId w:val="9"/>
  </w:num>
  <w:num w:numId="15">
    <w:abstractNumId w:val="9"/>
  </w:num>
  <w:num w:numId="16">
    <w:abstractNumId w:val="26"/>
  </w:num>
  <w:num w:numId="17">
    <w:abstractNumId w:val="17"/>
  </w:num>
  <w:num w:numId="18">
    <w:abstractNumId w:val="19"/>
  </w:num>
  <w:num w:numId="19">
    <w:abstractNumId w:val="19"/>
  </w:num>
  <w:num w:numId="20">
    <w:abstractNumId w:val="25"/>
  </w:num>
  <w:num w:numId="21">
    <w:abstractNumId w:val="25"/>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2"/>
  </w:num>
  <w:num w:numId="29">
    <w:abstractNumId w:val="24"/>
  </w:num>
  <w:num w:numId="30">
    <w:abstractNumId w:val="21"/>
  </w:num>
  <w:num w:numId="31">
    <w:abstractNumId w:val="7"/>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4"/>
  </w:num>
  <w:num w:numId="34">
    <w:abstractNumId w:val="3"/>
  </w:num>
  <w:num w:numId="35">
    <w:abstractNumId w:val="22"/>
  </w:num>
  <w:num w:numId="36">
    <w:abstractNumId w:val="5"/>
  </w:num>
  <w:num w:numId="37">
    <w:abstractNumId w:val="14"/>
  </w:num>
  <w:num w:numId="38">
    <w:abstractNumId w:val="16"/>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A3"/>
    <w:rsid w:val="000064AD"/>
    <w:rsid w:val="00012477"/>
    <w:rsid w:val="00021071"/>
    <w:rsid w:val="00027253"/>
    <w:rsid w:val="00047257"/>
    <w:rsid w:val="00050A66"/>
    <w:rsid w:val="00053FCB"/>
    <w:rsid w:val="00065D28"/>
    <w:rsid w:val="00072D94"/>
    <w:rsid w:val="00075992"/>
    <w:rsid w:val="00090B28"/>
    <w:rsid w:val="000A4512"/>
    <w:rsid w:val="000A6FFB"/>
    <w:rsid w:val="000A70B6"/>
    <w:rsid w:val="000A71F3"/>
    <w:rsid w:val="000D51F4"/>
    <w:rsid w:val="000D62AC"/>
    <w:rsid w:val="000E063D"/>
    <w:rsid w:val="000E79E9"/>
    <w:rsid w:val="000F58CC"/>
    <w:rsid w:val="00103801"/>
    <w:rsid w:val="00107513"/>
    <w:rsid w:val="00107EA3"/>
    <w:rsid w:val="0013057D"/>
    <w:rsid w:val="00147A7F"/>
    <w:rsid w:val="00157EF3"/>
    <w:rsid w:val="0016344C"/>
    <w:rsid w:val="00194E5E"/>
    <w:rsid w:val="001A472B"/>
    <w:rsid w:val="001B4B3A"/>
    <w:rsid w:val="001B711A"/>
    <w:rsid w:val="001C28E7"/>
    <w:rsid w:val="001C6657"/>
    <w:rsid w:val="001D2963"/>
    <w:rsid w:val="001E1F38"/>
    <w:rsid w:val="00203728"/>
    <w:rsid w:val="002101BA"/>
    <w:rsid w:val="00210D4A"/>
    <w:rsid w:val="002127F0"/>
    <w:rsid w:val="00220AE2"/>
    <w:rsid w:val="00227C28"/>
    <w:rsid w:val="00234042"/>
    <w:rsid w:val="00257A6C"/>
    <w:rsid w:val="00260EBA"/>
    <w:rsid w:val="00263F06"/>
    <w:rsid w:val="00271EA8"/>
    <w:rsid w:val="00273C81"/>
    <w:rsid w:val="0027582A"/>
    <w:rsid w:val="00296FB3"/>
    <w:rsid w:val="002A629E"/>
    <w:rsid w:val="002B2EB6"/>
    <w:rsid w:val="002B7F30"/>
    <w:rsid w:val="002C3425"/>
    <w:rsid w:val="002C3639"/>
    <w:rsid w:val="002D19E5"/>
    <w:rsid w:val="002E4872"/>
    <w:rsid w:val="00314E3E"/>
    <w:rsid w:val="00320185"/>
    <w:rsid w:val="0034145A"/>
    <w:rsid w:val="00342D2A"/>
    <w:rsid w:val="00343EFF"/>
    <w:rsid w:val="003441E5"/>
    <w:rsid w:val="00350320"/>
    <w:rsid w:val="003629A6"/>
    <w:rsid w:val="0036351B"/>
    <w:rsid w:val="00366292"/>
    <w:rsid w:val="003664DF"/>
    <w:rsid w:val="00366CD2"/>
    <w:rsid w:val="0036733C"/>
    <w:rsid w:val="00381B7C"/>
    <w:rsid w:val="003943EA"/>
    <w:rsid w:val="003B1499"/>
    <w:rsid w:val="003E5CA3"/>
    <w:rsid w:val="003E6066"/>
    <w:rsid w:val="003E6503"/>
    <w:rsid w:val="003E76C5"/>
    <w:rsid w:val="003F31C9"/>
    <w:rsid w:val="003F6199"/>
    <w:rsid w:val="003F7721"/>
    <w:rsid w:val="004023C8"/>
    <w:rsid w:val="0040481E"/>
    <w:rsid w:val="00412184"/>
    <w:rsid w:val="00442046"/>
    <w:rsid w:val="00447E1F"/>
    <w:rsid w:val="00451EE0"/>
    <w:rsid w:val="004552EA"/>
    <w:rsid w:val="00470C1C"/>
    <w:rsid w:val="00472250"/>
    <w:rsid w:val="00472C7E"/>
    <w:rsid w:val="00472CA7"/>
    <w:rsid w:val="00477BDB"/>
    <w:rsid w:val="004846CC"/>
    <w:rsid w:val="004A01EB"/>
    <w:rsid w:val="004A43C6"/>
    <w:rsid w:val="004A55CC"/>
    <w:rsid w:val="004A5DDC"/>
    <w:rsid w:val="004A791B"/>
    <w:rsid w:val="004B18A3"/>
    <w:rsid w:val="004B6212"/>
    <w:rsid w:val="004B7462"/>
    <w:rsid w:val="004C3886"/>
    <w:rsid w:val="004F084A"/>
    <w:rsid w:val="004F2201"/>
    <w:rsid w:val="00511400"/>
    <w:rsid w:val="00515876"/>
    <w:rsid w:val="00536BE0"/>
    <w:rsid w:val="00542267"/>
    <w:rsid w:val="00553427"/>
    <w:rsid w:val="00553BAB"/>
    <w:rsid w:val="00557BE5"/>
    <w:rsid w:val="00563F59"/>
    <w:rsid w:val="00564701"/>
    <w:rsid w:val="005714B8"/>
    <w:rsid w:val="005820C9"/>
    <w:rsid w:val="0058692C"/>
    <w:rsid w:val="00592615"/>
    <w:rsid w:val="00593713"/>
    <w:rsid w:val="00593975"/>
    <w:rsid w:val="005949C9"/>
    <w:rsid w:val="005A673E"/>
    <w:rsid w:val="005A7F7E"/>
    <w:rsid w:val="005B01DC"/>
    <w:rsid w:val="005C2EBF"/>
    <w:rsid w:val="005E69A8"/>
    <w:rsid w:val="005F7D45"/>
    <w:rsid w:val="00613698"/>
    <w:rsid w:val="00627230"/>
    <w:rsid w:val="00645BF5"/>
    <w:rsid w:val="00654E49"/>
    <w:rsid w:val="006578D7"/>
    <w:rsid w:val="00664383"/>
    <w:rsid w:val="006763F3"/>
    <w:rsid w:val="00677B56"/>
    <w:rsid w:val="006838CE"/>
    <w:rsid w:val="00691C94"/>
    <w:rsid w:val="006933DA"/>
    <w:rsid w:val="00693D6A"/>
    <w:rsid w:val="006A380D"/>
    <w:rsid w:val="006A5761"/>
    <w:rsid w:val="006B192A"/>
    <w:rsid w:val="006B492D"/>
    <w:rsid w:val="006C7C58"/>
    <w:rsid w:val="006D153D"/>
    <w:rsid w:val="006D4B09"/>
    <w:rsid w:val="006F4D72"/>
    <w:rsid w:val="00700D21"/>
    <w:rsid w:val="00703D4D"/>
    <w:rsid w:val="00706C78"/>
    <w:rsid w:val="007131C9"/>
    <w:rsid w:val="00716E20"/>
    <w:rsid w:val="007249CF"/>
    <w:rsid w:val="00727DDD"/>
    <w:rsid w:val="00742749"/>
    <w:rsid w:val="007503DC"/>
    <w:rsid w:val="007506AE"/>
    <w:rsid w:val="00755571"/>
    <w:rsid w:val="007571FD"/>
    <w:rsid w:val="00762820"/>
    <w:rsid w:val="00763930"/>
    <w:rsid w:val="007670B7"/>
    <w:rsid w:val="00792C69"/>
    <w:rsid w:val="00796BB8"/>
    <w:rsid w:val="007A3E1A"/>
    <w:rsid w:val="007B7076"/>
    <w:rsid w:val="007C4B46"/>
    <w:rsid w:val="007D22E0"/>
    <w:rsid w:val="007D254E"/>
    <w:rsid w:val="007D3F16"/>
    <w:rsid w:val="007E2F82"/>
    <w:rsid w:val="007E32A7"/>
    <w:rsid w:val="007F0737"/>
    <w:rsid w:val="007F57F9"/>
    <w:rsid w:val="008036F9"/>
    <w:rsid w:val="008338A0"/>
    <w:rsid w:val="008668E9"/>
    <w:rsid w:val="00874386"/>
    <w:rsid w:val="008777AC"/>
    <w:rsid w:val="0088571C"/>
    <w:rsid w:val="00886444"/>
    <w:rsid w:val="00897F1B"/>
    <w:rsid w:val="008A1692"/>
    <w:rsid w:val="008A19E7"/>
    <w:rsid w:val="008B3F36"/>
    <w:rsid w:val="008C535D"/>
    <w:rsid w:val="008D7013"/>
    <w:rsid w:val="008E1CC4"/>
    <w:rsid w:val="008E3D59"/>
    <w:rsid w:val="008E47B8"/>
    <w:rsid w:val="008F0138"/>
    <w:rsid w:val="008F4E62"/>
    <w:rsid w:val="008F7E90"/>
    <w:rsid w:val="00904FC7"/>
    <w:rsid w:val="00914313"/>
    <w:rsid w:val="00927102"/>
    <w:rsid w:val="009305EE"/>
    <w:rsid w:val="00940547"/>
    <w:rsid w:val="0094519B"/>
    <w:rsid w:val="009567DB"/>
    <w:rsid w:val="009577B8"/>
    <w:rsid w:val="0096528E"/>
    <w:rsid w:val="009703F6"/>
    <w:rsid w:val="00971933"/>
    <w:rsid w:val="00974D98"/>
    <w:rsid w:val="0099527E"/>
    <w:rsid w:val="009A227B"/>
    <w:rsid w:val="009C61C5"/>
    <w:rsid w:val="009D49CC"/>
    <w:rsid w:val="009E6CB5"/>
    <w:rsid w:val="009F4B9D"/>
    <w:rsid w:val="009F7D23"/>
    <w:rsid w:val="00A01EDD"/>
    <w:rsid w:val="00A022BC"/>
    <w:rsid w:val="00A13B92"/>
    <w:rsid w:val="00A21774"/>
    <w:rsid w:val="00A269EA"/>
    <w:rsid w:val="00A3309E"/>
    <w:rsid w:val="00A4447D"/>
    <w:rsid w:val="00A45707"/>
    <w:rsid w:val="00A871A5"/>
    <w:rsid w:val="00A96349"/>
    <w:rsid w:val="00AA686C"/>
    <w:rsid w:val="00AA79E7"/>
    <w:rsid w:val="00AB3184"/>
    <w:rsid w:val="00AB4E57"/>
    <w:rsid w:val="00AD032B"/>
    <w:rsid w:val="00AD2AA9"/>
    <w:rsid w:val="00AE2840"/>
    <w:rsid w:val="00AF641D"/>
    <w:rsid w:val="00B02AEB"/>
    <w:rsid w:val="00B035FB"/>
    <w:rsid w:val="00B0449A"/>
    <w:rsid w:val="00B14DFB"/>
    <w:rsid w:val="00B16702"/>
    <w:rsid w:val="00B269D1"/>
    <w:rsid w:val="00B31C1F"/>
    <w:rsid w:val="00B412F2"/>
    <w:rsid w:val="00B4140A"/>
    <w:rsid w:val="00B418A0"/>
    <w:rsid w:val="00B463A0"/>
    <w:rsid w:val="00B50299"/>
    <w:rsid w:val="00B56003"/>
    <w:rsid w:val="00B5751D"/>
    <w:rsid w:val="00B7205E"/>
    <w:rsid w:val="00B80A08"/>
    <w:rsid w:val="00B8526D"/>
    <w:rsid w:val="00B87233"/>
    <w:rsid w:val="00B87554"/>
    <w:rsid w:val="00BA5C36"/>
    <w:rsid w:val="00BB009D"/>
    <w:rsid w:val="00BE36E2"/>
    <w:rsid w:val="00BE7089"/>
    <w:rsid w:val="00C02722"/>
    <w:rsid w:val="00C10F77"/>
    <w:rsid w:val="00C12182"/>
    <w:rsid w:val="00C15A63"/>
    <w:rsid w:val="00C16C13"/>
    <w:rsid w:val="00C26CDD"/>
    <w:rsid w:val="00C53427"/>
    <w:rsid w:val="00C53A59"/>
    <w:rsid w:val="00C60E69"/>
    <w:rsid w:val="00C613FC"/>
    <w:rsid w:val="00C80008"/>
    <w:rsid w:val="00C860BB"/>
    <w:rsid w:val="00CA499C"/>
    <w:rsid w:val="00CA7E0A"/>
    <w:rsid w:val="00CB7549"/>
    <w:rsid w:val="00CC64C7"/>
    <w:rsid w:val="00CD119A"/>
    <w:rsid w:val="00CD519E"/>
    <w:rsid w:val="00CE57CC"/>
    <w:rsid w:val="00CE5D92"/>
    <w:rsid w:val="00CE7E7B"/>
    <w:rsid w:val="00CF5B31"/>
    <w:rsid w:val="00D015CB"/>
    <w:rsid w:val="00D17C22"/>
    <w:rsid w:val="00D22E18"/>
    <w:rsid w:val="00D32ECB"/>
    <w:rsid w:val="00D34878"/>
    <w:rsid w:val="00D3636E"/>
    <w:rsid w:val="00D36404"/>
    <w:rsid w:val="00D62932"/>
    <w:rsid w:val="00D62BCE"/>
    <w:rsid w:val="00D65A73"/>
    <w:rsid w:val="00D71F92"/>
    <w:rsid w:val="00D76C0E"/>
    <w:rsid w:val="00DB1E48"/>
    <w:rsid w:val="00DC1119"/>
    <w:rsid w:val="00DD121F"/>
    <w:rsid w:val="00DD52F3"/>
    <w:rsid w:val="00DD7C1C"/>
    <w:rsid w:val="00DE14F9"/>
    <w:rsid w:val="00DE1549"/>
    <w:rsid w:val="00DF2349"/>
    <w:rsid w:val="00DF287A"/>
    <w:rsid w:val="00E04F2C"/>
    <w:rsid w:val="00E05115"/>
    <w:rsid w:val="00E100EE"/>
    <w:rsid w:val="00E232EE"/>
    <w:rsid w:val="00E27859"/>
    <w:rsid w:val="00E30643"/>
    <w:rsid w:val="00E41674"/>
    <w:rsid w:val="00E45DAD"/>
    <w:rsid w:val="00E45E4C"/>
    <w:rsid w:val="00E54047"/>
    <w:rsid w:val="00E62D74"/>
    <w:rsid w:val="00E81ECD"/>
    <w:rsid w:val="00E879CE"/>
    <w:rsid w:val="00E87F2C"/>
    <w:rsid w:val="00EA2350"/>
    <w:rsid w:val="00EA3886"/>
    <w:rsid w:val="00EA3DF4"/>
    <w:rsid w:val="00EC0DBA"/>
    <w:rsid w:val="00EC1696"/>
    <w:rsid w:val="00EC276E"/>
    <w:rsid w:val="00ED6061"/>
    <w:rsid w:val="00EE1CFF"/>
    <w:rsid w:val="00EE79D1"/>
    <w:rsid w:val="00F12A72"/>
    <w:rsid w:val="00F20E17"/>
    <w:rsid w:val="00F21ACB"/>
    <w:rsid w:val="00F23E22"/>
    <w:rsid w:val="00F24517"/>
    <w:rsid w:val="00F34E2D"/>
    <w:rsid w:val="00F43B24"/>
    <w:rsid w:val="00F47F64"/>
    <w:rsid w:val="00F515B0"/>
    <w:rsid w:val="00F61950"/>
    <w:rsid w:val="00F627A6"/>
    <w:rsid w:val="00F72B75"/>
    <w:rsid w:val="00F74D7F"/>
    <w:rsid w:val="00F77AEE"/>
    <w:rsid w:val="00F81076"/>
    <w:rsid w:val="00F860D4"/>
    <w:rsid w:val="00F91DBB"/>
    <w:rsid w:val="00F938ED"/>
    <w:rsid w:val="00F95CAD"/>
    <w:rsid w:val="00F961C1"/>
    <w:rsid w:val="00FA3F83"/>
    <w:rsid w:val="00FB1DD9"/>
    <w:rsid w:val="00FB2D92"/>
    <w:rsid w:val="00FC327A"/>
    <w:rsid w:val="00FC760F"/>
    <w:rsid w:val="00FE23A5"/>
    <w:rsid w:val="00FF1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4B18A3"/>
    <w:pPr>
      <w:spacing w:before="0" w:beforeAutospacing="0" w:after="200" w:afterAutospacing="0" w:line="276" w:lineRule="auto"/>
    </w:pPr>
    <w:rPr>
      <w:rFonts w:ascii="Arial" w:eastAsia="Calibri" w:hAnsi="Arial" w:cs="Arial"/>
      <w:color w:val="000000"/>
      <w:lang w:eastAsia="en-US"/>
    </w:rPr>
  </w:style>
  <w:style w:type="character" w:styleId="Emphasis">
    <w:name w:val="Emphasis"/>
    <w:basedOn w:val="DefaultParagraphFont"/>
    <w:uiPriority w:val="20"/>
    <w:qFormat/>
    <w:rsid w:val="00B7205E"/>
    <w:rPr>
      <w:i/>
      <w:iCs/>
    </w:rPr>
  </w:style>
  <w:style w:type="character" w:customStyle="1" w:styleId="apple-converted-space">
    <w:name w:val="apple-converted-space"/>
    <w:basedOn w:val="DefaultParagraphFont"/>
    <w:rsid w:val="003E5CA3"/>
  </w:style>
  <w:style w:type="paragraph" w:customStyle="1" w:styleId="Default">
    <w:name w:val="Default"/>
    <w:rsid w:val="00442046"/>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3F7721"/>
    <w:rPr>
      <w:rFonts w:ascii="Calibri" w:eastAsiaTheme="minorEastAsia" w:hAnsi="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4B18A3"/>
    <w:pPr>
      <w:spacing w:before="0" w:beforeAutospacing="0" w:after="200" w:afterAutospacing="0" w:line="276" w:lineRule="auto"/>
    </w:pPr>
    <w:rPr>
      <w:rFonts w:ascii="Arial" w:eastAsia="Calibri" w:hAnsi="Arial" w:cs="Arial"/>
      <w:color w:val="000000"/>
      <w:lang w:eastAsia="en-US"/>
    </w:rPr>
  </w:style>
  <w:style w:type="character" w:styleId="Emphasis">
    <w:name w:val="Emphasis"/>
    <w:basedOn w:val="DefaultParagraphFont"/>
    <w:uiPriority w:val="20"/>
    <w:qFormat/>
    <w:rsid w:val="00B7205E"/>
    <w:rPr>
      <w:i/>
      <w:iCs/>
    </w:rPr>
  </w:style>
  <w:style w:type="character" w:customStyle="1" w:styleId="apple-converted-space">
    <w:name w:val="apple-converted-space"/>
    <w:basedOn w:val="DefaultParagraphFont"/>
    <w:rsid w:val="003E5CA3"/>
  </w:style>
  <w:style w:type="paragraph" w:customStyle="1" w:styleId="Default">
    <w:name w:val="Default"/>
    <w:rsid w:val="00442046"/>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3F7721"/>
    <w:rPr>
      <w:rFonts w:ascii="Calibri" w:eastAsiaTheme="minorEastAsia" w:hAnsi="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6496">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916020202">
      <w:bodyDiv w:val="1"/>
      <w:marLeft w:val="0"/>
      <w:marRight w:val="0"/>
      <w:marTop w:val="0"/>
      <w:marBottom w:val="0"/>
      <w:divBdr>
        <w:top w:val="none" w:sz="0" w:space="0" w:color="auto"/>
        <w:left w:val="none" w:sz="0" w:space="0" w:color="auto"/>
        <w:bottom w:val="none" w:sz="0" w:space="0" w:color="auto"/>
        <w:right w:val="none" w:sz="0" w:space="0" w:color="auto"/>
      </w:divBdr>
    </w:div>
    <w:div w:id="1332415144">
      <w:bodyDiv w:val="1"/>
      <w:marLeft w:val="0"/>
      <w:marRight w:val="0"/>
      <w:marTop w:val="0"/>
      <w:marBottom w:val="0"/>
      <w:divBdr>
        <w:top w:val="none" w:sz="0" w:space="0" w:color="auto"/>
        <w:left w:val="none" w:sz="0" w:space="0" w:color="auto"/>
        <w:bottom w:val="none" w:sz="0" w:space="0" w:color="auto"/>
        <w:right w:val="none" w:sz="0" w:space="0" w:color="auto"/>
      </w:divBdr>
    </w:div>
    <w:div w:id="1337878113">
      <w:bodyDiv w:val="1"/>
      <w:marLeft w:val="0"/>
      <w:marRight w:val="0"/>
      <w:marTop w:val="0"/>
      <w:marBottom w:val="0"/>
      <w:divBdr>
        <w:top w:val="none" w:sz="0" w:space="0" w:color="auto"/>
        <w:left w:val="none" w:sz="0" w:space="0" w:color="auto"/>
        <w:bottom w:val="none" w:sz="0" w:space="0" w:color="auto"/>
        <w:right w:val="none" w:sz="0" w:space="0" w:color="auto"/>
      </w:divBdr>
    </w:div>
    <w:div w:id="14695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lookup/4704.0Chapter250Oct+2010" TargetMode="External"/><Relationship Id="rId1" Type="http://schemas.openxmlformats.org/officeDocument/2006/relationships/hyperlink" Target="http://www.nswfarmers.org.au/__data/assets/pdf_file/0009/33678/Telecommunications-Survey-Final-Summary-13-December-20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6730-2192-4AA5-AA51-FA72F808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1</TotalTime>
  <Pages>10</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Una Lawrence</cp:lastModifiedBy>
  <cp:revision>4</cp:revision>
  <cp:lastPrinted>2014-02-27T22:13:00Z</cp:lastPrinted>
  <dcterms:created xsi:type="dcterms:W3CDTF">2014-02-28T03:29:00Z</dcterms:created>
  <dcterms:modified xsi:type="dcterms:W3CDTF">2014-03-24T00:40:00Z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