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36" w:rsidRPr="00BD42C5" w:rsidRDefault="00E32D59" w:rsidP="00E32D59">
      <w:bookmarkStart w:id="0" w:name="_GoBack"/>
      <w:bookmarkEnd w:id="0"/>
      <w:r>
        <w:t>Friday</w:t>
      </w:r>
      <w:r w:rsidR="00BD42C5" w:rsidRPr="00BD42C5">
        <w:t xml:space="preserve"> </w:t>
      </w:r>
      <w:r>
        <w:t>8</w:t>
      </w:r>
      <w:r w:rsidR="007A5D36" w:rsidRPr="00BD42C5">
        <w:t xml:space="preserve"> </w:t>
      </w:r>
      <w:r>
        <w:t>November</w:t>
      </w:r>
    </w:p>
    <w:p w:rsidR="007A5D36" w:rsidRPr="00BD42C5" w:rsidRDefault="007A5D36" w:rsidP="00E32D59">
      <w:r w:rsidRPr="00BD42C5">
        <w:t>Craig Purdon</w:t>
      </w:r>
      <w:r w:rsidRPr="00BD42C5">
        <w:br/>
        <w:t>Project Manager</w:t>
      </w:r>
      <w:r w:rsidRPr="00BD42C5">
        <w:br/>
        <w:t>Communications Alliance</w:t>
      </w:r>
      <w:r w:rsidRPr="00BD42C5">
        <w:br/>
      </w:r>
      <w:r w:rsidRPr="00E32D59">
        <w:t xml:space="preserve">By </w:t>
      </w:r>
      <w:r w:rsidRPr="00E32D59">
        <w:rPr>
          <w:rFonts w:cstheme="minorHAnsi"/>
        </w:rPr>
        <w:t xml:space="preserve">email: </w:t>
      </w:r>
      <w:hyperlink r:id="rId9" w:history="1">
        <w:r w:rsidRPr="00E32D59">
          <w:rPr>
            <w:rStyle w:val="Hyperlink"/>
            <w:rFonts w:cstheme="minorHAnsi"/>
          </w:rPr>
          <w:t>c.purdon@commsalliance.com.au</w:t>
        </w:r>
      </w:hyperlink>
      <w:r w:rsidRPr="00E32D59">
        <w:t xml:space="preserve"> </w:t>
      </w:r>
    </w:p>
    <w:p w:rsidR="00F0681B" w:rsidRDefault="00F0681B" w:rsidP="00E32D59"/>
    <w:p w:rsidR="00BD42C5" w:rsidRPr="00BD42C5" w:rsidRDefault="00BD42C5" w:rsidP="00E32D59">
      <w:r w:rsidRPr="00BD42C5">
        <w:t>Dear Craig,</w:t>
      </w:r>
    </w:p>
    <w:p w:rsidR="007A5D36" w:rsidRPr="00BD42C5" w:rsidRDefault="00BD42C5" w:rsidP="00E32D59">
      <w:pPr>
        <w:jc w:val="center"/>
        <w:rPr>
          <w:b/>
        </w:rPr>
      </w:pPr>
      <w:r w:rsidRPr="00BD42C5">
        <w:rPr>
          <w:b/>
        </w:rPr>
        <w:t xml:space="preserve">Re: </w:t>
      </w:r>
      <w:r w:rsidR="00616D2F">
        <w:rPr>
          <w:b/>
        </w:rPr>
        <w:t xml:space="preserve">DR </w:t>
      </w:r>
      <w:r w:rsidR="00E32D59">
        <w:rPr>
          <w:b/>
        </w:rPr>
        <w:t>C555</w:t>
      </w:r>
      <w:r w:rsidR="007A5D36" w:rsidRPr="00BD42C5">
        <w:rPr>
          <w:b/>
        </w:rPr>
        <w:t xml:space="preserve">:2019 – </w:t>
      </w:r>
      <w:r w:rsidR="00E32D59">
        <w:rPr>
          <w:b/>
        </w:rPr>
        <w:t>I</w:t>
      </w:r>
      <w:r w:rsidR="00E32D59" w:rsidRPr="00E32D59">
        <w:rPr>
          <w:b/>
        </w:rPr>
        <w:t xml:space="preserve">ntegrated </w:t>
      </w:r>
      <w:r w:rsidR="005A7E55">
        <w:rPr>
          <w:b/>
        </w:rPr>
        <w:t>P</w:t>
      </w:r>
      <w:r w:rsidR="00E32D59" w:rsidRPr="00E32D59">
        <w:rPr>
          <w:b/>
        </w:rPr>
        <w:t xml:space="preserve">ublic </w:t>
      </w:r>
      <w:r w:rsidR="005A7E55">
        <w:rPr>
          <w:b/>
        </w:rPr>
        <w:t>N</w:t>
      </w:r>
      <w:r w:rsidR="00E32D59" w:rsidRPr="00E32D59">
        <w:rPr>
          <w:b/>
        </w:rPr>
        <w:t xml:space="preserve">umber </w:t>
      </w:r>
      <w:r w:rsidR="005A7E55">
        <w:rPr>
          <w:b/>
        </w:rPr>
        <w:t>D</w:t>
      </w:r>
      <w:r w:rsidR="00E32D59" w:rsidRPr="00E32D59">
        <w:rPr>
          <w:b/>
        </w:rPr>
        <w:t>atabase (</w:t>
      </w:r>
      <w:r w:rsidR="00E32D59">
        <w:rPr>
          <w:b/>
        </w:rPr>
        <w:t>IPND</w:t>
      </w:r>
      <w:r w:rsidR="00E32D59" w:rsidRPr="00E32D59">
        <w:rPr>
          <w:b/>
        </w:rPr>
        <w:t xml:space="preserve">) </w:t>
      </w:r>
      <w:r w:rsidR="007A5D36" w:rsidRPr="00BD42C5">
        <w:rPr>
          <w:b/>
        </w:rPr>
        <w:t>Code</w:t>
      </w:r>
    </w:p>
    <w:p w:rsidR="0074570E" w:rsidRPr="003C3084" w:rsidRDefault="00BD42C5" w:rsidP="003C3084">
      <w:r w:rsidRPr="00BD42C5">
        <w:t xml:space="preserve">ACCAN welcomes the opportunity to </w:t>
      </w:r>
      <w:r w:rsidR="00F0681B">
        <w:t xml:space="preserve">offer a </w:t>
      </w:r>
      <w:r w:rsidR="00E32D59">
        <w:t>feedback</w:t>
      </w:r>
      <w:r w:rsidRPr="00BD42C5">
        <w:t xml:space="preserve"> on Communications Alliance’s draft </w:t>
      </w:r>
      <w:r w:rsidR="00E32D59" w:rsidRPr="00E32D59">
        <w:t xml:space="preserve">Integrated </w:t>
      </w:r>
      <w:r w:rsidR="00E32D59">
        <w:t>P</w:t>
      </w:r>
      <w:r w:rsidR="00E32D59" w:rsidRPr="00E32D59">
        <w:t xml:space="preserve">ublic </w:t>
      </w:r>
      <w:r w:rsidR="00E32D59">
        <w:t>N</w:t>
      </w:r>
      <w:r w:rsidR="00E32D59" w:rsidRPr="00E32D59">
        <w:t xml:space="preserve">umber </w:t>
      </w:r>
      <w:r w:rsidR="00E32D59">
        <w:t>D</w:t>
      </w:r>
      <w:r w:rsidR="00E32D59" w:rsidRPr="00E32D59">
        <w:t>atabase</w:t>
      </w:r>
      <w:r w:rsidR="00E32D59">
        <w:t xml:space="preserve"> (IPND) Industry </w:t>
      </w:r>
      <w:r w:rsidR="005A7E55">
        <w:t>Code (</w:t>
      </w:r>
      <w:r w:rsidR="00616D2F">
        <w:t xml:space="preserve">DR </w:t>
      </w:r>
      <w:r w:rsidR="00E32D59">
        <w:t>C555</w:t>
      </w:r>
      <w:r w:rsidRPr="00BD42C5">
        <w:t>:2019)</w:t>
      </w:r>
      <w:r w:rsidR="00735EB8">
        <w:t xml:space="preserve"> (hereafter the </w:t>
      </w:r>
      <w:r w:rsidR="00A73C9E">
        <w:t xml:space="preserve">draft </w:t>
      </w:r>
      <w:r w:rsidR="00735EB8">
        <w:t>Code)</w:t>
      </w:r>
      <w:r w:rsidRPr="00BD42C5">
        <w:t>.</w:t>
      </w:r>
      <w:r w:rsidR="00DF4638">
        <w:t xml:space="preserve"> </w:t>
      </w:r>
    </w:p>
    <w:p w:rsidR="000E5CAE" w:rsidRDefault="00B9041F" w:rsidP="000E5CAE">
      <w:pPr>
        <w:keepNext/>
        <w:keepLines/>
      </w:pPr>
      <w:r>
        <w:t>We have</w:t>
      </w:r>
      <w:r w:rsidR="000E5CAE">
        <w:t xml:space="preserve"> engaged extensively with IPND-related policy issues in the past. Our long-term concerns for the IPND have been in relation to: </w:t>
      </w:r>
    </w:p>
    <w:p w:rsidR="000E5CAE" w:rsidRDefault="000E5CAE" w:rsidP="000E5CAE">
      <w:pPr>
        <w:pStyle w:val="ListParagraph"/>
        <w:keepNext/>
        <w:keepLines/>
        <w:numPr>
          <w:ilvl w:val="0"/>
          <w:numId w:val="6"/>
        </w:numPr>
      </w:pPr>
      <w:r>
        <w:t>Data accuracy for the purposes of emergency calls, emergency warnings and law enforcement;</w:t>
      </w:r>
    </w:p>
    <w:p w:rsidR="000E5CAE" w:rsidRDefault="000E5CAE" w:rsidP="000E5CAE">
      <w:pPr>
        <w:pStyle w:val="ListParagraph"/>
        <w:keepNext/>
        <w:keepLines/>
        <w:numPr>
          <w:ilvl w:val="0"/>
          <w:numId w:val="6"/>
        </w:numPr>
      </w:pPr>
      <w:r>
        <w:t>Privacy of and access to Pub</w:t>
      </w:r>
      <w:r w:rsidR="00554E89">
        <w:t>lic Number Customer Data (PNCD);</w:t>
      </w:r>
      <w:r>
        <w:t xml:space="preserve"> and</w:t>
      </w:r>
    </w:p>
    <w:p w:rsidR="000E5CAE" w:rsidRDefault="000E5CAE" w:rsidP="000E5CAE">
      <w:pPr>
        <w:pStyle w:val="ListParagraph"/>
        <w:keepNext/>
        <w:keepLines/>
        <w:numPr>
          <w:ilvl w:val="0"/>
          <w:numId w:val="6"/>
        </w:numPr>
      </w:pPr>
      <w:r>
        <w:t>Consumer awareness of the IPND.</w:t>
      </w:r>
    </w:p>
    <w:p w:rsidR="000576D9" w:rsidRDefault="00B9041F" w:rsidP="000576D9">
      <w:pPr>
        <w:keepNext/>
        <w:keepLines/>
      </w:pPr>
      <w:r>
        <w:t>ACCAN</w:t>
      </w:r>
      <w:r w:rsidR="000576D9">
        <w:t xml:space="preserve"> support</w:t>
      </w:r>
      <w:r>
        <w:t>s</w:t>
      </w:r>
      <w:r w:rsidR="000576D9">
        <w:t xml:space="preserve"> the </w:t>
      </w:r>
      <w:r>
        <w:t>intended outcomes</w:t>
      </w:r>
      <w:r w:rsidR="000576D9">
        <w:t xml:space="preserve"> of this Code review: to improve the integrity and accuracy of the IPND, and provide clarity on a number of components of the current IPND Code.</w:t>
      </w:r>
      <w:r>
        <w:t xml:space="preserve"> The draft Code partially meets these outcomes. Please find our general comments and specific feedback on the draft Code below. </w:t>
      </w:r>
    </w:p>
    <w:p w:rsidR="006C0196" w:rsidRPr="00470B4F" w:rsidRDefault="006C0196" w:rsidP="00E312DB">
      <w:pPr>
        <w:pStyle w:val="Heading1"/>
      </w:pPr>
      <w:r w:rsidRPr="00E312DB">
        <w:t>General</w:t>
      </w:r>
      <w:r w:rsidRPr="00470B4F">
        <w:t xml:space="preserve"> </w:t>
      </w:r>
      <w:r w:rsidRPr="00351C15">
        <w:t>comments</w:t>
      </w:r>
    </w:p>
    <w:p w:rsidR="000530BA" w:rsidRDefault="000576D9" w:rsidP="00E32D59">
      <w:r>
        <w:t>As outlined in t</w:t>
      </w:r>
      <w:r w:rsidR="00735EB8">
        <w:t xml:space="preserve">he Terms of Reference </w:t>
      </w:r>
      <w:r>
        <w:t>(</w:t>
      </w:r>
      <w:proofErr w:type="spellStart"/>
      <w:r>
        <w:t>ToR</w:t>
      </w:r>
      <w:proofErr w:type="spellEnd"/>
      <w:r>
        <w:t>), the intention of this</w:t>
      </w:r>
      <w:r w:rsidR="00F2110A">
        <w:t xml:space="preserve"> Code</w:t>
      </w:r>
      <w:r w:rsidR="00EA3214">
        <w:t xml:space="preserve"> review </w:t>
      </w:r>
      <w:r>
        <w:t>is to</w:t>
      </w:r>
      <w:r w:rsidR="00EA3214">
        <w:t xml:space="preserve"> a</w:t>
      </w:r>
      <w:r>
        <w:t>mend</w:t>
      </w:r>
      <w:r w:rsidR="00693CC5">
        <w:t xml:space="preserve"> deficiencies</w:t>
      </w:r>
      <w:r>
        <w:t xml:space="preserve"> in the current IPND Code that were</w:t>
      </w:r>
      <w:r w:rsidR="00693CC5">
        <w:t xml:space="preserve"> </w:t>
      </w:r>
      <w:r w:rsidR="00EE709B">
        <w:t>identified</w:t>
      </w:r>
      <w:r w:rsidR="00693CC5">
        <w:t xml:space="preserve"> by the ACMA in its 2018 review of the IPND</w:t>
      </w:r>
      <w:r w:rsidR="00B9041F">
        <w:t>.</w:t>
      </w:r>
      <w:r w:rsidR="00B9041F">
        <w:rPr>
          <w:rStyle w:val="FootnoteReference"/>
        </w:rPr>
        <w:footnoteReference w:id="1"/>
      </w:r>
      <w:r w:rsidR="00735EB8">
        <w:t xml:space="preserve"> </w:t>
      </w:r>
      <w:r w:rsidR="00381C48">
        <w:t xml:space="preserve">The </w:t>
      </w:r>
      <w:r w:rsidR="003C3084">
        <w:t xml:space="preserve">draft </w:t>
      </w:r>
      <w:r w:rsidR="00381C48">
        <w:t>Code</w:t>
      </w:r>
      <w:r w:rsidR="00693CC5">
        <w:t xml:space="preserve"> </w:t>
      </w:r>
      <w:r w:rsidR="00381C48">
        <w:t>a</w:t>
      </w:r>
      <w:r w:rsidR="00EA3214">
        <w:t>dequately addresses</w:t>
      </w:r>
      <w:r w:rsidR="00381C48">
        <w:t xml:space="preserve"> the </w:t>
      </w:r>
      <w:r w:rsidR="003C3084">
        <w:t>first</w:t>
      </w:r>
      <w:r w:rsidR="004F16E4">
        <w:t xml:space="preserve"> and third</w:t>
      </w:r>
      <w:r w:rsidR="003C3084">
        <w:t xml:space="preserve"> aspects of the </w:t>
      </w:r>
      <w:proofErr w:type="spellStart"/>
      <w:r w:rsidR="003C3084">
        <w:t>ToR</w:t>
      </w:r>
      <w:proofErr w:type="spellEnd"/>
      <w:r w:rsidR="00F2110A">
        <w:t>. These state that the</w:t>
      </w:r>
      <w:r w:rsidR="00A73C9E">
        <w:t xml:space="preserve"> 2017</w:t>
      </w:r>
      <w:r w:rsidR="00F2110A">
        <w:t xml:space="preserve"> </w:t>
      </w:r>
      <w:r w:rsidR="000530BA">
        <w:t>Code</w:t>
      </w:r>
      <w:r w:rsidR="00A73C9E">
        <w:t xml:space="preserve"> should</w:t>
      </w:r>
      <w:r w:rsidR="000530BA">
        <w:t xml:space="preserve"> </w:t>
      </w:r>
      <w:r w:rsidR="00F2110A">
        <w:t>be amended to</w:t>
      </w:r>
      <w:r w:rsidR="000530BA">
        <w:t>:</w:t>
      </w:r>
    </w:p>
    <w:p w:rsidR="00F2110A" w:rsidRDefault="00F2110A" w:rsidP="00F2110A">
      <w:pPr>
        <w:pStyle w:val="ListParagraph"/>
        <w:numPr>
          <w:ilvl w:val="0"/>
          <w:numId w:val="4"/>
        </w:numPr>
      </w:pPr>
      <w:r>
        <w:t>I</w:t>
      </w:r>
      <w:r w:rsidR="000530BA">
        <w:t xml:space="preserve">nclude a regular mandatory feedback mechanism for the reconciliation of a CSP’s customer records </w:t>
      </w:r>
      <w:r w:rsidR="00445D76">
        <w:t>against its records in the IPND; and</w:t>
      </w:r>
    </w:p>
    <w:p w:rsidR="000530BA" w:rsidRDefault="000530BA" w:rsidP="000530BA">
      <w:pPr>
        <w:pStyle w:val="ListParagraph"/>
        <w:numPr>
          <w:ilvl w:val="0"/>
          <w:numId w:val="4"/>
        </w:numPr>
      </w:pPr>
      <w:r>
        <w:t>Review and amend inconsistency in</w:t>
      </w:r>
      <w:r w:rsidR="00F2110A">
        <w:t xml:space="preserve"> the</w:t>
      </w:r>
      <w:r>
        <w:t xml:space="preserve"> treatment of some public numbers under the IPND Code</w:t>
      </w:r>
      <w:r w:rsidR="00EA3214">
        <w:t>.</w:t>
      </w:r>
    </w:p>
    <w:p w:rsidR="00A73C9E" w:rsidRDefault="00381C48" w:rsidP="00B9041F">
      <w:pPr>
        <w:keepNext/>
        <w:keepLines/>
      </w:pPr>
      <w:r>
        <w:lastRenderedPageBreak/>
        <w:t xml:space="preserve">However, the </w:t>
      </w:r>
      <w:r w:rsidR="004F16E4">
        <w:t xml:space="preserve">second and </w:t>
      </w:r>
      <w:r>
        <w:t xml:space="preserve">fourth </w:t>
      </w:r>
      <w:r w:rsidR="00A73C9E">
        <w:t xml:space="preserve">components of the </w:t>
      </w:r>
      <w:proofErr w:type="spellStart"/>
      <w:r w:rsidR="00A73C9E">
        <w:t>ToR</w:t>
      </w:r>
      <w:proofErr w:type="spellEnd"/>
      <w:r w:rsidR="00A73C9E">
        <w:t xml:space="preserve"> have</w:t>
      </w:r>
      <w:r w:rsidR="003C3084">
        <w:t xml:space="preserve"> not fully been met</w:t>
      </w:r>
      <w:r w:rsidR="00A73C9E">
        <w:t>. These are to</w:t>
      </w:r>
      <w:r w:rsidR="003C3084">
        <w:t>:</w:t>
      </w:r>
    </w:p>
    <w:p w:rsidR="00A73C9E" w:rsidRDefault="00540A91" w:rsidP="00B9041F">
      <w:pPr>
        <w:pStyle w:val="ListParagraph"/>
        <w:keepNext/>
        <w:keepLines/>
        <w:numPr>
          <w:ilvl w:val="0"/>
          <w:numId w:val="12"/>
        </w:numPr>
      </w:pPr>
      <w:r>
        <w:t>I</w:t>
      </w:r>
      <w:r w:rsidR="00A73C9E">
        <w:t>nclude mandatory requirements surrounding Changed Data Provider reports; and</w:t>
      </w:r>
    </w:p>
    <w:p w:rsidR="00A73C9E" w:rsidRDefault="00A73C9E" w:rsidP="00B9041F">
      <w:pPr>
        <w:pStyle w:val="ListParagraph"/>
        <w:keepNext/>
        <w:keepLines/>
        <w:numPr>
          <w:ilvl w:val="0"/>
          <w:numId w:val="12"/>
        </w:numPr>
      </w:pPr>
      <w:r>
        <w:t>R</w:t>
      </w:r>
      <w:r w:rsidR="00EA3214">
        <w:t>eview</w:t>
      </w:r>
      <w:r w:rsidR="003C3084">
        <w:t xml:space="preserve"> </w:t>
      </w:r>
      <w:r w:rsidR="000530BA">
        <w:t>additional</w:t>
      </w:r>
      <w:r w:rsidR="00EA3214">
        <w:t xml:space="preserve"> operational improvements </w:t>
      </w:r>
      <w:r w:rsidR="00F2110A">
        <w:t>and</w:t>
      </w:r>
      <w:r w:rsidR="003C3084">
        <w:t xml:space="preserve"> issues that have arisen from </w:t>
      </w:r>
      <w:r w:rsidR="00F2110A">
        <w:t xml:space="preserve">recent </w:t>
      </w:r>
      <w:r w:rsidR="003C3084">
        <w:t>ACMA reconciliation activities.</w:t>
      </w:r>
      <w:r w:rsidR="00F2110A">
        <w:t xml:space="preserve"> </w:t>
      </w:r>
    </w:p>
    <w:p w:rsidR="00AE02B9" w:rsidRDefault="00AE02B9" w:rsidP="00AE02B9">
      <w:pPr>
        <w:pStyle w:val="Heading2"/>
      </w:pPr>
      <w:r>
        <w:t xml:space="preserve">Changed Data </w:t>
      </w:r>
      <w:r w:rsidRPr="00351C15">
        <w:t>Provider</w:t>
      </w:r>
      <w:r>
        <w:t xml:space="preserve"> Reports</w:t>
      </w:r>
    </w:p>
    <w:p w:rsidR="00AE02B9" w:rsidRDefault="00AE02B9" w:rsidP="00AE02B9">
      <w:r>
        <w:t xml:space="preserve">ACCAN does not consider that the second </w:t>
      </w:r>
      <w:r w:rsidR="00F8307D">
        <w:t>component</w:t>
      </w:r>
      <w:r>
        <w:t xml:space="preserve"> of the </w:t>
      </w:r>
      <w:proofErr w:type="spellStart"/>
      <w:r>
        <w:t>ToR</w:t>
      </w:r>
      <w:proofErr w:type="spellEnd"/>
      <w:r>
        <w:t xml:space="preserve"> ha</w:t>
      </w:r>
      <w:r w:rsidR="00445D76">
        <w:t xml:space="preserve">s been met in the draft Code. The </w:t>
      </w:r>
      <w:proofErr w:type="spellStart"/>
      <w:r w:rsidR="00445D76">
        <w:t>ToR</w:t>
      </w:r>
      <w:proofErr w:type="spellEnd"/>
      <w:r w:rsidR="00445D76">
        <w:t xml:space="preserve"> </w:t>
      </w:r>
      <w:r w:rsidR="005A7E55">
        <w:t>state:</w:t>
      </w:r>
    </w:p>
    <w:p w:rsidR="00AE02B9" w:rsidRDefault="00AE02B9" w:rsidP="00AE02B9">
      <w:pPr>
        <w:pStyle w:val="ListParagraph"/>
        <w:numPr>
          <w:ilvl w:val="0"/>
          <w:numId w:val="13"/>
        </w:numPr>
      </w:pPr>
      <w:r>
        <w:t>Review of Changed Data Provider reports issued by the IPND Manager – clause 6.1.10</w:t>
      </w:r>
      <w:proofErr w:type="gramStart"/>
      <w:r>
        <w:t>;</w:t>
      </w:r>
      <w:proofErr w:type="gramEnd"/>
      <w:r>
        <w:br/>
        <w:t xml:space="preserve">Amend to include mandatory requirements for CSPs to: </w:t>
      </w:r>
      <w:r>
        <w:br/>
        <w:t>review monthly, take corrective action, notify other CSPs of incorrect overwritten records and maintain a record of CSPs who overwrite IPND records.</w:t>
      </w:r>
    </w:p>
    <w:p w:rsidR="00AE02B9" w:rsidRDefault="00AE02B9" w:rsidP="00AE02B9">
      <w:r>
        <w:t xml:space="preserve">The draft Code </w:t>
      </w:r>
      <w:r w:rsidR="00445D76">
        <w:t xml:space="preserve">does not </w:t>
      </w:r>
      <w:r w:rsidR="00616D2F">
        <w:t>adequately</w:t>
      </w:r>
      <w:r w:rsidR="00445D76">
        <w:t xml:space="preserve"> address</w:t>
      </w:r>
      <w:r>
        <w:t xml:space="preserve"> th</w:t>
      </w:r>
      <w:r w:rsidR="00B03442">
        <w:t>is</w:t>
      </w:r>
      <w:r>
        <w:t xml:space="preserve">. The note box in Section 5.1.13 </w:t>
      </w:r>
      <w:r w:rsidR="00F8307D">
        <w:t xml:space="preserve">of the draft Code </w:t>
      </w:r>
      <w:r>
        <w:t>states, ‘</w:t>
      </w:r>
      <w:r w:rsidRPr="00A73C9E">
        <w:t xml:space="preserve">All Data Providers </w:t>
      </w:r>
      <w:r w:rsidRPr="00A73C9E">
        <w:rPr>
          <w:b/>
        </w:rPr>
        <w:t>should</w:t>
      </w:r>
      <w:r w:rsidRPr="00A73C9E">
        <w:t xml:space="preserve"> check their monthly changed data provider report</w:t>
      </w:r>
      <w:r>
        <w:t xml:space="preserve">’, rather than </w:t>
      </w:r>
      <w:r w:rsidRPr="00540A91">
        <w:rPr>
          <w:b/>
        </w:rPr>
        <w:t>must</w:t>
      </w:r>
      <w:r>
        <w:t>. There is no reference to</w:t>
      </w:r>
      <w:r w:rsidR="00F8307D">
        <w:t xml:space="preserve"> CSPs notifying other </w:t>
      </w:r>
      <w:r>
        <w:t>CSP</w:t>
      </w:r>
      <w:r w:rsidR="00F8307D">
        <w:t>s</w:t>
      </w:r>
      <w:r>
        <w:t xml:space="preserve"> of incorrect overwritten records, or maintaining a record of CSPs overwriting records.</w:t>
      </w:r>
    </w:p>
    <w:p w:rsidR="00AE02B9" w:rsidRPr="00A73C9E" w:rsidRDefault="00AE02B9" w:rsidP="00AE02B9">
      <w:r>
        <w:t>ACCAN understands the logistical limitations to addressing certain technical changes to the IPND and consequently the IPND Code. We have provided comment on this</w:t>
      </w:r>
      <w:r w:rsidR="00B46C24">
        <w:t xml:space="preserve"> matter</w:t>
      </w:r>
      <w:r>
        <w:t xml:space="preserve"> in the following section.  </w:t>
      </w:r>
    </w:p>
    <w:p w:rsidR="00AE02B9" w:rsidRDefault="00AE02B9" w:rsidP="00AE02B9">
      <w:pPr>
        <w:pStyle w:val="Heading2"/>
      </w:pPr>
      <w:r>
        <w:t xml:space="preserve">Additional operational improvements </w:t>
      </w:r>
    </w:p>
    <w:p w:rsidR="00AE02B9" w:rsidRDefault="00AE02B9" w:rsidP="00AE02B9">
      <w:r>
        <w:t>ACCAN understands that additional ACMA recommendations surrounding changes to the Code cannot be adopted until industry stakeholders undertake extensive internal reviews of IPND technical capabilities and processes.  It is regrettable that as a consequence further improvements of the IPND Code will not be addressed until sometime next year, especially considering that the need for delay stems from:</w:t>
      </w:r>
    </w:p>
    <w:p w:rsidR="00AE02B9" w:rsidRDefault="00AE02B9" w:rsidP="00AE02B9">
      <w:pPr>
        <w:pStyle w:val="ListParagraph"/>
        <w:numPr>
          <w:ilvl w:val="0"/>
          <w:numId w:val="3"/>
        </w:numPr>
      </w:pPr>
      <w:r>
        <w:t>a historical lack of engagement with the technical capabi</w:t>
      </w:r>
      <w:r w:rsidR="00445D76">
        <w:t>lities and capacity of the IPND;</w:t>
      </w:r>
      <w:r>
        <w:t xml:space="preserve"> </w:t>
      </w:r>
    </w:p>
    <w:p w:rsidR="00AE02B9" w:rsidRDefault="00AE02B9" w:rsidP="00AE02B9">
      <w:pPr>
        <w:pStyle w:val="ListParagraph"/>
        <w:numPr>
          <w:ilvl w:val="0"/>
          <w:numId w:val="3"/>
        </w:numPr>
      </w:pPr>
      <w:r>
        <w:t>CSPs</w:t>
      </w:r>
      <w:r w:rsidR="00882492">
        <w:t xml:space="preserve"> giving low priority </w:t>
      </w:r>
      <w:r>
        <w:t>to internal best practice IP</w:t>
      </w:r>
      <w:r w:rsidR="00445D76">
        <w:t>ND reporting and reconciliation;</w:t>
      </w:r>
      <w:r>
        <w:t xml:space="preserve"> and</w:t>
      </w:r>
    </w:p>
    <w:p w:rsidR="00AE02B9" w:rsidRDefault="0069798D" w:rsidP="00AE02B9">
      <w:pPr>
        <w:pStyle w:val="ListParagraph"/>
        <w:numPr>
          <w:ilvl w:val="0"/>
          <w:numId w:val="3"/>
        </w:numPr>
      </w:pPr>
      <w:r>
        <w:t>CSPs giving low priority to allocating</w:t>
      </w:r>
      <w:r w:rsidR="00AE02B9">
        <w:t xml:space="preserve"> sufficient resources to satisfy this end. </w:t>
      </w:r>
    </w:p>
    <w:p w:rsidR="00AE02B9" w:rsidRDefault="00AE02B9" w:rsidP="00AE02B9">
      <w:r>
        <w:t>We recognise the logistical limitations addressed during the Code review. However, we stress the need to progress</w:t>
      </w:r>
      <w:r w:rsidR="00445D76">
        <w:t xml:space="preserve"> the</w:t>
      </w:r>
      <w:r>
        <w:t xml:space="preserve"> IPND changes identified by the ACMA as quickly as practicable. This will ensure that IPND Data Users such as law enforcement personnel and Emergency Call People have access to the accurate PNCD. </w:t>
      </w:r>
    </w:p>
    <w:p w:rsidR="006C0196" w:rsidRDefault="006C0196" w:rsidP="00AE02B9">
      <w:pPr>
        <w:pStyle w:val="Heading2"/>
      </w:pPr>
      <w:r>
        <w:t>Suggestions for further action</w:t>
      </w:r>
    </w:p>
    <w:p w:rsidR="00F8307D" w:rsidRDefault="00F8307D" w:rsidP="00F8307D">
      <w:r>
        <w:t>The draft Code and</w:t>
      </w:r>
      <w:r w:rsidR="00616D2F">
        <w:t xml:space="preserve"> its</w:t>
      </w:r>
      <w:r>
        <w:t xml:space="preserve"> previous </w:t>
      </w:r>
      <w:r w:rsidR="00B46C24">
        <w:t>versions</w:t>
      </w:r>
      <w:r w:rsidR="00616D2F">
        <w:t xml:space="preserve"> </w:t>
      </w:r>
      <w:r w:rsidR="00445D76">
        <w:t>are impenetrable to the general consumer. Definitions and instructions should be communicated in plain English and simple sentences</w:t>
      </w:r>
      <w:r w:rsidR="00426E45">
        <w:t>,</w:t>
      </w:r>
      <w:r w:rsidR="00445D76">
        <w:t xml:space="preserve"> with as little jargon as possible. Included in the following section are a number of suggestions to support this. </w:t>
      </w:r>
    </w:p>
    <w:p w:rsidR="00F8307D" w:rsidRDefault="00445D76" w:rsidP="00F8307D">
      <w:r>
        <w:lastRenderedPageBreak/>
        <w:t>I</w:t>
      </w:r>
      <w:r w:rsidR="00F8307D">
        <w:t>t is difficult to keep track of</w:t>
      </w:r>
      <w:r>
        <w:t xml:space="preserve"> the various</w:t>
      </w:r>
      <w:r w:rsidR="00F8307D">
        <w:t xml:space="preserve"> timelines </w:t>
      </w:r>
      <w:r>
        <w:t xml:space="preserve">that apply to IPND-related activities. </w:t>
      </w:r>
      <w:r w:rsidR="00CD6D13">
        <w:t xml:space="preserve">The IPND Obligations and Timelines </w:t>
      </w:r>
      <w:r w:rsidR="00426E45">
        <w:t>table in Appendix B is a welcome addition. Any IPND-related activities with an associated timeframe should be included in this table. We note that the</w:t>
      </w:r>
      <w:r w:rsidR="00616D2F">
        <w:t xml:space="preserve"> 20 business day</w:t>
      </w:r>
      <w:r w:rsidR="00426E45">
        <w:t xml:space="preserve"> timeframe </w:t>
      </w:r>
      <w:r w:rsidR="00616D2F">
        <w:t>for</w:t>
      </w:r>
      <w:r w:rsidR="00426E45">
        <w:t xml:space="preserve"> </w:t>
      </w:r>
      <w:r w:rsidR="00616D2F">
        <w:t>responding to</w:t>
      </w:r>
      <w:r w:rsidR="00426E45">
        <w:t xml:space="preserve"> a customer</w:t>
      </w:r>
      <w:r w:rsidR="00616D2F">
        <w:t>’s request for</w:t>
      </w:r>
      <w:r w:rsidR="00426E45">
        <w:t xml:space="preserve"> their PNCD should be included in Appendix B.</w:t>
      </w:r>
      <w:r w:rsidR="00616D2F">
        <w:rPr>
          <w:rStyle w:val="FootnoteReference"/>
        </w:rPr>
        <w:footnoteReference w:id="2"/>
      </w:r>
    </w:p>
    <w:p w:rsidR="006C0196" w:rsidRPr="005A7E55" w:rsidRDefault="005A7E55" w:rsidP="005A7E55">
      <w:pPr>
        <w:rPr>
          <w:highlight w:val="yellow"/>
        </w:rPr>
      </w:pPr>
      <w:r>
        <w:t xml:space="preserve">Communications Alliance’s Industry Guideline G619:2017 </w:t>
      </w:r>
      <w:r>
        <w:softHyphen/>
        <w:t xml:space="preserve">– IPND Data should be reviewed in line with changes to the IPND Code. Particular attention should be paid to detailing a best practice approach to PNCD data reconciliation.   </w:t>
      </w:r>
    </w:p>
    <w:p w:rsidR="00693CC5" w:rsidRDefault="00775B87" w:rsidP="00693CC5">
      <w:r>
        <w:t xml:space="preserve">We have provided further commentary on </w:t>
      </w:r>
      <w:r w:rsidR="00540A91">
        <w:t xml:space="preserve">our concerns and suggestions </w:t>
      </w:r>
      <w:r w:rsidR="005A7E55">
        <w:t>regarding</w:t>
      </w:r>
      <w:r w:rsidR="00540A91">
        <w:t xml:space="preserve"> </w:t>
      </w:r>
      <w:r>
        <w:t>s</w:t>
      </w:r>
      <w:r w:rsidR="00EB6D04">
        <w:t>pecific</w:t>
      </w:r>
      <w:r>
        <w:t xml:space="preserve"> aspects of the </w:t>
      </w:r>
      <w:r w:rsidR="00A73C9E">
        <w:t xml:space="preserve">draft </w:t>
      </w:r>
      <w:r w:rsidR="00540A91">
        <w:t>Code below.</w:t>
      </w:r>
    </w:p>
    <w:p w:rsidR="003C3084" w:rsidRDefault="003C3084" w:rsidP="00E312DB">
      <w:pPr>
        <w:pStyle w:val="Heading1"/>
      </w:pPr>
      <w:r>
        <w:t>Feedback on the draft Code</w:t>
      </w:r>
    </w:p>
    <w:p w:rsidR="00802234" w:rsidRDefault="00802234" w:rsidP="00802234">
      <w:pPr>
        <w:pStyle w:val="Heading2"/>
      </w:pPr>
      <w:r>
        <w:t>PNCD data quality</w:t>
      </w:r>
    </w:p>
    <w:p w:rsidR="00802234" w:rsidRDefault="0069798D" w:rsidP="00802234">
      <w:r>
        <w:t>There is</w:t>
      </w:r>
      <w:r w:rsidR="00802234">
        <w:t xml:space="preserve"> inconsistency in the draft Code </w:t>
      </w:r>
      <w:r w:rsidR="002C7F9B">
        <w:t xml:space="preserve">about </w:t>
      </w:r>
      <w:r w:rsidR="00802234">
        <w:t xml:space="preserve">timeframes </w:t>
      </w:r>
      <w:r w:rsidR="002C7F9B">
        <w:t xml:space="preserve">for </w:t>
      </w:r>
      <w:r w:rsidR="00802234">
        <w:t>correcting incorrect PNCD. Section 5.3.3 states that Data Providers must r</w:t>
      </w:r>
      <w:r w:rsidR="00802234" w:rsidRPr="00A10C55">
        <w:t>econcile</w:t>
      </w:r>
      <w:r w:rsidR="00104DAD">
        <w:t xml:space="preserve"> and amend</w:t>
      </w:r>
      <w:r w:rsidR="00802234" w:rsidRPr="00A10C55">
        <w:t xml:space="preserve"> the </w:t>
      </w:r>
      <w:r w:rsidR="00104DAD">
        <w:t xml:space="preserve">6-monthly </w:t>
      </w:r>
      <w:r w:rsidR="00802234" w:rsidRPr="00A10C55">
        <w:t>extract of the</w:t>
      </w:r>
      <w:r w:rsidR="00104DAD">
        <w:t>ir</w:t>
      </w:r>
      <w:r w:rsidR="00802234" w:rsidRPr="00A10C55">
        <w:t xml:space="preserve"> PNCD</w:t>
      </w:r>
      <w:r w:rsidR="00104DAD">
        <w:t xml:space="preserve"> with</w:t>
      </w:r>
      <w:r w:rsidR="00802234" w:rsidRPr="00A10C55">
        <w:t xml:space="preserve"> t</w:t>
      </w:r>
      <w:r w:rsidR="00104DAD">
        <w:t>he relevant CSP Customer data and</w:t>
      </w:r>
      <w:r w:rsidR="00802234" w:rsidRPr="00A10C55">
        <w:t xml:space="preserve"> sending</w:t>
      </w:r>
      <w:r w:rsidR="00104DAD">
        <w:t xml:space="preserve"> the</w:t>
      </w:r>
      <w:r w:rsidR="00802234" w:rsidRPr="00A10C55">
        <w:t xml:space="preserve"> updated PNCD to the IPND Manager within </w:t>
      </w:r>
      <w:r w:rsidR="00802234">
        <w:rPr>
          <w:b/>
        </w:rPr>
        <w:t>15 business d</w:t>
      </w:r>
      <w:r w:rsidR="00802234" w:rsidRPr="00802234">
        <w:rPr>
          <w:b/>
        </w:rPr>
        <w:t>ays of the PNCD extract being downloaded</w:t>
      </w:r>
      <w:r w:rsidR="00802234" w:rsidRPr="00A10C55">
        <w:t>.</w:t>
      </w:r>
      <w:r w:rsidR="00802234">
        <w:t xml:space="preserve"> </w:t>
      </w:r>
    </w:p>
    <w:p w:rsidR="00802234" w:rsidRDefault="00802234" w:rsidP="00802234">
      <w:r>
        <w:t>However, Section 5.2.1 states that a</w:t>
      </w:r>
      <w:r w:rsidRPr="00802234">
        <w:t xml:space="preserve"> CSP</w:t>
      </w:r>
      <w:r w:rsidR="0069798D">
        <w:t xml:space="preserve"> (that may be a D</w:t>
      </w:r>
      <w:r>
        <w:t xml:space="preserve">ata </w:t>
      </w:r>
      <w:r w:rsidR="0069798D">
        <w:t>P</w:t>
      </w:r>
      <w:r>
        <w:t>rovide</w:t>
      </w:r>
      <w:r w:rsidR="000576D9">
        <w:t>r</w:t>
      </w:r>
      <w:r>
        <w:t>)</w:t>
      </w:r>
      <w:r w:rsidRPr="00802234">
        <w:t xml:space="preserve">, upon confirming that a Customer’s PNCD is incorrect, must take reasonable steps to ensure that </w:t>
      </w:r>
      <w:r w:rsidRPr="00802234">
        <w:rPr>
          <w:b/>
        </w:rPr>
        <w:t>incorrect data is corrected and sent to the IPND Manager within two Business Days</w:t>
      </w:r>
      <w:r w:rsidRPr="00802234">
        <w:t>, subject to operational limitations</w:t>
      </w:r>
      <w:r w:rsidR="000576D9">
        <w:t>.</w:t>
      </w:r>
    </w:p>
    <w:p w:rsidR="00802234" w:rsidRDefault="00802234" w:rsidP="00802234">
      <w:r>
        <w:t xml:space="preserve">This inconsistency should be amended, or further clarification as to why these timeframes </w:t>
      </w:r>
      <w:r w:rsidR="000576D9">
        <w:t>differ</w:t>
      </w:r>
      <w:r>
        <w:t xml:space="preserve"> should be </w:t>
      </w:r>
      <w:r w:rsidR="0069798D">
        <w:t>included</w:t>
      </w:r>
      <w:r w:rsidR="000576D9">
        <w:t xml:space="preserve"> in the Code</w:t>
      </w:r>
      <w:r>
        <w:t xml:space="preserve">. </w:t>
      </w:r>
    </w:p>
    <w:p w:rsidR="000E5CAE" w:rsidRDefault="000E5CAE" w:rsidP="00351C15">
      <w:pPr>
        <w:pStyle w:val="Heading2"/>
      </w:pPr>
      <w:r w:rsidRPr="00470B4F">
        <w:t>Changes</w:t>
      </w:r>
      <w:r w:rsidR="00470B4F" w:rsidRPr="00470B4F">
        <w:t xml:space="preserve"> to definitions </w:t>
      </w:r>
    </w:p>
    <w:p w:rsidR="00775B87" w:rsidRDefault="00775B87" w:rsidP="00775B87">
      <w:r>
        <w:t>We support the amended definitions</w:t>
      </w:r>
      <w:r w:rsidR="000576D9">
        <w:t xml:space="preserve"> of key terms</w:t>
      </w:r>
      <w:r>
        <w:t xml:space="preserve"> </w:t>
      </w:r>
      <w:r w:rsidR="000576D9">
        <w:t>outlined</w:t>
      </w:r>
      <w:r>
        <w:t xml:space="preserve"> in the draft Code. However, we recommend that the wording of Reconciliation be simplified for clarity. Currently, the definition reads: </w:t>
      </w:r>
    </w:p>
    <w:p w:rsidR="00A03B0E" w:rsidRPr="004F16E4" w:rsidRDefault="00A03B0E" w:rsidP="00A03B0E">
      <w:pPr>
        <w:ind w:left="360"/>
        <w:rPr>
          <w:i/>
          <w:sz w:val="20"/>
        </w:rPr>
      </w:pPr>
      <w:r w:rsidRPr="004F16E4">
        <w:rPr>
          <w:i/>
          <w:sz w:val="20"/>
        </w:rPr>
        <w:t>Reconciliation means the comparison and correction by a CSP, or Data Provider, of the PNCD held by the IPND Manager associated to that particular CSP, or Data Provider, with the CSP, or Data Providers own data for a Number that is: -</w:t>
      </w:r>
    </w:p>
    <w:p w:rsidR="00A03B0E" w:rsidRPr="004F16E4" w:rsidRDefault="00A03B0E" w:rsidP="00151EAB">
      <w:pPr>
        <w:pStyle w:val="ListParagraph"/>
        <w:numPr>
          <w:ilvl w:val="0"/>
          <w:numId w:val="10"/>
        </w:numPr>
        <w:rPr>
          <w:i/>
          <w:sz w:val="20"/>
        </w:rPr>
      </w:pPr>
      <w:r w:rsidRPr="004F16E4">
        <w:rPr>
          <w:i/>
          <w:sz w:val="20"/>
        </w:rPr>
        <w:t xml:space="preserve">an active service </w:t>
      </w:r>
      <w:r w:rsidR="00151EAB">
        <w:rPr>
          <w:i/>
          <w:sz w:val="20"/>
        </w:rPr>
        <w:t xml:space="preserve">… </w:t>
      </w:r>
    </w:p>
    <w:p w:rsidR="00A03B0E" w:rsidRDefault="00A03B0E" w:rsidP="00104DAD">
      <w:pPr>
        <w:keepNext/>
        <w:keepLines/>
        <w:contextualSpacing/>
      </w:pPr>
      <w:r>
        <w:lastRenderedPageBreak/>
        <w:t>We recommend this definition be changed to:</w:t>
      </w:r>
    </w:p>
    <w:p w:rsidR="00775B87" w:rsidRPr="004F16E4" w:rsidRDefault="00A03B0E" w:rsidP="00104DAD">
      <w:pPr>
        <w:keepNext/>
        <w:keepLines/>
        <w:ind w:left="360"/>
        <w:contextualSpacing/>
        <w:rPr>
          <w:i/>
          <w:sz w:val="20"/>
        </w:rPr>
      </w:pPr>
      <w:r w:rsidRPr="004F16E4">
        <w:rPr>
          <w:i/>
          <w:sz w:val="20"/>
        </w:rPr>
        <w:t xml:space="preserve">Reconciliation </w:t>
      </w:r>
      <w:r w:rsidR="00775B87" w:rsidRPr="004F16E4">
        <w:rPr>
          <w:i/>
          <w:sz w:val="20"/>
        </w:rPr>
        <w:t xml:space="preserve">means the </w:t>
      </w:r>
      <w:r w:rsidR="00775B87" w:rsidRPr="004F16E4">
        <w:rPr>
          <w:b/>
          <w:i/>
          <w:sz w:val="20"/>
        </w:rPr>
        <w:t>mandatory</w:t>
      </w:r>
      <w:r w:rsidR="00775B87" w:rsidRPr="004F16E4">
        <w:rPr>
          <w:i/>
          <w:sz w:val="20"/>
        </w:rPr>
        <w:t xml:space="preserve"> comparison and correction </w:t>
      </w:r>
      <w:r w:rsidRPr="004F16E4">
        <w:rPr>
          <w:i/>
          <w:sz w:val="20"/>
        </w:rPr>
        <w:t xml:space="preserve">of PNCD </w:t>
      </w:r>
      <w:r w:rsidRPr="004F16E4">
        <w:rPr>
          <w:b/>
          <w:i/>
          <w:sz w:val="20"/>
        </w:rPr>
        <w:t>held by the IPND Manager with PNCD held by the CSP or Data Provider. This reconciliation is undertaken by the CSP or Data Provider with their associated PNCD in the IPND</w:t>
      </w:r>
      <w:r w:rsidRPr="004F16E4">
        <w:rPr>
          <w:i/>
          <w:sz w:val="20"/>
        </w:rPr>
        <w:t xml:space="preserve">, </w:t>
      </w:r>
      <w:r w:rsidR="00775B87" w:rsidRPr="004F16E4">
        <w:rPr>
          <w:i/>
          <w:sz w:val="20"/>
        </w:rPr>
        <w:t>for a Number that is: -</w:t>
      </w:r>
    </w:p>
    <w:p w:rsidR="00775B87" w:rsidRDefault="00775B87" w:rsidP="00104DAD">
      <w:pPr>
        <w:pStyle w:val="ListParagraph"/>
        <w:keepNext/>
        <w:keepLines/>
        <w:numPr>
          <w:ilvl w:val="0"/>
          <w:numId w:val="8"/>
        </w:numPr>
        <w:rPr>
          <w:i/>
          <w:sz w:val="20"/>
        </w:rPr>
      </w:pPr>
      <w:r w:rsidRPr="004F16E4">
        <w:rPr>
          <w:i/>
          <w:sz w:val="20"/>
        </w:rPr>
        <w:t xml:space="preserve">an active service </w:t>
      </w:r>
      <w:r w:rsidR="00151EAB">
        <w:rPr>
          <w:i/>
          <w:sz w:val="20"/>
        </w:rPr>
        <w:t>…</w:t>
      </w:r>
    </w:p>
    <w:p w:rsidR="00470B4F" w:rsidRDefault="00470B4F" w:rsidP="00351C15">
      <w:pPr>
        <w:pStyle w:val="Heading2"/>
      </w:pPr>
      <w:r>
        <w:t>Data provision to the IPND</w:t>
      </w:r>
    </w:p>
    <w:p w:rsidR="00052737" w:rsidRDefault="00052737" w:rsidP="00E32D59">
      <w:r>
        <w:t xml:space="preserve">The draft Code has </w:t>
      </w:r>
      <w:r w:rsidR="00077240">
        <w:t>changed</w:t>
      </w:r>
      <w:r>
        <w:t xml:space="preserve"> section 4.2.1 to include transactions relating to connections and disconnections. It states:</w:t>
      </w:r>
    </w:p>
    <w:p w:rsidR="00052737" w:rsidRDefault="00052737" w:rsidP="00052737">
      <w:pPr>
        <w:ind w:left="360"/>
        <w:rPr>
          <w:i/>
          <w:sz w:val="20"/>
        </w:rPr>
      </w:pPr>
      <w:r w:rsidRPr="00052737">
        <w:rPr>
          <w:i/>
          <w:sz w:val="20"/>
        </w:rPr>
        <w:t xml:space="preserve">4.2.1 Each CSP that provides a Carriage Service to a Customer using a Number must provide the IPND Manager the relevant PNCD transaction updates in respect of each Carriage Service it supplies, that </w:t>
      </w:r>
      <w:proofErr w:type="gramStart"/>
      <w:r w:rsidRPr="00052737">
        <w:rPr>
          <w:i/>
          <w:sz w:val="20"/>
        </w:rPr>
        <w:t>occur</w:t>
      </w:r>
      <w:proofErr w:type="gramEnd"/>
      <w:r w:rsidRPr="00052737">
        <w:rPr>
          <w:i/>
          <w:sz w:val="20"/>
        </w:rPr>
        <w:t xml:space="preserve"> on one Business Day, by the end of the next Business Day. This includes all transactions relating to connections or disconnections.</w:t>
      </w:r>
    </w:p>
    <w:p w:rsidR="00052737" w:rsidRDefault="00EF3A6D" w:rsidP="00052737">
      <w:r>
        <w:t>We recommend this section be amended to the following</w:t>
      </w:r>
      <w:r w:rsidR="001A772D">
        <w:t xml:space="preserve">, to emphasise </w:t>
      </w:r>
      <w:r w:rsidR="00151EAB">
        <w:t xml:space="preserve">that new PNCD, as well as transaction updates, </w:t>
      </w:r>
      <w:r w:rsidR="001A772D">
        <w:t>need to be provided to the IPND manager</w:t>
      </w:r>
      <w:r>
        <w:t>:</w:t>
      </w:r>
    </w:p>
    <w:p w:rsidR="00EF3A6D" w:rsidRDefault="00EF3A6D" w:rsidP="001A772D">
      <w:pPr>
        <w:ind w:left="360"/>
        <w:rPr>
          <w:i/>
          <w:sz w:val="20"/>
        </w:rPr>
      </w:pPr>
      <w:r w:rsidRPr="00052737">
        <w:rPr>
          <w:i/>
          <w:sz w:val="20"/>
        </w:rPr>
        <w:t>4.2.1 Each CSP that provides a Carriage Service to a Customer using a Number must provide the IPND Manager the relevant PNCD</w:t>
      </w:r>
      <w:r w:rsidR="00077240">
        <w:rPr>
          <w:i/>
          <w:sz w:val="20"/>
        </w:rPr>
        <w:t xml:space="preserve">, </w:t>
      </w:r>
      <w:r w:rsidR="00077240">
        <w:rPr>
          <w:b/>
          <w:i/>
          <w:sz w:val="20"/>
        </w:rPr>
        <w:t>including</w:t>
      </w:r>
      <w:r w:rsidR="001A772D">
        <w:rPr>
          <w:b/>
          <w:i/>
          <w:sz w:val="20"/>
        </w:rPr>
        <w:t xml:space="preserve"> </w:t>
      </w:r>
      <w:r w:rsidRPr="00052737">
        <w:rPr>
          <w:i/>
          <w:sz w:val="20"/>
        </w:rPr>
        <w:t>transaction updates</w:t>
      </w:r>
      <w:r w:rsidR="00151EAB">
        <w:rPr>
          <w:i/>
          <w:sz w:val="20"/>
        </w:rPr>
        <w:t>,</w:t>
      </w:r>
      <w:r w:rsidRPr="00052737">
        <w:rPr>
          <w:i/>
          <w:sz w:val="20"/>
        </w:rPr>
        <w:t xml:space="preserve"> in respect of each Carriage Service it supplies, that occur on one Business Day, by the end of the next Business Day. This includes all transactions </w:t>
      </w:r>
      <w:r w:rsidR="00077240">
        <w:rPr>
          <w:i/>
          <w:sz w:val="20"/>
        </w:rPr>
        <w:t xml:space="preserve">updates </w:t>
      </w:r>
      <w:r w:rsidRPr="00052737">
        <w:rPr>
          <w:i/>
          <w:sz w:val="20"/>
        </w:rPr>
        <w:t>relating to connections or disconnections.</w:t>
      </w:r>
    </w:p>
    <w:p w:rsidR="00A10851" w:rsidRPr="00802234" w:rsidRDefault="002C30D3" w:rsidP="00A10851">
      <w:r w:rsidRPr="00802234">
        <w:t xml:space="preserve">Section </w:t>
      </w:r>
      <w:r w:rsidR="00A10851" w:rsidRPr="00802234">
        <w:t>4.2.2</w:t>
      </w:r>
      <w:r w:rsidRPr="00802234">
        <w:t xml:space="preserve"> should specify the timeframe in which a CSP must register with the IPND Manager; currently, the draft Code states this must occur ‘in a timely manner’. </w:t>
      </w:r>
      <w:r w:rsidR="007A77F8" w:rsidRPr="00802234">
        <w:t xml:space="preserve">A specific timeframe will ensure CSPs are able to fulfil their obligation in Section 4.2.1 above. </w:t>
      </w:r>
      <w:r w:rsidR="00A10851" w:rsidRPr="00802234">
        <w:t xml:space="preserve"> </w:t>
      </w:r>
    </w:p>
    <w:p w:rsidR="006C0196" w:rsidRDefault="006C0196" w:rsidP="00351C15">
      <w:pPr>
        <w:pStyle w:val="Heading2"/>
      </w:pPr>
      <w:r>
        <w:t>PNCD Data Errors</w:t>
      </w:r>
    </w:p>
    <w:p w:rsidR="006C0196" w:rsidRDefault="006C0196" w:rsidP="006C0196">
      <w:r>
        <w:t>We wish to clarify the timeframe for resolving Data Errors for Data Providers compared to CSPs. Section 6.1.6 states:</w:t>
      </w:r>
    </w:p>
    <w:p w:rsidR="006C0196" w:rsidRDefault="006C0196" w:rsidP="006C0196">
      <w:pPr>
        <w:ind w:left="360"/>
        <w:rPr>
          <w:i/>
          <w:sz w:val="20"/>
        </w:rPr>
      </w:pPr>
      <w:r w:rsidRPr="006C0196">
        <w:rPr>
          <w:i/>
          <w:sz w:val="20"/>
        </w:rPr>
        <w:t xml:space="preserve">6.1.6 The Data Provider must download the information referred to in clauses 6.1.1, 6.1.4 and 6.1.5 on the same Business Day as being made available by the IPND Manager and either take reasonable steps to resolve the matter and supply the corrected PNCD to the IPND Manager within one Business Day, or to </w:t>
      </w:r>
      <w:r w:rsidRPr="0072184D">
        <w:rPr>
          <w:i/>
          <w:sz w:val="20"/>
        </w:rPr>
        <w:t>pass the information to the relevant CSP within the same Business Day.</w:t>
      </w:r>
      <w:r w:rsidRPr="006C0196">
        <w:rPr>
          <w:i/>
          <w:sz w:val="20"/>
        </w:rPr>
        <w:t xml:space="preserve"> </w:t>
      </w:r>
    </w:p>
    <w:p w:rsidR="006C0196" w:rsidRDefault="006C0196" w:rsidP="006C0196">
      <w:pPr>
        <w:tabs>
          <w:tab w:val="left" w:pos="6680"/>
        </w:tabs>
      </w:pPr>
      <w:r>
        <w:t>This section does not specify a timeframe for resolving errors and suppl</w:t>
      </w:r>
      <w:r w:rsidR="00616D29">
        <w:t>y</w:t>
      </w:r>
      <w:r>
        <w:t>ing correct PNCD to the IPND Manager in instances where the CSP has been provided with the errors from a</w:t>
      </w:r>
      <w:r w:rsidR="00616D29">
        <w:t xml:space="preserve"> third-party</w:t>
      </w:r>
      <w:r>
        <w:t xml:space="preserve"> Data Provider. A timeframe should be specified</w:t>
      </w:r>
      <w:r w:rsidR="00B46C24">
        <w:t xml:space="preserve"> for CSPs receiving this information from Data Providers,</w:t>
      </w:r>
      <w:r>
        <w:t xml:space="preserve"> as </w:t>
      </w:r>
      <w:r w:rsidR="000576D9">
        <w:t xml:space="preserve">it is for </w:t>
      </w:r>
      <w:r w:rsidR="00B46C24">
        <w:t>CSP</w:t>
      </w:r>
      <w:r w:rsidR="00616D29">
        <w:t>s who are also Data Providers</w:t>
      </w:r>
      <w:r>
        <w:t xml:space="preserve">. </w:t>
      </w:r>
    </w:p>
    <w:p w:rsidR="00540A91" w:rsidRDefault="002C30D3" w:rsidP="00351C15">
      <w:pPr>
        <w:pStyle w:val="Heading2"/>
      </w:pPr>
      <w:r>
        <w:lastRenderedPageBreak/>
        <w:t>Structural</w:t>
      </w:r>
      <w:r w:rsidR="00540A91">
        <w:t xml:space="preserve"> </w:t>
      </w:r>
      <w:r>
        <w:t>recommendations</w:t>
      </w:r>
    </w:p>
    <w:p w:rsidR="00CD034D" w:rsidRDefault="00802234" w:rsidP="00104DAD">
      <w:pPr>
        <w:keepNext/>
        <w:keepLines/>
        <w:tabs>
          <w:tab w:val="left" w:pos="6680"/>
        </w:tabs>
      </w:pPr>
      <w:r>
        <w:t xml:space="preserve">We have a number of recommendations </w:t>
      </w:r>
      <w:r w:rsidR="00616D29">
        <w:t>for</w:t>
      </w:r>
      <w:r>
        <w:t xml:space="preserve"> </w:t>
      </w:r>
      <w:r w:rsidR="00616D29">
        <w:t>terms</w:t>
      </w:r>
      <w:r>
        <w:t xml:space="preserve"> </w:t>
      </w:r>
      <w:r w:rsidR="00616D29">
        <w:t xml:space="preserve">that </w:t>
      </w:r>
      <w:r>
        <w:t>may be better phrased or structured for clarity.</w:t>
      </w:r>
      <w:r w:rsidR="005A7E55">
        <w:t xml:space="preserve"> </w:t>
      </w:r>
      <w:r>
        <w:t xml:space="preserve">Firstly, </w:t>
      </w:r>
      <w:r w:rsidR="000576D9">
        <w:t>S</w:t>
      </w:r>
      <w:r w:rsidR="00540A91">
        <w:t>ection 1.1.12 (1) should be restructured</w:t>
      </w:r>
      <w:r w:rsidR="00CD034D">
        <w:t xml:space="preserve"> as its own clause for consistent formatting. The draft Code states: </w:t>
      </w:r>
    </w:p>
    <w:p w:rsidR="00CD034D" w:rsidRPr="00CD034D" w:rsidRDefault="00CD034D" w:rsidP="00104DAD">
      <w:pPr>
        <w:keepNext/>
        <w:keepLines/>
        <w:ind w:left="360"/>
        <w:rPr>
          <w:i/>
          <w:sz w:val="20"/>
        </w:rPr>
      </w:pPr>
      <w:r>
        <w:rPr>
          <w:i/>
          <w:sz w:val="20"/>
        </w:rPr>
        <w:t xml:space="preserve">1.1.12 </w:t>
      </w:r>
      <w:r w:rsidRPr="00CD034D">
        <w:rPr>
          <w:i/>
          <w:sz w:val="20"/>
        </w:rPr>
        <w:t>Part 4 of Schedule 2 of the Act sets out the obligations to provide and maintain an IPND and the CSPs responsibilities, as follows:</w:t>
      </w:r>
    </w:p>
    <w:p w:rsidR="00CD034D" w:rsidRDefault="00CD034D" w:rsidP="00104DAD">
      <w:pPr>
        <w:pStyle w:val="ListParagraph"/>
        <w:keepNext/>
        <w:keepLines/>
        <w:numPr>
          <w:ilvl w:val="0"/>
          <w:numId w:val="16"/>
        </w:numPr>
        <w:rPr>
          <w:i/>
          <w:sz w:val="20"/>
        </w:rPr>
      </w:pPr>
      <w:r w:rsidRPr="00CD034D">
        <w:rPr>
          <w:i/>
          <w:sz w:val="20"/>
        </w:rPr>
        <w:t>This clause applies if Telstra is obliged by a condition of a carrier licence to provide and maintain an integrated public number database.</w:t>
      </w:r>
    </w:p>
    <w:p w:rsidR="00CD034D" w:rsidRPr="00CD034D" w:rsidRDefault="00CD034D" w:rsidP="00104DAD">
      <w:pPr>
        <w:pStyle w:val="ListParagraph"/>
        <w:keepNext/>
        <w:keepLines/>
        <w:numPr>
          <w:ilvl w:val="0"/>
          <w:numId w:val="16"/>
        </w:numPr>
        <w:rPr>
          <w:i/>
          <w:sz w:val="20"/>
        </w:rPr>
      </w:pPr>
      <w:r w:rsidRPr="00CD034D">
        <w:rPr>
          <w:i/>
          <w:sz w:val="20"/>
        </w:rPr>
        <w:t>If …</w:t>
      </w:r>
      <w:r>
        <w:tab/>
      </w:r>
      <w:r>
        <w:tab/>
      </w:r>
    </w:p>
    <w:p w:rsidR="00CD034D" w:rsidRDefault="00CD034D" w:rsidP="005A7E55">
      <w:pPr>
        <w:keepNext/>
        <w:keepLines/>
      </w:pPr>
      <w:r>
        <w:t>This should be changed to the following</w:t>
      </w:r>
      <w:r w:rsidR="00616D29">
        <w:t>, or something similar</w:t>
      </w:r>
      <w:r>
        <w:t>:</w:t>
      </w:r>
    </w:p>
    <w:p w:rsidR="00CD034D" w:rsidRPr="00CD034D" w:rsidRDefault="00CD034D" w:rsidP="005A7E55">
      <w:pPr>
        <w:keepNext/>
        <w:keepLines/>
        <w:ind w:left="360"/>
        <w:rPr>
          <w:i/>
          <w:sz w:val="20"/>
        </w:rPr>
      </w:pPr>
      <w:r w:rsidRPr="00CD034D">
        <w:rPr>
          <w:i/>
          <w:sz w:val="20"/>
        </w:rPr>
        <w:t>1.1.12</w:t>
      </w:r>
      <w:r>
        <w:rPr>
          <w:i/>
          <w:sz w:val="20"/>
        </w:rPr>
        <w:t xml:space="preserve"> </w:t>
      </w:r>
      <w:r w:rsidRPr="00CD034D">
        <w:rPr>
          <w:i/>
          <w:sz w:val="20"/>
        </w:rPr>
        <w:t>Part 4 of Schedule 2 of the Act sets out the obligations to provide and maintain an IPND and the CSPs responsibilities, as follows:</w:t>
      </w:r>
    </w:p>
    <w:p w:rsidR="00CD034D" w:rsidRPr="00CD034D" w:rsidRDefault="00CD034D" w:rsidP="005A7E55">
      <w:pPr>
        <w:pStyle w:val="ListParagraph"/>
        <w:keepNext/>
        <w:keepLines/>
        <w:numPr>
          <w:ilvl w:val="0"/>
          <w:numId w:val="18"/>
        </w:numPr>
        <w:rPr>
          <w:i/>
          <w:sz w:val="20"/>
        </w:rPr>
      </w:pPr>
      <w:r w:rsidRPr="00CD034D">
        <w:rPr>
          <w:i/>
          <w:sz w:val="20"/>
        </w:rPr>
        <w:t>If …</w:t>
      </w:r>
    </w:p>
    <w:p w:rsidR="00CD034D" w:rsidRPr="00CD034D" w:rsidRDefault="00CD034D" w:rsidP="005A7E55">
      <w:pPr>
        <w:keepNext/>
        <w:keepLines/>
        <w:ind w:left="360"/>
        <w:rPr>
          <w:i/>
          <w:sz w:val="20"/>
        </w:rPr>
      </w:pPr>
      <w:r w:rsidRPr="00CD034D">
        <w:rPr>
          <w:b/>
          <w:i/>
          <w:sz w:val="20"/>
        </w:rPr>
        <w:t>1.1.13 Clause 1.1.12</w:t>
      </w:r>
      <w:r w:rsidRPr="00CD034D">
        <w:rPr>
          <w:i/>
          <w:sz w:val="20"/>
        </w:rPr>
        <w:t xml:space="preserve"> applies if Telstra is obliged by a condition of a carrier licence to provide and maintain an integrated public number database.</w:t>
      </w:r>
    </w:p>
    <w:p w:rsidR="00540A91" w:rsidRDefault="00CD034D" w:rsidP="00E32D59">
      <w:r>
        <w:t>It is unclear why</w:t>
      </w:r>
      <w:r w:rsidR="00616D29">
        <w:t xml:space="preserve"> reference to ‘that other person or association’ has been removed, and here</w:t>
      </w:r>
      <w:r>
        <w:t xml:space="preserve"> </w:t>
      </w:r>
      <w:r w:rsidR="00616D29">
        <w:t>applies</w:t>
      </w:r>
      <w:r>
        <w:t xml:space="preserve"> </w:t>
      </w:r>
      <w:r w:rsidR="005A7E55">
        <w:t>only</w:t>
      </w:r>
      <w:r>
        <w:t xml:space="preserve"> to Telstra. The 2017 Code refers to instances where ‘Telstra or that other person or association is under an obligation to provide and maintain an IPND’.</w:t>
      </w:r>
      <w:r>
        <w:rPr>
          <w:rStyle w:val="FootnoteReference"/>
        </w:rPr>
        <w:footnoteReference w:id="3"/>
      </w:r>
    </w:p>
    <w:p w:rsidR="007A77F8" w:rsidRDefault="00802234" w:rsidP="00E32D59">
      <w:r>
        <w:t>Secondly, w</w:t>
      </w:r>
      <w:r w:rsidR="007A77F8">
        <w:t xml:space="preserve">e recommend the </w:t>
      </w:r>
      <w:r>
        <w:t xml:space="preserve">rewording </w:t>
      </w:r>
      <w:r w:rsidR="007A77F8">
        <w:t xml:space="preserve">of clauses 4.2.4 and 4.2.5 </w:t>
      </w:r>
      <w:r>
        <w:t>for ease of comprehension</w:t>
      </w:r>
      <w:r w:rsidR="007A77F8">
        <w:t xml:space="preserve">. Currently, these sections read: </w:t>
      </w:r>
    </w:p>
    <w:p w:rsidR="007A77F8" w:rsidRPr="007A77F8" w:rsidRDefault="007A77F8" w:rsidP="007A77F8">
      <w:pPr>
        <w:ind w:left="360"/>
        <w:rPr>
          <w:i/>
          <w:sz w:val="20"/>
        </w:rPr>
      </w:pPr>
      <w:r>
        <w:rPr>
          <w:i/>
          <w:sz w:val="20"/>
        </w:rPr>
        <w:t xml:space="preserve">4.2.4 </w:t>
      </w:r>
      <w:r w:rsidRPr="007A77F8">
        <w:rPr>
          <w:i/>
          <w:sz w:val="20"/>
        </w:rPr>
        <w:t xml:space="preserve">The IPND Manager must make information available about becoming a Data Provider to the person registering with the IPND Manager under clause 4.2.2 and provide the necessary Information Package within 20 Business Days of receiving a written request for such information and/or an expression of interest in becoming an IPND Data Provider. </w:t>
      </w:r>
    </w:p>
    <w:p w:rsidR="007A77F8" w:rsidRPr="007A77F8" w:rsidRDefault="007A77F8" w:rsidP="007A77F8">
      <w:pPr>
        <w:ind w:left="360"/>
        <w:rPr>
          <w:i/>
          <w:sz w:val="20"/>
        </w:rPr>
      </w:pPr>
      <w:r>
        <w:rPr>
          <w:i/>
          <w:sz w:val="20"/>
        </w:rPr>
        <w:t xml:space="preserve">4.2.5 </w:t>
      </w:r>
      <w:r w:rsidRPr="007A77F8">
        <w:rPr>
          <w:i/>
          <w:sz w:val="20"/>
        </w:rPr>
        <w:t>The IPND Manager must provide</w:t>
      </w:r>
      <w:r>
        <w:rPr>
          <w:i/>
          <w:sz w:val="20"/>
        </w:rPr>
        <w:t xml:space="preserve"> </w:t>
      </w:r>
      <w:r w:rsidRPr="007A77F8">
        <w:rPr>
          <w:i/>
          <w:sz w:val="20"/>
        </w:rPr>
        <w:t>make available an Information Package to persons wishing to register as an IPND Data</w:t>
      </w:r>
      <w:r w:rsidR="00ED7F0F">
        <w:rPr>
          <w:i/>
          <w:sz w:val="20"/>
        </w:rPr>
        <w:t xml:space="preserve"> Provider on an equitable basis</w:t>
      </w:r>
      <w:r w:rsidRPr="007A77F8">
        <w:rPr>
          <w:i/>
          <w:sz w:val="20"/>
        </w:rPr>
        <w:t>.</w:t>
      </w:r>
    </w:p>
    <w:p w:rsidR="007A77F8" w:rsidRDefault="007A77F8" w:rsidP="007A77F8">
      <w:r>
        <w:t>We recommend this be amended to:</w:t>
      </w:r>
    </w:p>
    <w:p w:rsidR="00DF7833" w:rsidRDefault="007A77F8" w:rsidP="007A77F8">
      <w:pPr>
        <w:ind w:left="360"/>
        <w:rPr>
          <w:i/>
          <w:sz w:val="20"/>
        </w:rPr>
      </w:pPr>
      <w:r>
        <w:rPr>
          <w:i/>
          <w:sz w:val="20"/>
        </w:rPr>
        <w:t xml:space="preserve">4.2.4 </w:t>
      </w:r>
      <w:r w:rsidRPr="007A77F8">
        <w:rPr>
          <w:i/>
          <w:sz w:val="20"/>
        </w:rPr>
        <w:t xml:space="preserve">The IPND Manager must </w:t>
      </w:r>
      <w:r w:rsidRPr="00DF7833">
        <w:rPr>
          <w:b/>
          <w:i/>
          <w:sz w:val="20"/>
        </w:rPr>
        <w:t>make available</w:t>
      </w:r>
      <w:r w:rsidR="00DF7833">
        <w:rPr>
          <w:i/>
          <w:sz w:val="20"/>
        </w:rPr>
        <w:t xml:space="preserve"> </w:t>
      </w:r>
      <w:r w:rsidR="00DF7833" w:rsidRPr="00DF7833">
        <w:rPr>
          <w:b/>
          <w:i/>
          <w:sz w:val="20"/>
        </w:rPr>
        <w:t>an Information Package</w:t>
      </w:r>
      <w:r w:rsidRPr="007A77F8">
        <w:rPr>
          <w:i/>
          <w:sz w:val="20"/>
        </w:rPr>
        <w:t xml:space="preserve"> about becoming a Data Provider to the person registering with the IPND Manager </w:t>
      </w:r>
      <w:r w:rsidRPr="00DF7833">
        <w:rPr>
          <w:b/>
          <w:i/>
          <w:sz w:val="20"/>
        </w:rPr>
        <w:t>under clause 4.2.2</w:t>
      </w:r>
      <w:r w:rsidR="00DF7833">
        <w:rPr>
          <w:i/>
          <w:sz w:val="20"/>
        </w:rPr>
        <w:t>.</w:t>
      </w:r>
    </w:p>
    <w:p w:rsidR="007A77F8" w:rsidRDefault="00DF7833" w:rsidP="007A77F8">
      <w:pPr>
        <w:ind w:left="360"/>
        <w:rPr>
          <w:i/>
          <w:sz w:val="20"/>
        </w:rPr>
      </w:pPr>
      <w:r>
        <w:rPr>
          <w:i/>
          <w:sz w:val="20"/>
        </w:rPr>
        <w:t xml:space="preserve">4.2.5 </w:t>
      </w:r>
      <w:r w:rsidRPr="00DF7833">
        <w:rPr>
          <w:b/>
          <w:i/>
          <w:sz w:val="20"/>
        </w:rPr>
        <w:t xml:space="preserve">This </w:t>
      </w:r>
      <w:r w:rsidR="007A77F8" w:rsidRPr="00DF7833">
        <w:rPr>
          <w:b/>
          <w:i/>
          <w:sz w:val="20"/>
        </w:rPr>
        <w:t xml:space="preserve">Information Package </w:t>
      </w:r>
      <w:r w:rsidRPr="00DF7833">
        <w:rPr>
          <w:b/>
          <w:i/>
          <w:sz w:val="20"/>
        </w:rPr>
        <w:t xml:space="preserve">must be provided by the IPND Manager </w:t>
      </w:r>
      <w:r w:rsidR="007A77F8" w:rsidRPr="007A77F8">
        <w:rPr>
          <w:i/>
          <w:sz w:val="20"/>
        </w:rPr>
        <w:t>within 20 Business Days of receiving a written request for such information and/or an expression of interest</w:t>
      </w:r>
      <w:r w:rsidR="00EB0736">
        <w:rPr>
          <w:i/>
          <w:sz w:val="20"/>
        </w:rPr>
        <w:t xml:space="preserve"> in becoming an IPND Data Provider</w:t>
      </w:r>
      <w:r>
        <w:rPr>
          <w:i/>
          <w:sz w:val="20"/>
        </w:rPr>
        <w:t xml:space="preserve">, </w:t>
      </w:r>
      <w:r w:rsidRPr="00DF7833">
        <w:rPr>
          <w:b/>
          <w:i/>
          <w:sz w:val="20"/>
        </w:rPr>
        <w:t xml:space="preserve">and must be provided </w:t>
      </w:r>
      <w:r w:rsidR="007A77F8" w:rsidRPr="00DF7833">
        <w:rPr>
          <w:b/>
          <w:i/>
          <w:sz w:val="20"/>
        </w:rPr>
        <w:t>on an equitable basis</w:t>
      </w:r>
      <w:r w:rsidR="007A77F8" w:rsidRPr="007A77F8">
        <w:rPr>
          <w:i/>
          <w:sz w:val="20"/>
        </w:rPr>
        <w:t>.</w:t>
      </w:r>
    </w:p>
    <w:p w:rsidR="005A7E55" w:rsidRDefault="005A7E55" w:rsidP="00E312DB">
      <w:pPr>
        <w:pStyle w:val="Heading1"/>
      </w:pPr>
      <w:r>
        <w:lastRenderedPageBreak/>
        <w:t>Concluding remarks</w:t>
      </w:r>
    </w:p>
    <w:p w:rsidR="00BD42C5" w:rsidRPr="00BD42C5" w:rsidRDefault="00BD42C5" w:rsidP="00E32D59">
      <w:r w:rsidRPr="00BD42C5">
        <w:t xml:space="preserve">Thank you </w:t>
      </w:r>
      <w:r w:rsidR="00056D71">
        <w:t>again for the opportunity to provide feedback on</w:t>
      </w:r>
      <w:r w:rsidR="00616D2F">
        <w:t xml:space="preserve"> DR</w:t>
      </w:r>
      <w:r w:rsidR="00056D71">
        <w:t xml:space="preserve"> </w:t>
      </w:r>
      <w:r w:rsidR="00E32D59">
        <w:t>C555</w:t>
      </w:r>
      <w:r w:rsidR="00F0681B" w:rsidRPr="00BD42C5">
        <w:t>:2019</w:t>
      </w:r>
      <w:r w:rsidR="00056D71">
        <w:t>.</w:t>
      </w:r>
      <w:r w:rsidRPr="00BD42C5">
        <w:t xml:space="preserve"> </w:t>
      </w:r>
      <w:r w:rsidR="00F0681B">
        <w:t xml:space="preserve">Please do not hesitate to contact </w:t>
      </w:r>
      <w:r w:rsidR="00BB2A36">
        <w:t xml:space="preserve">me at </w:t>
      </w:r>
      <w:hyperlink r:id="rId10" w:history="1">
        <w:r w:rsidR="00BB2A36" w:rsidRPr="004353E3">
          <w:rPr>
            <w:rStyle w:val="Hyperlink"/>
          </w:rPr>
          <w:t>Rebekah.Sarkoezy@accan.org.au</w:t>
        </w:r>
      </w:hyperlink>
      <w:r w:rsidR="00BB2A36">
        <w:t xml:space="preserve"> or at 02 9288 4000 should you require further </w:t>
      </w:r>
      <w:r w:rsidR="00F0681B">
        <w:t xml:space="preserve">clarification on any of the points raised. </w:t>
      </w:r>
    </w:p>
    <w:p w:rsidR="00ED7F0F" w:rsidRDefault="00BD42C5" w:rsidP="00E32D59">
      <w:r w:rsidRPr="00BD42C5">
        <w:t>Yours Sincerely</w:t>
      </w:r>
      <w:r w:rsidR="00ED7F0F">
        <w:t>,</w:t>
      </w:r>
    </w:p>
    <w:p w:rsidR="000576D9" w:rsidRDefault="00104DAD" w:rsidP="00E32D59">
      <w:r>
        <w:br/>
      </w:r>
      <w:r w:rsidR="00E32D59">
        <w:t>Rebekah Sarkoezy</w:t>
      </w:r>
      <w:r w:rsidR="00BD42C5" w:rsidRPr="00BD42C5">
        <w:br/>
      </w:r>
      <w:r w:rsidR="00E32D59">
        <w:t>Policy Officer</w:t>
      </w:r>
    </w:p>
    <w:sectPr w:rsidR="000576D9" w:rsidSect="007A5D36">
      <w:headerReference w:type="default" r:id="rId11"/>
      <w:footerReference w:type="default" r:id="rId12"/>
      <w:headerReference w:type="first" r:id="rId13"/>
      <w:footerReference w:type="first" r:id="rId14"/>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00" w:rsidRDefault="00DC7A00">
      <w:pPr>
        <w:spacing w:after="0" w:line="240" w:lineRule="auto"/>
      </w:pPr>
      <w:r>
        <w:separator/>
      </w:r>
    </w:p>
  </w:endnote>
  <w:endnote w:type="continuationSeparator" w:id="0">
    <w:p w:rsidR="00DC7A00" w:rsidRDefault="00DC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Pr="0082329E" w:rsidRDefault="00F0681B"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A3380">
      <w:rPr>
        <w:noProof/>
      </w:rPr>
      <w:t>6</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D6" w:rsidRPr="00026E5B" w:rsidRDefault="00F0681B" w:rsidP="00F014D6">
    <w:pPr>
      <w:pStyle w:val="Footerpage1"/>
      <w:ind w:right="-1440"/>
      <w:rPr>
        <w:color w:val="00B0F0"/>
      </w:rPr>
    </w:pPr>
    <w:r>
      <w:rPr>
        <w:color w:val="00B0F0"/>
      </w:rPr>
      <w:t xml:space="preserve">  </w:t>
    </w:r>
    <w:r w:rsidRPr="00026E5B">
      <w:rPr>
        <w:color w:val="00B0F0"/>
      </w:rPr>
      <w:t>Australian Communications Consumer Action Network (ACCAN)</w:t>
    </w:r>
  </w:p>
  <w:p w:rsidR="00F014D6" w:rsidRPr="00026E5B" w:rsidRDefault="00F0681B" w:rsidP="00F014D6">
    <w:pPr>
      <w:pStyle w:val="Footerpage1"/>
      <w:rPr>
        <w:i/>
        <w:color w:val="00B0F0"/>
      </w:rPr>
    </w:pPr>
    <w:r>
      <w:rPr>
        <w:i/>
        <w:color w:val="00B0F0"/>
      </w:rPr>
      <w:t xml:space="preserve">  </w:t>
    </w:r>
    <w:r w:rsidRPr="00026E5B">
      <w:rPr>
        <w:i/>
        <w:color w:val="00B0F0"/>
      </w:rPr>
      <w:t>Australia’s peak body representing communications consumers</w:t>
    </w:r>
  </w:p>
  <w:p w:rsidR="00F014D6" w:rsidRPr="00026E5B" w:rsidRDefault="00F0681B" w:rsidP="00F014D6">
    <w:pPr>
      <w:pStyle w:val="Footerpage1"/>
      <w:ind w:right="-1440"/>
      <w:rPr>
        <w:i/>
      </w:rPr>
    </w:pPr>
    <w:r>
      <w:rPr>
        <w:noProof/>
        <w:lang w:eastAsia="en-AU"/>
      </w:rPr>
      <mc:AlternateContent>
        <mc:Choice Requires="wps">
          <w:drawing>
            <wp:anchor distT="0" distB="0" distL="114300" distR="114300" simplePos="0" relativeHeight="251661312" behindDoc="0" locked="0" layoutInCell="1" allowOverlap="1" wp14:anchorId="076B3E0A" wp14:editId="3837BE6E">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rsidR="00F014D6" w:rsidRPr="00026E5B" w:rsidRDefault="00F0681B" w:rsidP="00F014D6">
    <w:pPr>
      <w:pStyle w:val="Footerpage1"/>
    </w:pPr>
    <w:r>
      <w:t xml:space="preserve">  </w:t>
    </w:r>
    <w:r w:rsidRPr="00026E5B">
      <w:t>PO Box 639, Broadway NSW 2007</w:t>
    </w:r>
  </w:p>
  <w:p w:rsidR="00F014D6" w:rsidRPr="00026E5B" w:rsidRDefault="00F0681B" w:rsidP="00F014D6">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rsidR="00F014D6" w:rsidRPr="004D706D" w:rsidRDefault="00F0681B"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rsidR="00F014D6" w:rsidRDefault="001A3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00" w:rsidRDefault="00DC7A00">
      <w:pPr>
        <w:spacing w:after="0" w:line="240" w:lineRule="auto"/>
      </w:pPr>
      <w:r>
        <w:separator/>
      </w:r>
    </w:p>
  </w:footnote>
  <w:footnote w:type="continuationSeparator" w:id="0">
    <w:p w:rsidR="00DC7A00" w:rsidRDefault="00DC7A00">
      <w:pPr>
        <w:spacing w:after="0" w:line="240" w:lineRule="auto"/>
      </w:pPr>
      <w:r>
        <w:continuationSeparator/>
      </w:r>
    </w:p>
  </w:footnote>
  <w:footnote w:id="1">
    <w:p w:rsidR="00B9041F" w:rsidRDefault="00B9041F" w:rsidP="00B9041F">
      <w:pPr>
        <w:pStyle w:val="FootnoteText"/>
      </w:pPr>
      <w:r>
        <w:rPr>
          <w:rStyle w:val="FootnoteReference"/>
        </w:rPr>
        <w:footnoteRef/>
      </w:r>
      <w:r>
        <w:t xml:space="preserve"> </w:t>
      </w:r>
      <w:r w:rsidR="005A7E55">
        <w:t>Communications Alliance 2019,</w:t>
      </w:r>
      <w:r w:rsidR="005A7E55" w:rsidRPr="005A7E55">
        <w:t xml:space="preserve"> </w:t>
      </w:r>
      <w:r w:rsidR="005A7E55" w:rsidRPr="005A7E55">
        <w:rPr>
          <w:i/>
        </w:rPr>
        <w:t>WC91: Integrated Public Number Database (IPND) Industry Code Terms of Reference</w:t>
      </w:r>
      <w:r w:rsidR="005A7E55">
        <w:t xml:space="preserve">, accessed 1 November 2019, </w:t>
      </w:r>
      <w:hyperlink r:id="rId1" w:history="1">
        <w:r>
          <w:rPr>
            <w:rStyle w:val="Hyperlink"/>
          </w:rPr>
          <w:t>https://www.commsalliance.com.au/__data/assets/pdf_file/0005/65336/WC91-Terms-of-Reference_2019.pdf</w:t>
        </w:r>
      </w:hyperlink>
    </w:p>
  </w:footnote>
  <w:footnote w:id="2">
    <w:p w:rsidR="00616D2F" w:rsidRDefault="00616D2F">
      <w:pPr>
        <w:pStyle w:val="FootnoteText"/>
      </w:pPr>
      <w:r>
        <w:rPr>
          <w:rStyle w:val="FootnoteReference"/>
        </w:rPr>
        <w:footnoteRef/>
      </w:r>
      <w:r>
        <w:t xml:space="preserve"> Communications Alliance 2019, </w:t>
      </w:r>
      <w:r w:rsidRPr="00616D2F">
        <w:rPr>
          <w:i/>
        </w:rPr>
        <w:t>Industry Code DR C555:2019</w:t>
      </w:r>
      <w:r>
        <w:t xml:space="preserve">, Section 6.2.3, accessed 1 November 2019,   </w:t>
      </w:r>
      <w:hyperlink r:id="rId2" w:history="1">
        <w:r>
          <w:rPr>
            <w:rStyle w:val="Hyperlink"/>
          </w:rPr>
          <w:t>https://www.commsalliance.com.au/__data/assets/pdf_file/0011/66953/C555_2019_Public-comment-draft.pdf</w:t>
        </w:r>
      </w:hyperlink>
    </w:p>
  </w:footnote>
  <w:footnote w:id="3">
    <w:p w:rsidR="00CD034D" w:rsidRDefault="00CD034D">
      <w:pPr>
        <w:pStyle w:val="FootnoteText"/>
      </w:pPr>
      <w:r>
        <w:rPr>
          <w:rStyle w:val="FootnoteReference"/>
        </w:rPr>
        <w:footnoteRef/>
      </w:r>
      <w:r>
        <w:t xml:space="preserve"> </w:t>
      </w:r>
      <w:r w:rsidR="005A7E55">
        <w:t xml:space="preserve">Communications Alliance 2017, </w:t>
      </w:r>
      <w:r w:rsidR="005A7E55" w:rsidRPr="005A7E55">
        <w:rPr>
          <w:i/>
        </w:rPr>
        <w:t>Industry Code: C555:2017</w:t>
      </w:r>
      <w:r w:rsidR="005A7E55">
        <w:t xml:space="preserve">, </w:t>
      </w:r>
      <w:r w:rsidR="00626BB2">
        <w:t xml:space="preserve">Section 1.1.12, </w:t>
      </w:r>
      <w:r w:rsidR="005A7E55">
        <w:t xml:space="preserve">accessed 30 October 2019, </w:t>
      </w:r>
      <w:hyperlink r:id="rId3" w:history="1">
        <w:r>
          <w:rPr>
            <w:rStyle w:val="Hyperlink"/>
          </w:rPr>
          <w:t>https://www.commsalliance.com.au/__data/assets/pdf_file/0006/59244/C555_2017_Nov.pdf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Default="00F0681B" w:rsidP="00DE28B4">
    <w:pPr>
      <w:pStyle w:val="Header"/>
      <w:tabs>
        <w:tab w:val="clear" w:pos="9026"/>
      </w:tabs>
    </w:pPr>
    <w:r>
      <w:rPr>
        <w:noProof/>
      </w:rPr>
      <w:drawing>
        <wp:anchor distT="0" distB="0" distL="114300" distR="114300" simplePos="0" relativeHeight="251659264" behindDoc="1" locked="0" layoutInCell="1" allowOverlap="1" wp14:anchorId="21A1AE0F" wp14:editId="529F33F0">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7D" w:rsidRDefault="00F0681B">
    <w:pPr>
      <w:pStyle w:val="Header"/>
    </w:pPr>
    <w:r>
      <w:rPr>
        <w:noProof/>
      </w:rPr>
      <w:drawing>
        <wp:anchor distT="0" distB="0" distL="114300" distR="114300" simplePos="0" relativeHeight="251660288" behindDoc="1" locked="0" layoutInCell="1" allowOverlap="1" wp14:anchorId="40986AC2" wp14:editId="324475E2">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A57"/>
    <w:multiLevelType w:val="hybridMultilevel"/>
    <w:tmpl w:val="A7A2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4F73F1"/>
    <w:multiLevelType w:val="hybridMultilevel"/>
    <w:tmpl w:val="68D09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CA6F09"/>
    <w:multiLevelType w:val="hybridMultilevel"/>
    <w:tmpl w:val="E2766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B617668"/>
    <w:multiLevelType w:val="hybridMultilevel"/>
    <w:tmpl w:val="9DC8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EA3AFD"/>
    <w:multiLevelType w:val="hybridMultilevel"/>
    <w:tmpl w:val="7C0C423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364709A3"/>
    <w:multiLevelType w:val="hybridMultilevel"/>
    <w:tmpl w:val="A0F4584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nsid w:val="3DCA3F08"/>
    <w:multiLevelType w:val="hybridMultilevel"/>
    <w:tmpl w:val="C72C62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F877273"/>
    <w:multiLevelType w:val="hybridMultilevel"/>
    <w:tmpl w:val="E7A416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FA72970"/>
    <w:multiLevelType w:val="hybridMultilevel"/>
    <w:tmpl w:val="F0EAF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EA6FFA"/>
    <w:multiLevelType w:val="hybridMultilevel"/>
    <w:tmpl w:val="6954256C"/>
    <w:lvl w:ilvl="0" w:tplc="88327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E82CAA"/>
    <w:multiLevelType w:val="hybridMultilevel"/>
    <w:tmpl w:val="5906AF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4585F0D"/>
    <w:multiLevelType w:val="hybridMultilevel"/>
    <w:tmpl w:val="7C9E532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5C21CCC"/>
    <w:multiLevelType w:val="hybridMultilevel"/>
    <w:tmpl w:val="006C9E68"/>
    <w:lvl w:ilvl="0" w:tplc="DC484678">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E411E9"/>
    <w:multiLevelType w:val="hybridMultilevel"/>
    <w:tmpl w:val="F042AC26"/>
    <w:lvl w:ilvl="0" w:tplc="B6CC44B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1C0B34"/>
    <w:multiLevelType w:val="hybridMultilevel"/>
    <w:tmpl w:val="945AB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B002D2B"/>
    <w:multiLevelType w:val="hybridMultilevel"/>
    <w:tmpl w:val="330E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A852CB"/>
    <w:multiLevelType w:val="hybridMultilevel"/>
    <w:tmpl w:val="E436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AE0A63"/>
    <w:multiLevelType w:val="hybridMultilevel"/>
    <w:tmpl w:val="63202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3"/>
  </w:num>
  <w:num w:numId="5">
    <w:abstractNumId w:val="0"/>
  </w:num>
  <w:num w:numId="6">
    <w:abstractNumId w:val="16"/>
  </w:num>
  <w:num w:numId="7">
    <w:abstractNumId w:val="1"/>
  </w:num>
  <w:num w:numId="8">
    <w:abstractNumId w:val="10"/>
  </w:num>
  <w:num w:numId="9">
    <w:abstractNumId w:val="14"/>
  </w:num>
  <w:num w:numId="10">
    <w:abstractNumId w:val="2"/>
  </w:num>
  <w:num w:numId="11">
    <w:abstractNumId w:val="17"/>
  </w:num>
  <w:num w:numId="12">
    <w:abstractNumId w:val="4"/>
  </w:num>
  <w:num w:numId="13">
    <w:abstractNumId w:val="13"/>
  </w:num>
  <w:num w:numId="14">
    <w:abstractNumId w:val="15"/>
  </w:num>
  <w:num w:numId="15">
    <w:abstractNumId w:val="9"/>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6"/>
    <w:rsid w:val="000345B4"/>
    <w:rsid w:val="00052737"/>
    <w:rsid w:val="000530BA"/>
    <w:rsid w:val="00056D71"/>
    <w:rsid w:val="000576D9"/>
    <w:rsid w:val="00077240"/>
    <w:rsid w:val="000E5CAE"/>
    <w:rsid w:val="00104DAD"/>
    <w:rsid w:val="00113AE0"/>
    <w:rsid w:val="001275E7"/>
    <w:rsid w:val="00151EAB"/>
    <w:rsid w:val="00185442"/>
    <w:rsid w:val="0019340F"/>
    <w:rsid w:val="001A3380"/>
    <w:rsid w:val="001A772D"/>
    <w:rsid w:val="00211174"/>
    <w:rsid w:val="002C30D3"/>
    <w:rsid w:val="002C7F9B"/>
    <w:rsid w:val="002F2ADF"/>
    <w:rsid w:val="00351C15"/>
    <w:rsid w:val="00381C48"/>
    <w:rsid w:val="003C3084"/>
    <w:rsid w:val="00405151"/>
    <w:rsid w:val="00426E45"/>
    <w:rsid w:val="00445D76"/>
    <w:rsid w:val="00457A53"/>
    <w:rsid w:val="00470B4F"/>
    <w:rsid w:val="004D4D32"/>
    <w:rsid w:val="004F16E4"/>
    <w:rsid w:val="00540A91"/>
    <w:rsid w:val="00554E89"/>
    <w:rsid w:val="005A23CC"/>
    <w:rsid w:val="005A7E55"/>
    <w:rsid w:val="00616D29"/>
    <w:rsid w:val="00616D2F"/>
    <w:rsid w:val="00626BB2"/>
    <w:rsid w:val="00693CC5"/>
    <w:rsid w:val="0069798D"/>
    <w:rsid w:val="006A2265"/>
    <w:rsid w:val="006C0196"/>
    <w:rsid w:val="0072184D"/>
    <w:rsid w:val="00735EB8"/>
    <w:rsid w:val="0074570E"/>
    <w:rsid w:val="00775B87"/>
    <w:rsid w:val="007908C5"/>
    <w:rsid w:val="007908C9"/>
    <w:rsid w:val="007944BC"/>
    <w:rsid w:val="007A5D36"/>
    <w:rsid w:val="007A77F8"/>
    <w:rsid w:val="00802234"/>
    <w:rsid w:val="00882492"/>
    <w:rsid w:val="008D3323"/>
    <w:rsid w:val="008F56F4"/>
    <w:rsid w:val="00970429"/>
    <w:rsid w:val="009762A1"/>
    <w:rsid w:val="00977753"/>
    <w:rsid w:val="009B4C71"/>
    <w:rsid w:val="009F5E7B"/>
    <w:rsid w:val="00A03B0E"/>
    <w:rsid w:val="00A10851"/>
    <w:rsid w:val="00A10C55"/>
    <w:rsid w:val="00A73C9E"/>
    <w:rsid w:val="00AE02B9"/>
    <w:rsid w:val="00B03442"/>
    <w:rsid w:val="00B2146E"/>
    <w:rsid w:val="00B46C24"/>
    <w:rsid w:val="00B9041F"/>
    <w:rsid w:val="00BB2A36"/>
    <w:rsid w:val="00BD42C5"/>
    <w:rsid w:val="00C10481"/>
    <w:rsid w:val="00C1217A"/>
    <w:rsid w:val="00C155FA"/>
    <w:rsid w:val="00CD034D"/>
    <w:rsid w:val="00CD6D13"/>
    <w:rsid w:val="00D747CD"/>
    <w:rsid w:val="00DC0E05"/>
    <w:rsid w:val="00DC7A00"/>
    <w:rsid w:val="00DD6989"/>
    <w:rsid w:val="00DF4638"/>
    <w:rsid w:val="00DF7833"/>
    <w:rsid w:val="00E312DB"/>
    <w:rsid w:val="00E32D59"/>
    <w:rsid w:val="00EA3214"/>
    <w:rsid w:val="00EB0736"/>
    <w:rsid w:val="00EB6D04"/>
    <w:rsid w:val="00ED7F0F"/>
    <w:rsid w:val="00EE709B"/>
    <w:rsid w:val="00EF3A6D"/>
    <w:rsid w:val="00F0681B"/>
    <w:rsid w:val="00F2110A"/>
    <w:rsid w:val="00F8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F8"/>
    <w:rPr>
      <w:rFonts w:eastAsiaTheme="minorEastAsia"/>
      <w:lang w:eastAsia="en-AU"/>
    </w:rPr>
  </w:style>
  <w:style w:type="paragraph" w:styleId="Heading1">
    <w:name w:val="heading 1"/>
    <w:basedOn w:val="Normal"/>
    <w:next w:val="Normal"/>
    <w:link w:val="Heading1Char"/>
    <w:uiPriority w:val="9"/>
    <w:qFormat/>
    <w:rsid w:val="00E312DB"/>
    <w:pPr>
      <w:keepNext/>
      <w:keepLines/>
      <w:spacing w:before="120" w:after="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351C15"/>
    <w:pPr>
      <w:keepNext/>
      <w:keepLines/>
      <w:spacing w:before="200" w:after="100" w:afterAutospacing="1"/>
      <w:outlineLvl w:val="1"/>
    </w:pPr>
    <w:rPr>
      <w:rFonts w:eastAsiaTheme="majorEastAsia" w:cstheme="minorHAnsi"/>
      <w:bCs/>
      <w:i/>
      <w:sz w:val="26"/>
      <w:szCs w:val="26"/>
    </w:rPr>
  </w:style>
  <w:style w:type="paragraph" w:styleId="Heading3">
    <w:name w:val="heading 3"/>
    <w:basedOn w:val="Normal"/>
    <w:next w:val="Normal"/>
    <w:link w:val="Heading3Char"/>
    <w:uiPriority w:val="9"/>
    <w:unhideWhenUsed/>
    <w:qFormat/>
    <w:rsid w:val="00A10851"/>
    <w:pPr>
      <w:spacing w:before="100" w:beforeAutospacing="1"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36"/>
    <w:rPr>
      <w:rFonts w:eastAsiaTheme="minorEastAsia"/>
      <w:lang w:eastAsia="en-AU"/>
    </w:rPr>
  </w:style>
  <w:style w:type="paragraph" w:styleId="Footer">
    <w:name w:val="footer"/>
    <w:basedOn w:val="Normal"/>
    <w:link w:val="FooterChar"/>
    <w:uiPriority w:val="99"/>
    <w:unhideWhenUsed/>
    <w:rsid w:val="007A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36"/>
    <w:rPr>
      <w:rFonts w:eastAsiaTheme="minorEastAsia"/>
      <w:lang w:eastAsia="en-AU"/>
    </w:rPr>
  </w:style>
  <w:style w:type="character" w:styleId="Hyperlink">
    <w:name w:val="Hyperlink"/>
    <w:basedOn w:val="DefaultParagraphFont"/>
    <w:uiPriority w:val="99"/>
    <w:unhideWhenUsed/>
    <w:rsid w:val="007A5D36"/>
    <w:rPr>
      <w:color w:val="0000FF" w:themeColor="hyperlink"/>
      <w:u w:val="single"/>
    </w:rPr>
  </w:style>
  <w:style w:type="paragraph" w:customStyle="1" w:styleId="Footerpage1">
    <w:name w:val="Footer page 1"/>
    <w:rsid w:val="007A5D36"/>
    <w:pPr>
      <w:spacing w:line="240" w:lineRule="auto"/>
      <w:ind w:left="-754"/>
      <w:contextualSpacing/>
    </w:pPr>
    <w:rPr>
      <w:sz w:val="20"/>
      <w:szCs w:val="20"/>
    </w:rPr>
  </w:style>
  <w:style w:type="paragraph" w:styleId="ListParagraph">
    <w:name w:val="List Paragraph"/>
    <w:basedOn w:val="Normal"/>
    <w:uiPriority w:val="34"/>
    <w:qFormat/>
    <w:rsid w:val="00BD42C5"/>
    <w:pPr>
      <w:ind w:left="720"/>
      <w:contextualSpacing/>
    </w:pPr>
  </w:style>
  <w:style w:type="paragraph" w:styleId="Subtitle">
    <w:name w:val="Subtitle"/>
    <w:basedOn w:val="Normal"/>
    <w:next w:val="Normal"/>
    <w:link w:val="SubtitleChar"/>
    <w:uiPriority w:val="11"/>
    <w:qFormat/>
    <w:rsid w:val="003C30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084"/>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E312DB"/>
    <w:rPr>
      <w:rFonts w:eastAsiaTheme="majorEastAsia" w:cstheme="minorHAnsi"/>
      <w:b/>
      <w:bCs/>
      <w:sz w:val="28"/>
      <w:szCs w:val="28"/>
      <w:lang w:eastAsia="en-AU"/>
    </w:rPr>
  </w:style>
  <w:style w:type="paragraph" w:styleId="FootnoteText">
    <w:name w:val="footnote text"/>
    <w:basedOn w:val="Normal"/>
    <w:link w:val="FootnoteTextChar"/>
    <w:uiPriority w:val="99"/>
    <w:semiHidden/>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Text">
    <w:name w:val="annotation text"/>
    <w:basedOn w:val="Normal"/>
    <w:link w:val="CommentTextChar"/>
    <w:uiPriority w:val="99"/>
    <w:semiHidden/>
    <w:unhideWhenUsed/>
    <w:rsid w:val="00EA3214"/>
    <w:pPr>
      <w:spacing w:line="240" w:lineRule="auto"/>
    </w:pPr>
    <w:rPr>
      <w:sz w:val="20"/>
      <w:szCs w:val="20"/>
    </w:rPr>
  </w:style>
  <w:style w:type="character" w:customStyle="1" w:styleId="CommentTextChar">
    <w:name w:val="Comment Text Char"/>
    <w:basedOn w:val="DefaultParagraphFont"/>
    <w:link w:val="CommentText"/>
    <w:uiPriority w:val="99"/>
    <w:semiHidden/>
    <w:rsid w:val="00EA321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A3214"/>
    <w:rPr>
      <w:b/>
      <w:bCs/>
    </w:rPr>
  </w:style>
  <w:style w:type="character" w:customStyle="1" w:styleId="CommentSubjectChar">
    <w:name w:val="Comment Subject Char"/>
    <w:basedOn w:val="CommentTextChar"/>
    <w:link w:val="CommentSubject"/>
    <w:uiPriority w:val="99"/>
    <w:semiHidden/>
    <w:rsid w:val="00EA3214"/>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351C15"/>
    <w:rPr>
      <w:rFonts w:eastAsiaTheme="majorEastAsia" w:cstheme="minorHAnsi"/>
      <w:bCs/>
      <w:i/>
      <w:sz w:val="26"/>
      <w:szCs w:val="26"/>
      <w:lang w:eastAsia="en-AU"/>
    </w:rPr>
  </w:style>
  <w:style w:type="character" w:customStyle="1" w:styleId="Heading3Char">
    <w:name w:val="Heading 3 Char"/>
    <w:basedOn w:val="DefaultParagraphFont"/>
    <w:link w:val="Heading3"/>
    <w:uiPriority w:val="9"/>
    <w:rsid w:val="00A10851"/>
    <w:rPr>
      <w:rFonts w:eastAsiaTheme="minorEastAsia"/>
      <w:b/>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F8"/>
    <w:rPr>
      <w:rFonts w:eastAsiaTheme="minorEastAsia"/>
      <w:lang w:eastAsia="en-AU"/>
    </w:rPr>
  </w:style>
  <w:style w:type="paragraph" w:styleId="Heading1">
    <w:name w:val="heading 1"/>
    <w:basedOn w:val="Normal"/>
    <w:next w:val="Normal"/>
    <w:link w:val="Heading1Char"/>
    <w:uiPriority w:val="9"/>
    <w:qFormat/>
    <w:rsid w:val="00E312DB"/>
    <w:pPr>
      <w:keepNext/>
      <w:keepLines/>
      <w:spacing w:before="120" w:after="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351C15"/>
    <w:pPr>
      <w:keepNext/>
      <w:keepLines/>
      <w:spacing w:before="200" w:after="100" w:afterAutospacing="1"/>
      <w:outlineLvl w:val="1"/>
    </w:pPr>
    <w:rPr>
      <w:rFonts w:eastAsiaTheme="majorEastAsia" w:cstheme="minorHAnsi"/>
      <w:bCs/>
      <w:i/>
      <w:sz w:val="26"/>
      <w:szCs w:val="26"/>
    </w:rPr>
  </w:style>
  <w:style w:type="paragraph" w:styleId="Heading3">
    <w:name w:val="heading 3"/>
    <w:basedOn w:val="Normal"/>
    <w:next w:val="Normal"/>
    <w:link w:val="Heading3Char"/>
    <w:uiPriority w:val="9"/>
    <w:unhideWhenUsed/>
    <w:qFormat/>
    <w:rsid w:val="00A10851"/>
    <w:pPr>
      <w:spacing w:before="100" w:beforeAutospacing="1"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36"/>
    <w:rPr>
      <w:rFonts w:eastAsiaTheme="minorEastAsia"/>
      <w:lang w:eastAsia="en-AU"/>
    </w:rPr>
  </w:style>
  <w:style w:type="paragraph" w:styleId="Footer">
    <w:name w:val="footer"/>
    <w:basedOn w:val="Normal"/>
    <w:link w:val="FooterChar"/>
    <w:uiPriority w:val="99"/>
    <w:unhideWhenUsed/>
    <w:rsid w:val="007A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36"/>
    <w:rPr>
      <w:rFonts w:eastAsiaTheme="minorEastAsia"/>
      <w:lang w:eastAsia="en-AU"/>
    </w:rPr>
  </w:style>
  <w:style w:type="character" w:styleId="Hyperlink">
    <w:name w:val="Hyperlink"/>
    <w:basedOn w:val="DefaultParagraphFont"/>
    <w:uiPriority w:val="99"/>
    <w:unhideWhenUsed/>
    <w:rsid w:val="007A5D36"/>
    <w:rPr>
      <w:color w:val="0000FF" w:themeColor="hyperlink"/>
      <w:u w:val="single"/>
    </w:rPr>
  </w:style>
  <w:style w:type="paragraph" w:customStyle="1" w:styleId="Footerpage1">
    <w:name w:val="Footer page 1"/>
    <w:rsid w:val="007A5D36"/>
    <w:pPr>
      <w:spacing w:line="240" w:lineRule="auto"/>
      <w:ind w:left="-754"/>
      <w:contextualSpacing/>
    </w:pPr>
    <w:rPr>
      <w:sz w:val="20"/>
      <w:szCs w:val="20"/>
    </w:rPr>
  </w:style>
  <w:style w:type="paragraph" w:styleId="ListParagraph">
    <w:name w:val="List Paragraph"/>
    <w:basedOn w:val="Normal"/>
    <w:uiPriority w:val="34"/>
    <w:qFormat/>
    <w:rsid w:val="00BD42C5"/>
    <w:pPr>
      <w:ind w:left="720"/>
      <w:contextualSpacing/>
    </w:pPr>
  </w:style>
  <w:style w:type="paragraph" w:styleId="Subtitle">
    <w:name w:val="Subtitle"/>
    <w:basedOn w:val="Normal"/>
    <w:next w:val="Normal"/>
    <w:link w:val="SubtitleChar"/>
    <w:uiPriority w:val="11"/>
    <w:qFormat/>
    <w:rsid w:val="003C30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084"/>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E312DB"/>
    <w:rPr>
      <w:rFonts w:eastAsiaTheme="majorEastAsia" w:cstheme="minorHAnsi"/>
      <w:b/>
      <w:bCs/>
      <w:sz w:val="28"/>
      <w:szCs w:val="28"/>
      <w:lang w:eastAsia="en-AU"/>
    </w:rPr>
  </w:style>
  <w:style w:type="paragraph" w:styleId="FootnoteText">
    <w:name w:val="footnote text"/>
    <w:basedOn w:val="Normal"/>
    <w:link w:val="FootnoteTextChar"/>
    <w:uiPriority w:val="99"/>
    <w:semiHidden/>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Text">
    <w:name w:val="annotation text"/>
    <w:basedOn w:val="Normal"/>
    <w:link w:val="CommentTextChar"/>
    <w:uiPriority w:val="99"/>
    <w:semiHidden/>
    <w:unhideWhenUsed/>
    <w:rsid w:val="00EA3214"/>
    <w:pPr>
      <w:spacing w:line="240" w:lineRule="auto"/>
    </w:pPr>
    <w:rPr>
      <w:sz w:val="20"/>
      <w:szCs w:val="20"/>
    </w:rPr>
  </w:style>
  <w:style w:type="character" w:customStyle="1" w:styleId="CommentTextChar">
    <w:name w:val="Comment Text Char"/>
    <w:basedOn w:val="DefaultParagraphFont"/>
    <w:link w:val="CommentText"/>
    <w:uiPriority w:val="99"/>
    <w:semiHidden/>
    <w:rsid w:val="00EA321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A3214"/>
    <w:rPr>
      <w:b/>
      <w:bCs/>
    </w:rPr>
  </w:style>
  <w:style w:type="character" w:customStyle="1" w:styleId="CommentSubjectChar">
    <w:name w:val="Comment Subject Char"/>
    <w:basedOn w:val="CommentTextChar"/>
    <w:link w:val="CommentSubject"/>
    <w:uiPriority w:val="99"/>
    <w:semiHidden/>
    <w:rsid w:val="00EA3214"/>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351C15"/>
    <w:rPr>
      <w:rFonts w:eastAsiaTheme="majorEastAsia" w:cstheme="minorHAnsi"/>
      <w:bCs/>
      <w:i/>
      <w:sz w:val="26"/>
      <w:szCs w:val="26"/>
      <w:lang w:eastAsia="en-AU"/>
    </w:rPr>
  </w:style>
  <w:style w:type="character" w:customStyle="1" w:styleId="Heading3Char">
    <w:name w:val="Heading 3 Char"/>
    <w:basedOn w:val="DefaultParagraphFont"/>
    <w:link w:val="Heading3"/>
    <w:uiPriority w:val="9"/>
    <w:rsid w:val="00A10851"/>
    <w:rPr>
      <w:rFonts w:eastAsiaTheme="minorEastAsia"/>
      <w:b/>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bekah.Sarkoezy@accan.org.au" TargetMode="External"/><Relationship Id="rId4" Type="http://schemas.microsoft.com/office/2007/relationships/stylesWithEffects" Target="stylesWithEffects.xml"/><Relationship Id="rId9" Type="http://schemas.openxmlformats.org/officeDocument/2006/relationships/hyperlink" Target="mailto:c.purdon@commsalliance.com.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mmsalliance.com.au/__data/assets/pdf_file/0006/59244/C555_2017_Nov.pdf" TargetMode="External"/><Relationship Id="rId2" Type="http://schemas.openxmlformats.org/officeDocument/2006/relationships/hyperlink" Target="https://www.commsalliance.com.au/__data/assets/pdf_file/0011/66953/C555_2019_Public-comment-draft.pdf" TargetMode="External"/><Relationship Id="rId1" Type="http://schemas.openxmlformats.org/officeDocument/2006/relationships/hyperlink" Target="https://www.commsalliance.com.au/__data/assets/pdf_file/0005/65336/WC91-Terms-of-Reference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7E54-CBAD-4953-BDF3-2C773390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3</cp:revision>
  <cp:lastPrinted>2019-11-08T02:47:00Z</cp:lastPrinted>
  <dcterms:created xsi:type="dcterms:W3CDTF">2019-11-08T02:47:00Z</dcterms:created>
  <dcterms:modified xsi:type="dcterms:W3CDTF">2019-11-08T02:47:00Z</dcterms:modified>
</cp:coreProperties>
</file>