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62C" w:rsidRDefault="00D4662C" w:rsidP="00C45A03"/>
    <w:p w:rsidR="00C45A03" w:rsidRDefault="00DE5308" w:rsidP="00C45A03">
      <w:r>
        <w:t>25</w:t>
      </w:r>
      <w:r w:rsidR="00C45A03">
        <w:t xml:space="preserve"> October 2018</w:t>
      </w:r>
    </w:p>
    <w:p w:rsidR="00C45A03" w:rsidRDefault="00C45A03" w:rsidP="00C45A03">
      <w:pPr>
        <w:rPr>
          <w:rFonts w:cstheme="minorHAnsi"/>
        </w:rPr>
      </w:pPr>
      <w:r>
        <w:t>Committee Secretary</w:t>
      </w:r>
      <w:r>
        <w:br/>
        <w:t>Senate Environment and Communications References Committee</w:t>
      </w:r>
      <w:r>
        <w:br/>
      </w:r>
      <w:r w:rsidRPr="000F4D97">
        <w:rPr>
          <w:rFonts w:cstheme="minorHAnsi"/>
        </w:rPr>
        <w:t>By email:</w:t>
      </w:r>
      <w:r>
        <w:rPr>
          <w:rFonts w:cstheme="minorHAnsi"/>
        </w:rPr>
        <w:t xml:space="preserve"> </w:t>
      </w:r>
      <w:hyperlink r:id="rId8" w:history="1">
        <w:r w:rsidRPr="00962735">
          <w:rPr>
            <w:rStyle w:val="Hyperlink"/>
            <w:rFonts w:cstheme="minorHAnsi"/>
          </w:rPr>
          <w:t>ec.sen@aph.gov.au</w:t>
        </w:r>
      </w:hyperlink>
    </w:p>
    <w:p w:rsidR="00C45A03" w:rsidRPr="00AB1474" w:rsidRDefault="00C45A03" w:rsidP="00C45A03">
      <w:pPr>
        <w:jc w:val="center"/>
        <w:rPr>
          <w:b/>
        </w:rPr>
      </w:pPr>
      <w:r w:rsidRPr="00AB1474">
        <w:rPr>
          <w:b/>
        </w:rPr>
        <w:t xml:space="preserve">Re: </w:t>
      </w:r>
      <w:r>
        <w:rPr>
          <w:b/>
        </w:rPr>
        <w:t>Inquiry into Australian content on broadcast, radio and streaming services</w:t>
      </w:r>
    </w:p>
    <w:p w:rsidR="00C45A03" w:rsidRDefault="00C45A03" w:rsidP="00C45A03">
      <w:r>
        <w:t>Dear Committee Secretary,</w:t>
      </w:r>
    </w:p>
    <w:p w:rsidR="00C45A03" w:rsidRDefault="00C45A03" w:rsidP="00C45A03">
      <w:r>
        <w:t>Thank you for the opportunity to provide a submission to the Senate Inquiry into Australian content on broadcast, radio and streaming services. ACCAN offers a brief comment on the cultural value of this Australian content</w:t>
      </w:r>
      <w:r w:rsidR="00D4662C">
        <w:t xml:space="preserve"> in relation to people with disability</w:t>
      </w:r>
      <w:r>
        <w:t xml:space="preserve">. </w:t>
      </w:r>
    </w:p>
    <w:p w:rsidR="00EA3A02" w:rsidRDefault="00C45A03" w:rsidP="00C45A03">
      <w:r>
        <w:t>Article 30 of the Convention on the Rights of Persons with Disabilities (the CRPD) outlines that people with disability have the right to equal access to participation in cultural life, including equal access to television shows, films, theatre and other cultural activities</w:t>
      </w:r>
      <w:r w:rsidR="00DE5308">
        <w:t>.</w:t>
      </w:r>
      <w:r w:rsidR="00474280">
        <w:rPr>
          <w:rStyle w:val="FootnoteReference"/>
        </w:rPr>
        <w:footnoteReference w:id="1"/>
      </w:r>
      <w:r>
        <w:t xml:space="preserve"> </w:t>
      </w:r>
      <w:r w:rsidR="0084726F">
        <w:t xml:space="preserve">Not only must people with disability have access to these types of cultural materials, it must also be ensured that these materials are made available in accessible formats. </w:t>
      </w:r>
      <w:r w:rsidR="00EA3A02">
        <w:t xml:space="preserve">This must be equally the case for children and young people with disability, </w:t>
      </w:r>
      <w:r w:rsidR="00C004F3">
        <w:t>acknowledging the role that</w:t>
      </w:r>
      <w:r w:rsidR="00EA3A02">
        <w:t xml:space="preserve"> accessible</w:t>
      </w:r>
      <w:r w:rsidR="00C004F3">
        <w:t xml:space="preserve"> Australian content can play </w:t>
      </w:r>
      <w:r w:rsidR="00EA3A02">
        <w:t xml:space="preserve">in helping them to gain a sense of inclusion, community and national identification. </w:t>
      </w:r>
      <w:r w:rsidR="0084726F">
        <w:t xml:space="preserve">As such, access to (and the cultural value of) accessible </w:t>
      </w:r>
      <w:r>
        <w:t>Australian content on broadcast, radio and stream</w:t>
      </w:r>
      <w:r w:rsidR="0084726F">
        <w:t xml:space="preserve">ing services must be carefully considered by this Committee. </w:t>
      </w:r>
    </w:p>
    <w:p w:rsidR="00B073B1" w:rsidRDefault="00C45A03" w:rsidP="00D4662C">
      <w:r>
        <w:t xml:space="preserve">Access to </w:t>
      </w:r>
      <w:r w:rsidR="0084726F">
        <w:t>Australian broadcast, radio and streaming services</w:t>
      </w:r>
      <w:r>
        <w:t xml:space="preserve"> must be </w:t>
      </w:r>
      <w:r w:rsidR="00D37C56">
        <w:t>available</w:t>
      </w:r>
      <w:r>
        <w:t xml:space="preserve"> as broadly and as inclusively as possible, taking into </w:t>
      </w:r>
      <w:r w:rsidR="00D4662C">
        <w:t>account</w:t>
      </w:r>
      <w:r>
        <w:t xml:space="preserve"> the range of accessibility requirements that different people with disability will have. For instance, some people with disability will require captioning on </w:t>
      </w:r>
      <w:r w:rsidR="0084726F">
        <w:t>content;</w:t>
      </w:r>
      <w:r>
        <w:t xml:space="preserve"> </w:t>
      </w:r>
      <w:r w:rsidR="00D4662C">
        <w:t>some</w:t>
      </w:r>
      <w:r>
        <w:t xml:space="preserve"> will require wheelchair </w:t>
      </w:r>
      <w:r w:rsidR="0084726F">
        <w:t>accessible cinemas and theatres;</w:t>
      </w:r>
      <w:r>
        <w:t xml:space="preserve"> others will require audio described content</w:t>
      </w:r>
      <w:r w:rsidR="007509C0">
        <w:t xml:space="preserve">; and others still </w:t>
      </w:r>
      <w:r w:rsidR="00D4662C">
        <w:t>will</w:t>
      </w:r>
      <w:r w:rsidR="007509C0">
        <w:t xml:space="preserve"> require wheelchair accessible cinemas </w:t>
      </w:r>
      <w:r w:rsidR="00D4662C">
        <w:t>in conjunction with other accessibility measures, such as</w:t>
      </w:r>
      <w:r w:rsidR="007509C0">
        <w:t xml:space="preserve"> hearing loops </w:t>
      </w:r>
      <w:r w:rsidR="00D4662C">
        <w:t>or</w:t>
      </w:r>
      <w:r w:rsidR="007509C0">
        <w:t xml:space="preserve"> </w:t>
      </w:r>
      <w:r w:rsidR="00B073B1">
        <w:t>audio description</w:t>
      </w:r>
      <w:r>
        <w:t>.</w:t>
      </w:r>
      <w:r w:rsidR="007509C0">
        <w:t xml:space="preserve"> </w:t>
      </w:r>
      <w:r w:rsidR="00D4662C">
        <w:t>One type of accessibility</w:t>
      </w:r>
      <w:r w:rsidR="007509C0">
        <w:t xml:space="preserve"> must </w:t>
      </w:r>
      <w:r w:rsidR="00B073B1">
        <w:t xml:space="preserve">therefore </w:t>
      </w:r>
      <w:r w:rsidR="007509C0">
        <w:t>never be seen to compensate for a lack of accessibility in another</w:t>
      </w:r>
      <w:r w:rsidR="00D4662C">
        <w:t xml:space="preserve"> area</w:t>
      </w:r>
      <w:r w:rsidR="007509C0">
        <w:t xml:space="preserve">. Indeed, despite </w:t>
      </w:r>
      <w:r>
        <w:t>the human rights imperative to meet t</w:t>
      </w:r>
      <w:r w:rsidR="007509C0">
        <w:t>hese accessibility requirements</w:t>
      </w:r>
      <w:r>
        <w:t xml:space="preserve">, there </w:t>
      </w:r>
      <w:r w:rsidR="007509C0">
        <w:t>have been</w:t>
      </w:r>
      <w:r>
        <w:t xml:space="preserve"> distinct differences </w:t>
      </w:r>
      <w:r w:rsidR="00B073B1">
        <w:t>in the prioritisation of</w:t>
      </w:r>
      <w:r w:rsidR="007509C0">
        <w:t xml:space="preserve"> </w:t>
      </w:r>
      <w:r w:rsidR="00B073B1">
        <w:t xml:space="preserve">certain </w:t>
      </w:r>
      <w:r w:rsidR="007509C0">
        <w:t>acces</w:t>
      </w:r>
      <w:r w:rsidR="00B073B1">
        <w:t>sibility requirements</w:t>
      </w:r>
      <w:r w:rsidR="007509C0">
        <w:t xml:space="preserve">. </w:t>
      </w:r>
      <w:r w:rsidR="00C004F3">
        <w:t xml:space="preserve">Captions, for instance, were first introduced in 1982 with the government financially supporting the formation of the Australian Caption Centre. </w:t>
      </w:r>
      <w:r w:rsidR="00C04DAF">
        <w:t>While captions were restricted in their scope and availability (</w:t>
      </w:r>
      <w:r w:rsidR="00C004F3">
        <w:t xml:space="preserve">initially </w:t>
      </w:r>
      <w:r w:rsidR="00C04DAF">
        <w:t xml:space="preserve">available between 6pm-10pm on the ABC and commercial channels), a commitment was nonetheless made. </w:t>
      </w:r>
      <w:r w:rsidR="00C004F3">
        <w:t>In comparison</w:t>
      </w:r>
      <w:r w:rsidR="00C04DAF">
        <w:t>, advocates</w:t>
      </w:r>
      <w:r w:rsidR="00EA3A02">
        <w:t xml:space="preserve"> from the blindness community</w:t>
      </w:r>
      <w:r w:rsidR="00C04DAF">
        <w:t xml:space="preserve"> have been c</w:t>
      </w:r>
      <w:r w:rsidR="00646DEF">
        <w:t xml:space="preserve">alling for audio description on Australian </w:t>
      </w:r>
      <w:r w:rsidR="00C04DAF">
        <w:t>televis</w:t>
      </w:r>
      <w:r w:rsidR="00646DEF">
        <w:t xml:space="preserve">ion for over </w:t>
      </w:r>
      <w:r w:rsidR="00C04DAF">
        <w:t>20 years</w:t>
      </w:r>
      <w:r w:rsidR="00646DEF">
        <w:t>,</w:t>
      </w:r>
      <w:r w:rsidR="00C04DAF">
        <w:t xml:space="preserve"> to no avail. </w:t>
      </w:r>
      <w:r w:rsidR="007509C0">
        <w:t xml:space="preserve"> </w:t>
      </w:r>
    </w:p>
    <w:p w:rsidR="00135BCC" w:rsidRDefault="00B073B1" w:rsidP="00C45A03">
      <w:r>
        <w:t>A</w:t>
      </w:r>
      <w:r w:rsidR="00D4662C">
        <w:t xml:space="preserve">udio description provides greater access for Australians who are blind or have vision impairment, by using words to describe or narrate visual elements of content, such as a film, play or television show. The blindness community and other organisations, including ACCAN, have long been </w:t>
      </w:r>
      <w:r w:rsidR="00D4662C">
        <w:lastRenderedPageBreak/>
        <w:t>advocating for audio description to be available on Australian television</w:t>
      </w:r>
      <w:r>
        <w:t xml:space="preserve">. There have also been two audio description trials on the ABC over the past few years </w:t>
      </w:r>
      <w:r w:rsidR="00D4662C">
        <w:t xml:space="preserve">– one in 2012 and one in 2015-16. Despite these trials and </w:t>
      </w:r>
      <w:r w:rsidR="00135BCC">
        <w:t>continued</w:t>
      </w:r>
      <w:r>
        <w:t xml:space="preserve"> community</w:t>
      </w:r>
      <w:r w:rsidR="00135BCC">
        <w:t xml:space="preserve"> advocacy, </w:t>
      </w:r>
      <w:r w:rsidR="00D4662C">
        <w:t>including participating in an Audio Description Working Group</w:t>
      </w:r>
      <w:r w:rsidR="00135BCC">
        <w:t xml:space="preserve"> convened by the Department of Communications and the Arts that outlined three possible approaches to implementing audio description</w:t>
      </w:r>
      <w:r w:rsidR="00D4662C">
        <w:t xml:space="preserve">, there is still no clear pathway or timeline towards making audio description broadly available in Australia. </w:t>
      </w:r>
    </w:p>
    <w:p w:rsidR="00CF6A8D" w:rsidRDefault="00496F3F" w:rsidP="00C45A03">
      <w:r>
        <w:t>It</w:t>
      </w:r>
      <w:r w:rsidR="00D4662C">
        <w:t xml:space="preserve"> is worth noting that since 2011, </w:t>
      </w:r>
      <w:r w:rsidR="00C45A03">
        <w:t>Screen Australia has implemented a funding condition that requires</w:t>
      </w:r>
      <w:r w:rsidR="00135BCC">
        <w:t xml:space="preserve"> the</w:t>
      </w:r>
      <w:r w:rsidR="00C45A03">
        <w:t xml:space="preserve"> </w:t>
      </w:r>
      <w:r w:rsidR="00D37C56">
        <w:t>programming</w:t>
      </w:r>
      <w:r w:rsidR="00C45A03">
        <w:t xml:space="preserve"> </w:t>
      </w:r>
      <w:r w:rsidR="00B073B1">
        <w:t>in which it invests</w:t>
      </w:r>
      <w:r w:rsidR="00135BCC">
        <w:t xml:space="preserve"> </w:t>
      </w:r>
      <w:r w:rsidR="00C45A03">
        <w:t>to be both</w:t>
      </w:r>
      <w:r w:rsidR="00D4662C">
        <w:t xml:space="preserve"> captioned and audio described. </w:t>
      </w:r>
      <w:r w:rsidR="00C45A03">
        <w:t xml:space="preserve">This commitment </w:t>
      </w:r>
      <w:r w:rsidR="00135BCC">
        <w:t xml:space="preserve">to accessibility features </w:t>
      </w:r>
      <w:r w:rsidR="00C45A03">
        <w:t>was welcomed by members of the disability community</w:t>
      </w:r>
      <w:r w:rsidR="00E6703C">
        <w:t>, and indeed in the years since, many people with dis</w:t>
      </w:r>
      <w:r w:rsidR="0028126B">
        <w:t>ability have benefitted from this</w:t>
      </w:r>
      <w:r w:rsidR="00E6703C">
        <w:t xml:space="preserve"> automatic inclusion of accessibility features when viewing Screen Australia </w:t>
      </w:r>
      <w:r w:rsidR="00D37C56">
        <w:t>films</w:t>
      </w:r>
      <w:r w:rsidR="00E6703C">
        <w:t xml:space="preserve"> in caption and audio description compliant</w:t>
      </w:r>
      <w:r w:rsidR="00B073B1">
        <w:t xml:space="preserve"> cinemas</w:t>
      </w:r>
      <w:r w:rsidR="00E6703C">
        <w:t xml:space="preserve">. </w:t>
      </w:r>
      <w:r>
        <w:t xml:space="preserve">However, the accessibility features of Screen Australia </w:t>
      </w:r>
      <w:r w:rsidR="00D37C56">
        <w:t>programming</w:t>
      </w:r>
      <w:r>
        <w:t xml:space="preserve"> do not carry across to other </w:t>
      </w:r>
      <w:r w:rsidR="00D37C56">
        <w:t>media</w:t>
      </w:r>
      <w:r>
        <w:t xml:space="preserve">. Audio description </w:t>
      </w:r>
      <w:r w:rsidR="0028126B">
        <w:t xml:space="preserve">of this content </w:t>
      </w:r>
      <w:r>
        <w:t xml:space="preserve">is not currently available on television, as there is </w:t>
      </w:r>
      <w:r w:rsidR="00CF6A8D">
        <w:t xml:space="preserve">inadequate legislative protection to address the market’s failure to provide </w:t>
      </w:r>
      <w:r w:rsidR="0032650D">
        <w:t>equal</w:t>
      </w:r>
      <w:r w:rsidR="00CF6A8D">
        <w:t xml:space="preserve"> services to all. </w:t>
      </w:r>
      <w:r>
        <w:t>This renders Australian audio described content inaccessible to the very people these accessibility m</w:t>
      </w:r>
      <w:r w:rsidR="00CF6A8D">
        <w:t xml:space="preserve">easures are supposed to benefit. </w:t>
      </w:r>
    </w:p>
    <w:p w:rsidR="00496F3F" w:rsidRDefault="00CF6A8D" w:rsidP="00C45A03">
      <w:r>
        <w:t xml:space="preserve">A possible solution would be an approach similar to that which was adopted in the United States through the </w:t>
      </w:r>
      <w:r w:rsidR="0017423C">
        <w:t>Twenty-First</w:t>
      </w:r>
      <w:r>
        <w:t xml:space="preserve"> Century Communications and Video Accessibility Act</w:t>
      </w:r>
      <w:r w:rsidR="0017423C">
        <w:t xml:space="preserve"> of 2010</w:t>
      </w:r>
      <w:r w:rsidR="00DE5308">
        <w:t>.</w:t>
      </w:r>
      <w:r w:rsidR="00267C24">
        <w:rPr>
          <w:rStyle w:val="FootnoteReference"/>
        </w:rPr>
        <w:footnoteReference w:id="2"/>
      </w:r>
      <w:r>
        <w:t xml:space="preserve"> This Act stipulates that access features for video content must follow </w:t>
      </w:r>
      <w:r w:rsidR="0017423C">
        <w:t xml:space="preserve">the </w:t>
      </w:r>
      <w:r>
        <w:t xml:space="preserve">content – meaning that where something is captioned on one platform (such as </w:t>
      </w:r>
      <w:r w:rsidR="0017423C">
        <w:t>television</w:t>
      </w:r>
      <w:r>
        <w:t xml:space="preserve">), </w:t>
      </w:r>
      <w:r w:rsidR="0017423C">
        <w:t xml:space="preserve">the captions </w:t>
      </w:r>
      <w:r>
        <w:t>must follow the content across other platforms (such as Netflix</w:t>
      </w:r>
      <w:r w:rsidR="0017423C">
        <w:t xml:space="preserve"> or Stan</w:t>
      </w:r>
      <w:r>
        <w:t xml:space="preserve">, for instance). </w:t>
      </w:r>
      <w:r w:rsidR="0017423C">
        <w:t xml:space="preserve">Reforms similar to those offered by this Act should be introduced in Australia, and should relate to all content (including content created and made available to consumers on the internet). Such clear legislative requirements would help to ensure access features exist across all platforms (including Australian and international streaming services), to support the cultural inclusion of all Australians with disability. </w:t>
      </w:r>
    </w:p>
    <w:p w:rsidR="00496F3F" w:rsidRDefault="00496F3F" w:rsidP="00C45A03">
      <w:r>
        <w:t xml:space="preserve">ACCAN continues to support the blindness </w:t>
      </w:r>
      <w:r w:rsidR="00557A01">
        <w:t xml:space="preserve">community in all work relating to audio description and the accessibility of broadcast and streaming services. </w:t>
      </w:r>
      <w:r w:rsidR="00843648">
        <w:t>We recommend that the Committee carefully consider the accessibility of Australian content over the course of this inquiry, and we further recommend talking directly to a range of people with disability about the impact that access to accessible Australian content has (or would have) on their day-to-day lives.</w:t>
      </w:r>
    </w:p>
    <w:p w:rsidR="00C45A03" w:rsidRDefault="00C45A03" w:rsidP="00C45A03">
      <w:pPr>
        <w:contextualSpacing/>
        <w:rPr>
          <w:rFonts w:eastAsiaTheme="minorHAnsi"/>
        </w:rPr>
      </w:pPr>
      <w:r>
        <w:rPr>
          <w:rFonts w:eastAsiaTheme="minorHAnsi"/>
        </w:rPr>
        <w:t xml:space="preserve">Thank you again for allowing ACCAN to offer our thoughts on this topic. Please do not hesitate to contact us should you require clarification or additional information on any of the issues we have raised. </w:t>
      </w:r>
    </w:p>
    <w:p w:rsidR="00C45A03" w:rsidRDefault="00C45A03" w:rsidP="00C45A03">
      <w:pPr>
        <w:contextualSpacing/>
        <w:rPr>
          <w:rFonts w:eastAsiaTheme="minorHAnsi"/>
        </w:rPr>
      </w:pPr>
    </w:p>
    <w:p w:rsidR="00C45A03" w:rsidRDefault="00C45A03" w:rsidP="00C45A03">
      <w:pPr>
        <w:contextualSpacing/>
        <w:rPr>
          <w:rFonts w:eastAsiaTheme="minorHAnsi"/>
        </w:rPr>
      </w:pPr>
      <w:r>
        <w:rPr>
          <w:rFonts w:eastAsiaTheme="minorHAnsi"/>
        </w:rPr>
        <w:t>Yours sincerely,</w:t>
      </w:r>
    </w:p>
    <w:p w:rsidR="00C45A03" w:rsidRDefault="00C45A03" w:rsidP="00C45A03">
      <w:pPr>
        <w:contextualSpacing/>
        <w:rPr>
          <w:rFonts w:eastAsiaTheme="minorHAnsi"/>
        </w:rPr>
      </w:pPr>
    </w:p>
    <w:p w:rsidR="00DE5308" w:rsidRDefault="00507C19" w:rsidP="00C45A03">
      <w:pPr>
        <w:contextualSpacing/>
        <w:rPr>
          <w:rFonts w:eastAsiaTheme="minorHAnsi"/>
        </w:rPr>
      </w:pPr>
      <w:r>
        <w:rPr>
          <w:rFonts w:eastAsiaTheme="minorHAnsi"/>
        </w:rPr>
        <w:t>Meredith Lea</w:t>
      </w:r>
    </w:p>
    <w:p w:rsidR="00C73186" w:rsidRPr="0017423C" w:rsidRDefault="00507C19" w:rsidP="00C45A03">
      <w:pPr>
        <w:contextualSpacing/>
        <w:rPr>
          <w:rFonts w:eastAsiaTheme="minorHAnsi"/>
        </w:rPr>
      </w:pPr>
      <w:r>
        <w:rPr>
          <w:rFonts w:eastAsiaTheme="minorHAnsi"/>
        </w:rPr>
        <w:t>Disability Policy Officer</w:t>
      </w:r>
    </w:p>
    <w:sectPr w:rsidR="00C73186" w:rsidRPr="0017423C" w:rsidSect="00DE5308">
      <w:footerReference w:type="default" r:id="rId9"/>
      <w:headerReference w:type="first" r:id="rId10"/>
      <w:footerReference w:type="first" r:id="rId11"/>
      <w:pgSz w:w="11906" w:h="16838"/>
      <w:pgMar w:top="1296" w:right="1440" w:bottom="2074"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0A2" w:rsidRDefault="00AC20A2" w:rsidP="0082329E">
      <w:pPr>
        <w:spacing w:after="0" w:line="240" w:lineRule="auto"/>
      </w:pPr>
      <w:r>
        <w:separator/>
      </w:r>
    </w:p>
  </w:endnote>
  <w:endnote w:type="continuationSeparator" w:id="0">
    <w:p w:rsidR="00AC20A2" w:rsidRDefault="00AC20A2" w:rsidP="00823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9E" w:rsidRPr="0082329E" w:rsidRDefault="0082329E" w:rsidP="0082329E">
    <w:pPr>
      <w:spacing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B262DD">
      <w:rPr>
        <w:noProof/>
      </w:rPr>
      <w:t>2</w:t>
    </w:r>
    <w:r w:rsidRPr="00C4251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9E" w:rsidRDefault="0082329E">
    <w:pPr>
      <w:pStyle w:val="Footer"/>
    </w:pPr>
    <w:r>
      <w:rPr>
        <w:noProof/>
      </w:rPr>
      <mc:AlternateContent>
        <mc:Choice Requires="wpg">
          <w:drawing>
            <wp:anchor distT="0" distB="0" distL="114300" distR="114300" simplePos="0" relativeHeight="251661312" behindDoc="1" locked="0" layoutInCell="1" allowOverlap="1" wp14:anchorId="1C3A3B3F" wp14:editId="00FF9132">
              <wp:simplePos x="0" y="0"/>
              <wp:positionH relativeFrom="column">
                <wp:posOffset>-288925</wp:posOffset>
              </wp:positionH>
              <wp:positionV relativeFrom="paragraph">
                <wp:posOffset>-717940</wp:posOffset>
              </wp:positionV>
              <wp:extent cx="6971664" cy="1473199"/>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473199"/>
                        <a:chOff x="-49543" y="-160097"/>
                        <a:chExt cx="6971664" cy="1382617"/>
                      </a:xfrm>
                    </wpg:grpSpPr>
                    <wps:wsp>
                      <wps:cNvPr id="2" name="Text Box 2"/>
                      <wps:cNvSpPr txBox="1">
                        <a:spLocks noChangeArrowheads="1"/>
                      </wps:cNvSpPr>
                      <wps:spPr bwMode="auto">
                        <a:xfrm>
                          <a:off x="-49543" y="-160097"/>
                          <a:ext cx="6971664" cy="1382617"/>
                        </a:xfrm>
                        <a:prstGeom prst="rect">
                          <a:avLst/>
                        </a:prstGeom>
                        <a:noFill/>
                        <a:ln w="9525">
                          <a:noFill/>
                          <a:miter lim="800000"/>
                          <a:headEnd/>
                          <a:tailEnd/>
                        </a:ln>
                      </wps:spPr>
                      <wps:txbx>
                        <w:txbxContent>
                          <w:p w:rsidR="0082329E" w:rsidRPr="00E05115" w:rsidRDefault="0082329E" w:rsidP="0082329E">
                            <w:pPr>
                              <w:spacing w:after="0"/>
                              <w:rPr>
                                <w:color w:val="23B0E6"/>
                              </w:rPr>
                            </w:pPr>
                            <w:r w:rsidRPr="00E05115">
                              <w:rPr>
                                <w:color w:val="23B0E6"/>
                              </w:rPr>
                              <w:t>Australian Communications Consumer Action Network (ACCAN)</w:t>
                            </w:r>
                          </w:p>
                          <w:p w:rsidR="0082329E" w:rsidRDefault="0082329E" w:rsidP="0082329E">
                            <w:pPr>
                              <w:spacing w:after="0"/>
                              <w:rPr>
                                <w:i/>
                                <w:color w:val="23B0E6"/>
                              </w:rPr>
                            </w:pPr>
                            <w:r w:rsidRPr="00E05115">
                              <w:rPr>
                                <w:i/>
                                <w:color w:val="23B0E6"/>
                              </w:rPr>
                              <w:t xml:space="preserve">Australia’s peak </w:t>
                            </w:r>
                            <w:r>
                              <w:rPr>
                                <w:i/>
                                <w:color w:val="23B0E6"/>
                              </w:rPr>
                              <w:t>body representing communications consumers</w:t>
                            </w:r>
                          </w:p>
                          <w:p w:rsidR="0082329E" w:rsidRPr="00E05115" w:rsidRDefault="0082329E" w:rsidP="0082329E">
                            <w:pPr>
                              <w:spacing w:after="0"/>
                              <w:rPr>
                                <w:i/>
                                <w:color w:val="23B0E6"/>
                              </w:rPr>
                            </w:pPr>
                          </w:p>
                          <w:p w:rsidR="0082329E" w:rsidRDefault="0082329E" w:rsidP="0082329E">
                            <w:pPr>
                              <w:spacing w:after="0"/>
                            </w:pPr>
                            <w:r>
                              <w:t>PO Box 639, Broadway NSW 2007</w:t>
                            </w:r>
                          </w:p>
                          <w:p w:rsidR="0082329E" w:rsidRDefault="0082329E" w:rsidP="0082329E">
                            <w:pPr>
                              <w:spacing w:after="0"/>
                            </w:pPr>
                            <w:r>
                              <w:t xml:space="preserve">Tel: (02) 9288 4000 | Fax: (02) 9288 4019 | Contact us through the </w:t>
                            </w:r>
                            <w:hyperlink r:id="rId1" w:history="1">
                              <w:r w:rsidRPr="00FE6EAF">
                                <w:rPr>
                                  <w:rStyle w:val="Hyperlink"/>
                                </w:rPr>
                                <w:t>National Relay Service</w:t>
                              </w:r>
                            </w:hyperlink>
                          </w:p>
                          <w:p w:rsidR="0082329E" w:rsidRPr="00E05115" w:rsidRDefault="0082329E" w:rsidP="0082329E">
                            <w:pPr>
                              <w:spacing w:after="0"/>
                              <w:rPr>
                                <w:color w:val="23B0E6"/>
                              </w:rPr>
                            </w:pPr>
                            <w:r w:rsidRPr="00E05115">
                              <w:rPr>
                                <w:color w:val="23B0E6"/>
                              </w:rPr>
                              <w:t>www.accan.org.au | info@accan.org.au | twitter: @ACCAN_AU</w:t>
                            </w:r>
                            <w:r>
                              <w:rPr>
                                <w:color w:val="23B0E6"/>
                              </w:rPr>
                              <w:t xml:space="preserve"> | www.facebook.com/accanau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22.75pt;margin-top:-56.55pt;width:548.95pt;height:116pt;z-index:-251655168;mso-width-relative:margin;mso-height-relative:margin" coordorigin="-495,-1600" coordsize="69716,1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">
              <v:shapetype id="_x0000_t202" coordsize="21600,21600" o:spt="202" path="m,l,21600r21600,l21600,xe">
                <v:stroke joinstyle="miter"/>
                <v:path gradientshapeok="t" o:connecttype="rect"/>
              </v:shapetype>
              <v:shape id="Text Box 2" o:spid="_x0000_s1027" type="#_x0000_t202" style="position:absolute;left:-495;top:-1600;width:69716;height:13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82329E" w:rsidRPr="00E05115" w:rsidRDefault="0082329E" w:rsidP="0082329E">
                      <w:pPr>
                        <w:spacing w:after="0"/>
                        <w:rPr>
                          <w:color w:val="23B0E6"/>
                        </w:rPr>
                      </w:pPr>
                      <w:r w:rsidRPr="00E05115">
                        <w:rPr>
                          <w:color w:val="23B0E6"/>
                        </w:rPr>
                        <w:t>Australian Communications Consumer Action Network (ACCAN)</w:t>
                      </w:r>
                    </w:p>
                    <w:p w:rsidR="0082329E" w:rsidRDefault="0082329E" w:rsidP="0082329E">
                      <w:pPr>
                        <w:spacing w:after="0"/>
                        <w:rPr>
                          <w:i/>
                          <w:color w:val="23B0E6"/>
                        </w:rPr>
                      </w:pPr>
                      <w:r w:rsidRPr="00E05115">
                        <w:rPr>
                          <w:i/>
                          <w:color w:val="23B0E6"/>
                        </w:rPr>
                        <w:t xml:space="preserve">Australia’s peak </w:t>
                      </w:r>
                      <w:r>
                        <w:rPr>
                          <w:i/>
                          <w:color w:val="23B0E6"/>
                        </w:rPr>
                        <w:t>body representing communications consumers</w:t>
                      </w:r>
                    </w:p>
                    <w:p w:rsidR="0082329E" w:rsidRPr="00E05115" w:rsidRDefault="0082329E" w:rsidP="0082329E">
                      <w:pPr>
                        <w:spacing w:after="0"/>
                        <w:rPr>
                          <w:i/>
                          <w:color w:val="23B0E6"/>
                        </w:rPr>
                      </w:pPr>
                    </w:p>
                    <w:p w:rsidR="0082329E" w:rsidRDefault="0082329E" w:rsidP="0082329E">
                      <w:pPr>
                        <w:spacing w:after="0"/>
                      </w:pPr>
                      <w:r>
                        <w:t>PO Box 639, Broadway NSW 2007</w:t>
                      </w:r>
                    </w:p>
                    <w:p w:rsidR="0082329E" w:rsidRDefault="0082329E" w:rsidP="0082329E">
                      <w:pPr>
                        <w:spacing w:after="0"/>
                      </w:pPr>
                      <w:r>
                        <w:t xml:space="preserve">Tel: (02) 9288 4000 | Fax: (02) 9288 4019 | Contact us through the </w:t>
                      </w:r>
                      <w:hyperlink r:id="rId2" w:history="1">
                        <w:r w:rsidRPr="00FE6EAF">
                          <w:rPr>
                            <w:rStyle w:val="Hyperlink"/>
                          </w:rPr>
                          <w:t>National Relay Service</w:t>
                        </w:r>
                      </w:hyperlink>
                    </w:p>
                    <w:p w:rsidR="0082329E" w:rsidRPr="00E05115" w:rsidRDefault="0082329E" w:rsidP="0082329E">
                      <w:pPr>
                        <w:spacing w:after="0"/>
                        <w:rPr>
                          <w:color w:val="23B0E6"/>
                        </w:rPr>
                      </w:pPr>
                      <w:r w:rsidRPr="00E05115">
                        <w:rPr>
                          <w:color w:val="23B0E6"/>
                        </w:rPr>
                        <w:t>www.accan.org.au | info@accan.org.au | twitter: @ACCAN_AU</w:t>
                      </w:r>
                      <w:r>
                        <w:rPr>
                          <w:color w:val="23B0E6"/>
                        </w:rPr>
                        <w:t xml:space="preserve"> | www.facebook.com/accanau</w:t>
                      </w:r>
                    </w:p>
                  </w:txbxContent>
                </v:textbox>
              </v:shape>
              <v:line id="Straight Connector 1" o:spid="_x0000_s1028" style="position:absolute;visibility:visible;mso-wrap-style:square" from="307,3166" to="67317,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chsEAAADaAAAADwAAAGRycy9kb3ducmV2LnhtbERPS2rDMBDdF3oHMYXuGjmhmOBaCU3A&#10;paumcXOAqTX+YGtkLDmxe/ooUMhqeLzvpNvJdOJMg2ssK1guIhDEhdUNVwpOP9nLGoTzyBo7y6Rg&#10;JgfbzeNDiom2Fz7SOfeVCCHsElRQe98nUrqiJoNuYXviwJV2MOgDHCqpB7yEcNPJVRTF0mDDoaHG&#10;nvY1FW0+GgUH2Y5/r8U8lr+ZNx+nr138LY9KPT9N728gPE3+Lv53f+owH26v3K7c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nZyGwQAAANoAAAAPAAAAAAAAAAAAAAAA&#10;AKECAABkcnMvZG93bnJldi54bWxQSwUGAAAAAAQABAD5AAAAjwMAAAAA&#10;" strokecolor="#23b0e6" strokeweight="3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0A2" w:rsidRDefault="00AC20A2" w:rsidP="0082329E">
      <w:pPr>
        <w:spacing w:after="0" w:line="240" w:lineRule="auto"/>
      </w:pPr>
      <w:r>
        <w:separator/>
      </w:r>
    </w:p>
  </w:footnote>
  <w:footnote w:type="continuationSeparator" w:id="0">
    <w:p w:rsidR="00AC20A2" w:rsidRDefault="00AC20A2" w:rsidP="0082329E">
      <w:pPr>
        <w:spacing w:after="0" w:line="240" w:lineRule="auto"/>
      </w:pPr>
      <w:r>
        <w:continuationSeparator/>
      </w:r>
    </w:p>
  </w:footnote>
  <w:footnote w:id="1">
    <w:p w:rsidR="00474280" w:rsidRPr="00474280" w:rsidRDefault="00474280">
      <w:pPr>
        <w:pStyle w:val="FootnoteText"/>
      </w:pPr>
      <w:r>
        <w:rPr>
          <w:rStyle w:val="FootnoteReference"/>
        </w:rPr>
        <w:footnoteRef/>
      </w:r>
      <w:r>
        <w:t xml:space="preserve"> </w:t>
      </w:r>
      <w:r w:rsidR="00B262DD">
        <w:t>Available:</w:t>
      </w:r>
      <w:r>
        <w:t xml:space="preserve"> </w:t>
      </w:r>
      <w:hyperlink r:id="rId1" w:history="1">
        <w:r w:rsidRPr="00EE2081">
          <w:rPr>
            <w:rStyle w:val="Hyperlink"/>
          </w:rPr>
          <w:t>https://www.un.org/development/desa/disabilities/convention-on-the-rights-of-persons-with-disabilities/article-30-participation-in-cultural-life-recreation-leisure-and-sport.html</w:t>
        </w:r>
      </w:hyperlink>
      <w:bookmarkStart w:id="0" w:name="_GoBack"/>
      <w:bookmarkEnd w:id="0"/>
    </w:p>
  </w:footnote>
  <w:footnote w:id="2">
    <w:p w:rsidR="00267C24" w:rsidRPr="00DE5308" w:rsidRDefault="00267C24" w:rsidP="00DE5308">
      <w:pPr>
        <w:spacing w:line="240" w:lineRule="auto"/>
        <w:rPr>
          <w:rFonts w:eastAsia="Times New Roman" w:cstheme="minorHAnsi"/>
          <w:i/>
          <w:iCs/>
          <w:color w:val="0000FF"/>
          <w:sz w:val="20"/>
          <w:szCs w:val="20"/>
        </w:rPr>
      </w:pPr>
      <w:r w:rsidRPr="00DE5308">
        <w:rPr>
          <w:rStyle w:val="FootnoteReference"/>
          <w:rFonts w:cstheme="minorHAnsi"/>
          <w:sz w:val="20"/>
          <w:szCs w:val="20"/>
        </w:rPr>
        <w:footnoteRef/>
      </w:r>
      <w:r w:rsidR="00DE5308">
        <w:rPr>
          <w:rFonts w:cstheme="minorHAnsi"/>
          <w:sz w:val="20"/>
          <w:szCs w:val="20"/>
        </w:rPr>
        <w:t xml:space="preserve"> Available:</w:t>
      </w:r>
      <w:r w:rsidRPr="00DE5308">
        <w:rPr>
          <w:rFonts w:cstheme="minorHAnsi"/>
          <w:sz w:val="20"/>
          <w:szCs w:val="20"/>
        </w:rPr>
        <w:t xml:space="preserve"> </w:t>
      </w:r>
      <w:hyperlink r:id="rId2" w:history="1">
        <w:r w:rsidR="00DE5308" w:rsidRPr="00DE5308">
          <w:rPr>
            <w:rStyle w:val="Hyperlink"/>
            <w:rFonts w:eastAsia="Times New Roman" w:cstheme="minorHAnsi"/>
            <w:iCs/>
            <w:sz w:val="20"/>
            <w:szCs w:val="20"/>
          </w:rPr>
          <w:t>https://www.gpo.gov/fdsys/pkg/BILLS-111s3304enr/pdf/BILLS-111s3304enr.pdf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C7D" w:rsidRDefault="00004C7D">
    <w:pPr>
      <w:pStyle w:val="Header"/>
    </w:pPr>
    <w:r>
      <w:rPr>
        <w:noProof/>
      </w:rPr>
      <w:drawing>
        <wp:anchor distT="0" distB="0" distL="114300" distR="114300" simplePos="0" relativeHeight="251663360" behindDoc="1" locked="0" layoutInCell="1" allowOverlap="1" wp14:anchorId="4B59B29F" wp14:editId="4B266D41">
          <wp:simplePos x="0" y="0"/>
          <wp:positionH relativeFrom="column">
            <wp:posOffset>4895850</wp:posOffset>
          </wp:positionH>
          <wp:positionV relativeFrom="paragraph">
            <wp:posOffset>332740</wp:posOffset>
          </wp:positionV>
          <wp:extent cx="1630800" cy="756000"/>
          <wp:effectExtent l="0" t="0" r="762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A03"/>
    <w:rsid w:val="00004C7D"/>
    <w:rsid w:val="00135BCC"/>
    <w:rsid w:val="0017423C"/>
    <w:rsid w:val="001C2C2B"/>
    <w:rsid w:val="00267C24"/>
    <w:rsid w:val="0027623F"/>
    <w:rsid w:val="0028126B"/>
    <w:rsid w:val="0032650D"/>
    <w:rsid w:val="00455A8F"/>
    <w:rsid w:val="00474280"/>
    <w:rsid w:val="00496F3F"/>
    <w:rsid w:val="00507C19"/>
    <w:rsid w:val="00557A01"/>
    <w:rsid w:val="005C411E"/>
    <w:rsid w:val="00646DEF"/>
    <w:rsid w:val="00733760"/>
    <w:rsid w:val="007509C0"/>
    <w:rsid w:val="007B5C8A"/>
    <w:rsid w:val="008005F2"/>
    <w:rsid w:val="0082329E"/>
    <w:rsid w:val="00843648"/>
    <w:rsid w:val="0084726F"/>
    <w:rsid w:val="008E5CB0"/>
    <w:rsid w:val="00970C95"/>
    <w:rsid w:val="0098355A"/>
    <w:rsid w:val="009842AF"/>
    <w:rsid w:val="00AC20A2"/>
    <w:rsid w:val="00B068E6"/>
    <w:rsid w:val="00B073B1"/>
    <w:rsid w:val="00B262DD"/>
    <w:rsid w:val="00B27DC2"/>
    <w:rsid w:val="00C004F3"/>
    <w:rsid w:val="00C04DAF"/>
    <w:rsid w:val="00C45A03"/>
    <w:rsid w:val="00C73186"/>
    <w:rsid w:val="00CF6A8D"/>
    <w:rsid w:val="00D37C56"/>
    <w:rsid w:val="00D4662C"/>
    <w:rsid w:val="00DE5308"/>
    <w:rsid w:val="00E15F2B"/>
    <w:rsid w:val="00E6703C"/>
    <w:rsid w:val="00E816CA"/>
    <w:rsid w:val="00E914F8"/>
    <w:rsid w:val="00EA3A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A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9E"/>
  </w:style>
  <w:style w:type="paragraph" w:styleId="Footer">
    <w:name w:val="footer"/>
    <w:basedOn w:val="Normal"/>
    <w:link w:val="FooterChar"/>
    <w:uiPriority w:val="99"/>
    <w:unhideWhenUsed/>
    <w:rsid w:val="008232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29E"/>
  </w:style>
  <w:style w:type="character" w:styleId="Hyperlink">
    <w:name w:val="Hyperlink"/>
    <w:basedOn w:val="DefaultParagraphFont"/>
    <w:uiPriority w:val="99"/>
    <w:unhideWhenUsed/>
    <w:rsid w:val="0082329E"/>
    <w:rPr>
      <w:color w:val="0000FF" w:themeColor="hyperlink"/>
      <w:u w:val="single"/>
    </w:rPr>
  </w:style>
  <w:style w:type="character" w:styleId="CommentReference">
    <w:name w:val="annotation reference"/>
    <w:basedOn w:val="DefaultParagraphFont"/>
    <w:uiPriority w:val="99"/>
    <w:semiHidden/>
    <w:unhideWhenUsed/>
    <w:rsid w:val="00B073B1"/>
    <w:rPr>
      <w:sz w:val="16"/>
      <w:szCs w:val="16"/>
    </w:rPr>
  </w:style>
  <w:style w:type="paragraph" w:styleId="CommentText">
    <w:name w:val="annotation text"/>
    <w:basedOn w:val="Normal"/>
    <w:link w:val="CommentTextChar"/>
    <w:uiPriority w:val="99"/>
    <w:semiHidden/>
    <w:unhideWhenUsed/>
    <w:rsid w:val="00B073B1"/>
    <w:pPr>
      <w:spacing w:line="240" w:lineRule="auto"/>
    </w:pPr>
    <w:rPr>
      <w:sz w:val="20"/>
      <w:szCs w:val="20"/>
    </w:rPr>
  </w:style>
  <w:style w:type="character" w:customStyle="1" w:styleId="CommentTextChar">
    <w:name w:val="Comment Text Char"/>
    <w:basedOn w:val="DefaultParagraphFont"/>
    <w:link w:val="CommentText"/>
    <w:uiPriority w:val="99"/>
    <w:semiHidden/>
    <w:rsid w:val="00B073B1"/>
    <w:rPr>
      <w:sz w:val="20"/>
      <w:szCs w:val="20"/>
    </w:rPr>
  </w:style>
  <w:style w:type="paragraph" w:styleId="CommentSubject">
    <w:name w:val="annotation subject"/>
    <w:basedOn w:val="CommentText"/>
    <w:next w:val="CommentText"/>
    <w:link w:val="CommentSubjectChar"/>
    <w:uiPriority w:val="99"/>
    <w:semiHidden/>
    <w:unhideWhenUsed/>
    <w:rsid w:val="00B073B1"/>
    <w:rPr>
      <w:b/>
      <w:bCs/>
    </w:rPr>
  </w:style>
  <w:style w:type="character" w:customStyle="1" w:styleId="CommentSubjectChar">
    <w:name w:val="Comment Subject Char"/>
    <w:basedOn w:val="CommentTextChar"/>
    <w:link w:val="CommentSubject"/>
    <w:uiPriority w:val="99"/>
    <w:semiHidden/>
    <w:rsid w:val="00B073B1"/>
    <w:rPr>
      <w:b/>
      <w:bCs/>
      <w:sz w:val="20"/>
      <w:szCs w:val="20"/>
    </w:rPr>
  </w:style>
  <w:style w:type="paragraph" w:styleId="BalloonText">
    <w:name w:val="Balloon Text"/>
    <w:basedOn w:val="Normal"/>
    <w:link w:val="BalloonTextChar"/>
    <w:uiPriority w:val="99"/>
    <w:semiHidden/>
    <w:unhideWhenUsed/>
    <w:rsid w:val="00B07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3B1"/>
    <w:rPr>
      <w:rFonts w:ascii="Tahoma" w:hAnsi="Tahoma" w:cs="Tahoma"/>
      <w:sz w:val="16"/>
      <w:szCs w:val="16"/>
    </w:rPr>
  </w:style>
  <w:style w:type="paragraph" w:styleId="FootnoteText">
    <w:name w:val="footnote text"/>
    <w:basedOn w:val="Normal"/>
    <w:link w:val="FootnoteTextChar"/>
    <w:uiPriority w:val="99"/>
    <w:semiHidden/>
    <w:unhideWhenUsed/>
    <w:rsid w:val="004742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4280"/>
    <w:rPr>
      <w:sz w:val="20"/>
      <w:szCs w:val="20"/>
    </w:rPr>
  </w:style>
  <w:style w:type="character" w:styleId="FootnoteReference">
    <w:name w:val="footnote reference"/>
    <w:basedOn w:val="DefaultParagraphFont"/>
    <w:uiPriority w:val="99"/>
    <w:semiHidden/>
    <w:unhideWhenUsed/>
    <w:rsid w:val="00474280"/>
    <w:rPr>
      <w:vertAlign w:val="superscript"/>
    </w:rPr>
  </w:style>
  <w:style w:type="character" w:styleId="HTMLCite">
    <w:name w:val="HTML Cite"/>
    <w:basedOn w:val="DefaultParagraphFont"/>
    <w:uiPriority w:val="99"/>
    <w:semiHidden/>
    <w:unhideWhenUsed/>
    <w:rsid w:val="00267C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A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9E"/>
  </w:style>
  <w:style w:type="paragraph" w:styleId="Footer">
    <w:name w:val="footer"/>
    <w:basedOn w:val="Normal"/>
    <w:link w:val="FooterChar"/>
    <w:uiPriority w:val="99"/>
    <w:unhideWhenUsed/>
    <w:rsid w:val="008232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29E"/>
  </w:style>
  <w:style w:type="character" w:styleId="Hyperlink">
    <w:name w:val="Hyperlink"/>
    <w:basedOn w:val="DefaultParagraphFont"/>
    <w:uiPriority w:val="99"/>
    <w:unhideWhenUsed/>
    <w:rsid w:val="0082329E"/>
    <w:rPr>
      <w:color w:val="0000FF" w:themeColor="hyperlink"/>
      <w:u w:val="single"/>
    </w:rPr>
  </w:style>
  <w:style w:type="character" w:styleId="CommentReference">
    <w:name w:val="annotation reference"/>
    <w:basedOn w:val="DefaultParagraphFont"/>
    <w:uiPriority w:val="99"/>
    <w:semiHidden/>
    <w:unhideWhenUsed/>
    <w:rsid w:val="00B073B1"/>
    <w:rPr>
      <w:sz w:val="16"/>
      <w:szCs w:val="16"/>
    </w:rPr>
  </w:style>
  <w:style w:type="paragraph" w:styleId="CommentText">
    <w:name w:val="annotation text"/>
    <w:basedOn w:val="Normal"/>
    <w:link w:val="CommentTextChar"/>
    <w:uiPriority w:val="99"/>
    <w:semiHidden/>
    <w:unhideWhenUsed/>
    <w:rsid w:val="00B073B1"/>
    <w:pPr>
      <w:spacing w:line="240" w:lineRule="auto"/>
    </w:pPr>
    <w:rPr>
      <w:sz w:val="20"/>
      <w:szCs w:val="20"/>
    </w:rPr>
  </w:style>
  <w:style w:type="character" w:customStyle="1" w:styleId="CommentTextChar">
    <w:name w:val="Comment Text Char"/>
    <w:basedOn w:val="DefaultParagraphFont"/>
    <w:link w:val="CommentText"/>
    <w:uiPriority w:val="99"/>
    <w:semiHidden/>
    <w:rsid w:val="00B073B1"/>
    <w:rPr>
      <w:sz w:val="20"/>
      <w:szCs w:val="20"/>
    </w:rPr>
  </w:style>
  <w:style w:type="paragraph" w:styleId="CommentSubject">
    <w:name w:val="annotation subject"/>
    <w:basedOn w:val="CommentText"/>
    <w:next w:val="CommentText"/>
    <w:link w:val="CommentSubjectChar"/>
    <w:uiPriority w:val="99"/>
    <w:semiHidden/>
    <w:unhideWhenUsed/>
    <w:rsid w:val="00B073B1"/>
    <w:rPr>
      <w:b/>
      <w:bCs/>
    </w:rPr>
  </w:style>
  <w:style w:type="character" w:customStyle="1" w:styleId="CommentSubjectChar">
    <w:name w:val="Comment Subject Char"/>
    <w:basedOn w:val="CommentTextChar"/>
    <w:link w:val="CommentSubject"/>
    <w:uiPriority w:val="99"/>
    <w:semiHidden/>
    <w:rsid w:val="00B073B1"/>
    <w:rPr>
      <w:b/>
      <w:bCs/>
      <w:sz w:val="20"/>
      <w:szCs w:val="20"/>
    </w:rPr>
  </w:style>
  <w:style w:type="paragraph" w:styleId="BalloonText">
    <w:name w:val="Balloon Text"/>
    <w:basedOn w:val="Normal"/>
    <w:link w:val="BalloonTextChar"/>
    <w:uiPriority w:val="99"/>
    <w:semiHidden/>
    <w:unhideWhenUsed/>
    <w:rsid w:val="00B07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3B1"/>
    <w:rPr>
      <w:rFonts w:ascii="Tahoma" w:hAnsi="Tahoma" w:cs="Tahoma"/>
      <w:sz w:val="16"/>
      <w:szCs w:val="16"/>
    </w:rPr>
  </w:style>
  <w:style w:type="paragraph" w:styleId="FootnoteText">
    <w:name w:val="footnote text"/>
    <w:basedOn w:val="Normal"/>
    <w:link w:val="FootnoteTextChar"/>
    <w:uiPriority w:val="99"/>
    <w:semiHidden/>
    <w:unhideWhenUsed/>
    <w:rsid w:val="004742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4280"/>
    <w:rPr>
      <w:sz w:val="20"/>
      <w:szCs w:val="20"/>
    </w:rPr>
  </w:style>
  <w:style w:type="character" w:styleId="FootnoteReference">
    <w:name w:val="footnote reference"/>
    <w:basedOn w:val="DefaultParagraphFont"/>
    <w:uiPriority w:val="99"/>
    <w:semiHidden/>
    <w:unhideWhenUsed/>
    <w:rsid w:val="00474280"/>
    <w:rPr>
      <w:vertAlign w:val="superscript"/>
    </w:rPr>
  </w:style>
  <w:style w:type="character" w:styleId="HTMLCite">
    <w:name w:val="HTML Cite"/>
    <w:basedOn w:val="DefaultParagraphFont"/>
    <w:uiPriority w:val="99"/>
    <w:semiHidden/>
    <w:unhideWhenUsed/>
    <w:rsid w:val="00267C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6530">
      <w:bodyDiv w:val="1"/>
      <w:marLeft w:val="0"/>
      <w:marRight w:val="0"/>
      <w:marTop w:val="0"/>
      <w:marBottom w:val="0"/>
      <w:divBdr>
        <w:top w:val="none" w:sz="0" w:space="0" w:color="auto"/>
        <w:left w:val="none" w:sz="0" w:space="0" w:color="auto"/>
        <w:bottom w:val="none" w:sz="0" w:space="0" w:color="auto"/>
        <w:right w:val="none" w:sz="0" w:space="0" w:color="auto"/>
      </w:divBdr>
    </w:div>
    <w:div w:id="606470920">
      <w:bodyDiv w:val="1"/>
      <w:marLeft w:val="0"/>
      <w:marRight w:val="0"/>
      <w:marTop w:val="0"/>
      <w:marBottom w:val="0"/>
      <w:divBdr>
        <w:top w:val="none" w:sz="0" w:space="0" w:color="auto"/>
        <w:left w:val="none" w:sz="0" w:space="0" w:color="auto"/>
        <w:bottom w:val="none" w:sz="0" w:space="0" w:color="auto"/>
        <w:right w:val="none" w:sz="0" w:space="0" w:color="auto"/>
      </w:divBdr>
      <w:divsChild>
        <w:div w:id="1653631284">
          <w:marLeft w:val="0"/>
          <w:marRight w:val="0"/>
          <w:marTop w:val="0"/>
          <w:marBottom w:val="0"/>
          <w:divBdr>
            <w:top w:val="none" w:sz="0" w:space="0" w:color="auto"/>
            <w:left w:val="none" w:sz="0" w:space="0" w:color="auto"/>
            <w:bottom w:val="none" w:sz="0" w:space="0" w:color="auto"/>
            <w:right w:val="none" w:sz="0" w:space="0" w:color="auto"/>
          </w:divBdr>
          <w:divsChild>
            <w:div w:id="973172790">
              <w:marLeft w:val="0"/>
              <w:marRight w:val="0"/>
              <w:marTop w:val="0"/>
              <w:marBottom w:val="0"/>
              <w:divBdr>
                <w:top w:val="none" w:sz="0" w:space="0" w:color="auto"/>
                <w:left w:val="none" w:sz="0" w:space="0" w:color="auto"/>
                <w:bottom w:val="none" w:sz="0" w:space="0" w:color="auto"/>
                <w:right w:val="none" w:sz="0" w:space="0" w:color="auto"/>
              </w:divBdr>
              <w:divsChild>
                <w:div w:id="1552576348">
                  <w:marLeft w:val="0"/>
                  <w:marRight w:val="0"/>
                  <w:marTop w:val="0"/>
                  <w:marBottom w:val="0"/>
                  <w:divBdr>
                    <w:top w:val="none" w:sz="0" w:space="0" w:color="auto"/>
                    <w:left w:val="none" w:sz="0" w:space="0" w:color="auto"/>
                    <w:bottom w:val="none" w:sz="0" w:space="0" w:color="auto"/>
                    <w:right w:val="none" w:sz="0" w:space="0" w:color="auto"/>
                  </w:divBdr>
                  <w:divsChild>
                    <w:div w:id="1460417966">
                      <w:marLeft w:val="0"/>
                      <w:marRight w:val="0"/>
                      <w:marTop w:val="45"/>
                      <w:marBottom w:val="0"/>
                      <w:divBdr>
                        <w:top w:val="none" w:sz="0" w:space="0" w:color="auto"/>
                        <w:left w:val="none" w:sz="0" w:space="0" w:color="auto"/>
                        <w:bottom w:val="none" w:sz="0" w:space="0" w:color="auto"/>
                        <w:right w:val="none" w:sz="0" w:space="0" w:color="auto"/>
                      </w:divBdr>
                      <w:divsChild>
                        <w:div w:id="1577784087">
                          <w:marLeft w:val="0"/>
                          <w:marRight w:val="0"/>
                          <w:marTop w:val="0"/>
                          <w:marBottom w:val="0"/>
                          <w:divBdr>
                            <w:top w:val="none" w:sz="0" w:space="0" w:color="auto"/>
                            <w:left w:val="none" w:sz="0" w:space="0" w:color="auto"/>
                            <w:bottom w:val="none" w:sz="0" w:space="0" w:color="auto"/>
                            <w:right w:val="none" w:sz="0" w:space="0" w:color="auto"/>
                          </w:divBdr>
                          <w:divsChild>
                            <w:div w:id="1666976881">
                              <w:marLeft w:val="2070"/>
                              <w:marRight w:val="3960"/>
                              <w:marTop w:val="0"/>
                              <w:marBottom w:val="0"/>
                              <w:divBdr>
                                <w:top w:val="none" w:sz="0" w:space="0" w:color="auto"/>
                                <w:left w:val="none" w:sz="0" w:space="0" w:color="auto"/>
                                <w:bottom w:val="none" w:sz="0" w:space="0" w:color="auto"/>
                                <w:right w:val="none" w:sz="0" w:space="0" w:color="auto"/>
                              </w:divBdr>
                              <w:divsChild>
                                <w:div w:id="422723114">
                                  <w:marLeft w:val="0"/>
                                  <w:marRight w:val="0"/>
                                  <w:marTop w:val="0"/>
                                  <w:marBottom w:val="0"/>
                                  <w:divBdr>
                                    <w:top w:val="none" w:sz="0" w:space="0" w:color="auto"/>
                                    <w:left w:val="none" w:sz="0" w:space="0" w:color="auto"/>
                                    <w:bottom w:val="none" w:sz="0" w:space="0" w:color="auto"/>
                                    <w:right w:val="none" w:sz="0" w:space="0" w:color="auto"/>
                                  </w:divBdr>
                                  <w:divsChild>
                                    <w:div w:id="1093891007">
                                      <w:marLeft w:val="0"/>
                                      <w:marRight w:val="0"/>
                                      <w:marTop w:val="0"/>
                                      <w:marBottom w:val="0"/>
                                      <w:divBdr>
                                        <w:top w:val="none" w:sz="0" w:space="0" w:color="auto"/>
                                        <w:left w:val="none" w:sz="0" w:space="0" w:color="auto"/>
                                        <w:bottom w:val="none" w:sz="0" w:space="0" w:color="auto"/>
                                        <w:right w:val="none" w:sz="0" w:space="0" w:color="auto"/>
                                      </w:divBdr>
                                      <w:divsChild>
                                        <w:div w:id="768887771">
                                          <w:marLeft w:val="0"/>
                                          <w:marRight w:val="0"/>
                                          <w:marTop w:val="0"/>
                                          <w:marBottom w:val="0"/>
                                          <w:divBdr>
                                            <w:top w:val="none" w:sz="0" w:space="0" w:color="auto"/>
                                            <w:left w:val="none" w:sz="0" w:space="0" w:color="auto"/>
                                            <w:bottom w:val="none" w:sz="0" w:space="0" w:color="auto"/>
                                            <w:right w:val="none" w:sz="0" w:space="0" w:color="auto"/>
                                          </w:divBdr>
                                          <w:divsChild>
                                            <w:div w:id="995956986">
                                              <w:marLeft w:val="0"/>
                                              <w:marRight w:val="0"/>
                                              <w:marTop w:val="90"/>
                                              <w:marBottom w:val="0"/>
                                              <w:divBdr>
                                                <w:top w:val="none" w:sz="0" w:space="0" w:color="auto"/>
                                                <w:left w:val="none" w:sz="0" w:space="0" w:color="auto"/>
                                                <w:bottom w:val="none" w:sz="0" w:space="0" w:color="auto"/>
                                                <w:right w:val="none" w:sz="0" w:space="0" w:color="auto"/>
                                              </w:divBdr>
                                              <w:divsChild>
                                                <w:div w:id="140659475">
                                                  <w:marLeft w:val="0"/>
                                                  <w:marRight w:val="0"/>
                                                  <w:marTop w:val="0"/>
                                                  <w:marBottom w:val="0"/>
                                                  <w:divBdr>
                                                    <w:top w:val="none" w:sz="0" w:space="0" w:color="auto"/>
                                                    <w:left w:val="none" w:sz="0" w:space="0" w:color="auto"/>
                                                    <w:bottom w:val="none" w:sz="0" w:space="0" w:color="auto"/>
                                                    <w:right w:val="none" w:sz="0" w:space="0" w:color="auto"/>
                                                  </w:divBdr>
                                                  <w:divsChild>
                                                    <w:div w:id="1081214169">
                                                      <w:marLeft w:val="0"/>
                                                      <w:marRight w:val="0"/>
                                                      <w:marTop w:val="0"/>
                                                      <w:marBottom w:val="0"/>
                                                      <w:divBdr>
                                                        <w:top w:val="none" w:sz="0" w:space="0" w:color="auto"/>
                                                        <w:left w:val="none" w:sz="0" w:space="0" w:color="auto"/>
                                                        <w:bottom w:val="none" w:sz="0" w:space="0" w:color="auto"/>
                                                        <w:right w:val="none" w:sz="0" w:space="0" w:color="auto"/>
                                                      </w:divBdr>
                                                      <w:divsChild>
                                                        <w:div w:id="1786076568">
                                                          <w:marLeft w:val="0"/>
                                                          <w:marRight w:val="0"/>
                                                          <w:marTop w:val="0"/>
                                                          <w:marBottom w:val="0"/>
                                                          <w:divBdr>
                                                            <w:top w:val="none" w:sz="0" w:space="0" w:color="auto"/>
                                                            <w:left w:val="none" w:sz="0" w:space="0" w:color="auto"/>
                                                            <w:bottom w:val="none" w:sz="0" w:space="0" w:color="auto"/>
                                                            <w:right w:val="none" w:sz="0" w:space="0" w:color="auto"/>
                                                          </w:divBdr>
                                                          <w:divsChild>
                                                            <w:div w:id="1202549521">
                                                              <w:marLeft w:val="0"/>
                                                              <w:marRight w:val="0"/>
                                                              <w:marTop w:val="0"/>
                                                              <w:marBottom w:val="390"/>
                                                              <w:divBdr>
                                                                <w:top w:val="none" w:sz="0" w:space="0" w:color="auto"/>
                                                                <w:left w:val="none" w:sz="0" w:space="0" w:color="auto"/>
                                                                <w:bottom w:val="none" w:sz="0" w:space="0" w:color="auto"/>
                                                                <w:right w:val="none" w:sz="0" w:space="0" w:color="auto"/>
                                                              </w:divBdr>
                                                              <w:divsChild>
                                                                <w:div w:id="450591808">
                                                                  <w:marLeft w:val="0"/>
                                                                  <w:marRight w:val="0"/>
                                                                  <w:marTop w:val="0"/>
                                                                  <w:marBottom w:val="0"/>
                                                                  <w:divBdr>
                                                                    <w:top w:val="none" w:sz="0" w:space="0" w:color="auto"/>
                                                                    <w:left w:val="none" w:sz="0" w:space="0" w:color="auto"/>
                                                                    <w:bottom w:val="none" w:sz="0" w:space="0" w:color="auto"/>
                                                                    <w:right w:val="none" w:sz="0" w:space="0" w:color="auto"/>
                                                                  </w:divBdr>
                                                                  <w:divsChild>
                                                                    <w:div w:id="1036587120">
                                                                      <w:marLeft w:val="0"/>
                                                                      <w:marRight w:val="0"/>
                                                                      <w:marTop w:val="0"/>
                                                                      <w:marBottom w:val="0"/>
                                                                      <w:divBdr>
                                                                        <w:top w:val="none" w:sz="0" w:space="0" w:color="auto"/>
                                                                        <w:left w:val="none" w:sz="0" w:space="0" w:color="auto"/>
                                                                        <w:bottom w:val="none" w:sz="0" w:space="0" w:color="auto"/>
                                                                        <w:right w:val="none" w:sz="0" w:space="0" w:color="auto"/>
                                                                      </w:divBdr>
                                                                      <w:divsChild>
                                                                        <w:div w:id="1729917651">
                                                                          <w:marLeft w:val="0"/>
                                                                          <w:marRight w:val="0"/>
                                                                          <w:marTop w:val="0"/>
                                                                          <w:marBottom w:val="0"/>
                                                                          <w:divBdr>
                                                                            <w:top w:val="none" w:sz="0" w:space="0" w:color="auto"/>
                                                                            <w:left w:val="none" w:sz="0" w:space="0" w:color="auto"/>
                                                                            <w:bottom w:val="none" w:sz="0" w:space="0" w:color="auto"/>
                                                                            <w:right w:val="none" w:sz="0" w:space="0" w:color="auto"/>
                                                                          </w:divBdr>
                                                                          <w:divsChild>
                                                                            <w:div w:id="153211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670929">
      <w:bodyDiv w:val="1"/>
      <w:marLeft w:val="0"/>
      <w:marRight w:val="0"/>
      <w:marTop w:val="0"/>
      <w:marBottom w:val="0"/>
      <w:divBdr>
        <w:top w:val="none" w:sz="0" w:space="0" w:color="auto"/>
        <w:left w:val="none" w:sz="0" w:space="0" w:color="auto"/>
        <w:bottom w:val="none" w:sz="0" w:space="0" w:color="auto"/>
        <w:right w:val="none" w:sz="0" w:space="0" w:color="auto"/>
      </w:divBdr>
    </w:div>
    <w:div w:id="1043166421">
      <w:bodyDiv w:val="1"/>
      <w:marLeft w:val="0"/>
      <w:marRight w:val="0"/>
      <w:marTop w:val="0"/>
      <w:marBottom w:val="0"/>
      <w:divBdr>
        <w:top w:val="none" w:sz="0" w:space="0" w:color="auto"/>
        <w:left w:val="none" w:sz="0" w:space="0" w:color="auto"/>
        <w:bottom w:val="none" w:sz="0" w:space="0" w:color="auto"/>
        <w:right w:val="none" w:sz="0" w:space="0" w:color="auto"/>
      </w:divBdr>
    </w:div>
    <w:div w:id="139389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sen@aph.gov.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relayservice.gov.au/" TargetMode="External"/><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po.gov/fdsys/pkg/BILLS-111s3304enr/pdf/BILLS-111s3304enr.pdf" TargetMode="External"/><Relationship Id="rId1" Type="http://schemas.openxmlformats.org/officeDocument/2006/relationships/hyperlink" Target="https://www.un.org/development/desa/disabilities/convention-on-the-rights-of-persons-with-disabilities/article-30-participation-in-cultural-life-recreation-leisure-and-spor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8\Letterhead%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1A27B-30D9-4B30-AA88-C00BFF79D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2 Pages</Template>
  <TotalTime>1</TotalTime>
  <Pages>2</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Lea</dc:creator>
  <cp:lastModifiedBy>Meredith Lea</cp:lastModifiedBy>
  <cp:revision>3</cp:revision>
  <cp:lastPrinted>2018-10-24T23:17:00Z</cp:lastPrinted>
  <dcterms:created xsi:type="dcterms:W3CDTF">2018-10-26T01:52:00Z</dcterms:created>
  <dcterms:modified xsi:type="dcterms:W3CDTF">2018-10-26T01:53:00Z</dcterms:modified>
</cp:coreProperties>
</file>