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D404E" w14:textId="77777777" w:rsidR="00BB3EC8" w:rsidRDefault="00BB3EC8" w:rsidP="00BB3EC8">
      <w:pPr>
        <w:pStyle w:val="Letterhead1"/>
      </w:pPr>
      <w:bookmarkStart w:id="0" w:name="_Hlk95835868"/>
      <w:r>
        <w:rPr>
          <w:noProof/>
        </w:rPr>
        <w:drawing>
          <wp:anchor distT="0" distB="0" distL="114300" distR="114300" simplePos="0" relativeHeight="251658244" behindDoc="1" locked="0" layoutInCell="1" allowOverlap="1" wp14:anchorId="51F71130" wp14:editId="0E5B380E">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5C822DDA" wp14:editId="0925E9F4">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0E8CDC62" wp14:editId="4CEF4B8E">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13326A05" wp14:editId="1019F6B8">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1AAD76" wp14:editId="4D7D5FAF">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t>www.accan.org.au</w:t>
      </w:r>
    </w:p>
    <w:p w14:paraId="6948B5CB" w14:textId="77777777" w:rsidR="00BB3EC8" w:rsidRDefault="00BB3EC8" w:rsidP="00BB3EC8">
      <w:pPr>
        <w:pStyle w:val="Letterhead1"/>
      </w:pPr>
      <w:r>
        <w:t>info@accan.org.au</w:t>
      </w:r>
    </w:p>
    <w:p w14:paraId="25731533" w14:textId="77777777" w:rsidR="00BB3EC8" w:rsidRDefault="00BB3EC8" w:rsidP="00BB3EC8">
      <w:pPr>
        <w:pStyle w:val="Letterhead1"/>
      </w:pPr>
      <w:r>
        <w:t>02 9288 4000</w:t>
      </w:r>
    </w:p>
    <w:p w14:paraId="4B0100F2" w14:textId="77777777" w:rsidR="000D3021" w:rsidRDefault="000D3021" w:rsidP="000D302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1" behindDoc="1" locked="0" layoutInCell="1" allowOverlap="1" wp14:anchorId="5DCC91EB" wp14:editId="0C06B9F1">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896C2F"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008E1F55"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791816A8" wp14:editId="2C2A2F82">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041643"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754A411" w14:textId="60D074F0" w:rsidR="00F45BDC" w:rsidRPr="000C47EC" w:rsidRDefault="00F45BDC" w:rsidP="000C47EC">
      <w:pPr>
        <w:pStyle w:val="DocDate"/>
      </w:pPr>
      <w:r w:rsidRPr="006F47E7">
        <w:rPr>
          <w:rFonts w:ascii="Gotham Black" w:hAnsi="Gotham Black"/>
          <w:color w:val="44C7F4"/>
          <w:sz w:val="36"/>
          <w:szCs w:val="36"/>
        </w:rPr>
        <w:tab/>
      </w:r>
      <w:r w:rsidR="000C47EC" w:rsidRPr="000C47EC">
        <w:t xml:space="preserve">13 </w:t>
      </w:r>
      <w:r w:rsidR="00DD2B94" w:rsidRPr="000C47EC">
        <w:rPr>
          <w:rStyle w:val="DocDateChar"/>
          <w:b/>
          <w:bCs/>
          <w:i/>
        </w:rPr>
        <w:t>March 2023</w:t>
      </w:r>
    </w:p>
    <w:bookmarkEnd w:id="0"/>
    <w:p w14:paraId="3527161D" w14:textId="77777777" w:rsidR="00771AA7" w:rsidRDefault="00771AA7" w:rsidP="006B1CBA"/>
    <w:p w14:paraId="42311184" w14:textId="312811A8" w:rsidR="00DD2B94" w:rsidRPr="002F1074" w:rsidRDefault="00DD2B94" w:rsidP="002F1074">
      <w:pPr>
        <w:pStyle w:val="Title"/>
      </w:pPr>
      <w:bookmarkStart w:id="1" w:name="_Toc128480441"/>
      <w:bookmarkStart w:id="2" w:name="_Toc128481877"/>
      <w:bookmarkStart w:id="3" w:name="_Toc128481939"/>
      <w:bookmarkStart w:id="4" w:name="_Toc128482021"/>
      <w:bookmarkStart w:id="5" w:name="_Toc128482070"/>
      <w:bookmarkStart w:id="6" w:name="_Toc128482408"/>
      <w:bookmarkStart w:id="7" w:name="_Toc128554656"/>
      <w:bookmarkStart w:id="8" w:name="_Toc128554782"/>
      <w:bookmarkStart w:id="9" w:name="_Toc128554959"/>
      <w:bookmarkStart w:id="10" w:name="_Toc129071603"/>
      <w:bookmarkStart w:id="11" w:name="_Toc129245052"/>
      <w:bookmarkStart w:id="12" w:name="_Toc129613603"/>
      <w:r w:rsidRPr="002F1074">
        <w:t xml:space="preserve">Scheduled review of </w:t>
      </w:r>
      <w:r w:rsidR="00AD604D">
        <w:t>Customer</w:t>
      </w:r>
      <w:r w:rsidRPr="002F1074">
        <w:t xml:space="preserve"> Authorisation Industry Guideline</w:t>
      </w:r>
      <w:bookmarkEnd w:id="1"/>
      <w:bookmarkEnd w:id="2"/>
      <w:bookmarkEnd w:id="3"/>
      <w:bookmarkEnd w:id="4"/>
      <w:bookmarkEnd w:id="5"/>
      <w:bookmarkEnd w:id="6"/>
      <w:r w:rsidR="009C1470" w:rsidRPr="002F1074">
        <w:t xml:space="preserve"> (G651:2017)</w:t>
      </w:r>
      <w:bookmarkEnd w:id="7"/>
      <w:bookmarkEnd w:id="8"/>
      <w:bookmarkEnd w:id="9"/>
      <w:bookmarkEnd w:id="10"/>
      <w:bookmarkEnd w:id="11"/>
      <w:bookmarkEnd w:id="12"/>
    </w:p>
    <w:p w14:paraId="37883818" w14:textId="156DE077" w:rsidR="009518F7" w:rsidRPr="00C81175" w:rsidRDefault="009518F7" w:rsidP="00C81175">
      <w:pPr>
        <w:pStyle w:val="Title"/>
        <w:jc w:val="center"/>
      </w:pPr>
    </w:p>
    <w:p w14:paraId="7FDCB739" w14:textId="119A0FCE" w:rsidR="008B6A77" w:rsidRPr="00C1798D" w:rsidRDefault="008B6A77" w:rsidP="00771AA7">
      <w:pPr>
        <w:pStyle w:val="Heading1"/>
        <w:jc w:val="center"/>
      </w:pPr>
      <w:bookmarkStart w:id="13" w:name="_Toc99975355"/>
      <w:bookmarkStart w:id="14" w:name="_Toc99975401"/>
      <w:bookmarkStart w:id="15" w:name="_Toc99975438"/>
      <w:bookmarkStart w:id="16" w:name="_Toc99975451"/>
      <w:bookmarkStart w:id="17" w:name="_Toc99975568"/>
      <w:bookmarkStart w:id="18" w:name="_Toc128480442"/>
      <w:bookmarkStart w:id="19" w:name="_Toc128481878"/>
      <w:bookmarkStart w:id="20" w:name="_Toc128481940"/>
      <w:bookmarkStart w:id="21" w:name="_Toc128482022"/>
      <w:bookmarkStart w:id="22" w:name="_Toc128482071"/>
      <w:bookmarkStart w:id="23" w:name="_Toc128482409"/>
      <w:bookmarkStart w:id="24" w:name="_Toc128554657"/>
      <w:bookmarkStart w:id="25" w:name="_Toc128554783"/>
      <w:bookmarkStart w:id="26" w:name="_Toc128554960"/>
      <w:bookmarkStart w:id="27" w:name="_Toc129071604"/>
      <w:bookmarkStart w:id="28" w:name="_Toc129245053"/>
      <w:bookmarkStart w:id="29" w:name="_Toc129613604"/>
      <w:r w:rsidRPr="00C1798D">
        <w:t xml:space="preserve">Submission by the Australian Communications Consumer Action Network </w:t>
      </w:r>
      <w:r w:rsidR="0012556A" w:rsidRPr="00C1798D">
        <w:t xml:space="preserve">(ACCAN) </w:t>
      </w:r>
      <w:r w:rsidRPr="00C1798D">
        <w:t xml:space="preserve">to </w:t>
      </w:r>
      <w:bookmarkEnd w:id="13"/>
      <w:bookmarkEnd w:id="14"/>
      <w:bookmarkEnd w:id="15"/>
      <w:bookmarkEnd w:id="16"/>
      <w:bookmarkEnd w:id="17"/>
      <w:r w:rsidR="00F733E2">
        <w:t>Communications Alliance</w:t>
      </w:r>
      <w:bookmarkEnd w:id="18"/>
      <w:bookmarkEnd w:id="19"/>
      <w:bookmarkEnd w:id="20"/>
      <w:bookmarkEnd w:id="21"/>
      <w:bookmarkEnd w:id="22"/>
      <w:bookmarkEnd w:id="23"/>
      <w:bookmarkEnd w:id="24"/>
      <w:bookmarkEnd w:id="25"/>
      <w:bookmarkEnd w:id="26"/>
      <w:bookmarkEnd w:id="27"/>
      <w:bookmarkEnd w:id="28"/>
      <w:bookmarkEnd w:id="29"/>
    </w:p>
    <w:p w14:paraId="516E02FD" w14:textId="77777777" w:rsidR="00E95EF3" w:rsidRPr="00E95EF3" w:rsidRDefault="00E95EF3" w:rsidP="006B1CBA">
      <w:pPr>
        <w:rPr>
          <w:lang w:val="en-US" w:eastAsia="en-US"/>
        </w:rPr>
      </w:pPr>
    </w:p>
    <w:p w14:paraId="0475725D" w14:textId="77777777" w:rsidR="00A761CF" w:rsidRDefault="00A761CF" w:rsidP="006B1CBA">
      <w:r>
        <w:br w:type="page"/>
      </w:r>
    </w:p>
    <w:p w14:paraId="28B11415" w14:textId="77777777"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lastRenderedPageBreak/>
        <w:t xml:space="preserve">About ACCAN </w:t>
      </w:r>
    </w:p>
    <w:p w14:paraId="2C5C293F" w14:textId="77777777" w:rsidR="00B41CA8" w:rsidRPr="00B41CA8" w:rsidRDefault="00B41CA8" w:rsidP="005537B6">
      <w:r w:rsidRPr="00B41CA8">
        <w:t xml:space="preserve">The Australian Communications Consumer Action Network (ACCAN) is the peak body that represents all consumers on communications issues including telecommunications, broadband and emerging new services. ACCAN provides a strong </w:t>
      </w:r>
      <w:r w:rsidRPr="007B1E9D">
        <w:t>unified</w:t>
      </w:r>
      <w:r w:rsidRPr="00B41CA8">
        <w:t xml:space="preserve"> voice to industry and government as consumers work towards communications services that are trusted, inclusive and available for all.</w:t>
      </w:r>
    </w:p>
    <w:p w14:paraId="66A71187" w14:textId="77777777" w:rsidR="00B41CA8" w:rsidRPr="00B41CA8" w:rsidRDefault="00B41CA8" w:rsidP="005537B6">
      <w:r w:rsidRPr="00B41CA8">
        <w:t>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government and industry to get better outcomes for all communications consumers. </w:t>
      </w:r>
    </w:p>
    <w:p w14:paraId="3258585D" w14:textId="77777777"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t>Contact</w:t>
      </w:r>
    </w:p>
    <w:p w14:paraId="0B6AE0FE" w14:textId="77777777" w:rsidR="004B5E5C" w:rsidRDefault="00F733E2" w:rsidP="00065FFA">
      <w:pPr>
        <w:pStyle w:val="NoSpacing"/>
      </w:pPr>
      <w:r>
        <w:t>Elie El-Khoury Antonios</w:t>
      </w:r>
    </w:p>
    <w:p w14:paraId="6571D79B" w14:textId="66B3665D" w:rsidR="00F733E2" w:rsidRDefault="00F733E2" w:rsidP="00065FFA">
      <w:pPr>
        <w:pStyle w:val="NoSpacing"/>
      </w:pPr>
      <w:r>
        <w:t>Disability Policy Officer</w:t>
      </w:r>
    </w:p>
    <w:p w14:paraId="72B4C8FE" w14:textId="77777777" w:rsidR="00065FFA" w:rsidRPr="00667345" w:rsidRDefault="00065FFA" w:rsidP="00065FFA">
      <w:pPr>
        <w:pStyle w:val="NoSpacing"/>
      </w:pPr>
    </w:p>
    <w:p w14:paraId="51E63884" w14:textId="77777777" w:rsidR="00B41CA8" w:rsidRPr="00B41CA8" w:rsidRDefault="00B41CA8" w:rsidP="005537B6">
      <w:r w:rsidRPr="00B41CA8">
        <w:t>PO Box A1158</w:t>
      </w:r>
      <w:r w:rsidR="005537B6" w:rsidRPr="00B41CA8">
        <w:br/>
      </w:r>
      <w:r w:rsidRPr="00B41CA8">
        <w:t>Sydney South NSW 1235</w:t>
      </w:r>
      <w:r w:rsidRPr="00B41CA8">
        <w:br/>
        <w:t xml:space="preserve">Email: </w:t>
      </w:r>
      <w:hyperlink r:id="rId21" w:history="1">
        <w:r w:rsidRPr="00B41CA8">
          <w:rPr>
            <w:color w:val="0000FF"/>
            <w:u w:val="single"/>
          </w:rPr>
          <w:t>info@accan.org.au</w:t>
        </w:r>
      </w:hyperlink>
      <w:r w:rsidRPr="00B41CA8">
        <w:rPr>
          <w:color w:val="0000FF"/>
          <w:u w:val="single"/>
        </w:rPr>
        <w:br/>
      </w:r>
      <w:r w:rsidRPr="00B41CA8">
        <w:t>Phone: (02) 9288 4000</w:t>
      </w:r>
      <w:r w:rsidRPr="00B41CA8">
        <w:br/>
        <w:t xml:space="preserve">Contact us through the </w:t>
      </w:r>
      <w:hyperlink r:id="rId22" w:history="1">
        <w:r w:rsidRPr="00B41CA8">
          <w:rPr>
            <w:color w:val="0000FF"/>
            <w:u w:val="single"/>
          </w:rPr>
          <w:t>National Relay Service</w:t>
        </w:r>
      </w:hyperlink>
    </w:p>
    <w:p w14:paraId="081311DA" w14:textId="77777777" w:rsidR="000547D7" w:rsidRDefault="000547D7">
      <w:r>
        <w:br w:type="page"/>
      </w:r>
    </w:p>
    <w:sdt>
      <w:sdtPr>
        <w:rPr>
          <w:rFonts w:eastAsia="MS Mincho" w:cs="Arial"/>
          <w:bCs/>
          <w:sz w:val="23"/>
        </w:rPr>
        <w:id w:val="-39521029"/>
        <w:docPartObj>
          <w:docPartGallery w:val="Table of Contents"/>
          <w:docPartUnique/>
        </w:docPartObj>
      </w:sdtPr>
      <w:sdtEndPr>
        <w:rPr>
          <w:b/>
          <w:bCs w:val="0"/>
          <w:noProof/>
          <w:sz w:val="22"/>
        </w:rPr>
      </w:sdtEndPr>
      <w:sdtContent>
        <w:p w14:paraId="5FC84012" w14:textId="77777777" w:rsidR="008B0A46" w:rsidRDefault="00B41CA8" w:rsidP="009235EF">
          <w:pPr>
            <w:rPr>
              <w:noProof/>
            </w:rPr>
          </w:pPr>
          <w:r w:rsidRPr="00EB44F4">
            <w:rPr>
              <w:rStyle w:val="TitleChar"/>
            </w:rPr>
            <w:t>Contents</w:t>
          </w:r>
          <w:r w:rsidRPr="00B41CA8">
            <w:rPr>
              <w:rFonts w:ascii="Calibri" w:eastAsia="MS Mincho" w:hAnsi="Calibri" w:cs="Arial"/>
            </w:rPr>
            <w:fldChar w:fldCharType="begin"/>
          </w:r>
          <w:r w:rsidRPr="00B41CA8">
            <w:rPr>
              <w:rFonts w:ascii="Calibri" w:eastAsia="MS Mincho" w:hAnsi="Calibri" w:cs="Arial"/>
            </w:rPr>
            <w:instrText xml:space="preserve"> TOC \o "1-1" \h \z \u </w:instrText>
          </w:r>
          <w:r w:rsidRPr="00B41CA8">
            <w:rPr>
              <w:rFonts w:ascii="Calibri" w:eastAsia="MS Mincho" w:hAnsi="Calibri" w:cs="Arial"/>
            </w:rPr>
            <w:fldChar w:fldCharType="separate"/>
          </w:r>
        </w:p>
        <w:p w14:paraId="5ACE53F8" w14:textId="3A0540C3" w:rsidR="008B0A46" w:rsidRDefault="008B0A46">
          <w:pPr>
            <w:pStyle w:val="TOC1"/>
            <w:tabs>
              <w:tab w:val="right" w:leader="dot" w:pos="9016"/>
            </w:tabs>
            <w:rPr>
              <w:noProof/>
            </w:rPr>
          </w:pPr>
          <w:hyperlink w:anchor="_Toc129613605" w:history="1">
            <w:r w:rsidRPr="00E1174F">
              <w:rPr>
                <w:rStyle w:val="Hyperlink"/>
                <w:noProof/>
              </w:rPr>
              <w:t>Executive Summary</w:t>
            </w:r>
            <w:r>
              <w:rPr>
                <w:noProof/>
                <w:webHidden/>
              </w:rPr>
              <w:tab/>
            </w:r>
            <w:r>
              <w:rPr>
                <w:noProof/>
                <w:webHidden/>
              </w:rPr>
              <w:fldChar w:fldCharType="begin"/>
            </w:r>
            <w:r>
              <w:rPr>
                <w:noProof/>
                <w:webHidden/>
              </w:rPr>
              <w:instrText xml:space="preserve"> PAGEREF _Toc129613605 \h </w:instrText>
            </w:r>
            <w:r>
              <w:rPr>
                <w:noProof/>
                <w:webHidden/>
              </w:rPr>
            </w:r>
            <w:r>
              <w:rPr>
                <w:noProof/>
                <w:webHidden/>
              </w:rPr>
              <w:fldChar w:fldCharType="separate"/>
            </w:r>
            <w:r w:rsidR="00C03F59">
              <w:rPr>
                <w:noProof/>
                <w:webHidden/>
              </w:rPr>
              <w:t>4</w:t>
            </w:r>
            <w:r>
              <w:rPr>
                <w:noProof/>
                <w:webHidden/>
              </w:rPr>
              <w:fldChar w:fldCharType="end"/>
            </w:r>
          </w:hyperlink>
        </w:p>
        <w:p w14:paraId="38784336" w14:textId="6B7E1554" w:rsidR="008B0A46" w:rsidRDefault="008B0A46">
          <w:pPr>
            <w:pStyle w:val="TOC1"/>
            <w:tabs>
              <w:tab w:val="right" w:leader="dot" w:pos="9016"/>
            </w:tabs>
            <w:rPr>
              <w:noProof/>
            </w:rPr>
          </w:pPr>
          <w:hyperlink w:anchor="_Toc129613606" w:history="1">
            <w:r w:rsidRPr="00E1174F">
              <w:rPr>
                <w:rStyle w:val="Hyperlink"/>
                <w:noProof/>
                <w:lang w:val="en-US" w:eastAsia="en-US"/>
              </w:rPr>
              <w:t>Comments on sections of the Guideline</w:t>
            </w:r>
            <w:r>
              <w:rPr>
                <w:noProof/>
                <w:webHidden/>
              </w:rPr>
              <w:tab/>
            </w:r>
            <w:r>
              <w:rPr>
                <w:noProof/>
                <w:webHidden/>
              </w:rPr>
              <w:fldChar w:fldCharType="begin"/>
            </w:r>
            <w:r>
              <w:rPr>
                <w:noProof/>
                <w:webHidden/>
              </w:rPr>
              <w:instrText xml:space="preserve"> PAGEREF _Toc129613606 \h </w:instrText>
            </w:r>
            <w:r>
              <w:rPr>
                <w:noProof/>
                <w:webHidden/>
              </w:rPr>
            </w:r>
            <w:r>
              <w:rPr>
                <w:noProof/>
                <w:webHidden/>
              </w:rPr>
              <w:fldChar w:fldCharType="separate"/>
            </w:r>
            <w:r w:rsidR="00C03F59">
              <w:rPr>
                <w:noProof/>
                <w:webHidden/>
              </w:rPr>
              <w:t>5</w:t>
            </w:r>
            <w:r>
              <w:rPr>
                <w:noProof/>
                <w:webHidden/>
              </w:rPr>
              <w:fldChar w:fldCharType="end"/>
            </w:r>
          </w:hyperlink>
        </w:p>
        <w:p w14:paraId="78B73A97" w14:textId="61241A0B" w:rsidR="008B0A46" w:rsidRDefault="008B0A46">
          <w:pPr>
            <w:pStyle w:val="TOC1"/>
            <w:tabs>
              <w:tab w:val="right" w:leader="dot" w:pos="9016"/>
            </w:tabs>
            <w:rPr>
              <w:noProof/>
            </w:rPr>
          </w:pPr>
          <w:hyperlink w:anchor="_Toc129613607" w:history="1">
            <w:r w:rsidRPr="00E1174F">
              <w:rPr>
                <w:rStyle w:val="Hyperlink"/>
                <w:noProof/>
              </w:rPr>
              <w:t>Section 1.1.3</w:t>
            </w:r>
            <w:r>
              <w:rPr>
                <w:noProof/>
                <w:webHidden/>
              </w:rPr>
              <w:tab/>
            </w:r>
            <w:r>
              <w:rPr>
                <w:noProof/>
                <w:webHidden/>
              </w:rPr>
              <w:fldChar w:fldCharType="begin"/>
            </w:r>
            <w:r>
              <w:rPr>
                <w:noProof/>
                <w:webHidden/>
              </w:rPr>
              <w:instrText xml:space="preserve"> PAGEREF _Toc129613607 \h </w:instrText>
            </w:r>
            <w:r>
              <w:rPr>
                <w:noProof/>
                <w:webHidden/>
              </w:rPr>
            </w:r>
            <w:r>
              <w:rPr>
                <w:noProof/>
                <w:webHidden/>
              </w:rPr>
              <w:fldChar w:fldCharType="separate"/>
            </w:r>
            <w:r w:rsidR="00C03F59">
              <w:rPr>
                <w:noProof/>
                <w:webHidden/>
              </w:rPr>
              <w:t>5</w:t>
            </w:r>
            <w:r>
              <w:rPr>
                <w:noProof/>
                <w:webHidden/>
              </w:rPr>
              <w:fldChar w:fldCharType="end"/>
            </w:r>
          </w:hyperlink>
        </w:p>
        <w:p w14:paraId="284FBA1A" w14:textId="6CFFE06F" w:rsidR="008B0A46" w:rsidRDefault="008B0A46">
          <w:pPr>
            <w:pStyle w:val="TOC1"/>
            <w:tabs>
              <w:tab w:val="right" w:leader="dot" w:pos="9016"/>
            </w:tabs>
            <w:rPr>
              <w:noProof/>
            </w:rPr>
          </w:pPr>
          <w:hyperlink w:anchor="_Toc129613608" w:history="1">
            <w:r w:rsidRPr="00E1174F">
              <w:rPr>
                <w:rStyle w:val="Hyperlink"/>
                <w:noProof/>
              </w:rPr>
              <w:t>Section 3.1</w:t>
            </w:r>
            <w:r>
              <w:rPr>
                <w:noProof/>
                <w:webHidden/>
              </w:rPr>
              <w:tab/>
            </w:r>
            <w:r>
              <w:rPr>
                <w:noProof/>
                <w:webHidden/>
              </w:rPr>
              <w:fldChar w:fldCharType="begin"/>
            </w:r>
            <w:r>
              <w:rPr>
                <w:noProof/>
                <w:webHidden/>
              </w:rPr>
              <w:instrText xml:space="preserve"> PAGEREF _Toc129613608 \h </w:instrText>
            </w:r>
            <w:r>
              <w:rPr>
                <w:noProof/>
                <w:webHidden/>
              </w:rPr>
            </w:r>
            <w:r>
              <w:rPr>
                <w:noProof/>
                <w:webHidden/>
              </w:rPr>
              <w:fldChar w:fldCharType="separate"/>
            </w:r>
            <w:r w:rsidR="00C03F59">
              <w:rPr>
                <w:noProof/>
                <w:webHidden/>
              </w:rPr>
              <w:t>6</w:t>
            </w:r>
            <w:r>
              <w:rPr>
                <w:noProof/>
                <w:webHidden/>
              </w:rPr>
              <w:fldChar w:fldCharType="end"/>
            </w:r>
          </w:hyperlink>
        </w:p>
        <w:p w14:paraId="15A34C0B" w14:textId="733E6001" w:rsidR="008B0A46" w:rsidRDefault="008B0A46">
          <w:pPr>
            <w:pStyle w:val="TOC1"/>
            <w:tabs>
              <w:tab w:val="right" w:leader="dot" w:pos="9016"/>
            </w:tabs>
            <w:rPr>
              <w:noProof/>
            </w:rPr>
          </w:pPr>
          <w:hyperlink w:anchor="_Toc129613609" w:history="1">
            <w:r w:rsidRPr="00E1174F">
              <w:rPr>
                <w:rStyle w:val="Hyperlink"/>
                <w:noProof/>
              </w:rPr>
              <w:t>Section 3.1 (b)</w:t>
            </w:r>
            <w:r>
              <w:rPr>
                <w:noProof/>
                <w:webHidden/>
              </w:rPr>
              <w:tab/>
            </w:r>
            <w:r>
              <w:rPr>
                <w:noProof/>
                <w:webHidden/>
              </w:rPr>
              <w:fldChar w:fldCharType="begin"/>
            </w:r>
            <w:r>
              <w:rPr>
                <w:noProof/>
                <w:webHidden/>
              </w:rPr>
              <w:instrText xml:space="preserve"> PAGEREF _Toc129613609 \h </w:instrText>
            </w:r>
            <w:r>
              <w:rPr>
                <w:noProof/>
                <w:webHidden/>
              </w:rPr>
            </w:r>
            <w:r>
              <w:rPr>
                <w:noProof/>
                <w:webHidden/>
              </w:rPr>
              <w:fldChar w:fldCharType="separate"/>
            </w:r>
            <w:r w:rsidR="00C03F59">
              <w:rPr>
                <w:noProof/>
                <w:webHidden/>
              </w:rPr>
              <w:t>6</w:t>
            </w:r>
            <w:r>
              <w:rPr>
                <w:noProof/>
                <w:webHidden/>
              </w:rPr>
              <w:fldChar w:fldCharType="end"/>
            </w:r>
          </w:hyperlink>
        </w:p>
        <w:p w14:paraId="34A8F83F" w14:textId="08F6F691" w:rsidR="008B0A46" w:rsidRDefault="008B0A46">
          <w:pPr>
            <w:pStyle w:val="TOC1"/>
            <w:tabs>
              <w:tab w:val="right" w:leader="dot" w:pos="9016"/>
            </w:tabs>
            <w:rPr>
              <w:noProof/>
            </w:rPr>
          </w:pPr>
          <w:hyperlink w:anchor="_Toc129613610" w:history="1">
            <w:r w:rsidRPr="00E1174F">
              <w:rPr>
                <w:rStyle w:val="Hyperlink"/>
                <w:noProof/>
              </w:rPr>
              <w:t>Section 3.1 (c)</w:t>
            </w:r>
            <w:r>
              <w:rPr>
                <w:noProof/>
                <w:webHidden/>
              </w:rPr>
              <w:tab/>
            </w:r>
            <w:r>
              <w:rPr>
                <w:noProof/>
                <w:webHidden/>
              </w:rPr>
              <w:fldChar w:fldCharType="begin"/>
            </w:r>
            <w:r>
              <w:rPr>
                <w:noProof/>
                <w:webHidden/>
              </w:rPr>
              <w:instrText xml:space="preserve"> PAGEREF _Toc129613610 \h </w:instrText>
            </w:r>
            <w:r>
              <w:rPr>
                <w:noProof/>
                <w:webHidden/>
              </w:rPr>
            </w:r>
            <w:r>
              <w:rPr>
                <w:noProof/>
                <w:webHidden/>
              </w:rPr>
              <w:fldChar w:fldCharType="separate"/>
            </w:r>
            <w:r w:rsidR="00C03F59">
              <w:rPr>
                <w:noProof/>
                <w:webHidden/>
              </w:rPr>
              <w:t>7</w:t>
            </w:r>
            <w:r>
              <w:rPr>
                <w:noProof/>
                <w:webHidden/>
              </w:rPr>
              <w:fldChar w:fldCharType="end"/>
            </w:r>
          </w:hyperlink>
        </w:p>
        <w:p w14:paraId="51484FD8" w14:textId="787C7C36" w:rsidR="008B0A46" w:rsidRDefault="008B0A46">
          <w:pPr>
            <w:pStyle w:val="TOC1"/>
            <w:tabs>
              <w:tab w:val="right" w:leader="dot" w:pos="9016"/>
            </w:tabs>
            <w:rPr>
              <w:noProof/>
            </w:rPr>
          </w:pPr>
          <w:hyperlink w:anchor="_Toc129613611" w:history="1">
            <w:r w:rsidRPr="00E1174F">
              <w:rPr>
                <w:rStyle w:val="Hyperlink"/>
                <w:noProof/>
              </w:rPr>
              <w:t>Section 3.1 (e)</w:t>
            </w:r>
            <w:r>
              <w:rPr>
                <w:noProof/>
                <w:webHidden/>
              </w:rPr>
              <w:tab/>
            </w:r>
            <w:r>
              <w:rPr>
                <w:noProof/>
                <w:webHidden/>
              </w:rPr>
              <w:fldChar w:fldCharType="begin"/>
            </w:r>
            <w:r>
              <w:rPr>
                <w:noProof/>
                <w:webHidden/>
              </w:rPr>
              <w:instrText xml:space="preserve"> PAGEREF _Toc129613611 \h </w:instrText>
            </w:r>
            <w:r>
              <w:rPr>
                <w:noProof/>
                <w:webHidden/>
              </w:rPr>
            </w:r>
            <w:r>
              <w:rPr>
                <w:noProof/>
                <w:webHidden/>
              </w:rPr>
              <w:fldChar w:fldCharType="separate"/>
            </w:r>
            <w:r w:rsidR="00C03F59">
              <w:rPr>
                <w:noProof/>
                <w:webHidden/>
              </w:rPr>
              <w:t>7</w:t>
            </w:r>
            <w:r>
              <w:rPr>
                <w:noProof/>
                <w:webHidden/>
              </w:rPr>
              <w:fldChar w:fldCharType="end"/>
            </w:r>
          </w:hyperlink>
        </w:p>
        <w:p w14:paraId="5E2BEBD5" w14:textId="16137D49" w:rsidR="008B0A46" w:rsidRDefault="008B0A46">
          <w:pPr>
            <w:pStyle w:val="TOC1"/>
            <w:tabs>
              <w:tab w:val="right" w:leader="dot" w:pos="9016"/>
            </w:tabs>
            <w:rPr>
              <w:noProof/>
            </w:rPr>
          </w:pPr>
          <w:hyperlink w:anchor="_Toc129613612" w:history="1">
            <w:r w:rsidRPr="00E1174F">
              <w:rPr>
                <w:rStyle w:val="Hyperlink"/>
                <w:noProof/>
              </w:rPr>
              <w:t>Section 4.1</w:t>
            </w:r>
            <w:r>
              <w:rPr>
                <w:noProof/>
                <w:webHidden/>
              </w:rPr>
              <w:tab/>
            </w:r>
            <w:r>
              <w:rPr>
                <w:noProof/>
                <w:webHidden/>
              </w:rPr>
              <w:fldChar w:fldCharType="begin"/>
            </w:r>
            <w:r>
              <w:rPr>
                <w:noProof/>
                <w:webHidden/>
              </w:rPr>
              <w:instrText xml:space="preserve"> PAGEREF _Toc129613612 \h </w:instrText>
            </w:r>
            <w:r>
              <w:rPr>
                <w:noProof/>
                <w:webHidden/>
              </w:rPr>
            </w:r>
            <w:r>
              <w:rPr>
                <w:noProof/>
                <w:webHidden/>
              </w:rPr>
              <w:fldChar w:fldCharType="separate"/>
            </w:r>
            <w:r w:rsidR="00C03F59">
              <w:rPr>
                <w:noProof/>
                <w:webHidden/>
              </w:rPr>
              <w:t>8</w:t>
            </w:r>
            <w:r>
              <w:rPr>
                <w:noProof/>
                <w:webHidden/>
              </w:rPr>
              <w:fldChar w:fldCharType="end"/>
            </w:r>
          </w:hyperlink>
        </w:p>
        <w:p w14:paraId="56032677" w14:textId="7385624B" w:rsidR="008B0A46" w:rsidRDefault="008B0A46">
          <w:pPr>
            <w:pStyle w:val="TOC1"/>
            <w:tabs>
              <w:tab w:val="right" w:leader="dot" w:pos="9016"/>
            </w:tabs>
            <w:rPr>
              <w:noProof/>
            </w:rPr>
          </w:pPr>
          <w:hyperlink w:anchor="_Toc129613613" w:history="1">
            <w:r w:rsidRPr="00E1174F">
              <w:rPr>
                <w:rStyle w:val="Hyperlink"/>
                <w:noProof/>
              </w:rPr>
              <w:t>Section 5.1</w:t>
            </w:r>
            <w:r>
              <w:rPr>
                <w:noProof/>
                <w:webHidden/>
              </w:rPr>
              <w:tab/>
            </w:r>
            <w:r>
              <w:rPr>
                <w:noProof/>
                <w:webHidden/>
              </w:rPr>
              <w:fldChar w:fldCharType="begin"/>
            </w:r>
            <w:r>
              <w:rPr>
                <w:noProof/>
                <w:webHidden/>
              </w:rPr>
              <w:instrText xml:space="preserve"> PAGEREF _Toc129613613 \h </w:instrText>
            </w:r>
            <w:r>
              <w:rPr>
                <w:noProof/>
                <w:webHidden/>
              </w:rPr>
            </w:r>
            <w:r>
              <w:rPr>
                <w:noProof/>
                <w:webHidden/>
              </w:rPr>
              <w:fldChar w:fldCharType="separate"/>
            </w:r>
            <w:r w:rsidR="00C03F59">
              <w:rPr>
                <w:noProof/>
                <w:webHidden/>
              </w:rPr>
              <w:t>8</w:t>
            </w:r>
            <w:r>
              <w:rPr>
                <w:noProof/>
                <w:webHidden/>
              </w:rPr>
              <w:fldChar w:fldCharType="end"/>
            </w:r>
          </w:hyperlink>
        </w:p>
        <w:p w14:paraId="0198A998" w14:textId="5838654F" w:rsidR="00B41CA8" w:rsidRPr="005537B6" w:rsidRDefault="00B41CA8" w:rsidP="00756F51">
          <w:pPr>
            <w:tabs>
              <w:tab w:val="right" w:leader="dot" w:pos="9016"/>
            </w:tabs>
            <w:rPr>
              <w:rFonts w:ascii="Calibri" w:eastAsia="MS Mincho" w:hAnsi="Calibri" w:cs="Arial"/>
            </w:rPr>
          </w:pPr>
          <w:r w:rsidRPr="00B41CA8">
            <w:rPr>
              <w:rFonts w:ascii="Calibri" w:eastAsia="MS Mincho" w:hAnsi="Calibri" w:cs="Arial"/>
            </w:rPr>
            <w:fldChar w:fldCharType="end"/>
          </w:r>
        </w:p>
      </w:sdtContent>
    </w:sdt>
    <w:p w14:paraId="58AECD69" w14:textId="77777777" w:rsidR="00756F51" w:rsidRDefault="00756F51" w:rsidP="0017456B">
      <w:pPr>
        <w:rPr>
          <w:lang w:val="en-US"/>
        </w:rPr>
      </w:pPr>
    </w:p>
    <w:p w14:paraId="450B20E5" w14:textId="77777777" w:rsidR="005537B6" w:rsidRPr="0017456B" w:rsidRDefault="005537B6" w:rsidP="0017456B">
      <w:r>
        <w:rPr>
          <w:lang w:val="en-US"/>
        </w:rPr>
        <w:br w:type="page"/>
      </w:r>
    </w:p>
    <w:p w14:paraId="56F9B7C6" w14:textId="2A0C7C76" w:rsidR="00B41CA8" w:rsidRPr="005225A6" w:rsidRDefault="006A30FD" w:rsidP="005225A6">
      <w:pPr>
        <w:pStyle w:val="Title"/>
      </w:pPr>
      <w:bookmarkStart w:id="30" w:name="_Toc129613605"/>
      <w:r w:rsidRPr="005225A6">
        <w:lastRenderedPageBreak/>
        <w:t>Execut</w:t>
      </w:r>
      <w:r w:rsidR="00F733E2" w:rsidRPr="005225A6">
        <w:t>ive Summary</w:t>
      </w:r>
      <w:bookmarkEnd w:id="30"/>
    </w:p>
    <w:p w14:paraId="24D57825" w14:textId="43045018" w:rsidR="00DA3E78" w:rsidRDefault="00DA3E78" w:rsidP="00DA3E78">
      <w:bookmarkStart w:id="31" w:name="_Toc99975453"/>
      <w:bookmarkStart w:id="32" w:name="_Toc99975570"/>
      <w:r>
        <w:t>The Australian Communications Consumer Action Network (</w:t>
      </w:r>
      <w:r w:rsidRPr="0025192A">
        <w:rPr>
          <w:b/>
          <w:bCs/>
        </w:rPr>
        <w:t>ACCAN</w:t>
      </w:r>
      <w:r>
        <w:t xml:space="preserve">) thanks Communications Alliance for the opportunity to comment on the scheduled review of </w:t>
      </w:r>
      <w:r w:rsidR="00AD604D">
        <w:t>Customer</w:t>
      </w:r>
      <w:r>
        <w:t xml:space="preserve"> Authorisation Industry Guideline (G651:2017) (the Guideline).</w:t>
      </w:r>
      <w:r>
        <w:rPr>
          <w:rStyle w:val="FootnoteReference"/>
        </w:rPr>
        <w:footnoteReference w:id="2"/>
      </w:r>
      <w:r>
        <w:t xml:space="preserve"> The Guideline seeks to provide </w:t>
      </w:r>
      <w:r w:rsidR="003031ED">
        <w:t xml:space="preserve">common </w:t>
      </w:r>
      <w:r>
        <w:t xml:space="preserve">information to all telecommunications </w:t>
      </w:r>
      <w:r w:rsidR="00AD604D">
        <w:t>Customer</w:t>
      </w:r>
      <w:r>
        <w:t xml:space="preserve">s </w:t>
      </w:r>
      <w:r w:rsidR="00FF3308">
        <w:t>about</w:t>
      </w:r>
      <w:r w:rsidR="003031ED">
        <w:t xml:space="preserve"> </w:t>
      </w:r>
      <w:r>
        <w:t>transfer</w:t>
      </w:r>
      <w:r w:rsidR="00AC0D9A">
        <w:t>ring</w:t>
      </w:r>
      <w:r>
        <w:t xml:space="preserve"> services, and to specify the information </w:t>
      </w:r>
      <w:r w:rsidR="00AD604D">
        <w:t>Customer</w:t>
      </w:r>
      <w:r>
        <w:t xml:space="preserve">s or their Authorised Representative must provide to their </w:t>
      </w:r>
      <w:r w:rsidR="00307D40">
        <w:t>G</w:t>
      </w:r>
      <w:r w:rsidR="00EF06AB">
        <w:t xml:space="preserve">aining </w:t>
      </w:r>
      <w:r w:rsidRPr="00D72537">
        <w:t>Service Provider</w:t>
      </w:r>
      <w:r w:rsidR="00307D40">
        <w:t xml:space="preserve"> (</w:t>
      </w:r>
      <w:r w:rsidR="00307D40" w:rsidRPr="0025192A">
        <w:rPr>
          <w:b/>
          <w:bCs/>
        </w:rPr>
        <w:t>GSP</w:t>
      </w:r>
      <w:r w:rsidR="00307D40">
        <w:t>)</w:t>
      </w:r>
      <w:r>
        <w:t>, to</w:t>
      </w:r>
      <w:r w:rsidRPr="00D72537">
        <w:t xml:space="preserve"> obtain a valid </w:t>
      </w:r>
      <w:r w:rsidR="00AD604D">
        <w:t>Customer</w:t>
      </w:r>
      <w:r w:rsidRPr="00D72537">
        <w:t xml:space="preserve"> Authorisation (</w:t>
      </w:r>
      <w:r w:rsidRPr="0025192A">
        <w:rPr>
          <w:b/>
          <w:bCs/>
        </w:rPr>
        <w:t>CA</w:t>
      </w:r>
      <w:r w:rsidRPr="00D72537">
        <w:t>)</w:t>
      </w:r>
      <w:r>
        <w:t>.</w:t>
      </w:r>
      <w:r>
        <w:rPr>
          <w:rStyle w:val="FootnoteReference"/>
        </w:rPr>
        <w:footnoteReference w:id="3"/>
      </w:r>
    </w:p>
    <w:p w14:paraId="2C6EDD96" w14:textId="4A39A655" w:rsidR="00DA3E78" w:rsidRDefault="003030F7" w:rsidP="00DA3E78">
      <w:r>
        <w:t>T</w:t>
      </w:r>
      <w:r w:rsidR="00DA3E78">
        <w:t xml:space="preserve">he Guideline must protect the rights and interests of </w:t>
      </w:r>
      <w:r w:rsidR="00456BE6">
        <w:t>telecommunicatio</w:t>
      </w:r>
      <w:r w:rsidR="00525C2E">
        <w:t xml:space="preserve">ns </w:t>
      </w:r>
      <w:r w:rsidR="00456BE6">
        <w:t>Customers</w:t>
      </w:r>
      <w:r w:rsidR="00DA3E78">
        <w:t xml:space="preserve"> throughout the CA process. ACCAN’s submission highlights that the protection of these rights and interests is inhibited by</w:t>
      </w:r>
      <w:r w:rsidR="00DA3E78" w:rsidRPr="004F25ED">
        <w:t xml:space="preserve"> </w:t>
      </w:r>
      <w:r w:rsidR="00DA3E78">
        <w:t xml:space="preserve">a lack of clarity on the CA transfer process, the limited guidance on the use of cancellation fees, and the inaccessibility of CA information for people with disability. ACCAN’s submission addresses these concerns </w:t>
      </w:r>
      <w:r w:rsidR="000F1F7A">
        <w:t xml:space="preserve">by proposing </w:t>
      </w:r>
      <w:r w:rsidR="00DA3E78">
        <w:t>seven amendments to the Guideline:</w:t>
      </w:r>
    </w:p>
    <w:p w14:paraId="744C8CA7" w14:textId="3C1090BD" w:rsidR="000A638C" w:rsidRDefault="00540133" w:rsidP="000A638C">
      <w:pPr>
        <w:pStyle w:val="ListParagraph"/>
        <w:numPr>
          <w:ilvl w:val="0"/>
          <w:numId w:val="31"/>
        </w:numPr>
        <w:spacing w:after="160" w:line="259" w:lineRule="auto"/>
        <w:rPr>
          <w:lang w:val="en-US"/>
        </w:rPr>
      </w:pPr>
      <w:bookmarkStart w:id="33" w:name="_Hlk128477208"/>
      <w:bookmarkStart w:id="34" w:name="_Hlk128477196"/>
      <w:r>
        <w:t>Amend section 1.1</w:t>
      </w:r>
      <w:r w:rsidR="00D955FE">
        <w:t>.</w:t>
      </w:r>
      <w:r>
        <w:t xml:space="preserve">3 to </w:t>
      </w:r>
      <w:r w:rsidRPr="00BD54F2">
        <w:rPr>
          <w:lang w:val="en-US"/>
        </w:rPr>
        <w:t>state that the Guideline be read in conjunction with</w:t>
      </w:r>
      <w:r w:rsidR="000A638C">
        <w:rPr>
          <w:lang w:val="en-US"/>
        </w:rPr>
        <w:t>:</w:t>
      </w:r>
    </w:p>
    <w:p w14:paraId="27C9FE90" w14:textId="7C67B0C5" w:rsidR="0092186A" w:rsidRDefault="0092186A" w:rsidP="00EB35A8">
      <w:pPr>
        <w:pStyle w:val="ListParagraph"/>
        <w:numPr>
          <w:ilvl w:val="0"/>
          <w:numId w:val="36"/>
        </w:numPr>
        <w:spacing w:after="160" w:line="259" w:lineRule="auto"/>
        <w:rPr>
          <w:lang w:val="en-US"/>
        </w:rPr>
      </w:pPr>
      <w:r>
        <w:rPr>
          <w:lang w:val="en-US"/>
        </w:rPr>
        <w:t xml:space="preserve">The </w:t>
      </w:r>
      <w:r w:rsidR="00540133" w:rsidRPr="000A638C">
        <w:rPr>
          <w:lang w:val="en-US"/>
        </w:rPr>
        <w:t>Information on Accessibility Features for Telephone Equipment Industry Code (C625:2020); and</w:t>
      </w:r>
      <w:bookmarkStart w:id="35" w:name="_Hlk128477384"/>
    </w:p>
    <w:p w14:paraId="11755F5B" w14:textId="5E7A799F" w:rsidR="00540133" w:rsidRPr="000A638C" w:rsidRDefault="0092186A" w:rsidP="00EB35A8">
      <w:pPr>
        <w:pStyle w:val="ListParagraph"/>
        <w:numPr>
          <w:ilvl w:val="0"/>
          <w:numId w:val="36"/>
        </w:numPr>
        <w:spacing w:after="160" w:line="259" w:lineRule="auto"/>
        <w:rPr>
          <w:lang w:val="en-US"/>
        </w:rPr>
      </w:pPr>
      <w:r>
        <w:rPr>
          <w:lang w:val="en-US"/>
        </w:rPr>
        <w:t xml:space="preserve">The </w:t>
      </w:r>
      <w:r w:rsidR="00540133" w:rsidRPr="000A638C">
        <w:rPr>
          <w:lang w:val="en-US"/>
        </w:rPr>
        <w:t xml:space="preserve">Telecommunications Disability Standard (Requirements for </w:t>
      </w:r>
      <w:r w:rsidR="00AD604D">
        <w:rPr>
          <w:lang w:val="en-US"/>
        </w:rPr>
        <w:t>Customer</w:t>
      </w:r>
      <w:r w:rsidR="00540133" w:rsidRPr="000A638C">
        <w:rPr>
          <w:lang w:val="en-US"/>
        </w:rPr>
        <w:t xml:space="preserve"> Equipment for use with the Standard Telephone Service—Features for special needs of persons with disabilities (AS/ACIF S040) 2015.</w:t>
      </w:r>
    </w:p>
    <w:bookmarkEnd w:id="33"/>
    <w:bookmarkEnd w:id="35"/>
    <w:p w14:paraId="26B9F4B0" w14:textId="49918065" w:rsidR="00540133" w:rsidRDefault="00540133" w:rsidP="00540133">
      <w:pPr>
        <w:pStyle w:val="ListParagraph"/>
        <w:numPr>
          <w:ilvl w:val="0"/>
          <w:numId w:val="31"/>
        </w:numPr>
        <w:spacing w:after="160" w:line="259" w:lineRule="auto"/>
      </w:pPr>
      <w:r w:rsidRPr="00BD54F2">
        <w:rPr>
          <w:lang w:val="en-US"/>
        </w:rPr>
        <w:t xml:space="preserve">Amend section 3.1 to introduce a clause </w:t>
      </w:r>
      <w:r>
        <w:t xml:space="preserve">that requires the GSP to provide information to the </w:t>
      </w:r>
      <w:r w:rsidR="00AD604D">
        <w:t>Customer</w:t>
      </w:r>
      <w:r>
        <w:t xml:space="preserve"> in accessible formats</w:t>
      </w:r>
      <w:r w:rsidR="005848AC">
        <w:t>.</w:t>
      </w:r>
    </w:p>
    <w:p w14:paraId="34379B89" w14:textId="540DE718" w:rsidR="00DA3E78" w:rsidRDefault="00DA3E78" w:rsidP="00DA3E78">
      <w:pPr>
        <w:pStyle w:val="ListParagraph"/>
        <w:numPr>
          <w:ilvl w:val="0"/>
          <w:numId w:val="31"/>
        </w:numPr>
        <w:spacing w:after="160" w:line="259" w:lineRule="auto"/>
      </w:pPr>
      <w:r>
        <w:t xml:space="preserve">Amend section 3.1 (b) to require the GSP to advise the </w:t>
      </w:r>
      <w:r w:rsidR="00AD604D">
        <w:t>Customer</w:t>
      </w:r>
      <w:r>
        <w:t xml:space="preserve"> of when the CA has been completed </w:t>
      </w:r>
      <w:r w:rsidR="00C434F8" w:rsidRPr="00C434F8">
        <w:t>no longer than five working days from when the transfer is complete</w:t>
      </w:r>
      <w:r>
        <w:t xml:space="preserve">. </w:t>
      </w:r>
    </w:p>
    <w:bookmarkEnd w:id="34"/>
    <w:p w14:paraId="54569AA7" w14:textId="6D5FC3E0" w:rsidR="00DA3E78" w:rsidRDefault="00DA3E78" w:rsidP="00DA3E78">
      <w:pPr>
        <w:pStyle w:val="ListParagraph"/>
        <w:numPr>
          <w:ilvl w:val="0"/>
          <w:numId w:val="31"/>
        </w:numPr>
        <w:spacing w:after="160" w:line="259" w:lineRule="auto"/>
      </w:pPr>
      <w:r w:rsidRPr="0004387F">
        <w:t xml:space="preserve">Amend section 3.1 </w:t>
      </w:r>
      <w:r>
        <w:t xml:space="preserve">(c) </w:t>
      </w:r>
      <w:r w:rsidRPr="0004387F">
        <w:t xml:space="preserve">to mandate that GSP must inform the </w:t>
      </w:r>
      <w:r w:rsidR="00AD604D">
        <w:t>Customer</w:t>
      </w:r>
      <w:r w:rsidRPr="0004387F">
        <w:t xml:space="preserve"> of the reasons for why the </w:t>
      </w:r>
      <w:r w:rsidR="004F4424">
        <w:t>Losing Service Provider’s (</w:t>
      </w:r>
      <w:r w:rsidRPr="0025192A">
        <w:rPr>
          <w:b/>
          <w:bCs/>
        </w:rPr>
        <w:t>LSP</w:t>
      </w:r>
      <w:r w:rsidR="004F4424">
        <w:t>)</w:t>
      </w:r>
      <w:r w:rsidRPr="0004387F">
        <w:t xml:space="preserve"> service obligations may or may not cease upon the completion of the transfer.</w:t>
      </w:r>
    </w:p>
    <w:p w14:paraId="1977E83D" w14:textId="72E35CB8" w:rsidR="00DA3E78" w:rsidRDefault="00DA3E78" w:rsidP="00DA3E78">
      <w:pPr>
        <w:pStyle w:val="ListParagraph"/>
        <w:numPr>
          <w:ilvl w:val="0"/>
          <w:numId w:val="31"/>
        </w:numPr>
        <w:spacing w:after="160" w:line="259" w:lineRule="auto"/>
      </w:pPr>
      <w:r>
        <w:t xml:space="preserve">Amend section 3.1 (e) to </w:t>
      </w:r>
      <w:r w:rsidRPr="001E1C30">
        <w:t xml:space="preserve">state that any cancellation fee incurred by the </w:t>
      </w:r>
      <w:r w:rsidR="00AD604D">
        <w:t>Customer</w:t>
      </w:r>
      <w:r w:rsidRPr="001E1C30">
        <w:t xml:space="preserve"> for early cancellation must be a genuine estimate of the provider’s loss.</w:t>
      </w:r>
    </w:p>
    <w:p w14:paraId="05BB68A1" w14:textId="79CABD6D" w:rsidR="008828C8" w:rsidRPr="008828C8" w:rsidRDefault="008828C8" w:rsidP="008828C8">
      <w:pPr>
        <w:pStyle w:val="ListParagraph"/>
        <w:numPr>
          <w:ilvl w:val="0"/>
          <w:numId w:val="31"/>
        </w:numPr>
        <w:spacing w:after="160" w:line="259" w:lineRule="auto"/>
        <w:rPr>
          <w:lang w:val="en-US"/>
        </w:rPr>
      </w:pPr>
      <w:r>
        <w:t>Amend section 4.1 to include CA authorisations recorded in Braille and different community languages</w:t>
      </w:r>
      <w:bookmarkStart w:id="36" w:name="_Hlk128404205"/>
      <w:r>
        <w:t>.</w:t>
      </w:r>
      <w:bookmarkEnd w:id="36"/>
    </w:p>
    <w:p w14:paraId="036A5A74" w14:textId="2313423F" w:rsidR="003573DB" w:rsidRPr="003573DB" w:rsidRDefault="00DA3E78" w:rsidP="00756F51">
      <w:pPr>
        <w:pStyle w:val="ListParagraph"/>
        <w:numPr>
          <w:ilvl w:val="0"/>
          <w:numId w:val="31"/>
        </w:numPr>
        <w:spacing w:after="160" w:line="259" w:lineRule="auto"/>
      </w:pPr>
      <w:r>
        <w:t xml:space="preserve">Amend </w:t>
      </w:r>
      <w:r w:rsidRPr="001F7C9D">
        <w:t xml:space="preserve">section 5.1 </w:t>
      </w:r>
      <w:r>
        <w:t>to specify that the</w:t>
      </w:r>
      <w:r w:rsidRPr="001F7C9D">
        <w:t xml:space="preserve"> CA must include information on cancellation fees and penalties for early cancellation</w:t>
      </w:r>
      <w:r>
        <w:t>.</w:t>
      </w:r>
      <w:bookmarkEnd w:id="31"/>
      <w:bookmarkEnd w:id="32"/>
      <w:r w:rsidR="00CE79B2">
        <w:rPr>
          <w:lang w:eastAsia="en-US"/>
        </w:rPr>
        <w:br w:type="page"/>
      </w:r>
    </w:p>
    <w:p w14:paraId="303AB186" w14:textId="7BFE9EA6" w:rsidR="006B07CB" w:rsidRDefault="000F1F7A" w:rsidP="006B07CB">
      <w:pPr>
        <w:pStyle w:val="Heading1"/>
        <w:rPr>
          <w:lang w:val="en-US" w:eastAsia="en-US"/>
        </w:rPr>
      </w:pPr>
      <w:bookmarkStart w:id="37" w:name="_Toc99975405"/>
      <w:bookmarkStart w:id="38" w:name="_Toc99975456"/>
      <w:bookmarkStart w:id="39" w:name="_Toc99975573"/>
      <w:bookmarkStart w:id="40" w:name="_Toc129613606"/>
      <w:r>
        <w:rPr>
          <w:lang w:val="en-US" w:eastAsia="en-US"/>
        </w:rPr>
        <w:lastRenderedPageBreak/>
        <w:t>Commen</w:t>
      </w:r>
      <w:bookmarkEnd w:id="37"/>
      <w:bookmarkEnd w:id="38"/>
      <w:bookmarkEnd w:id="39"/>
      <w:r>
        <w:rPr>
          <w:lang w:val="en-US" w:eastAsia="en-US"/>
        </w:rPr>
        <w:t>ts</w:t>
      </w:r>
      <w:r w:rsidR="00117720">
        <w:rPr>
          <w:lang w:val="en-US" w:eastAsia="en-US"/>
        </w:rPr>
        <w:t xml:space="preserve"> on </w:t>
      </w:r>
      <w:r w:rsidR="0058070F">
        <w:rPr>
          <w:lang w:val="en-US" w:eastAsia="en-US"/>
        </w:rPr>
        <w:t xml:space="preserve">sections of </w:t>
      </w:r>
      <w:r w:rsidR="00117720">
        <w:rPr>
          <w:lang w:val="en-US" w:eastAsia="en-US"/>
        </w:rPr>
        <w:t>the Guideline</w:t>
      </w:r>
      <w:bookmarkEnd w:id="40"/>
    </w:p>
    <w:p w14:paraId="3D92559A" w14:textId="75F76DC2" w:rsidR="00985E06" w:rsidRPr="006B07CB" w:rsidRDefault="00B66541" w:rsidP="006B07CB">
      <w:pPr>
        <w:pStyle w:val="Heading1"/>
        <w:rPr>
          <w:lang w:val="en-US" w:eastAsia="en-US"/>
        </w:rPr>
      </w:pPr>
      <w:bookmarkStart w:id="41" w:name="_Toc129613607"/>
      <w:r>
        <w:t>Section 1.1</w:t>
      </w:r>
      <w:r w:rsidR="00040F0F">
        <w:t>.</w:t>
      </w:r>
      <w:r>
        <w:t>3</w:t>
      </w:r>
      <w:bookmarkEnd w:id="41"/>
      <w:r>
        <w:t xml:space="preserve"> </w:t>
      </w:r>
    </w:p>
    <w:p w14:paraId="5AB5B772" w14:textId="32A54052" w:rsidR="00985E06" w:rsidRDefault="00022D9A" w:rsidP="00985E06">
      <w:r>
        <w:t xml:space="preserve">All </w:t>
      </w:r>
      <w:r w:rsidR="00AD604D">
        <w:t>Customer</w:t>
      </w:r>
      <w:r>
        <w:t xml:space="preserve">s including those with disability, must </w:t>
      </w:r>
      <w:r w:rsidR="00D241FD">
        <w:t>have access to information on CA to make informed choice about whether to obtain a CA.</w:t>
      </w:r>
      <w:r w:rsidR="00645915">
        <w:t xml:space="preserve"> </w:t>
      </w:r>
      <w:r w:rsidR="00985E06">
        <w:t>Section 1.1</w:t>
      </w:r>
      <w:r w:rsidR="00040F0F">
        <w:t>.</w:t>
      </w:r>
      <w:r w:rsidR="00985E06">
        <w:t>3 of the Guideline lists the other relevant codes and guidelines that the authorisation guideline should be read in conjunction with.</w:t>
      </w:r>
      <w:r w:rsidR="00297F6C">
        <w:rPr>
          <w:rStyle w:val="FootnoteReference"/>
        </w:rPr>
        <w:footnoteReference w:id="4"/>
      </w:r>
      <w:r w:rsidR="00985E06">
        <w:t xml:space="preserve"> Missing from this list are guidelines related to the accessibility requirements of </w:t>
      </w:r>
      <w:r w:rsidR="00AD604D">
        <w:t>Customer</w:t>
      </w:r>
      <w:r w:rsidR="00985E06">
        <w:t xml:space="preserve">s with disability. </w:t>
      </w:r>
      <w:r w:rsidR="00AD604D">
        <w:t>Customer</w:t>
      </w:r>
      <w:r w:rsidR="00985E06">
        <w:t xml:space="preserve">s with disability can refer to specific standards related to accessible </w:t>
      </w:r>
      <w:r w:rsidR="00AD604D">
        <w:t>Customer</w:t>
      </w:r>
      <w:r w:rsidR="00985E06">
        <w:t xml:space="preserve"> </w:t>
      </w:r>
      <w:r w:rsidR="00BD4A3B">
        <w:t>E</w:t>
      </w:r>
      <w:r w:rsidR="00985E06">
        <w:t>quipment (CE) for standard telephone services. These standards include:</w:t>
      </w:r>
    </w:p>
    <w:p w14:paraId="084B7725" w14:textId="47171B5E" w:rsidR="00985E06" w:rsidRPr="00C16E78" w:rsidRDefault="00985E06" w:rsidP="00C16E78">
      <w:pPr>
        <w:pStyle w:val="Bulletlist1"/>
        <w:rPr>
          <w:lang w:val="en-US"/>
        </w:rPr>
      </w:pPr>
      <w:r w:rsidRPr="00C16E78">
        <w:rPr>
          <w:lang w:val="en-US"/>
        </w:rPr>
        <w:t>The Information on Accessibility Features for Telephone Equipment Industry Code (C625:2020); and</w:t>
      </w:r>
    </w:p>
    <w:p w14:paraId="52267B0A" w14:textId="4A7C992E" w:rsidR="00985E06" w:rsidRPr="00C16E78" w:rsidRDefault="0092186A" w:rsidP="00C16E78">
      <w:pPr>
        <w:pStyle w:val="Bulletlist1"/>
        <w:rPr>
          <w:lang w:val="en-US"/>
        </w:rPr>
      </w:pPr>
      <w:r w:rsidRPr="00C16E78">
        <w:rPr>
          <w:lang w:val="en-US"/>
        </w:rPr>
        <w:t xml:space="preserve">The </w:t>
      </w:r>
      <w:r w:rsidR="00985E06" w:rsidRPr="00C16E78">
        <w:rPr>
          <w:lang w:val="en-US"/>
        </w:rPr>
        <w:t xml:space="preserve">Telecommunications Disability Standard (Requirements for </w:t>
      </w:r>
      <w:r w:rsidR="00AD604D">
        <w:rPr>
          <w:lang w:val="en-US"/>
        </w:rPr>
        <w:t>Customer</w:t>
      </w:r>
      <w:r w:rsidR="00985E06" w:rsidRPr="00C16E78">
        <w:rPr>
          <w:lang w:val="en-US"/>
        </w:rPr>
        <w:t xml:space="preserve"> Equipment for use with the Standard Telephone Service—Features for special needs of persons with disabilities (AS/ACIF S040) 2015.</w:t>
      </w:r>
    </w:p>
    <w:p w14:paraId="294B1C1B" w14:textId="6883AC19" w:rsidR="00985E06" w:rsidRDefault="00985E06" w:rsidP="00985E06">
      <w:pPr>
        <w:rPr>
          <w:lang w:val="en-US"/>
        </w:rPr>
      </w:pPr>
      <w:r w:rsidRPr="00F02302">
        <w:rPr>
          <w:lang w:val="en-US"/>
        </w:rPr>
        <w:t>The Information on Accessibility Features for Telephone Equipment Industry Code (C625:2020) specifies the obligations of Equipment Suppliers (</w:t>
      </w:r>
      <w:r w:rsidRPr="0025192A">
        <w:rPr>
          <w:b/>
          <w:bCs/>
          <w:lang w:val="en-US"/>
        </w:rPr>
        <w:t>ES</w:t>
      </w:r>
      <w:r w:rsidRPr="00F02302">
        <w:rPr>
          <w:lang w:val="en-US"/>
        </w:rPr>
        <w:t>) to provide information on the functional characteristics of CE used in standard telephone services.</w:t>
      </w:r>
      <w:r>
        <w:rPr>
          <w:rStyle w:val="FootnoteReference"/>
          <w:lang w:val="en-US"/>
        </w:rPr>
        <w:footnoteReference w:id="5"/>
      </w:r>
      <w:r w:rsidRPr="00F02302">
        <w:rPr>
          <w:lang w:val="en-US"/>
        </w:rPr>
        <w:t xml:space="preserve"> </w:t>
      </w:r>
    </w:p>
    <w:p w14:paraId="4181F9BF" w14:textId="686EF717" w:rsidR="00985E06" w:rsidRPr="00F02302" w:rsidRDefault="00985E06" w:rsidP="00985E06">
      <w:pPr>
        <w:rPr>
          <w:lang w:val="en-US"/>
        </w:rPr>
      </w:pPr>
      <w:r w:rsidRPr="00F02302">
        <w:rPr>
          <w:lang w:val="en-US"/>
        </w:rPr>
        <w:t xml:space="preserve">The Telecommunications Disability Standard (Requirements for </w:t>
      </w:r>
      <w:r w:rsidR="00AD604D">
        <w:rPr>
          <w:lang w:val="en-US"/>
        </w:rPr>
        <w:t>Customer</w:t>
      </w:r>
      <w:r w:rsidRPr="00F02302">
        <w:rPr>
          <w:lang w:val="en-US"/>
        </w:rPr>
        <w:t xml:space="preserve"> Equipment for use with the Standard Telephone Service—Features for special needs of persons with disabilities (AS/ACIF S040) 2015, seeks to ensure that </w:t>
      </w:r>
      <w:r w:rsidR="007036EF">
        <w:rPr>
          <w:lang w:val="en-US"/>
        </w:rPr>
        <w:t xml:space="preserve">the </w:t>
      </w:r>
      <w:r w:rsidR="00AD604D">
        <w:rPr>
          <w:lang w:val="en-US"/>
        </w:rPr>
        <w:t>C</w:t>
      </w:r>
      <w:r w:rsidR="007036EF">
        <w:rPr>
          <w:lang w:val="en-US"/>
        </w:rPr>
        <w:t>E</w:t>
      </w:r>
      <w:r w:rsidRPr="00F02302">
        <w:rPr>
          <w:lang w:val="en-US"/>
        </w:rPr>
        <w:t xml:space="preserve"> which is used primarily by people without disability, should cater for the needs of people with disability.</w:t>
      </w:r>
      <w:r>
        <w:rPr>
          <w:rStyle w:val="FootnoteReference"/>
          <w:lang w:val="en-US"/>
        </w:rPr>
        <w:footnoteReference w:id="6"/>
      </w:r>
    </w:p>
    <w:p w14:paraId="4E6981B6" w14:textId="79CAC9C6" w:rsidR="00C40C4B" w:rsidRDefault="00985E06" w:rsidP="00985E06">
      <w:pPr>
        <w:rPr>
          <w:lang w:val="en-US"/>
        </w:rPr>
      </w:pPr>
      <w:r>
        <w:rPr>
          <w:lang w:val="en-US"/>
        </w:rPr>
        <w:t xml:space="preserve">These Codes and Standards are integral </w:t>
      </w:r>
      <w:r w:rsidR="00FA5533">
        <w:rPr>
          <w:lang w:val="en-US"/>
        </w:rPr>
        <w:t>to</w:t>
      </w:r>
      <w:r>
        <w:rPr>
          <w:lang w:val="en-US"/>
        </w:rPr>
        <w:t xml:space="preserve"> ensuring people with disability can access and utilise standard telephone services. </w:t>
      </w:r>
    </w:p>
    <w:p w14:paraId="3256E83C" w14:textId="48E45834" w:rsidR="00985E06" w:rsidRDefault="00C40C4B" w:rsidP="00985E06">
      <w:pPr>
        <w:rPr>
          <w:lang w:val="en-US"/>
        </w:rPr>
      </w:pPr>
      <w:r>
        <w:rPr>
          <w:lang w:val="en-US"/>
        </w:rPr>
        <w:t xml:space="preserve">As such, </w:t>
      </w:r>
      <w:r w:rsidR="00985E06">
        <w:rPr>
          <w:lang w:val="en-US"/>
        </w:rPr>
        <w:t>section 1.1</w:t>
      </w:r>
      <w:r w:rsidR="00EF4989">
        <w:rPr>
          <w:lang w:val="en-US"/>
        </w:rPr>
        <w:t>.</w:t>
      </w:r>
      <w:r w:rsidR="00985E06">
        <w:rPr>
          <w:lang w:val="en-US"/>
        </w:rPr>
        <w:t>3 should be amended to state that the Guideline be read in conjunction with:</w:t>
      </w:r>
    </w:p>
    <w:p w14:paraId="4B180316" w14:textId="77777777" w:rsidR="00985E06" w:rsidRPr="00C62062" w:rsidRDefault="00985E06" w:rsidP="00B83B25">
      <w:pPr>
        <w:pStyle w:val="NoSpacing"/>
        <w:ind w:left="720"/>
        <w:rPr>
          <w:lang w:val="en-US"/>
        </w:rPr>
      </w:pPr>
      <w:r w:rsidRPr="00C62062">
        <w:rPr>
          <w:b/>
          <w:bCs/>
          <w:lang w:val="en-US"/>
        </w:rPr>
        <w:t>a)</w:t>
      </w:r>
      <w:r>
        <w:rPr>
          <w:lang w:val="en-US"/>
        </w:rPr>
        <w:t xml:space="preserve"> </w:t>
      </w:r>
      <w:r w:rsidRPr="00C62062">
        <w:rPr>
          <w:lang w:val="en-US"/>
        </w:rPr>
        <w:t>The Information on Accessibility Features for Telephone Equipment Industry Code (C625:2020);</w:t>
      </w:r>
      <w:r>
        <w:rPr>
          <w:lang w:val="en-US"/>
        </w:rPr>
        <w:t xml:space="preserve"> </w:t>
      </w:r>
      <w:r w:rsidRPr="00C62062">
        <w:rPr>
          <w:lang w:val="en-US"/>
        </w:rPr>
        <w:t>and</w:t>
      </w:r>
    </w:p>
    <w:p w14:paraId="733B5328" w14:textId="2EFD6964" w:rsidR="00985E06" w:rsidRDefault="00985E06" w:rsidP="00B83B25">
      <w:pPr>
        <w:pStyle w:val="NoSpacing"/>
        <w:ind w:left="720"/>
        <w:rPr>
          <w:lang w:val="en-US"/>
        </w:rPr>
      </w:pPr>
      <w:r w:rsidRPr="00C62062">
        <w:rPr>
          <w:b/>
          <w:bCs/>
          <w:lang w:val="en-US"/>
        </w:rPr>
        <w:t>b)</w:t>
      </w:r>
      <w:r>
        <w:rPr>
          <w:lang w:val="en-US"/>
        </w:rPr>
        <w:t xml:space="preserve"> </w:t>
      </w:r>
      <w:r w:rsidRPr="00C62062">
        <w:rPr>
          <w:lang w:val="en-US"/>
        </w:rPr>
        <w:t xml:space="preserve">The Telecommunications Disability Standard (Requirements for </w:t>
      </w:r>
      <w:r w:rsidR="00AD604D">
        <w:rPr>
          <w:lang w:val="en-US"/>
        </w:rPr>
        <w:t>Customer</w:t>
      </w:r>
      <w:r w:rsidRPr="00C62062">
        <w:rPr>
          <w:lang w:val="en-US"/>
        </w:rPr>
        <w:t xml:space="preserve"> Equipment for use with the Standard Telephone Service—Features for special needs of persons with disabilities (AS/ACIF S040) 2015.</w:t>
      </w:r>
    </w:p>
    <w:p w14:paraId="7131CB4A" w14:textId="1E50C6CD" w:rsidR="00040F0F" w:rsidRDefault="00040F0F" w:rsidP="006B07CB">
      <w:pPr>
        <w:pStyle w:val="Heading1"/>
      </w:pPr>
    </w:p>
    <w:p w14:paraId="48D2CA58" w14:textId="74AD72B6" w:rsidR="00DE4C1B" w:rsidRPr="004D6F8C" w:rsidRDefault="00040F0F" w:rsidP="006B07CB">
      <w:pPr>
        <w:pStyle w:val="Heading1"/>
      </w:pPr>
      <w:bookmarkStart w:id="42" w:name="_Toc129613608"/>
      <w:r>
        <w:lastRenderedPageBreak/>
        <w:t>Section 3.1</w:t>
      </w:r>
      <w:bookmarkEnd w:id="42"/>
    </w:p>
    <w:p w14:paraId="0524F0F2" w14:textId="69A17FE3" w:rsidR="00484B37" w:rsidRDefault="00DE4C1B" w:rsidP="00484B37">
      <w:r>
        <w:t xml:space="preserve"> </w:t>
      </w:r>
      <w:r w:rsidR="00F93C44">
        <w:t>An effective CA transfer process</w:t>
      </w:r>
      <w:r>
        <w:t xml:space="preserve"> </w:t>
      </w:r>
      <w:r w:rsidR="00F93C44">
        <w:t>require</w:t>
      </w:r>
      <w:r w:rsidR="00870FC1">
        <w:t>s</w:t>
      </w:r>
      <w:r w:rsidR="00F93C44">
        <w:t xml:space="preserve"> </w:t>
      </w:r>
      <w:r w:rsidR="00053448">
        <w:t xml:space="preserve">the </w:t>
      </w:r>
      <w:r w:rsidR="00F0386A">
        <w:t>S</w:t>
      </w:r>
      <w:r>
        <w:t xml:space="preserve">ervice </w:t>
      </w:r>
      <w:r w:rsidR="00F0386A">
        <w:t>P</w:t>
      </w:r>
      <w:r>
        <w:t xml:space="preserve">rovider </w:t>
      </w:r>
      <w:r w:rsidR="00F0386A">
        <w:t xml:space="preserve">(SP) </w:t>
      </w:r>
      <w:r>
        <w:t xml:space="preserve">and </w:t>
      </w:r>
      <w:r w:rsidR="00053448">
        <w:t xml:space="preserve">the </w:t>
      </w:r>
      <w:r w:rsidR="00AD604D">
        <w:t>Customer</w:t>
      </w:r>
      <w:r>
        <w:t xml:space="preserve"> to be aware of their rights and obligations. </w:t>
      </w:r>
      <w:r w:rsidRPr="00D4599E">
        <w:t>Section 3.1 of the Guideline specifies the information the GS</w:t>
      </w:r>
      <w:r w:rsidR="00970165">
        <w:t xml:space="preserve">P </w:t>
      </w:r>
      <w:r w:rsidRPr="00D4599E">
        <w:t xml:space="preserve">must provide to the </w:t>
      </w:r>
      <w:r w:rsidR="00AD604D">
        <w:t>Customer</w:t>
      </w:r>
      <w:r w:rsidRPr="00D4599E">
        <w:t xml:space="preserve"> prior to executing a CA.</w:t>
      </w:r>
      <w:r w:rsidR="00484B37">
        <w:rPr>
          <w:rStyle w:val="FootnoteReference"/>
        </w:rPr>
        <w:footnoteReference w:id="7"/>
      </w:r>
      <w:r w:rsidR="00BC11F1">
        <w:t xml:space="preserve"> </w:t>
      </w:r>
      <w:r w:rsidR="00484B37">
        <w:t xml:space="preserve">To ensure the information provided by the GSP is inclusive of people with disability, section 3.1 </w:t>
      </w:r>
      <w:r w:rsidR="00B6603C">
        <w:t>s</w:t>
      </w:r>
      <w:r w:rsidR="00484B37">
        <w:t>hould include a clause on examples of accessible formats the information can be provided in such as:</w:t>
      </w:r>
    </w:p>
    <w:p w14:paraId="753C2F54" w14:textId="77777777" w:rsidR="00484B37" w:rsidRDefault="00484B37" w:rsidP="00C16E78">
      <w:pPr>
        <w:pStyle w:val="Bulletlist1"/>
      </w:pPr>
      <w:r>
        <w:t>Auslan;</w:t>
      </w:r>
    </w:p>
    <w:p w14:paraId="20F0AB4B" w14:textId="77777777" w:rsidR="00484B37" w:rsidRDefault="00484B37" w:rsidP="00C16E78">
      <w:pPr>
        <w:pStyle w:val="Bulletlist1"/>
      </w:pPr>
      <w:r>
        <w:t>Braille;</w:t>
      </w:r>
    </w:p>
    <w:p w14:paraId="4BE826CD" w14:textId="77777777" w:rsidR="00484B37" w:rsidRDefault="00484B37" w:rsidP="00C16E78">
      <w:pPr>
        <w:pStyle w:val="Bulletlist1"/>
      </w:pPr>
      <w:r>
        <w:t>Easy English;</w:t>
      </w:r>
    </w:p>
    <w:p w14:paraId="2425560C" w14:textId="77777777" w:rsidR="00484B37" w:rsidRDefault="00484B37" w:rsidP="00C16E78">
      <w:pPr>
        <w:pStyle w:val="Bulletlist1"/>
      </w:pPr>
      <w:r>
        <w:t xml:space="preserve">Plain Language; </w:t>
      </w:r>
    </w:p>
    <w:p w14:paraId="4762E074" w14:textId="77777777" w:rsidR="00484B37" w:rsidRDefault="00484B37" w:rsidP="00C16E78">
      <w:pPr>
        <w:pStyle w:val="Bulletlist1"/>
      </w:pPr>
      <w:r>
        <w:t>HTML;</w:t>
      </w:r>
    </w:p>
    <w:p w14:paraId="374990AB" w14:textId="66C1D616" w:rsidR="00484B37" w:rsidRDefault="00484B37" w:rsidP="00C16E78">
      <w:pPr>
        <w:pStyle w:val="Bulletlist1"/>
      </w:pPr>
      <w:r>
        <w:t>Audio and vision description</w:t>
      </w:r>
      <w:r w:rsidR="00DD11E6">
        <w:t>;</w:t>
      </w:r>
    </w:p>
    <w:p w14:paraId="1C3FB163" w14:textId="77777777" w:rsidR="00484B37" w:rsidRDefault="00484B37" w:rsidP="00C16E78">
      <w:pPr>
        <w:pStyle w:val="Bulletlist1"/>
      </w:pPr>
      <w:r>
        <w:t>Closed captions;</w:t>
      </w:r>
    </w:p>
    <w:p w14:paraId="5284DE75" w14:textId="77777777" w:rsidR="00484B37" w:rsidRDefault="00484B37" w:rsidP="00C16E78">
      <w:pPr>
        <w:pStyle w:val="Bulletlist1"/>
      </w:pPr>
      <w:r>
        <w:t>Different community languages;</w:t>
      </w:r>
    </w:p>
    <w:p w14:paraId="4E5710E2" w14:textId="77777777" w:rsidR="00484B37" w:rsidRDefault="00484B37" w:rsidP="00C16E78">
      <w:pPr>
        <w:pStyle w:val="Bulletlist1"/>
      </w:pPr>
      <w:r>
        <w:t>PDF;</w:t>
      </w:r>
    </w:p>
    <w:p w14:paraId="7D2F9AE5" w14:textId="77777777" w:rsidR="00484B37" w:rsidRDefault="00484B37" w:rsidP="00C16E78">
      <w:pPr>
        <w:pStyle w:val="Bulletlist1"/>
      </w:pPr>
      <w:r>
        <w:t>MS Word; and</w:t>
      </w:r>
    </w:p>
    <w:p w14:paraId="28AE67D3" w14:textId="14648B11" w:rsidR="00FC1E29" w:rsidRDefault="00484B37" w:rsidP="00C16E78">
      <w:pPr>
        <w:pStyle w:val="Bulletlist1"/>
      </w:pPr>
      <w:r>
        <w:t>RTF.</w:t>
      </w:r>
    </w:p>
    <w:p w14:paraId="54E8DC82" w14:textId="54099653" w:rsidR="00484B37" w:rsidRDefault="00C40C4B" w:rsidP="00484B37">
      <w:r>
        <w:t>As such, s</w:t>
      </w:r>
      <w:r w:rsidR="00484B37">
        <w:t xml:space="preserve">ection 3.1 should be amended to introduce a clause that requires the GSP to provide information to the </w:t>
      </w:r>
      <w:r w:rsidR="00AD604D">
        <w:t>Customer</w:t>
      </w:r>
      <w:r w:rsidR="00484B37">
        <w:t xml:space="preserve"> in accessible formats.</w:t>
      </w:r>
    </w:p>
    <w:p w14:paraId="75E8F5A7" w14:textId="721BBD6D" w:rsidR="00484B37" w:rsidRPr="006B07CB" w:rsidRDefault="00BC11F1" w:rsidP="006B07CB">
      <w:pPr>
        <w:pStyle w:val="Heading1"/>
      </w:pPr>
      <w:bookmarkStart w:id="43" w:name="_Toc129613609"/>
      <w:r w:rsidRPr="006B07CB">
        <w:t>Section 3.1 (b)</w:t>
      </w:r>
      <w:bookmarkEnd w:id="43"/>
    </w:p>
    <w:p w14:paraId="06F0B162" w14:textId="2FBC1315" w:rsidR="000630CE" w:rsidRDefault="00DE4C1B" w:rsidP="00DE4C1B">
      <w:r>
        <w:t xml:space="preserve">Section 3.1 (b) of the Guideline stipulates the GSP must provide information to the </w:t>
      </w:r>
      <w:r w:rsidR="00AD604D">
        <w:t>Customer</w:t>
      </w:r>
      <w:r>
        <w:t xml:space="preserve">, stating: </w:t>
      </w:r>
    </w:p>
    <w:p w14:paraId="40B985B3" w14:textId="4EA03C1D" w:rsidR="000630CE" w:rsidRDefault="00DE4C1B" w:rsidP="00637E40">
      <w:pPr>
        <w:ind w:left="720"/>
      </w:pPr>
      <w:r>
        <w:t>“</w:t>
      </w:r>
      <w:r w:rsidRPr="003B382F">
        <w:t xml:space="preserve">that the Service will remain active with the </w:t>
      </w:r>
      <w:r w:rsidR="000D6CF5">
        <w:t>L</w:t>
      </w:r>
      <w:r w:rsidRPr="003B382F">
        <w:t xml:space="preserve">SP until the Transfer is completed, and that the </w:t>
      </w:r>
      <w:r w:rsidR="00AD604D">
        <w:t>Customer</w:t>
      </w:r>
      <w:r w:rsidRPr="003B382F">
        <w:t xml:space="preserve"> should continue to contact the LSP in relation to the provision of services and fault restoration until the Transfer is completed</w:t>
      </w:r>
      <w:r>
        <w:t>.”</w:t>
      </w:r>
      <w:r>
        <w:rPr>
          <w:rStyle w:val="FootnoteReference"/>
        </w:rPr>
        <w:footnoteReference w:id="8"/>
      </w:r>
      <w:r>
        <w:t xml:space="preserve"> </w:t>
      </w:r>
    </w:p>
    <w:p w14:paraId="17EF07FD" w14:textId="48B4CF9B" w:rsidR="00DE4C1B" w:rsidRDefault="00DE4C1B" w:rsidP="00DE4C1B">
      <w:r>
        <w:t xml:space="preserve">Section 3.1 (b) does not specify the minimum number of days required for the transfer to be completed, or the minimum number of days required for the GSP to advise the </w:t>
      </w:r>
      <w:r w:rsidR="00AD604D">
        <w:t>Customer</w:t>
      </w:r>
      <w:r>
        <w:t xml:space="preserve"> of the completion of the transfer. This makes it difficult to provide clarity to </w:t>
      </w:r>
      <w:r w:rsidR="00AD604D">
        <w:t>Customer</w:t>
      </w:r>
      <w:r>
        <w:t xml:space="preserve">s on how long the transfer of providers will take, and how long their information will stay with the LSP. </w:t>
      </w:r>
    </w:p>
    <w:p w14:paraId="48122AC9" w14:textId="7E5E9739" w:rsidR="00DE4C1B" w:rsidRDefault="00DE4C1B" w:rsidP="00DE4C1B">
      <w:r>
        <w:t>The Telecommunications Industry Ombudsman (</w:t>
      </w:r>
      <w:r w:rsidRPr="0025192A">
        <w:rPr>
          <w:b/>
          <w:bCs/>
        </w:rPr>
        <w:t>TIO</w:t>
      </w:r>
      <w:r>
        <w:t xml:space="preserve">) states that the GSP </w:t>
      </w:r>
      <w:r w:rsidRPr="00A60F65">
        <w:t xml:space="preserve">must </w:t>
      </w:r>
      <w:r>
        <w:t xml:space="preserve">advise </w:t>
      </w:r>
      <w:r w:rsidRPr="00A60F65">
        <w:t xml:space="preserve">the consumer when the transfer is complete, preferably on the day it happens, otherwise within </w:t>
      </w:r>
      <w:r w:rsidR="00244EB1">
        <w:t xml:space="preserve">five </w:t>
      </w:r>
      <w:r w:rsidRPr="00A60F65">
        <w:t>working days.</w:t>
      </w:r>
      <w:r>
        <w:rPr>
          <w:rStyle w:val="FootnoteReference"/>
        </w:rPr>
        <w:footnoteReference w:id="9"/>
      </w:r>
      <w:r>
        <w:t xml:space="preserve"> In addition, both parties should commit to completing the transfer as soon as practicable and address any problems quickly.</w:t>
      </w:r>
      <w:r>
        <w:rPr>
          <w:rStyle w:val="FootnoteReference"/>
        </w:rPr>
        <w:footnoteReference w:id="10"/>
      </w:r>
      <w:r>
        <w:t xml:space="preserve">  As such, section 3.1 (b) should be amended to require the GSP to </w:t>
      </w:r>
      <w:r>
        <w:lastRenderedPageBreak/>
        <w:t xml:space="preserve">advise the </w:t>
      </w:r>
      <w:r w:rsidR="00AD604D">
        <w:t>Customer</w:t>
      </w:r>
      <w:r>
        <w:t xml:space="preserve"> of when the CA has been completed </w:t>
      </w:r>
      <w:r w:rsidR="008F35EF" w:rsidRPr="008F35EF">
        <w:t>no longer than five working days from when the transfer is complete.</w:t>
      </w:r>
      <w:r>
        <w:t xml:space="preserve"> </w:t>
      </w:r>
    </w:p>
    <w:p w14:paraId="4DA3D0E3" w14:textId="40B2B207" w:rsidR="00BC11F1" w:rsidRDefault="00BC11F1" w:rsidP="006B07CB">
      <w:pPr>
        <w:pStyle w:val="Heading1"/>
      </w:pPr>
      <w:bookmarkStart w:id="44" w:name="_Toc129613610"/>
      <w:r>
        <w:t>Section 3.1 (c)</w:t>
      </w:r>
      <w:bookmarkEnd w:id="44"/>
    </w:p>
    <w:p w14:paraId="29C59D3F" w14:textId="0FA9C255" w:rsidR="00C04EAB" w:rsidRDefault="00BC11F1" w:rsidP="00DE4C1B">
      <w:r>
        <w:t>S</w:t>
      </w:r>
      <w:r w:rsidR="00DE4C1B">
        <w:t xml:space="preserve">ection 3.1 (c) provides that the GSP must advise the </w:t>
      </w:r>
      <w:r w:rsidR="00AD604D">
        <w:t>Customer</w:t>
      </w:r>
      <w:r w:rsidR="00DE4C1B">
        <w:t xml:space="preserve"> that</w:t>
      </w:r>
      <w:r w:rsidR="00C04EAB">
        <w:t>:</w:t>
      </w:r>
    </w:p>
    <w:p w14:paraId="12601F11" w14:textId="66BC057D" w:rsidR="00C04EAB" w:rsidRDefault="00DE4C1B" w:rsidP="009F3AAE">
      <w:pPr>
        <w:ind w:left="720"/>
      </w:pPr>
      <w:r>
        <w:t>“in respect of the Service(s) or Service Identifier(s) being Transferred, whether the LSP’s obligation to supply products and services, including any facilities, incentives and benefits, ceases on completion of the Transfer.”</w:t>
      </w:r>
      <w:r w:rsidR="002D5063">
        <w:rPr>
          <w:rStyle w:val="FootnoteReference"/>
        </w:rPr>
        <w:footnoteReference w:id="11"/>
      </w:r>
      <w:r>
        <w:t xml:space="preserve"> </w:t>
      </w:r>
    </w:p>
    <w:p w14:paraId="7C002B7F" w14:textId="2CFBCA23" w:rsidR="00DE4C1B" w:rsidRDefault="004B061C" w:rsidP="00DE4C1B">
      <w:r>
        <w:t xml:space="preserve">The inclusion of the word </w:t>
      </w:r>
      <w:r w:rsidR="00B03B64">
        <w:t>‘w</w:t>
      </w:r>
      <w:r w:rsidR="00433B28">
        <w:t>hether’ in this clause, implies that the LSP’s service obligations may not cease after the completion of the transfer. Further, s</w:t>
      </w:r>
      <w:r w:rsidR="00DE4C1B">
        <w:t>ection 3.1 (c) does not provide any explanation for why the LSP’s obligations to supply products or services may or may not cease after the completion of the transfer.</w:t>
      </w:r>
      <w:r w:rsidR="006E6B74">
        <w:t xml:space="preserve"> </w:t>
      </w:r>
      <w:r w:rsidR="00DE4C1B">
        <w:t>As such, section 3.1 (c)</w:t>
      </w:r>
      <w:r w:rsidR="00C40C4B">
        <w:t xml:space="preserve"> shou</w:t>
      </w:r>
      <w:r w:rsidR="00DC4996">
        <w:t>ld</w:t>
      </w:r>
      <w:r w:rsidR="0058070F">
        <w:t xml:space="preserve"> be</w:t>
      </w:r>
      <w:r w:rsidR="00DE4C1B">
        <w:t xml:space="preserve"> amended to </w:t>
      </w:r>
      <w:r w:rsidR="00BB1FB9" w:rsidRPr="004D6F8C">
        <w:t xml:space="preserve">mandate that GSP must inform the </w:t>
      </w:r>
      <w:r w:rsidR="00AD604D">
        <w:t>Customer</w:t>
      </w:r>
      <w:r w:rsidR="00BB1FB9" w:rsidRPr="004D6F8C">
        <w:t xml:space="preserve"> of the reasons for why the LSP’s service obligations may or may not cease upon the completion of the transfer.</w:t>
      </w:r>
    </w:p>
    <w:p w14:paraId="3B3CF8B7" w14:textId="610B8297" w:rsidR="00BB1FB9" w:rsidRDefault="005F0077" w:rsidP="006B07CB">
      <w:pPr>
        <w:pStyle w:val="Heading1"/>
      </w:pPr>
      <w:bookmarkStart w:id="45" w:name="_Toc129613611"/>
      <w:r>
        <w:t>Section 3.1 (e)</w:t>
      </w:r>
      <w:bookmarkEnd w:id="45"/>
    </w:p>
    <w:p w14:paraId="4E5055DE" w14:textId="36C914DB" w:rsidR="00870FC1" w:rsidRDefault="00BB1FB9" w:rsidP="005F0077">
      <w:pPr>
        <w:pStyle w:val="ListParagraph"/>
        <w:ind w:left="0"/>
      </w:pPr>
      <w:r>
        <w:t xml:space="preserve">Section </w:t>
      </w:r>
      <w:r w:rsidR="005F0077">
        <w:t xml:space="preserve">3.1 (e) of the </w:t>
      </w:r>
      <w:r w:rsidR="00DE4C1B">
        <w:t xml:space="preserve">Guideline includes a provision for penalties and cancellation fees if a </w:t>
      </w:r>
      <w:r w:rsidR="00AD604D">
        <w:t>Customer</w:t>
      </w:r>
      <w:r w:rsidR="00DE4C1B">
        <w:t xml:space="preserve"> chooses to exit their existing contract with their </w:t>
      </w:r>
      <w:r w:rsidR="000751D1">
        <w:t xml:space="preserve">SP </w:t>
      </w:r>
      <w:r w:rsidR="00DE4C1B">
        <w:t>early.</w:t>
      </w:r>
      <w:r w:rsidR="005F0077">
        <w:t xml:space="preserve"> </w:t>
      </w:r>
      <w:r w:rsidR="00DE4C1B">
        <w:t xml:space="preserve">Section 3.1 (e) states: </w:t>
      </w:r>
    </w:p>
    <w:p w14:paraId="5D37AFA9" w14:textId="77777777" w:rsidR="00191642" w:rsidRDefault="00191642" w:rsidP="005F0077">
      <w:pPr>
        <w:pStyle w:val="ListParagraph"/>
        <w:ind w:left="0"/>
      </w:pPr>
    </w:p>
    <w:p w14:paraId="4EC0C975" w14:textId="77038968" w:rsidR="00870C25" w:rsidRDefault="00DE4C1B" w:rsidP="00870FC1">
      <w:pPr>
        <w:pStyle w:val="ListParagraph"/>
      </w:pPr>
      <w:r>
        <w:t>“</w:t>
      </w:r>
      <w:r w:rsidRPr="0065368E">
        <w:t xml:space="preserve">that the </w:t>
      </w:r>
      <w:r w:rsidR="00AD604D">
        <w:t>Customer</w:t>
      </w:r>
      <w:r w:rsidRPr="0065368E">
        <w:t xml:space="preserve"> may have to pay a penalty or cancellation fee to their existing Supplier, and that there may be other consequences if they are ending their existing </w:t>
      </w:r>
      <w:r w:rsidR="00AD604D">
        <w:t>Customer</w:t>
      </w:r>
      <w:r w:rsidRPr="0065368E">
        <w:t xml:space="preserve"> contract with another SP early</w:t>
      </w:r>
      <w:r>
        <w:t>.”</w:t>
      </w:r>
      <w:r>
        <w:rPr>
          <w:rStyle w:val="FootnoteReference"/>
        </w:rPr>
        <w:footnoteReference w:id="12"/>
      </w:r>
    </w:p>
    <w:p w14:paraId="5E1B089B" w14:textId="77777777" w:rsidR="00870FC1" w:rsidRDefault="00870FC1" w:rsidP="00870C25">
      <w:pPr>
        <w:pStyle w:val="ListParagraph"/>
        <w:ind w:left="0"/>
      </w:pPr>
    </w:p>
    <w:p w14:paraId="3A212DF7" w14:textId="77777777" w:rsidR="006F1ED9" w:rsidRDefault="00DE4C1B" w:rsidP="00870C25">
      <w:pPr>
        <w:pStyle w:val="ListParagraph"/>
        <w:ind w:left="0"/>
      </w:pPr>
      <w:r>
        <w:t>The TIO ha</w:t>
      </w:r>
      <w:r w:rsidR="001712C0">
        <w:t>s</w:t>
      </w:r>
      <w:r>
        <w:t xml:space="preserve"> received complaints from consumers that the exit fee charged by</w:t>
      </w:r>
      <w:r w:rsidRPr="0065368E">
        <w:t xml:space="preserve"> provider</w:t>
      </w:r>
      <w:r>
        <w:t>s</w:t>
      </w:r>
      <w:r w:rsidRPr="0065368E">
        <w:t xml:space="preserve"> </w:t>
      </w:r>
      <w:r>
        <w:t xml:space="preserve">for </w:t>
      </w:r>
      <w:r w:rsidRPr="0065368E">
        <w:t>cancelling a contract</w:t>
      </w:r>
      <w:r w:rsidR="006F1ED9">
        <w:t>:</w:t>
      </w:r>
    </w:p>
    <w:p w14:paraId="2DBFC9D2" w14:textId="77777777" w:rsidR="00191642" w:rsidRDefault="00191642" w:rsidP="00191642">
      <w:pPr>
        <w:pStyle w:val="ListParagraph"/>
      </w:pPr>
    </w:p>
    <w:p w14:paraId="27D551CC" w14:textId="77777777" w:rsidR="00191642" w:rsidRDefault="00DE4C1B" w:rsidP="00191642">
      <w:pPr>
        <w:pStyle w:val="ListParagraph"/>
      </w:pPr>
      <w:r w:rsidRPr="0065368E">
        <w:t xml:space="preserve"> </w:t>
      </w:r>
      <w:r>
        <w:t>“</w:t>
      </w:r>
      <w:r w:rsidRPr="0065368E">
        <w:t xml:space="preserve">does not appear to be </w:t>
      </w:r>
      <w:bookmarkStart w:id="46" w:name="_Hlk128385777"/>
      <w:r w:rsidRPr="0065368E">
        <w:t>a genuine estimate of the provider’s loss</w:t>
      </w:r>
      <w:bookmarkEnd w:id="46"/>
      <w:r w:rsidRPr="0065368E">
        <w:t>.</w:t>
      </w:r>
      <w:r>
        <w:t>”</w:t>
      </w:r>
      <w:r>
        <w:rPr>
          <w:rStyle w:val="FootnoteReference"/>
        </w:rPr>
        <w:footnoteReference w:id="13"/>
      </w:r>
      <w:r>
        <w:t xml:space="preserve"> </w:t>
      </w:r>
    </w:p>
    <w:p w14:paraId="1C008C86" w14:textId="77777777" w:rsidR="00191642" w:rsidRDefault="00191642" w:rsidP="00870C25">
      <w:pPr>
        <w:pStyle w:val="ListParagraph"/>
        <w:ind w:left="0"/>
      </w:pPr>
    </w:p>
    <w:p w14:paraId="62A5136C" w14:textId="77777777" w:rsidR="001A5915" w:rsidRDefault="00F335AA" w:rsidP="005F0077">
      <w:pPr>
        <w:pStyle w:val="ListParagraph"/>
        <w:ind w:left="0"/>
      </w:pPr>
      <w:r>
        <w:t>Therefore, any cancellation fee imposed needs to</w:t>
      </w:r>
      <w:r w:rsidR="001712C0" w:rsidRPr="001712C0">
        <w:t xml:space="preserve"> </w:t>
      </w:r>
      <w:r w:rsidR="003C3BDD">
        <w:t xml:space="preserve">be a genuine </w:t>
      </w:r>
      <w:r w:rsidR="001712C0">
        <w:t>reflecti</w:t>
      </w:r>
      <w:r w:rsidR="003C3BDD">
        <w:t>on</w:t>
      </w:r>
      <w:r w:rsidR="001712C0">
        <w:t xml:space="preserve"> of the impact of the early cancellation on the</w:t>
      </w:r>
      <w:r w:rsidR="00136C5D">
        <w:t xml:space="preserve"> SP</w:t>
      </w:r>
      <w:r w:rsidR="001712C0">
        <w:t>.</w:t>
      </w:r>
      <w:r w:rsidR="006E6B74">
        <w:t xml:space="preserve"> </w:t>
      </w:r>
      <w:r w:rsidR="00DE4C1B">
        <w:t xml:space="preserve">As such, section 3.1 (e) should be amended to state that any cancellation fee incurred by the </w:t>
      </w:r>
      <w:r w:rsidR="00AD604D">
        <w:t>Customer</w:t>
      </w:r>
      <w:r w:rsidR="00DE4C1B">
        <w:t xml:space="preserve"> for early cancellation must be</w:t>
      </w:r>
      <w:r w:rsidR="00DE4C1B" w:rsidRPr="008A0785">
        <w:t xml:space="preserve"> a genuine estimate of the provider’s loss</w:t>
      </w:r>
      <w:r w:rsidR="00DE4C1B">
        <w:t>.</w:t>
      </w:r>
      <w:r w:rsidR="00BB3844">
        <w:br/>
      </w:r>
      <w:r w:rsidR="00BB3844">
        <w:br/>
      </w:r>
    </w:p>
    <w:p w14:paraId="42610AE7" w14:textId="7388FF35" w:rsidR="00F31FD5" w:rsidRDefault="00F31FD5" w:rsidP="005F0077">
      <w:pPr>
        <w:pStyle w:val="ListParagraph"/>
        <w:ind w:left="0"/>
      </w:pPr>
    </w:p>
    <w:p w14:paraId="29252052" w14:textId="77777777" w:rsidR="007A46CD" w:rsidRDefault="007A46CD" w:rsidP="005F0077">
      <w:pPr>
        <w:pStyle w:val="ListParagraph"/>
        <w:ind w:left="0"/>
      </w:pPr>
    </w:p>
    <w:p w14:paraId="685E289B" w14:textId="5ACDEA9C" w:rsidR="00FB3B03" w:rsidRDefault="004A284D" w:rsidP="006B07CB">
      <w:pPr>
        <w:pStyle w:val="Heading1"/>
      </w:pPr>
      <w:bookmarkStart w:id="47" w:name="_Toc129613612"/>
      <w:r>
        <w:lastRenderedPageBreak/>
        <w:t>Section 4.1</w:t>
      </w:r>
      <w:bookmarkEnd w:id="47"/>
    </w:p>
    <w:p w14:paraId="2801E332" w14:textId="77777777" w:rsidR="00C16E78" w:rsidRDefault="00FB3B03" w:rsidP="00C16E78">
      <w:r>
        <w:t xml:space="preserve">Section 4.1 of the Guideline provides a list of principles to capture a CA. Principle 5 of this list states: </w:t>
      </w:r>
    </w:p>
    <w:p w14:paraId="4900661B" w14:textId="2F59EDBB" w:rsidR="00C16E78" w:rsidRDefault="00FB3B03" w:rsidP="00C16E78">
      <w:pPr>
        <w:ind w:left="720"/>
      </w:pPr>
      <w:r>
        <w:t>“</w:t>
      </w:r>
      <w:r w:rsidRPr="004A790C">
        <w:t>A CA may include, but is not limited to, paper based, electronic, internet pages or voice authorisations recorded on audio media.</w:t>
      </w:r>
      <w:r>
        <w:t>”</w:t>
      </w:r>
      <w:r>
        <w:rPr>
          <w:rStyle w:val="FootnoteReference"/>
        </w:rPr>
        <w:footnoteReference w:id="14"/>
      </w:r>
      <w:r>
        <w:t xml:space="preserve">  </w:t>
      </w:r>
    </w:p>
    <w:p w14:paraId="37D5DFC9" w14:textId="37F0108A" w:rsidR="00DE4C1B" w:rsidRPr="00096E1A" w:rsidRDefault="00FB3B03" w:rsidP="0025192A">
      <w:pPr>
        <w:rPr>
          <w:lang w:val="en-US"/>
        </w:rPr>
      </w:pPr>
      <w:r>
        <w:t xml:space="preserve">To ensure CA authorisations are accessible and inclusive of all </w:t>
      </w:r>
      <w:r w:rsidR="00AD604D">
        <w:t>Customer</w:t>
      </w:r>
      <w:r>
        <w:t>s, the list of CA authorisations should also include authorisations recorded in Braille and different community languages.</w:t>
      </w:r>
      <w:r w:rsidR="00865968">
        <w:t xml:space="preserve"> </w:t>
      </w:r>
      <w:r>
        <w:t>As suc</w:t>
      </w:r>
      <w:r w:rsidR="009D4719">
        <w:t>h, section 4.1 should be amended to include CA authorisations recorded in Braille and different community languages.</w:t>
      </w:r>
    </w:p>
    <w:p w14:paraId="6006E570" w14:textId="7FAB24C4" w:rsidR="00CA0181" w:rsidRDefault="00CA0181" w:rsidP="006B07CB">
      <w:pPr>
        <w:pStyle w:val="Heading1"/>
      </w:pPr>
      <w:bookmarkStart w:id="48" w:name="_Toc129613613"/>
      <w:r>
        <w:t>Section 5.1</w:t>
      </w:r>
      <w:bookmarkEnd w:id="48"/>
    </w:p>
    <w:p w14:paraId="52FA7F96" w14:textId="727A849D" w:rsidR="00DE4C1B" w:rsidRDefault="00DE4C1B" w:rsidP="00DE4C1B">
      <w:r>
        <w:t>Section 5.1 of the Guideline specifies the content that needs to be included in the CA.</w:t>
      </w:r>
      <w:r>
        <w:rPr>
          <w:rStyle w:val="FootnoteReference"/>
        </w:rPr>
        <w:footnoteReference w:id="15"/>
      </w:r>
      <w:r>
        <w:t xml:space="preserve"> Along with the existing items listed, section 5.1 should also specify that the CA must include information on cancellation fees and penalties for early cancellation. Including this information will enable </w:t>
      </w:r>
      <w:r w:rsidR="00AD604D">
        <w:t>Customer</w:t>
      </w:r>
      <w:r>
        <w:t xml:space="preserve">s to become more informed about the implications of early cancellation of their contract with their new </w:t>
      </w:r>
      <w:r w:rsidR="00D37E6B">
        <w:t>SP</w:t>
      </w:r>
      <w:r>
        <w:t>.</w:t>
      </w:r>
    </w:p>
    <w:p w14:paraId="37947CCB" w14:textId="45E6587F" w:rsidR="006B07CB" w:rsidRDefault="00CB7DBE" w:rsidP="00DE4C1B">
      <w:r>
        <w:t>As such, section 5.1 should be amended to</w:t>
      </w:r>
      <w:r w:rsidRPr="00B93914">
        <w:t xml:space="preserve"> specify that the CA must include information on cancellation fees and penalties for early cancellation.</w:t>
      </w:r>
    </w:p>
    <w:p w14:paraId="4F859021" w14:textId="65E5C193" w:rsidR="00353C9D" w:rsidRPr="00353C9D" w:rsidRDefault="00DE4C1B" w:rsidP="00F43260">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1531E7" w:rsidRPr="006C7432">
        <w:t>.</w:t>
      </w:r>
    </w:p>
    <w:sectPr w:rsidR="00353C9D" w:rsidRPr="00353C9D"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01773" w14:textId="77777777" w:rsidR="00A056B3" w:rsidRDefault="00A056B3">
      <w:pPr>
        <w:spacing w:after="0" w:line="240" w:lineRule="auto"/>
      </w:pPr>
      <w:r>
        <w:separator/>
      </w:r>
    </w:p>
    <w:p w14:paraId="5B00502C" w14:textId="77777777" w:rsidR="00A056B3" w:rsidRDefault="00A056B3"/>
  </w:endnote>
  <w:endnote w:type="continuationSeparator" w:id="0">
    <w:p w14:paraId="331A8446" w14:textId="77777777" w:rsidR="00A056B3" w:rsidRDefault="00A056B3">
      <w:pPr>
        <w:spacing w:after="0" w:line="240" w:lineRule="auto"/>
      </w:pPr>
      <w:r>
        <w:continuationSeparator/>
      </w:r>
    </w:p>
    <w:p w14:paraId="1B5136E4" w14:textId="77777777" w:rsidR="00A056B3" w:rsidRDefault="00A056B3"/>
  </w:endnote>
  <w:endnote w:type="continuationNotice" w:id="1">
    <w:p w14:paraId="23E514CB" w14:textId="77777777" w:rsidR="00A056B3" w:rsidRDefault="00A056B3">
      <w:pPr>
        <w:spacing w:after="0" w:line="240" w:lineRule="auto"/>
      </w:pPr>
    </w:p>
    <w:p w14:paraId="265B64CC" w14:textId="77777777" w:rsidR="00A056B3" w:rsidRDefault="00A056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29344B-F91D-4BEA-B84F-9CBE79FF3C26}"/>
    <w:embedBold r:id="rId2" w:fontKey="{E6D4E911-1AE7-493F-9511-0F4FD158C4E3}"/>
    <w:embedItalic r:id="rId3" w:fontKey="{E7D6E8C3-622B-442D-9B5B-5CF5610ADDE9}"/>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37510E1-F7E4-4449-A92A-A0C44C3DD9EE}"/>
    <w:embedItalic r:id="rId5" w:fontKey="{15846B41-F10F-4998-BAF9-06A656B5A1ED}"/>
  </w:font>
  <w:font w:name="Tahoma">
    <w:panose1 w:val="020B0604030504040204"/>
    <w:charset w:val="00"/>
    <w:family w:val="swiss"/>
    <w:pitch w:val="variable"/>
    <w:sig w:usb0="E1002EFF" w:usb1="C000605B" w:usb2="00000029" w:usb3="00000000" w:csb0="000101FF" w:csb1="00000000"/>
    <w:embedRegular r:id="rId6" w:fontKey="{BCC5E2D2-3189-41E0-B171-F268B17FFB39}"/>
  </w:font>
  <w:font w:name="Verdana">
    <w:panose1 w:val="020B0604030504040204"/>
    <w:charset w:val="00"/>
    <w:family w:val="swiss"/>
    <w:pitch w:val="variable"/>
    <w:sig w:usb0="A00006FF" w:usb1="4000205B" w:usb2="00000010" w:usb3="00000000" w:csb0="0000019F" w:csb1="00000000"/>
    <w:embedRegular r:id="rId7" w:fontKey="{A85125B6-14E1-40A2-A95D-7B24FCE54EDD}"/>
    <w:embedBold r:id="rId8" w:fontKey="{25B7D9E6-8093-4A25-98F0-F60AED2B233C}"/>
    <w:embedBoldItalic r:id="rId9" w:fontKey="{E7C1C263-1F6A-4E11-BD69-C10F5D4D08E2}"/>
  </w:font>
  <w:font w:name="Trebuchet MS">
    <w:panose1 w:val="020B0603020202020204"/>
    <w:charset w:val="00"/>
    <w:family w:val="swiss"/>
    <w:pitch w:val="variable"/>
    <w:sig w:usb0="00000687" w:usb1="00000000" w:usb2="00000000" w:usb3="00000000" w:csb0="0000009F" w:csb1="00000000"/>
    <w:embedRegular r:id="rId10" w:fontKey="{B8861E97-DC8B-49F3-8BB5-0F3EBD39628C}"/>
  </w:font>
  <w:font w:name="Gotham">
    <w:altName w:val="Calibri"/>
    <w:panose1 w:val="02000604040000020004"/>
    <w:charset w:val="00"/>
    <w:family w:val="auto"/>
    <w:pitch w:val="variable"/>
    <w:sig w:usb0="800000A7" w:usb1="00000000" w:usb2="00000000" w:usb3="00000000" w:csb0="00000009" w:csb1="00000000"/>
    <w:embedBold r:id="rId11" w:fontKey="{A21C5309-72F8-4455-9D06-C275C66DA5FA}"/>
    <w:embedBoldItalic r:id="rId12" w:fontKey="{FCF5DFEB-C884-499C-B1BD-25818DBE12FD}"/>
  </w:font>
  <w:font w:name="Gotham Black">
    <w:altName w:val="Calibri"/>
    <w:panose1 w:val="02000603040000020004"/>
    <w:charset w:val="00"/>
    <w:family w:val="auto"/>
    <w:pitch w:val="variable"/>
    <w:sig w:usb0="A00000AF" w:usb1="40000048" w:usb2="00000000" w:usb3="00000000" w:csb0="00000111" w:csb1="00000000"/>
    <w:embedBoldItalic r:id="rId13" w:fontKey="{39EDD425-F1A1-4A69-B26C-CED5BE77EE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b/>
        <w:bCs/>
        <w:sz w:val="20"/>
        <w:szCs w:val="20"/>
      </w:rPr>
      <w:id w:val="-1113674512"/>
      <w:docPartObj>
        <w:docPartGallery w:val="Page Numbers (Bottom of Page)"/>
        <w:docPartUnique/>
      </w:docPartObj>
    </w:sdtPr>
    <w:sdtEndPr>
      <w:rPr>
        <w:rStyle w:val="Letterhead1Char"/>
        <w:i/>
        <w:spacing w:val="8"/>
        <w:sz w:val="19"/>
        <w14:textOutline w14:w="1270" w14:cap="rnd" w14:cmpd="sng" w14:algn="ctr">
          <w14:solidFill>
            <w14:schemeClr w14:val="tx1"/>
          </w14:solidFill>
          <w14:prstDash w14:val="solid"/>
          <w14:bevel/>
        </w14:textOutline>
      </w:rPr>
    </w:sdtEndPr>
    <w:sdtContent>
      <w:p w14:paraId="6927C4DD" w14:textId="77777777" w:rsidR="00200982" w:rsidRPr="009A314F" w:rsidRDefault="0088720C" w:rsidP="0088720C">
        <w:pPr>
          <w:jc w:val="right"/>
          <w:rPr>
            <w:rStyle w:val="Letterhead1Char"/>
          </w:rPr>
        </w:pPr>
        <w:r w:rsidRPr="009A314F">
          <w:rPr>
            <w:rStyle w:val="Letterhead1Char"/>
          </w:rPr>
          <w:fldChar w:fldCharType="begin"/>
        </w:r>
        <w:r w:rsidRPr="009A314F">
          <w:rPr>
            <w:rStyle w:val="Letterhead1Char"/>
          </w:rPr>
          <w:instrText xml:space="preserve"> PAGE   \* MERGEFORMAT </w:instrText>
        </w:r>
        <w:r w:rsidRPr="009A314F">
          <w:rPr>
            <w:rStyle w:val="Letterhead1Char"/>
          </w:rPr>
          <w:fldChar w:fldCharType="separate"/>
        </w:r>
        <w:r w:rsidRPr="009A314F">
          <w:rPr>
            <w:rStyle w:val="Letterhead1Char"/>
          </w:rPr>
          <w:t>1</w:t>
        </w:r>
        <w:r w:rsidRPr="009A314F">
          <w:rPr>
            <w:rStyle w:val="Letterhead1Char"/>
          </w:rPr>
          <w:fldChar w:fldCharType="end"/>
        </w:r>
      </w:p>
    </w:sdtContent>
  </w:sdt>
  <w:p w14:paraId="35B84886" w14:textId="77777777" w:rsidR="00A75493" w:rsidRPr="009A314F" w:rsidRDefault="00A75493">
    <w:pPr>
      <w:rPr>
        <w:rFonts w:ascii="Verdana" w:hAnsi="Verda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rPr>
        <w:noProof/>
      </w:rPr>
    </w:sdtEndPr>
    <w:sdtContent>
      <w:p w14:paraId="4A21968F" w14:textId="77777777" w:rsidR="00D560F9" w:rsidRPr="0088720C" w:rsidRDefault="00D560F9" w:rsidP="00962372">
        <w:pPr>
          <w:pStyle w:val="Letterhead1"/>
        </w:pPr>
        <w:r w:rsidRPr="0088720C">
          <w:fldChar w:fldCharType="begin"/>
        </w:r>
        <w:r w:rsidRPr="0088720C">
          <w:instrText xml:space="preserve"> PAGE   \* MERGEFORMAT </w:instrText>
        </w:r>
        <w:r w:rsidRPr="0088720C">
          <w:fldChar w:fldCharType="separate"/>
        </w:r>
        <w:r w:rsidRPr="0088720C">
          <w:rPr>
            <w:noProof/>
          </w:rPr>
          <w:t>2</w:t>
        </w:r>
        <w:r w:rsidRPr="0088720C">
          <w:rPr>
            <w:noProof/>
          </w:rPr>
          <w:fldChar w:fldCharType="end"/>
        </w:r>
      </w:p>
    </w:sdtContent>
  </w:sdt>
  <w:p w14:paraId="0599D514"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AB7CF" w14:textId="77777777" w:rsidR="00A056B3" w:rsidRDefault="00A056B3">
      <w:pPr>
        <w:spacing w:after="0" w:line="240" w:lineRule="auto"/>
      </w:pPr>
      <w:r>
        <w:separator/>
      </w:r>
    </w:p>
    <w:p w14:paraId="210A5A7D" w14:textId="77777777" w:rsidR="00A056B3" w:rsidRDefault="00A056B3"/>
  </w:footnote>
  <w:footnote w:type="continuationSeparator" w:id="0">
    <w:p w14:paraId="608B1C11" w14:textId="77777777" w:rsidR="00A056B3" w:rsidRDefault="00A056B3">
      <w:pPr>
        <w:spacing w:after="0" w:line="240" w:lineRule="auto"/>
      </w:pPr>
      <w:r>
        <w:continuationSeparator/>
      </w:r>
    </w:p>
    <w:p w14:paraId="53C0AF03" w14:textId="77777777" w:rsidR="00A056B3" w:rsidRDefault="00A056B3"/>
  </w:footnote>
  <w:footnote w:type="continuationNotice" w:id="1">
    <w:p w14:paraId="7D4239B3" w14:textId="77777777" w:rsidR="00A056B3" w:rsidRDefault="00A056B3">
      <w:pPr>
        <w:spacing w:after="0" w:line="240" w:lineRule="auto"/>
      </w:pPr>
    </w:p>
    <w:p w14:paraId="70AC7425" w14:textId="77777777" w:rsidR="00A056B3" w:rsidRDefault="00A056B3"/>
  </w:footnote>
  <w:footnote w:id="2">
    <w:p w14:paraId="40B0F006" w14:textId="0F7B6287" w:rsidR="00DA3E78" w:rsidRPr="001F7C9D" w:rsidRDefault="00DA3E78" w:rsidP="00DA3E78">
      <w:pPr>
        <w:pStyle w:val="FootnoteText"/>
        <w:rPr>
          <w:lang w:val="en-US"/>
        </w:rPr>
      </w:pPr>
      <w:r>
        <w:rPr>
          <w:rStyle w:val="FootnoteReference"/>
        </w:rPr>
        <w:footnoteRef/>
      </w:r>
      <w:r>
        <w:t xml:space="preserve"> </w:t>
      </w:r>
      <w:r>
        <w:rPr>
          <w:lang w:val="en-US"/>
        </w:rPr>
        <w:t xml:space="preserve">Communications Alliance, </w:t>
      </w:r>
      <w:r w:rsidRPr="00C27FD4">
        <w:rPr>
          <w:i/>
          <w:iCs/>
          <w:lang w:val="en-US"/>
        </w:rPr>
        <w:t>Scheduled review of Customer Authorisation Industry Guideline</w:t>
      </w:r>
      <w:r>
        <w:rPr>
          <w:lang w:val="en-US"/>
        </w:rPr>
        <w:t xml:space="preserve"> </w:t>
      </w:r>
      <w:hyperlink r:id="rId1" w:history="1">
        <w:r w:rsidRPr="00E15EB7">
          <w:rPr>
            <w:rStyle w:val="Hyperlink"/>
            <w:lang w:val="en-US"/>
          </w:rPr>
          <w:t>https://www.commsalliance.com.au/Documents/Documents-under-Review/current</w:t>
        </w:r>
      </w:hyperlink>
      <w:r w:rsidR="0033156B">
        <w:rPr>
          <w:lang w:val="en-US"/>
        </w:rPr>
        <w:t>.</w:t>
      </w:r>
    </w:p>
  </w:footnote>
  <w:footnote w:id="3">
    <w:p w14:paraId="5EF4DBF0" w14:textId="77777777" w:rsidR="00DA3E78" w:rsidRPr="004125B5" w:rsidRDefault="00DA3E78" w:rsidP="00DA3E78">
      <w:pPr>
        <w:pStyle w:val="FootnoteText"/>
        <w:rPr>
          <w:lang w:val="en-US"/>
        </w:rPr>
      </w:pPr>
      <w:r>
        <w:rPr>
          <w:rStyle w:val="FootnoteReference"/>
        </w:rPr>
        <w:footnoteRef/>
      </w:r>
      <w:r>
        <w:t xml:space="preserve"> </w:t>
      </w:r>
      <w:r>
        <w:rPr>
          <w:lang w:val="en-US"/>
        </w:rPr>
        <w:t>Ibid.</w:t>
      </w:r>
    </w:p>
  </w:footnote>
  <w:footnote w:id="4">
    <w:p w14:paraId="5BEBCBCE" w14:textId="39608924" w:rsidR="00297F6C" w:rsidRPr="00297F6C" w:rsidRDefault="00297F6C">
      <w:pPr>
        <w:pStyle w:val="FootnoteText"/>
        <w:rPr>
          <w:lang w:val="en-US"/>
        </w:rPr>
      </w:pPr>
      <w:r>
        <w:rPr>
          <w:rStyle w:val="FootnoteReference"/>
        </w:rPr>
        <w:footnoteRef/>
      </w:r>
      <w:r>
        <w:t xml:space="preserve"> Communications Alliance, </w:t>
      </w:r>
      <w:r w:rsidRPr="00B80153">
        <w:rPr>
          <w:i/>
          <w:iCs/>
        </w:rPr>
        <w:t>G651:2017 Customer Authorisation</w:t>
      </w:r>
      <w:r>
        <w:t xml:space="preserve">, December 2017, p. </w:t>
      </w:r>
      <w:r w:rsidR="001C02B0">
        <w:t>2</w:t>
      </w:r>
      <w:r>
        <w:t xml:space="preserve"> </w:t>
      </w:r>
      <w:hyperlink r:id="rId2" w:history="1">
        <w:r w:rsidR="00E1301D" w:rsidRPr="006A5761">
          <w:rPr>
            <w:rStyle w:val="Hyperlink"/>
          </w:rPr>
          <w:t>https://www.commsalliance.com.au/__data/assets/pdf_file/0018/59301/G651-2017.pdf</w:t>
        </w:r>
      </w:hyperlink>
      <w:r w:rsidR="00BF3D85" w:rsidRPr="002C50C2">
        <w:rPr>
          <w:rStyle w:val="Hyperlink"/>
          <w:color w:val="auto"/>
          <w:u w:val="none"/>
        </w:rPr>
        <w:t>.</w:t>
      </w:r>
    </w:p>
  </w:footnote>
  <w:footnote w:id="5">
    <w:p w14:paraId="47B0C96B" w14:textId="343A7FAD" w:rsidR="00985E06" w:rsidRPr="007D5366" w:rsidRDefault="00985E06" w:rsidP="00985E06">
      <w:pPr>
        <w:pStyle w:val="FootnoteText"/>
        <w:rPr>
          <w:lang w:val="en-US"/>
        </w:rPr>
      </w:pPr>
      <w:r>
        <w:rPr>
          <w:rStyle w:val="FootnoteReference"/>
        </w:rPr>
        <w:footnoteRef/>
      </w:r>
      <w:r>
        <w:t xml:space="preserve"> Communications Alliance, </w:t>
      </w:r>
      <w:r w:rsidRPr="007D5366">
        <w:rPr>
          <w:i/>
          <w:iCs/>
        </w:rPr>
        <w:t>C625:2020 Information on Accessibility Features for Telephone Equipment Industry Code</w:t>
      </w:r>
      <w:r>
        <w:rPr>
          <w:i/>
          <w:iCs/>
        </w:rPr>
        <w:t>: I</w:t>
      </w:r>
      <w:r w:rsidRPr="007D5366">
        <w:rPr>
          <w:i/>
          <w:iCs/>
        </w:rPr>
        <w:t xml:space="preserve">ntroductory statement, </w:t>
      </w:r>
      <w:r>
        <w:t xml:space="preserve">April 2020 </w:t>
      </w:r>
      <w:hyperlink r:id="rId3" w:history="1">
        <w:r w:rsidR="002C50C2" w:rsidRPr="006A5761">
          <w:rPr>
            <w:rStyle w:val="Hyperlink"/>
          </w:rPr>
          <w:t>https://www.commsalliance.com.au/__data/assets/pdf_file/0013/1345/C625_2020.pdf</w:t>
        </w:r>
      </w:hyperlink>
      <w:r w:rsidR="00BF3D85" w:rsidRPr="002C50C2">
        <w:rPr>
          <w:rStyle w:val="Hyperlink"/>
          <w:color w:val="auto"/>
          <w:u w:val="none"/>
        </w:rPr>
        <w:t>.</w:t>
      </w:r>
    </w:p>
  </w:footnote>
  <w:footnote w:id="6">
    <w:p w14:paraId="642BE4B6" w14:textId="51F205E9" w:rsidR="00985E06" w:rsidRDefault="00985E06" w:rsidP="00985E06">
      <w:pPr>
        <w:pStyle w:val="FootnoteText"/>
      </w:pPr>
      <w:r>
        <w:rPr>
          <w:rStyle w:val="FootnoteReference"/>
        </w:rPr>
        <w:footnoteRef/>
      </w:r>
      <w:r>
        <w:t xml:space="preserve"> Commonwealth of Australia, </w:t>
      </w:r>
      <w:r w:rsidRPr="000E345C">
        <w:rPr>
          <w:i/>
          <w:iCs/>
        </w:rPr>
        <w:t>Telecommunications Disability Standard (Requirements for Customer Equipment for use with the Standard Telephone Service — Features for special needs of persons with disabilities — AS/ACIF S040) 2015</w:t>
      </w:r>
      <w:r>
        <w:t xml:space="preserve">, p. 2 </w:t>
      </w:r>
      <w:hyperlink r:id="rId4" w:history="1">
        <w:r w:rsidR="00BD741A" w:rsidRPr="006A5761">
          <w:rPr>
            <w:rStyle w:val="Hyperlink"/>
          </w:rPr>
          <w:t>https://www.legislation.gov.au/Details/F2015L00191/Download</w:t>
        </w:r>
      </w:hyperlink>
      <w:r w:rsidR="00BF3D85" w:rsidRPr="00E1301D">
        <w:rPr>
          <w:rStyle w:val="Hyperlink"/>
          <w:color w:val="auto"/>
          <w:u w:val="none"/>
        </w:rPr>
        <w:t>.</w:t>
      </w:r>
    </w:p>
  </w:footnote>
  <w:footnote w:id="7">
    <w:p w14:paraId="7D128119" w14:textId="1A0F29C8" w:rsidR="00484B37" w:rsidRPr="00D4599E" w:rsidRDefault="00484B37" w:rsidP="00484B37">
      <w:pPr>
        <w:pStyle w:val="FootnoteText"/>
        <w:rPr>
          <w:lang w:val="en-US"/>
        </w:rPr>
      </w:pPr>
      <w:r>
        <w:rPr>
          <w:rStyle w:val="FootnoteReference"/>
        </w:rPr>
        <w:footnoteRef/>
      </w:r>
      <w:r>
        <w:t xml:space="preserve"> Communications Alliance, </w:t>
      </w:r>
      <w:r w:rsidRPr="00B80153">
        <w:rPr>
          <w:i/>
          <w:iCs/>
        </w:rPr>
        <w:t>G651:2017 Customer Authorisation</w:t>
      </w:r>
      <w:r>
        <w:t xml:space="preserve">, December 2017, p. 8 </w:t>
      </w:r>
      <w:hyperlink r:id="rId5" w:history="1">
        <w:r w:rsidR="00A82D3C" w:rsidRPr="006A5761">
          <w:rPr>
            <w:rStyle w:val="Hyperlink"/>
          </w:rPr>
          <w:t>https://www.commsalliance.com.au/__data/assets/pdf_file/0018/59301/G651-2017.pdf</w:t>
        </w:r>
      </w:hyperlink>
      <w:r w:rsidR="0000789A" w:rsidRPr="0000789A">
        <w:t>.</w:t>
      </w:r>
    </w:p>
  </w:footnote>
  <w:footnote w:id="8">
    <w:p w14:paraId="06F7A59B" w14:textId="77777777" w:rsidR="00DE4C1B" w:rsidRPr="00A54B1B" w:rsidRDefault="00DE4C1B" w:rsidP="00DE4C1B">
      <w:pPr>
        <w:pStyle w:val="FootnoteText"/>
        <w:rPr>
          <w:lang w:val="en-US"/>
        </w:rPr>
      </w:pPr>
      <w:r>
        <w:rPr>
          <w:rStyle w:val="FootnoteReference"/>
        </w:rPr>
        <w:footnoteRef/>
      </w:r>
      <w:r>
        <w:t xml:space="preserve"> </w:t>
      </w:r>
      <w:r>
        <w:rPr>
          <w:lang w:val="en-US"/>
        </w:rPr>
        <w:t>Ibid.</w:t>
      </w:r>
    </w:p>
  </w:footnote>
  <w:footnote w:id="9">
    <w:p w14:paraId="6598D0C5" w14:textId="5BEC4C7F" w:rsidR="00DE4C1B" w:rsidRPr="0087238F" w:rsidRDefault="00DE4C1B" w:rsidP="00DE4C1B">
      <w:pPr>
        <w:pStyle w:val="FootnoteText"/>
        <w:rPr>
          <w:lang w:val="en-US"/>
        </w:rPr>
      </w:pPr>
      <w:r>
        <w:rPr>
          <w:rStyle w:val="FootnoteReference"/>
        </w:rPr>
        <w:footnoteRef/>
      </w:r>
      <w:r>
        <w:t xml:space="preserve"> </w:t>
      </w:r>
      <w:r>
        <w:rPr>
          <w:lang w:val="en-US"/>
        </w:rPr>
        <w:t xml:space="preserve">Telecommunications Industry Ombudsman, </w:t>
      </w:r>
      <w:r w:rsidRPr="00A60F65">
        <w:rPr>
          <w:i/>
          <w:iCs/>
          <w:lang w:val="en-US"/>
        </w:rPr>
        <w:t>Transfer of services - in detail</w:t>
      </w:r>
      <w:r>
        <w:rPr>
          <w:i/>
          <w:iCs/>
          <w:lang w:val="en-US"/>
        </w:rPr>
        <w:t xml:space="preserve">, </w:t>
      </w:r>
      <w:r>
        <w:rPr>
          <w:lang w:val="en-US"/>
        </w:rPr>
        <w:t xml:space="preserve">March 2016 </w:t>
      </w:r>
      <w:hyperlink r:id="rId6" w:history="1">
        <w:r w:rsidR="00A82D3C" w:rsidRPr="006A5761">
          <w:rPr>
            <w:rStyle w:val="Hyperlink"/>
            <w:lang w:val="en-US"/>
          </w:rPr>
          <w:t>https://www.tio.com.au/guidance-notes/transfer-of-services-in-detail</w:t>
        </w:r>
      </w:hyperlink>
      <w:r w:rsidR="0087238F" w:rsidRPr="0087238F">
        <w:rPr>
          <w:rStyle w:val="Hyperlink"/>
          <w:color w:val="auto"/>
          <w:u w:val="none"/>
          <w:lang w:val="en-US"/>
        </w:rPr>
        <w:t>.</w:t>
      </w:r>
    </w:p>
  </w:footnote>
  <w:footnote w:id="10">
    <w:p w14:paraId="328E0EE0" w14:textId="77777777" w:rsidR="00DE4C1B" w:rsidRPr="00A60F65" w:rsidRDefault="00DE4C1B" w:rsidP="00DE4C1B">
      <w:pPr>
        <w:pStyle w:val="FootnoteText"/>
        <w:rPr>
          <w:lang w:val="en-US"/>
        </w:rPr>
      </w:pPr>
      <w:r>
        <w:rPr>
          <w:rStyle w:val="FootnoteReference"/>
        </w:rPr>
        <w:footnoteRef/>
      </w:r>
      <w:r>
        <w:t xml:space="preserve"> Ibid.</w:t>
      </w:r>
    </w:p>
  </w:footnote>
  <w:footnote w:id="11">
    <w:p w14:paraId="562B7B61" w14:textId="54A19785" w:rsidR="002D5063" w:rsidRPr="002D5063" w:rsidRDefault="002D5063">
      <w:pPr>
        <w:pStyle w:val="FootnoteText"/>
        <w:rPr>
          <w:lang w:val="en-US"/>
        </w:rPr>
      </w:pPr>
      <w:r>
        <w:rPr>
          <w:rStyle w:val="FootnoteReference"/>
        </w:rPr>
        <w:footnoteRef/>
      </w:r>
      <w:r>
        <w:t xml:space="preserve"> Communications Alliance, </w:t>
      </w:r>
      <w:r w:rsidRPr="00B80153">
        <w:rPr>
          <w:i/>
          <w:iCs/>
        </w:rPr>
        <w:t>G651:2017 Customer Authorisation</w:t>
      </w:r>
      <w:r>
        <w:t xml:space="preserve">, December 2017, p. 8 </w:t>
      </w:r>
      <w:hyperlink r:id="rId7" w:history="1">
        <w:r w:rsidR="00983503" w:rsidRPr="006A5761">
          <w:rPr>
            <w:rStyle w:val="Hyperlink"/>
          </w:rPr>
          <w:t>https://www.commsalliance.com.au/__data/assets/pdf_file/0018/59301/G651-2017.pdf</w:t>
        </w:r>
      </w:hyperlink>
      <w:r w:rsidR="008163F5" w:rsidRPr="00DB55EE">
        <w:rPr>
          <w:rStyle w:val="Hyperlink"/>
          <w:color w:val="auto"/>
          <w:u w:val="none"/>
        </w:rPr>
        <w:t>.</w:t>
      </w:r>
    </w:p>
  </w:footnote>
  <w:footnote w:id="12">
    <w:p w14:paraId="0EDD8424" w14:textId="7AFF2193" w:rsidR="00DE4C1B" w:rsidRPr="00B604B9" w:rsidRDefault="00DE4C1B" w:rsidP="00DE4C1B">
      <w:pPr>
        <w:pStyle w:val="FootnoteText"/>
        <w:rPr>
          <w:lang w:val="en-US"/>
        </w:rPr>
      </w:pPr>
      <w:r>
        <w:rPr>
          <w:rStyle w:val="FootnoteReference"/>
        </w:rPr>
        <w:footnoteRef/>
      </w:r>
      <w:r w:rsidR="00334DF4">
        <w:t xml:space="preserve"> </w:t>
      </w:r>
      <w:r w:rsidR="00B059C6">
        <w:t>Ibid.</w:t>
      </w:r>
      <w:r w:rsidR="00B059C6" w:rsidRPr="00B604B9">
        <w:rPr>
          <w:lang w:val="en-US"/>
        </w:rPr>
        <w:t xml:space="preserve"> </w:t>
      </w:r>
    </w:p>
  </w:footnote>
  <w:footnote w:id="13">
    <w:p w14:paraId="6323079B" w14:textId="704A96B7" w:rsidR="00DE4C1B" w:rsidRPr="0077700C" w:rsidRDefault="00DE4C1B" w:rsidP="00DE4C1B">
      <w:pPr>
        <w:pStyle w:val="FootnoteText"/>
        <w:rPr>
          <w:lang w:val="en-US"/>
        </w:rPr>
      </w:pPr>
      <w:r>
        <w:rPr>
          <w:rStyle w:val="FootnoteReference"/>
        </w:rPr>
        <w:footnoteRef/>
      </w:r>
      <w:r>
        <w:t xml:space="preserve"> </w:t>
      </w:r>
      <w:r>
        <w:rPr>
          <w:lang w:val="en-US"/>
        </w:rPr>
        <w:t xml:space="preserve">Telecommunications Industry Ombudsman, </w:t>
      </w:r>
      <w:r w:rsidRPr="0077700C">
        <w:rPr>
          <w:i/>
          <w:iCs/>
          <w:lang w:val="en-US"/>
        </w:rPr>
        <w:t>Contracts</w:t>
      </w:r>
      <w:r>
        <w:rPr>
          <w:i/>
          <w:iCs/>
          <w:lang w:val="en-US"/>
        </w:rPr>
        <w:t xml:space="preserve">, </w:t>
      </w:r>
      <w:r>
        <w:rPr>
          <w:lang w:val="en-US"/>
        </w:rPr>
        <w:t xml:space="preserve">March 2016 </w:t>
      </w:r>
      <w:hyperlink r:id="rId8" w:history="1">
        <w:r w:rsidR="00983503" w:rsidRPr="006A5761">
          <w:rPr>
            <w:rStyle w:val="Hyperlink"/>
            <w:lang w:val="en-US"/>
          </w:rPr>
          <w:t>https://www.tio.com.au/guidance-notes/contracts</w:t>
        </w:r>
      </w:hyperlink>
      <w:r w:rsidR="0087238F" w:rsidRPr="00DB55EE">
        <w:rPr>
          <w:rStyle w:val="Hyperlink"/>
          <w:color w:val="auto"/>
          <w:u w:val="none"/>
          <w:lang w:val="en-US"/>
        </w:rPr>
        <w:t>.</w:t>
      </w:r>
      <w:r>
        <w:rPr>
          <w:lang w:val="en-US"/>
        </w:rPr>
        <w:t xml:space="preserve"> </w:t>
      </w:r>
    </w:p>
  </w:footnote>
  <w:footnote w:id="14">
    <w:p w14:paraId="2352A4AC" w14:textId="2C02391F" w:rsidR="00FB3B03" w:rsidRPr="00B80153" w:rsidRDefault="00FB3B03" w:rsidP="00FB3B03">
      <w:pPr>
        <w:pStyle w:val="FootnoteText"/>
        <w:rPr>
          <w:lang w:val="en-US"/>
        </w:rPr>
      </w:pPr>
      <w:r>
        <w:rPr>
          <w:rStyle w:val="FootnoteReference"/>
        </w:rPr>
        <w:footnoteRef/>
      </w:r>
      <w:r>
        <w:t xml:space="preserve"> </w:t>
      </w:r>
      <w:r w:rsidR="001B247C">
        <w:t xml:space="preserve">Communications Alliance, </w:t>
      </w:r>
      <w:r w:rsidR="001B247C" w:rsidRPr="00B80153">
        <w:rPr>
          <w:i/>
          <w:iCs/>
        </w:rPr>
        <w:t>G651:2017 Customer Authorisation</w:t>
      </w:r>
      <w:r w:rsidR="001B247C">
        <w:t xml:space="preserve">, December 2017, p. 11 </w:t>
      </w:r>
      <w:hyperlink r:id="rId9" w:history="1">
        <w:r w:rsidR="002C50C2" w:rsidRPr="006A5761">
          <w:rPr>
            <w:rStyle w:val="Hyperlink"/>
          </w:rPr>
          <w:t>https://www.commsalliance.com.au/__data/assets/pdf_file/0018/59301/G651-2017.pdf</w:t>
        </w:r>
      </w:hyperlink>
      <w:r w:rsidR="00B83B25" w:rsidRPr="00DB55EE">
        <w:rPr>
          <w:rStyle w:val="Hyperlink"/>
          <w:color w:val="auto"/>
          <w:u w:val="none"/>
        </w:rPr>
        <w:t>.</w:t>
      </w:r>
    </w:p>
  </w:footnote>
  <w:footnote w:id="15">
    <w:p w14:paraId="51E7BDCB" w14:textId="77777777" w:rsidR="00DE4C1B" w:rsidRPr="00552E51" w:rsidRDefault="00DE4C1B" w:rsidP="00DE4C1B">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3D647" w14:textId="77777777" w:rsidR="00A75493" w:rsidRPr="009A314F" w:rsidRDefault="00AD3EFC" w:rsidP="00E42CDF">
    <w:pPr>
      <w:tabs>
        <w:tab w:val="left" w:pos="1843"/>
      </w:tabs>
      <w:ind w:hanging="851"/>
      <w:rPr>
        <w:rFonts w:ascii="Verdana" w:hAnsi="Verdana"/>
      </w:rPr>
    </w:pPr>
    <w:r w:rsidRPr="009A314F">
      <w:rPr>
        <w:rFonts w:ascii="Verdana" w:hAnsi="Verdana"/>
        <w:noProof/>
      </w:rPr>
      <w:drawing>
        <wp:anchor distT="0" distB="0" distL="114300" distR="114300" simplePos="0" relativeHeight="251658240" behindDoc="0" locked="0" layoutInCell="1" allowOverlap="1" wp14:anchorId="3301D1FC" wp14:editId="67E18DC1">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sidRPr="009A314F">
      <w:rPr>
        <w:rFonts w:ascii="Verdana" w:hAnsi="Verdana"/>
        <w:b/>
        <w:bCs/>
        <w:i/>
        <w:iCs/>
      </w:rPr>
      <w:t xml:space="preserve">   </w:t>
    </w:r>
    <w:r w:rsidRPr="009A314F">
      <w:rPr>
        <w:rFonts w:ascii="Verdana" w:hAnsi="Verdana"/>
        <w:b/>
        <w:bCs/>
        <w:i/>
        <w:iCs/>
        <w:color w:val="43C7F4" w:themeColor="accent1"/>
      </w:rPr>
      <w:t xml:space="preserve">Your </w:t>
    </w:r>
    <w:r w:rsidRPr="009A314F">
      <w:rPr>
        <w:rStyle w:val="Letterhead2Char"/>
        <w:rFonts w:ascii="Verdana" w:hAnsi="Verdana"/>
      </w:rPr>
      <w:t>consumer</w:t>
    </w:r>
    <w:r w:rsidRPr="009A314F">
      <w:rPr>
        <w:rFonts w:ascii="Verdana" w:hAnsi="Verdana"/>
        <w:b/>
        <w:bCs/>
        <w:i/>
        <w:iCs/>
        <w:color w:val="43C7F4" w:themeColor="accent1"/>
      </w:rPr>
      <w:t xml:space="preserve"> voice on phones and internet</w:t>
    </w:r>
    <w:r w:rsidRPr="009A314F">
      <w:rPr>
        <w:rFonts w:ascii="Verdana" w:hAnsi="Verdana"/>
        <w:noProof/>
      </w:rPr>
      <mc:AlternateContent>
        <mc:Choice Requires="wps">
          <w:drawing>
            <wp:anchor distT="0" distB="0" distL="114300" distR="114300" simplePos="0" relativeHeight="251658241" behindDoc="1" locked="0" layoutInCell="1" allowOverlap="1" wp14:anchorId="530823D1" wp14:editId="7A52E8AE">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0E0CCD"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AEC"/>
    <w:multiLevelType w:val="hybridMultilevel"/>
    <w:tmpl w:val="FDCE931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CC6C58"/>
    <w:multiLevelType w:val="hybridMultilevel"/>
    <w:tmpl w:val="5CA82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D03FD8"/>
    <w:multiLevelType w:val="hybridMultilevel"/>
    <w:tmpl w:val="22C6732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4" w15:restartNumberingAfterBreak="0">
    <w:nsid w:val="337C5FB2"/>
    <w:multiLevelType w:val="multilevel"/>
    <w:tmpl w:val="6AFEEB4C"/>
    <w:numStyleLink w:val="Bullets"/>
  </w:abstractNum>
  <w:abstractNum w:abstractNumId="5" w15:restartNumberingAfterBreak="0">
    <w:nsid w:val="35F41370"/>
    <w:multiLevelType w:val="multilevel"/>
    <w:tmpl w:val="7316ABDA"/>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 w15:restartNumberingAfterBreak="0">
    <w:nsid w:val="3A0B056D"/>
    <w:multiLevelType w:val="hybridMultilevel"/>
    <w:tmpl w:val="FDCE931E"/>
    <w:lvl w:ilvl="0" w:tplc="D304E126">
      <w:start w:val="1"/>
      <w:numFmt w:val="decimal"/>
      <w:lvlText w:val="%1."/>
      <w:lvlJc w:val="left"/>
      <w:pPr>
        <w:ind w:left="1080" w:hanging="360"/>
      </w:pPr>
      <w:rPr>
        <w:b/>
        <w:bCs/>
      </w:rPr>
    </w:lvl>
    <w:lvl w:ilvl="1" w:tplc="74683C20">
      <w:start w:val="1"/>
      <w:numFmt w:val="lowerLetter"/>
      <w:lvlText w:val="%2."/>
      <w:lvlJc w:val="left"/>
      <w:pPr>
        <w:ind w:left="1800" w:hanging="360"/>
      </w:pPr>
      <w:rPr>
        <w:b/>
        <w:bCs/>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A784907"/>
    <w:multiLevelType w:val="hybridMultilevel"/>
    <w:tmpl w:val="BDFCEC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E992406"/>
    <w:multiLevelType w:val="hybridMultilevel"/>
    <w:tmpl w:val="9D1CD6F8"/>
    <w:lvl w:ilvl="0" w:tplc="92BCDC68">
      <w:start w:val="1"/>
      <w:numFmt w:val="lowerLetter"/>
      <w:lvlText w:val="%1)"/>
      <w:lvlJc w:val="left"/>
      <w:pPr>
        <w:ind w:left="1440" w:hanging="360"/>
      </w:pPr>
      <w:rPr>
        <w:b/>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42933D47"/>
    <w:multiLevelType w:val="hybridMultilevel"/>
    <w:tmpl w:val="48A2FAE6"/>
    <w:lvl w:ilvl="0" w:tplc="0C090001">
      <w:start w:val="1"/>
      <w:numFmt w:val="bullet"/>
      <w:lvlText w:val=""/>
      <w:lvlJc w:val="left"/>
      <w:pPr>
        <w:ind w:left="360" w:hanging="360"/>
      </w:pPr>
      <w:rPr>
        <w:rFonts w:ascii="Symbol" w:hAnsi="Symbol" w:hint="default"/>
        <w:b/>
        <w:bCs/>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5A467144"/>
    <w:multiLevelType w:val="multilevel"/>
    <w:tmpl w:val="3FD07300"/>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688F7F0B"/>
    <w:multiLevelType w:val="hybridMultilevel"/>
    <w:tmpl w:val="6078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num w:numId="1" w16cid:durableId="1572037082">
    <w:abstractNumId w:val="14"/>
  </w:num>
  <w:num w:numId="2" w16cid:durableId="432474946">
    <w:abstractNumId w:val="3"/>
  </w:num>
  <w:num w:numId="3" w16cid:durableId="1224683495">
    <w:abstractNumId w:val="4"/>
  </w:num>
  <w:num w:numId="4" w16cid:durableId="1132165798">
    <w:abstractNumId w:val="10"/>
  </w:num>
  <w:num w:numId="5" w16cid:durableId="1171020225">
    <w:abstractNumId w:val="11"/>
  </w:num>
  <w:num w:numId="6" w16cid:durableId="671227">
    <w:abstractNumId w:val="13"/>
  </w:num>
  <w:num w:numId="7" w16cid:durableId="1993439199">
    <w:abstractNumId w:val="5"/>
  </w:num>
  <w:num w:numId="8" w16cid:durableId="1867600657">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9" w16cid:durableId="313729236">
    <w:abstractNumId w:val="12"/>
  </w:num>
  <w:num w:numId="10" w16cid:durableId="1509759729">
    <w:abstractNumId w:val="1"/>
  </w:num>
  <w:num w:numId="11" w16cid:durableId="1072309346">
    <w:abstractNumId w:val="7"/>
  </w:num>
  <w:num w:numId="12" w16cid:durableId="810364806">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3" w16cid:durableId="1844663340">
    <w:abstractNumId w:val="5"/>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14" w16cid:durableId="2090424979">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5" w16cid:durableId="2141916877">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6" w16cid:durableId="2119565755">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7" w16cid:durableId="1090809510">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8" w16cid:durableId="1912232019">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9" w16cid:durableId="774058698">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0" w16cid:durableId="1158770200">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1" w16cid:durableId="381249190">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2" w16cid:durableId="1140656652">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3" w16cid:durableId="1002853049">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4" w16cid:durableId="1469009992">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5" w16cid:durableId="1148788633">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6" w16cid:durableId="2112387065">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7" w16cid:durableId="492186319">
    <w:abstractNumId w:val="5"/>
    <w:lvlOverride w:ilvl="0">
      <w:lvl w:ilvl="0">
        <w:start w:val="1"/>
        <w:numFmt w:val="decimal"/>
        <w:pStyle w:val="Recommendation"/>
        <w:lvlText w:val="Recommendation %1:"/>
        <w:lvlJc w:val="left"/>
        <w:pPr>
          <w:ind w:left="851" w:firstLine="0"/>
        </w:pPr>
        <w:rPr>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8" w16cid:durableId="991526398">
    <w:abstractNumId w:val="5"/>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9" w16cid:durableId="2010330835">
    <w:abstractNumId w:val="5"/>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0" w16cid:durableId="589044174">
    <w:abstractNumId w:val="5"/>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1" w16cid:durableId="559904886">
    <w:abstractNumId w:val="6"/>
  </w:num>
  <w:num w:numId="32" w16cid:durableId="1014308645">
    <w:abstractNumId w:val="5"/>
    <w:lvlOverride w:ilvl="0">
      <w:lvl w:ilvl="0">
        <w:start w:val="1"/>
        <w:numFmt w:val="decimal"/>
        <w:pStyle w:val="Recommendation"/>
        <w:lvlText w:val="Recommendation %1:"/>
        <w:lvlJc w:val="left"/>
        <w:pPr>
          <w:ind w:left="810" w:firstLine="0"/>
        </w:pPr>
        <w:rPr>
          <w:rFonts w:hint="default"/>
          <w:b/>
          <w:bCs/>
        </w:rPr>
      </w:lvl>
    </w:lvlOverride>
  </w:num>
  <w:num w:numId="33" w16cid:durableId="106510048">
    <w:abstractNumId w:val="9"/>
  </w:num>
  <w:num w:numId="34" w16cid:durableId="1528177951">
    <w:abstractNumId w:val="2"/>
  </w:num>
  <w:num w:numId="35" w16cid:durableId="2058626228">
    <w:abstractNumId w:val="0"/>
  </w:num>
  <w:num w:numId="36" w16cid:durableId="1699352951">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33E"/>
    <w:rsid w:val="00001455"/>
    <w:rsid w:val="00002592"/>
    <w:rsid w:val="00002A84"/>
    <w:rsid w:val="000039D9"/>
    <w:rsid w:val="00006849"/>
    <w:rsid w:val="00006C00"/>
    <w:rsid w:val="0000789A"/>
    <w:rsid w:val="00010B07"/>
    <w:rsid w:val="000130E1"/>
    <w:rsid w:val="00014E08"/>
    <w:rsid w:val="0001751C"/>
    <w:rsid w:val="00017FF5"/>
    <w:rsid w:val="00020140"/>
    <w:rsid w:val="0002144A"/>
    <w:rsid w:val="0002178D"/>
    <w:rsid w:val="00021EEE"/>
    <w:rsid w:val="00022392"/>
    <w:rsid w:val="00022D35"/>
    <w:rsid w:val="00022D9A"/>
    <w:rsid w:val="00023308"/>
    <w:rsid w:val="00023BBD"/>
    <w:rsid w:val="00024E5A"/>
    <w:rsid w:val="00025032"/>
    <w:rsid w:val="00025FC3"/>
    <w:rsid w:val="00031DE1"/>
    <w:rsid w:val="00032441"/>
    <w:rsid w:val="00034122"/>
    <w:rsid w:val="000341DA"/>
    <w:rsid w:val="000345B4"/>
    <w:rsid w:val="000362DE"/>
    <w:rsid w:val="00040073"/>
    <w:rsid w:val="00040F0F"/>
    <w:rsid w:val="00044434"/>
    <w:rsid w:val="00047413"/>
    <w:rsid w:val="00052737"/>
    <w:rsid w:val="00052D56"/>
    <w:rsid w:val="000530BA"/>
    <w:rsid w:val="00053448"/>
    <w:rsid w:val="000547D7"/>
    <w:rsid w:val="00056D71"/>
    <w:rsid w:val="000576D9"/>
    <w:rsid w:val="00057A92"/>
    <w:rsid w:val="00061D64"/>
    <w:rsid w:val="00062A46"/>
    <w:rsid w:val="000630CE"/>
    <w:rsid w:val="00063B15"/>
    <w:rsid w:val="00063DD0"/>
    <w:rsid w:val="00065FFA"/>
    <w:rsid w:val="00066C39"/>
    <w:rsid w:val="00066CD4"/>
    <w:rsid w:val="00071F03"/>
    <w:rsid w:val="00072C5D"/>
    <w:rsid w:val="00073936"/>
    <w:rsid w:val="00074521"/>
    <w:rsid w:val="000751D1"/>
    <w:rsid w:val="00075C32"/>
    <w:rsid w:val="00077240"/>
    <w:rsid w:val="0008068C"/>
    <w:rsid w:val="00082B89"/>
    <w:rsid w:val="000840C2"/>
    <w:rsid w:val="00086136"/>
    <w:rsid w:val="00086378"/>
    <w:rsid w:val="00090606"/>
    <w:rsid w:val="0009245D"/>
    <w:rsid w:val="00096E1A"/>
    <w:rsid w:val="000A0DE3"/>
    <w:rsid w:val="000A2BF2"/>
    <w:rsid w:val="000A3806"/>
    <w:rsid w:val="000A3FBC"/>
    <w:rsid w:val="000A41A1"/>
    <w:rsid w:val="000A4520"/>
    <w:rsid w:val="000A55EE"/>
    <w:rsid w:val="000A638C"/>
    <w:rsid w:val="000B11EF"/>
    <w:rsid w:val="000B2023"/>
    <w:rsid w:val="000B2C45"/>
    <w:rsid w:val="000B7682"/>
    <w:rsid w:val="000C231C"/>
    <w:rsid w:val="000C463F"/>
    <w:rsid w:val="000C47EC"/>
    <w:rsid w:val="000C5BAA"/>
    <w:rsid w:val="000C7431"/>
    <w:rsid w:val="000D0D3C"/>
    <w:rsid w:val="000D17E4"/>
    <w:rsid w:val="000D18A2"/>
    <w:rsid w:val="000D1A7E"/>
    <w:rsid w:val="000D3021"/>
    <w:rsid w:val="000D3F85"/>
    <w:rsid w:val="000D6C9F"/>
    <w:rsid w:val="000D6CF5"/>
    <w:rsid w:val="000E0A5E"/>
    <w:rsid w:val="000E1593"/>
    <w:rsid w:val="000E2A17"/>
    <w:rsid w:val="000E5CAE"/>
    <w:rsid w:val="000E624D"/>
    <w:rsid w:val="000E7C66"/>
    <w:rsid w:val="000F0991"/>
    <w:rsid w:val="000F1F7A"/>
    <w:rsid w:val="000F21D4"/>
    <w:rsid w:val="000F3856"/>
    <w:rsid w:val="000F764C"/>
    <w:rsid w:val="00103999"/>
    <w:rsid w:val="00103DAC"/>
    <w:rsid w:val="00104DAD"/>
    <w:rsid w:val="00106AEC"/>
    <w:rsid w:val="00111F02"/>
    <w:rsid w:val="00113465"/>
    <w:rsid w:val="001134B0"/>
    <w:rsid w:val="00113AE0"/>
    <w:rsid w:val="00117720"/>
    <w:rsid w:val="001208E7"/>
    <w:rsid w:val="001217E2"/>
    <w:rsid w:val="001217FD"/>
    <w:rsid w:val="00121D47"/>
    <w:rsid w:val="00122DD1"/>
    <w:rsid w:val="00124AEB"/>
    <w:rsid w:val="00125060"/>
    <w:rsid w:val="0012556A"/>
    <w:rsid w:val="00126183"/>
    <w:rsid w:val="0012636E"/>
    <w:rsid w:val="0012663D"/>
    <w:rsid w:val="001270D6"/>
    <w:rsid w:val="001275E7"/>
    <w:rsid w:val="00130E70"/>
    <w:rsid w:val="00132365"/>
    <w:rsid w:val="00134BAC"/>
    <w:rsid w:val="00135C01"/>
    <w:rsid w:val="00136C5D"/>
    <w:rsid w:val="00136E66"/>
    <w:rsid w:val="00137C51"/>
    <w:rsid w:val="00145394"/>
    <w:rsid w:val="00150873"/>
    <w:rsid w:val="001514F8"/>
    <w:rsid w:val="0015159F"/>
    <w:rsid w:val="00151EAB"/>
    <w:rsid w:val="001531E7"/>
    <w:rsid w:val="001537A7"/>
    <w:rsid w:val="001605C9"/>
    <w:rsid w:val="00161B2B"/>
    <w:rsid w:val="001623E5"/>
    <w:rsid w:val="00163200"/>
    <w:rsid w:val="00163B56"/>
    <w:rsid w:val="00163F69"/>
    <w:rsid w:val="00167714"/>
    <w:rsid w:val="0017083D"/>
    <w:rsid w:val="001712C0"/>
    <w:rsid w:val="00171821"/>
    <w:rsid w:val="00171E8F"/>
    <w:rsid w:val="001730E0"/>
    <w:rsid w:val="0017456B"/>
    <w:rsid w:val="001754ED"/>
    <w:rsid w:val="001766A1"/>
    <w:rsid w:val="001828D8"/>
    <w:rsid w:val="00185442"/>
    <w:rsid w:val="00191642"/>
    <w:rsid w:val="0019340F"/>
    <w:rsid w:val="00193DB9"/>
    <w:rsid w:val="0019461C"/>
    <w:rsid w:val="0019567C"/>
    <w:rsid w:val="00196FE2"/>
    <w:rsid w:val="001A0171"/>
    <w:rsid w:val="001A2736"/>
    <w:rsid w:val="001A2BA5"/>
    <w:rsid w:val="001A3380"/>
    <w:rsid w:val="001A5738"/>
    <w:rsid w:val="001A5915"/>
    <w:rsid w:val="001A60E4"/>
    <w:rsid w:val="001A772D"/>
    <w:rsid w:val="001B0DED"/>
    <w:rsid w:val="001B18E2"/>
    <w:rsid w:val="001B1EC0"/>
    <w:rsid w:val="001B247C"/>
    <w:rsid w:val="001B2A2A"/>
    <w:rsid w:val="001B480D"/>
    <w:rsid w:val="001B4F92"/>
    <w:rsid w:val="001B55B3"/>
    <w:rsid w:val="001B5856"/>
    <w:rsid w:val="001B5FB2"/>
    <w:rsid w:val="001B63DD"/>
    <w:rsid w:val="001B6438"/>
    <w:rsid w:val="001C02B0"/>
    <w:rsid w:val="001C2EC0"/>
    <w:rsid w:val="001C31BB"/>
    <w:rsid w:val="001C40D8"/>
    <w:rsid w:val="001C4264"/>
    <w:rsid w:val="001C5B99"/>
    <w:rsid w:val="001C672F"/>
    <w:rsid w:val="001D2070"/>
    <w:rsid w:val="001D2405"/>
    <w:rsid w:val="001D4FF2"/>
    <w:rsid w:val="001D5C22"/>
    <w:rsid w:val="001D6F9E"/>
    <w:rsid w:val="001D7A1B"/>
    <w:rsid w:val="001E1AE7"/>
    <w:rsid w:val="001E3CC3"/>
    <w:rsid w:val="001E7889"/>
    <w:rsid w:val="001F013B"/>
    <w:rsid w:val="001F3911"/>
    <w:rsid w:val="001F59D4"/>
    <w:rsid w:val="001F7374"/>
    <w:rsid w:val="001F77F6"/>
    <w:rsid w:val="00200982"/>
    <w:rsid w:val="00207BED"/>
    <w:rsid w:val="00207EC8"/>
    <w:rsid w:val="00211174"/>
    <w:rsid w:val="00211328"/>
    <w:rsid w:val="002118F3"/>
    <w:rsid w:val="002140FC"/>
    <w:rsid w:val="0021413E"/>
    <w:rsid w:val="0021558D"/>
    <w:rsid w:val="00215D55"/>
    <w:rsid w:val="0023499C"/>
    <w:rsid w:val="002366E4"/>
    <w:rsid w:val="002417EF"/>
    <w:rsid w:val="002446C4"/>
    <w:rsid w:val="00244EB1"/>
    <w:rsid w:val="00244FE0"/>
    <w:rsid w:val="00245265"/>
    <w:rsid w:val="00245C97"/>
    <w:rsid w:val="00247D67"/>
    <w:rsid w:val="00251782"/>
    <w:rsid w:val="0025192A"/>
    <w:rsid w:val="00252148"/>
    <w:rsid w:val="002567BC"/>
    <w:rsid w:val="0026030A"/>
    <w:rsid w:val="00260397"/>
    <w:rsid w:val="00261BA9"/>
    <w:rsid w:val="0026420E"/>
    <w:rsid w:val="0026652F"/>
    <w:rsid w:val="0027168A"/>
    <w:rsid w:val="002718A5"/>
    <w:rsid w:val="00272512"/>
    <w:rsid w:val="00274126"/>
    <w:rsid w:val="00274E04"/>
    <w:rsid w:val="002767A3"/>
    <w:rsid w:val="00276F66"/>
    <w:rsid w:val="00277BA3"/>
    <w:rsid w:val="002801B4"/>
    <w:rsid w:val="00280451"/>
    <w:rsid w:val="00281129"/>
    <w:rsid w:val="00281259"/>
    <w:rsid w:val="00281CE2"/>
    <w:rsid w:val="00281FF9"/>
    <w:rsid w:val="00293E90"/>
    <w:rsid w:val="00296FA3"/>
    <w:rsid w:val="00297F6C"/>
    <w:rsid w:val="002A1728"/>
    <w:rsid w:val="002A24BD"/>
    <w:rsid w:val="002A6483"/>
    <w:rsid w:val="002A6D97"/>
    <w:rsid w:val="002B0920"/>
    <w:rsid w:val="002B429F"/>
    <w:rsid w:val="002B6571"/>
    <w:rsid w:val="002C21D2"/>
    <w:rsid w:val="002C30D3"/>
    <w:rsid w:val="002C35E2"/>
    <w:rsid w:val="002C403A"/>
    <w:rsid w:val="002C50C2"/>
    <w:rsid w:val="002C58B8"/>
    <w:rsid w:val="002C7F9B"/>
    <w:rsid w:val="002D004C"/>
    <w:rsid w:val="002D0309"/>
    <w:rsid w:val="002D0E21"/>
    <w:rsid w:val="002D1707"/>
    <w:rsid w:val="002D18C5"/>
    <w:rsid w:val="002D374C"/>
    <w:rsid w:val="002D5063"/>
    <w:rsid w:val="002D7ACE"/>
    <w:rsid w:val="002E225B"/>
    <w:rsid w:val="002E5AFB"/>
    <w:rsid w:val="002F0E8B"/>
    <w:rsid w:val="002F1074"/>
    <w:rsid w:val="002F1EFA"/>
    <w:rsid w:val="002F292E"/>
    <w:rsid w:val="002F2ADF"/>
    <w:rsid w:val="002F48F3"/>
    <w:rsid w:val="00301A71"/>
    <w:rsid w:val="00301D3A"/>
    <w:rsid w:val="003025AF"/>
    <w:rsid w:val="00302D3C"/>
    <w:rsid w:val="003030F7"/>
    <w:rsid w:val="003031ED"/>
    <w:rsid w:val="003065DD"/>
    <w:rsid w:val="00307D40"/>
    <w:rsid w:val="00310CBD"/>
    <w:rsid w:val="003134D9"/>
    <w:rsid w:val="0031654A"/>
    <w:rsid w:val="00317E1B"/>
    <w:rsid w:val="003209B0"/>
    <w:rsid w:val="0032136A"/>
    <w:rsid w:val="003226F6"/>
    <w:rsid w:val="00326D69"/>
    <w:rsid w:val="0033156B"/>
    <w:rsid w:val="003336B2"/>
    <w:rsid w:val="00334DF4"/>
    <w:rsid w:val="003367F5"/>
    <w:rsid w:val="00336BC3"/>
    <w:rsid w:val="00336F1E"/>
    <w:rsid w:val="003403FD"/>
    <w:rsid w:val="003437B0"/>
    <w:rsid w:val="00343CDD"/>
    <w:rsid w:val="003444A4"/>
    <w:rsid w:val="00345569"/>
    <w:rsid w:val="003456BA"/>
    <w:rsid w:val="00351C15"/>
    <w:rsid w:val="003521C8"/>
    <w:rsid w:val="003532F3"/>
    <w:rsid w:val="00353C9D"/>
    <w:rsid w:val="00354180"/>
    <w:rsid w:val="003573DB"/>
    <w:rsid w:val="00360559"/>
    <w:rsid w:val="00360987"/>
    <w:rsid w:val="00364A72"/>
    <w:rsid w:val="003663B7"/>
    <w:rsid w:val="003667B4"/>
    <w:rsid w:val="00370BF8"/>
    <w:rsid w:val="00372F65"/>
    <w:rsid w:val="003742A1"/>
    <w:rsid w:val="003753FF"/>
    <w:rsid w:val="00381C48"/>
    <w:rsid w:val="00383369"/>
    <w:rsid w:val="00386C98"/>
    <w:rsid w:val="0039416E"/>
    <w:rsid w:val="003A0471"/>
    <w:rsid w:val="003A11DE"/>
    <w:rsid w:val="003A2485"/>
    <w:rsid w:val="003A504A"/>
    <w:rsid w:val="003A7D9C"/>
    <w:rsid w:val="003B0198"/>
    <w:rsid w:val="003B4F26"/>
    <w:rsid w:val="003B4F60"/>
    <w:rsid w:val="003C1118"/>
    <w:rsid w:val="003C3084"/>
    <w:rsid w:val="003C3577"/>
    <w:rsid w:val="003C3BDD"/>
    <w:rsid w:val="003C6711"/>
    <w:rsid w:val="003D5727"/>
    <w:rsid w:val="003D7C36"/>
    <w:rsid w:val="003D7DCC"/>
    <w:rsid w:val="003E2DAA"/>
    <w:rsid w:val="003E3D2C"/>
    <w:rsid w:val="003E57DE"/>
    <w:rsid w:val="003F0FC3"/>
    <w:rsid w:val="003F3FBD"/>
    <w:rsid w:val="003F74E3"/>
    <w:rsid w:val="00401C2C"/>
    <w:rsid w:val="0040204B"/>
    <w:rsid w:val="00403105"/>
    <w:rsid w:val="00405151"/>
    <w:rsid w:val="0040544A"/>
    <w:rsid w:val="0040553A"/>
    <w:rsid w:val="004112F5"/>
    <w:rsid w:val="004203E8"/>
    <w:rsid w:val="004205D1"/>
    <w:rsid w:val="0042433E"/>
    <w:rsid w:val="00426E45"/>
    <w:rsid w:val="00431DB3"/>
    <w:rsid w:val="0043310D"/>
    <w:rsid w:val="00433B28"/>
    <w:rsid w:val="00434911"/>
    <w:rsid w:val="00434C0C"/>
    <w:rsid w:val="004405D5"/>
    <w:rsid w:val="00441073"/>
    <w:rsid w:val="004431B1"/>
    <w:rsid w:val="00443D19"/>
    <w:rsid w:val="004459D2"/>
    <w:rsid w:val="00445BB7"/>
    <w:rsid w:val="00445D76"/>
    <w:rsid w:val="004468B1"/>
    <w:rsid w:val="00451585"/>
    <w:rsid w:val="004523A4"/>
    <w:rsid w:val="004528C4"/>
    <w:rsid w:val="00453DC0"/>
    <w:rsid w:val="00455428"/>
    <w:rsid w:val="00456BE6"/>
    <w:rsid w:val="00456C63"/>
    <w:rsid w:val="00456C80"/>
    <w:rsid w:val="004572B8"/>
    <w:rsid w:val="00457A53"/>
    <w:rsid w:val="00460AB8"/>
    <w:rsid w:val="00461876"/>
    <w:rsid w:val="00461AA6"/>
    <w:rsid w:val="004652AC"/>
    <w:rsid w:val="00470338"/>
    <w:rsid w:val="00470B4F"/>
    <w:rsid w:val="00472A35"/>
    <w:rsid w:val="0048163E"/>
    <w:rsid w:val="00484120"/>
    <w:rsid w:val="00484B37"/>
    <w:rsid w:val="00487E7D"/>
    <w:rsid w:val="00487EC4"/>
    <w:rsid w:val="00491F05"/>
    <w:rsid w:val="00492DA2"/>
    <w:rsid w:val="00493666"/>
    <w:rsid w:val="004939AF"/>
    <w:rsid w:val="0049502E"/>
    <w:rsid w:val="00495B74"/>
    <w:rsid w:val="00497F47"/>
    <w:rsid w:val="004A1482"/>
    <w:rsid w:val="004A284D"/>
    <w:rsid w:val="004A3908"/>
    <w:rsid w:val="004A4B15"/>
    <w:rsid w:val="004A5421"/>
    <w:rsid w:val="004A59D4"/>
    <w:rsid w:val="004A5E82"/>
    <w:rsid w:val="004A631E"/>
    <w:rsid w:val="004A6815"/>
    <w:rsid w:val="004A6866"/>
    <w:rsid w:val="004A6F23"/>
    <w:rsid w:val="004B061C"/>
    <w:rsid w:val="004B0BBF"/>
    <w:rsid w:val="004B2773"/>
    <w:rsid w:val="004B37A1"/>
    <w:rsid w:val="004B5E5C"/>
    <w:rsid w:val="004B7A5E"/>
    <w:rsid w:val="004C04CB"/>
    <w:rsid w:val="004C09B2"/>
    <w:rsid w:val="004C175A"/>
    <w:rsid w:val="004C49E2"/>
    <w:rsid w:val="004C4CCD"/>
    <w:rsid w:val="004C6001"/>
    <w:rsid w:val="004C644B"/>
    <w:rsid w:val="004D01B3"/>
    <w:rsid w:val="004D1EC9"/>
    <w:rsid w:val="004D34AA"/>
    <w:rsid w:val="004D39C5"/>
    <w:rsid w:val="004D4D1C"/>
    <w:rsid w:val="004D4D32"/>
    <w:rsid w:val="004D4D8A"/>
    <w:rsid w:val="004E144C"/>
    <w:rsid w:val="004E2FD7"/>
    <w:rsid w:val="004E5143"/>
    <w:rsid w:val="004E54E8"/>
    <w:rsid w:val="004E7CF0"/>
    <w:rsid w:val="004F0512"/>
    <w:rsid w:val="004F16E4"/>
    <w:rsid w:val="004F4424"/>
    <w:rsid w:val="004F4BCB"/>
    <w:rsid w:val="004F4E15"/>
    <w:rsid w:val="004F53E8"/>
    <w:rsid w:val="004F757D"/>
    <w:rsid w:val="004F7661"/>
    <w:rsid w:val="00500C39"/>
    <w:rsid w:val="0050401D"/>
    <w:rsid w:val="00507159"/>
    <w:rsid w:val="00510D4B"/>
    <w:rsid w:val="00511326"/>
    <w:rsid w:val="00511465"/>
    <w:rsid w:val="0051223B"/>
    <w:rsid w:val="0051227E"/>
    <w:rsid w:val="00512860"/>
    <w:rsid w:val="00512C16"/>
    <w:rsid w:val="0051315D"/>
    <w:rsid w:val="005172A4"/>
    <w:rsid w:val="005207E9"/>
    <w:rsid w:val="005225A6"/>
    <w:rsid w:val="00523A77"/>
    <w:rsid w:val="0052503D"/>
    <w:rsid w:val="00525C2E"/>
    <w:rsid w:val="00531161"/>
    <w:rsid w:val="00533CCD"/>
    <w:rsid w:val="005359B5"/>
    <w:rsid w:val="00540133"/>
    <w:rsid w:val="005401FE"/>
    <w:rsid w:val="00540A91"/>
    <w:rsid w:val="005415AD"/>
    <w:rsid w:val="00542492"/>
    <w:rsid w:val="005424F9"/>
    <w:rsid w:val="005428CD"/>
    <w:rsid w:val="00544CE4"/>
    <w:rsid w:val="0054584B"/>
    <w:rsid w:val="00545CB4"/>
    <w:rsid w:val="0054760B"/>
    <w:rsid w:val="0055201B"/>
    <w:rsid w:val="00552B60"/>
    <w:rsid w:val="005537B6"/>
    <w:rsid w:val="00554E89"/>
    <w:rsid w:val="005559F4"/>
    <w:rsid w:val="00557D9A"/>
    <w:rsid w:val="0056134B"/>
    <w:rsid w:val="005623FF"/>
    <w:rsid w:val="00565E28"/>
    <w:rsid w:val="00566EB6"/>
    <w:rsid w:val="00567464"/>
    <w:rsid w:val="00571665"/>
    <w:rsid w:val="00571A94"/>
    <w:rsid w:val="00574AFF"/>
    <w:rsid w:val="00576D4A"/>
    <w:rsid w:val="005770BF"/>
    <w:rsid w:val="0058019C"/>
    <w:rsid w:val="0058070F"/>
    <w:rsid w:val="00583B68"/>
    <w:rsid w:val="005848AC"/>
    <w:rsid w:val="00587E39"/>
    <w:rsid w:val="00593AF7"/>
    <w:rsid w:val="005946B9"/>
    <w:rsid w:val="005948E8"/>
    <w:rsid w:val="00594C44"/>
    <w:rsid w:val="00595763"/>
    <w:rsid w:val="005978CE"/>
    <w:rsid w:val="005A23CC"/>
    <w:rsid w:val="005A2642"/>
    <w:rsid w:val="005A5745"/>
    <w:rsid w:val="005A6986"/>
    <w:rsid w:val="005A7E55"/>
    <w:rsid w:val="005B091B"/>
    <w:rsid w:val="005B0A64"/>
    <w:rsid w:val="005B3823"/>
    <w:rsid w:val="005B3D95"/>
    <w:rsid w:val="005B7A51"/>
    <w:rsid w:val="005B7B2B"/>
    <w:rsid w:val="005C3340"/>
    <w:rsid w:val="005C33DB"/>
    <w:rsid w:val="005C44CB"/>
    <w:rsid w:val="005C6417"/>
    <w:rsid w:val="005C6875"/>
    <w:rsid w:val="005D0532"/>
    <w:rsid w:val="005D3A52"/>
    <w:rsid w:val="005E0929"/>
    <w:rsid w:val="005E1D01"/>
    <w:rsid w:val="005E2537"/>
    <w:rsid w:val="005E57B7"/>
    <w:rsid w:val="005F0077"/>
    <w:rsid w:val="005F3E19"/>
    <w:rsid w:val="005F4604"/>
    <w:rsid w:val="005F5DB8"/>
    <w:rsid w:val="005F7AF4"/>
    <w:rsid w:val="005F7DF4"/>
    <w:rsid w:val="0060129D"/>
    <w:rsid w:val="00603334"/>
    <w:rsid w:val="00604233"/>
    <w:rsid w:val="006059A8"/>
    <w:rsid w:val="0060609A"/>
    <w:rsid w:val="006104FE"/>
    <w:rsid w:val="00610888"/>
    <w:rsid w:val="006116A6"/>
    <w:rsid w:val="00612473"/>
    <w:rsid w:val="00612652"/>
    <w:rsid w:val="00614EE1"/>
    <w:rsid w:val="0061685B"/>
    <w:rsid w:val="00616D29"/>
    <w:rsid w:val="00616D2F"/>
    <w:rsid w:val="00622BA8"/>
    <w:rsid w:val="00626BB2"/>
    <w:rsid w:val="0062761A"/>
    <w:rsid w:val="00632978"/>
    <w:rsid w:val="006331D4"/>
    <w:rsid w:val="0063541B"/>
    <w:rsid w:val="00636CB2"/>
    <w:rsid w:val="0063714D"/>
    <w:rsid w:val="00637267"/>
    <w:rsid w:val="006375D5"/>
    <w:rsid w:val="00637E40"/>
    <w:rsid w:val="0064170A"/>
    <w:rsid w:val="006417CE"/>
    <w:rsid w:val="006422C6"/>
    <w:rsid w:val="0064264C"/>
    <w:rsid w:val="0064428D"/>
    <w:rsid w:val="0064568C"/>
    <w:rsid w:val="00645915"/>
    <w:rsid w:val="00646957"/>
    <w:rsid w:val="006501BE"/>
    <w:rsid w:val="006505C6"/>
    <w:rsid w:val="0065393B"/>
    <w:rsid w:val="006545DD"/>
    <w:rsid w:val="00654DC5"/>
    <w:rsid w:val="00655941"/>
    <w:rsid w:val="00657EAA"/>
    <w:rsid w:val="006608AE"/>
    <w:rsid w:val="00662263"/>
    <w:rsid w:val="006628BD"/>
    <w:rsid w:val="00665366"/>
    <w:rsid w:val="0066651C"/>
    <w:rsid w:val="00667345"/>
    <w:rsid w:val="0066764F"/>
    <w:rsid w:val="006701DC"/>
    <w:rsid w:val="006702C9"/>
    <w:rsid w:val="006714A9"/>
    <w:rsid w:val="00671DFD"/>
    <w:rsid w:val="00672B90"/>
    <w:rsid w:val="006747FE"/>
    <w:rsid w:val="006805F7"/>
    <w:rsid w:val="00682CF5"/>
    <w:rsid w:val="006846C0"/>
    <w:rsid w:val="0068607D"/>
    <w:rsid w:val="006860F1"/>
    <w:rsid w:val="00691F58"/>
    <w:rsid w:val="00692275"/>
    <w:rsid w:val="00693CC5"/>
    <w:rsid w:val="0069548A"/>
    <w:rsid w:val="00695F04"/>
    <w:rsid w:val="00696D38"/>
    <w:rsid w:val="0069798D"/>
    <w:rsid w:val="006A1876"/>
    <w:rsid w:val="006A1E4D"/>
    <w:rsid w:val="006A2265"/>
    <w:rsid w:val="006A30FD"/>
    <w:rsid w:val="006A46CD"/>
    <w:rsid w:val="006A4B35"/>
    <w:rsid w:val="006A4D2B"/>
    <w:rsid w:val="006A5C89"/>
    <w:rsid w:val="006A64C5"/>
    <w:rsid w:val="006A7027"/>
    <w:rsid w:val="006B07CB"/>
    <w:rsid w:val="006B1AE9"/>
    <w:rsid w:val="006B1AEB"/>
    <w:rsid w:val="006B1CBA"/>
    <w:rsid w:val="006B514F"/>
    <w:rsid w:val="006B6387"/>
    <w:rsid w:val="006B7377"/>
    <w:rsid w:val="006C0196"/>
    <w:rsid w:val="006C0815"/>
    <w:rsid w:val="006C17A8"/>
    <w:rsid w:val="006C2547"/>
    <w:rsid w:val="006C5BBE"/>
    <w:rsid w:val="006C74DF"/>
    <w:rsid w:val="006D2EE1"/>
    <w:rsid w:val="006D5F32"/>
    <w:rsid w:val="006D6A6A"/>
    <w:rsid w:val="006D6F63"/>
    <w:rsid w:val="006D75E8"/>
    <w:rsid w:val="006E0712"/>
    <w:rsid w:val="006E08E3"/>
    <w:rsid w:val="006E191F"/>
    <w:rsid w:val="006E23C6"/>
    <w:rsid w:val="006E2DE3"/>
    <w:rsid w:val="006E5C2B"/>
    <w:rsid w:val="006E6B74"/>
    <w:rsid w:val="006F1ED9"/>
    <w:rsid w:val="006F2221"/>
    <w:rsid w:val="006F26D3"/>
    <w:rsid w:val="006F27D4"/>
    <w:rsid w:val="00702153"/>
    <w:rsid w:val="007036EF"/>
    <w:rsid w:val="007039D9"/>
    <w:rsid w:val="00704288"/>
    <w:rsid w:val="00705139"/>
    <w:rsid w:val="00705F7B"/>
    <w:rsid w:val="007122C9"/>
    <w:rsid w:val="0071236E"/>
    <w:rsid w:val="00714300"/>
    <w:rsid w:val="0071501B"/>
    <w:rsid w:val="007170D3"/>
    <w:rsid w:val="00717B54"/>
    <w:rsid w:val="00717E2E"/>
    <w:rsid w:val="00720AE7"/>
    <w:rsid w:val="0072184D"/>
    <w:rsid w:val="00727AC1"/>
    <w:rsid w:val="007318C0"/>
    <w:rsid w:val="00735194"/>
    <w:rsid w:val="00735EB8"/>
    <w:rsid w:val="00736FBA"/>
    <w:rsid w:val="00740C71"/>
    <w:rsid w:val="00741E8F"/>
    <w:rsid w:val="00743E4F"/>
    <w:rsid w:val="0074488D"/>
    <w:rsid w:val="0074570E"/>
    <w:rsid w:val="0074602B"/>
    <w:rsid w:val="00746385"/>
    <w:rsid w:val="007463A7"/>
    <w:rsid w:val="00746C5E"/>
    <w:rsid w:val="00753C18"/>
    <w:rsid w:val="00756D28"/>
    <w:rsid w:val="00756F51"/>
    <w:rsid w:val="007613E7"/>
    <w:rsid w:val="00762B84"/>
    <w:rsid w:val="0076578C"/>
    <w:rsid w:val="0076606E"/>
    <w:rsid w:val="007665E0"/>
    <w:rsid w:val="00767F5D"/>
    <w:rsid w:val="00771AA7"/>
    <w:rsid w:val="00773DEE"/>
    <w:rsid w:val="00774248"/>
    <w:rsid w:val="00774BCF"/>
    <w:rsid w:val="00775B87"/>
    <w:rsid w:val="007766CF"/>
    <w:rsid w:val="0077674C"/>
    <w:rsid w:val="0078296B"/>
    <w:rsid w:val="0078393C"/>
    <w:rsid w:val="00783EB8"/>
    <w:rsid w:val="00785A4C"/>
    <w:rsid w:val="007879CC"/>
    <w:rsid w:val="007908C5"/>
    <w:rsid w:val="007908C9"/>
    <w:rsid w:val="00792D73"/>
    <w:rsid w:val="00793530"/>
    <w:rsid w:val="007944BC"/>
    <w:rsid w:val="007A009C"/>
    <w:rsid w:val="007A061F"/>
    <w:rsid w:val="007A1BEB"/>
    <w:rsid w:val="007A1C9E"/>
    <w:rsid w:val="007A2591"/>
    <w:rsid w:val="007A32A1"/>
    <w:rsid w:val="007A46CD"/>
    <w:rsid w:val="007A4B52"/>
    <w:rsid w:val="007A5D36"/>
    <w:rsid w:val="007A68A1"/>
    <w:rsid w:val="007A77F8"/>
    <w:rsid w:val="007B1E9D"/>
    <w:rsid w:val="007B33BA"/>
    <w:rsid w:val="007B3B7B"/>
    <w:rsid w:val="007B4752"/>
    <w:rsid w:val="007B538B"/>
    <w:rsid w:val="007B66E2"/>
    <w:rsid w:val="007C0B67"/>
    <w:rsid w:val="007C1AE7"/>
    <w:rsid w:val="007C1BB5"/>
    <w:rsid w:val="007C4901"/>
    <w:rsid w:val="007C6C91"/>
    <w:rsid w:val="007C7B9D"/>
    <w:rsid w:val="007C7E27"/>
    <w:rsid w:val="007D16B8"/>
    <w:rsid w:val="007D4CC8"/>
    <w:rsid w:val="007D4FE0"/>
    <w:rsid w:val="007D5DEF"/>
    <w:rsid w:val="007D608B"/>
    <w:rsid w:val="007D63F6"/>
    <w:rsid w:val="007E015B"/>
    <w:rsid w:val="007E0E9D"/>
    <w:rsid w:val="007E1925"/>
    <w:rsid w:val="007E24B6"/>
    <w:rsid w:val="007E4A9C"/>
    <w:rsid w:val="007E52CD"/>
    <w:rsid w:val="007E56E3"/>
    <w:rsid w:val="007E63FD"/>
    <w:rsid w:val="007E7351"/>
    <w:rsid w:val="007F2DE0"/>
    <w:rsid w:val="007F4E7A"/>
    <w:rsid w:val="00802234"/>
    <w:rsid w:val="0080352B"/>
    <w:rsid w:val="008052C7"/>
    <w:rsid w:val="008101F0"/>
    <w:rsid w:val="00810E6A"/>
    <w:rsid w:val="00812754"/>
    <w:rsid w:val="00814BC9"/>
    <w:rsid w:val="008163F5"/>
    <w:rsid w:val="0081707B"/>
    <w:rsid w:val="008227D4"/>
    <w:rsid w:val="00824D07"/>
    <w:rsid w:val="008264FA"/>
    <w:rsid w:val="00826E14"/>
    <w:rsid w:val="008303C1"/>
    <w:rsid w:val="008303F2"/>
    <w:rsid w:val="00832250"/>
    <w:rsid w:val="00832E35"/>
    <w:rsid w:val="00833ECB"/>
    <w:rsid w:val="00834584"/>
    <w:rsid w:val="00834A8D"/>
    <w:rsid w:val="00836216"/>
    <w:rsid w:val="008375E6"/>
    <w:rsid w:val="00840080"/>
    <w:rsid w:val="00840BDC"/>
    <w:rsid w:val="00841C1A"/>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5968"/>
    <w:rsid w:val="0086638F"/>
    <w:rsid w:val="008667DF"/>
    <w:rsid w:val="00866A5D"/>
    <w:rsid w:val="00867840"/>
    <w:rsid w:val="00870C25"/>
    <w:rsid w:val="00870FC1"/>
    <w:rsid w:val="00871B3F"/>
    <w:rsid w:val="0087238F"/>
    <w:rsid w:val="00874291"/>
    <w:rsid w:val="00874C05"/>
    <w:rsid w:val="00876875"/>
    <w:rsid w:val="00876AD1"/>
    <w:rsid w:val="00877DE4"/>
    <w:rsid w:val="00880915"/>
    <w:rsid w:val="008822D6"/>
    <w:rsid w:val="00882492"/>
    <w:rsid w:val="008828C8"/>
    <w:rsid w:val="00882A26"/>
    <w:rsid w:val="00883444"/>
    <w:rsid w:val="0088458A"/>
    <w:rsid w:val="00884979"/>
    <w:rsid w:val="00886F38"/>
    <w:rsid w:val="0088720C"/>
    <w:rsid w:val="00890F30"/>
    <w:rsid w:val="008912FE"/>
    <w:rsid w:val="008952EF"/>
    <w:rsid w:val="00897497"/>
    <w:rsid w:val="0089767D"/>
    <w:rsid w:val="00897BE8"/>
    <w:rsid w:val="008A2443"/>
    <w:rsid w:val="008A32D2"/>
    <w:rsid w:val="008A4344"/>
    <w:rsid w:val="008A7DB4"/>
    <w:rsid w:val="008B0A46"/>
    <w:rsid w:val="008B0D8F"/>
    <w:rsid w:val="008B11E4"/>
    <w:rsid w:val="008B18F2"/>
    <w:rsid w:val="008B1C8C"/>
    <w:rsid w:val="008B2703"/>
    <w:rsid w:val="008B6761"/>
    <w:rsid w:val="008B6A77"/>
    <w:rsid w:val="008C1359"/>
    <w:rsid w:val="008D059F"/>
    <w:rsid w:val="008D08E0"/>
    <w:rsid w:val="008D1CCE"/>
    <w:rsid w:val="008D28EA"/>
    <w:rsid w:val="008D3059"/>
    <w:rsid w:val="008D3281"/>
    <w:rsid w:val="008D3323"/>
    <w:rsid w:val="008D4538"/>
    <w:rsid w:val="008D6210"/>
    <w:rsid w:val="008D6DE1"/>
    <w:rsid w:val="008E1EBD"/>
    <w:rsid w:val="008E6279"/>
    <w:rsid w:val="008E77D0"/>
    <w:rsid w:val="008F03DE"/>
    <w:rsid w:val="008F05C4"/>
    <w:rsid w:val="008F13EC"/>
    <w:rsid w:val="008F35EF"/>
    <w:rsid w:val="008F56F4"/>
    <w:rsid w:val="008F5831"/>
    <w:rsid w:val="008F7808"/>
    <w:rsid w:val="008F78DC"/>
    <w:rsid w:val="009010D2"/>
    <w:rsid w:val="00902163"/>
    <w:rsid w:val="00902659"/>
    <w:rsid w:val="00905305"/>
    <w:rsid w:val="009107B6"/>
    <w:rsid w:val="00912373"/>
    <w:rsid w:val="00916AA4"/>
    <w:rsid w:val="00916BAD"/>
    <w:rsid w:val="0092186A"/>
    <w:rsid w:val="00921B27"/>
    <w:rsid w:val="00921CCF"/>
    <w:rsid w:val="009235EF"/>
    <w:rsid w:val="00923CA6"/>
    <w:rsid w:val="00923CC1"/>
    <w:rsid w:val="00924089"/>
    <w:rsid w:val="009249BD"/>
    <w:rsid w:val="00924C5F"/>
    <w:rsid w:val="009311E3"/>
    <w:rsid w:val="0093282D"/>
    <w:rsid w:val="0093361E"/>
    <w:rsid w:val="0093372D"/>
    <w:rsid w:val="00934D3C"/>
    <w:rsid w:val="00940C92"/>
    <w:rsid w:val="00944218"/>
    <w:rsid w:val="00947F30"/>
    <w:rsid w:val="009518F7"/>
    <w:rsid w:val="00951DFC"/>
    <w:rsid w:val="00952FAD"/>
    <w:rsid w:val="00953837"/>
    <w:rsid w:val="00953E57"/>
    <w:rsid w:val="00955677"/>
    <w:rsid w:val="00956BA6"/>
    <w:rsid w:val="00957A90"/>
    <w:rsid w:val="0096083B"/>
    <w:rsid w:val="00962372"/>
    <w:rsid w:val="00964685"/>
    <w:rsid w:val="0096714F"/>
    <w:rsid w:val="00970165"/>
    <w:rsid w:val="00970429"/>
    <w:rsid w:val="009724FB"/>
    <w:rsid w:val="009762A1"/>
    <w:rsid w:val="00976CF0"/>
    <w:rsid w:val="009774D0"/>
    <w:rsid w:val="00977753"/>
    <w:rsid w:val="009819B7"/>
    <w:rsid w:val="00981F3D"/>
    <w:rsid w:val="00983503"/>
    <w:rsid w:val="00983D15"/>
    <w:rsid w:val="00985CFE"/>
    <w:rsid w:val="00985E06"/>
    <w:rsid w:val="00991452"/>
    <w:rsid w:val="0099331F"/>
    <w:rsid w:val="00994B56"/>
    <w:rsid w:val="00995B6D"/>
    <w:rsid w:val="00997D9E"/>
    <w:rsid w:val="009A314F"/>
    <w:rsid w:val="009A367D"/>
    <w:rsid w:val="009A466E"/>
    <w:rsid w:val="009A4F1E"/>
    <w:rsid w:val="009A54BB"/>
    <w:rsid w:val="009A7891"/>
    <w:rsid w:val="009B0CD4"/>
    <w:rsid w:val="009B2B83"/>
    <w:rsid w:val="009B4C71"/>
    <w:rsid w:val="009C094B"/>
    <w:rsid w:val="009C0C6D"/>
    <w:rsid w:val="009C1470"/>
    <w:rsid w:val="009C385D"/>
    <w:rsid w:val="009C3F77"/>
    <w:rsid w:val="009C6CCE"/>
    <w:rsid w:val="009D1AE9"/>
    <w:rsid w:val="009D3283"/>
    <w:rsid w:val="009D3634"/>
    <w:rsid w:val="009D4719"/>
    <w:rsid w:val="009E140F"/>
    <w:rsid w:val="009E15B6"/>
    <w:rsid w:val="009E22EE"/>
    <w:rsid w:val="009E2F5F"/>
    <w:rsid w:val="009F111A"/>
    <w:rsid w:val="009F396B"/>
    <w:rsid w:val="009F3AAE"/>
    <w:rsid w:val="009F4086"/>
    <w:rsid w:val="009F4F86"/>
    <w:rsid w:val="009F524B"/>
    <w:rsid w:val="009F5E7B"/>
    <w:rsid w:val="00A0031D"/>
    <w:rsid w:val="00A0060F"/>
    <w:rsid w:val="00A03B0E"/>
    <w:rsid w:val="00A04187"/>
    <w:rsid w:val="00A04CDF"/>
    <w:rsid w:val="00A056B3"/>
    <w:rsid w:val="00A0796F"/>
    <w:rsid w:val="00A10851"/>
    <w:rsid w:val="00A10C55"/>
    <w:rsid w:val="00A13212"/>
    <w:rsid w:val="00A13884"/>
    <w:rsid w:val="00A166FF"/>
    <w:rsid w:val="00A17BDE"/>
    <w:rsid w:val="00A2058A"/>
    <w:rsid w:val="00A245B8"/>
    <w:rsid w:val="00A25492"/>
    <w:rsid w:val="00A268B1"/>
    <w:rsid w:val="00A278B5"/>
    <w:rsid w:val="00A30BF5"/>
    <w:rsid w:val="00A323BF"/>
    <w:rsid w:val="00A33D37"/>
    <w:rsid w:val="00A369C3"/>
    <w:rsid w:val="00A36CF4"/>
    <w:rsid w:val="00A376FC"/>
    <w:rsid w:val="00A4056F"/>
    <w:rsid w:val="00A42142"/>
    <w:rsid w:val="00A43E3D"/>
    <w:rsid w:val="00A506AA"/>
    <w:rsid w:val="00A5131E"/>
    <w:rsid w:val="00A53835"/>
    <w:rsid w:val="00A564A7"/>
    <w:rsid w:val="00A62CEC"/>
    <w:rsid w:val="00A62E89"/>
    <w:rsid w:val="00A63027"/>
    <w:rsid w:val="00A64D8D"/>
    <w:rsid w:val="00A73092"/>
    <w:rsid w:val="00A7334C"/>
    <w:rsid w:val="00A73C9E"/>
    <w:rsid w:val="00A753EA"/>
    <w:rsid w:val="00A75493"/>
    <w:rsid w:val="00A761CF"/>
    <w:rsid w:val="00A8069C"/>
    <w:rsid w:val="00A8138B"/>
    <w:rsid w:val="00A816AC"/>
    <w:rsid w:val="00A82D3C"/>
    <w:rsid w:val="00A83589"/>
    <w:rsid w:val="00A8659F"/>
    <w:rsid w:val="00A90D50"/>
    <w:rsid w:val="00A91F46"/>
    <w:rsid w:val="00A9316A"/>
    <w:rsid w:val="00A95CC8"/>
    <w:rsid w:val="00A95E91"/>
    <w:rsid w:val="00A96302"/>
    <w:rsid w:val="00A97440"/>
    <w:rsid w:val="00AA1622"/>
    <w:rsid w:val="00AA321A"/>
    <w:rsid w:val="00AA4BF0"/>
    <w:rsid w:val="00AA7049"/>
    <w:rsid w:val="00AA778F"/>
    <w:rsid w:val="00AA7A8D"/>
    <w:rsid w:val="00AB0507"/>
    <w:rsid w:val="00AB21DE"/>
    <w:rsid w:val="00AB2331"/>
    <w:rsid w:val="00AB2EB2"/>
    <w:rsid w:val="00AB4466"/>
    <w:rsid w:val="00AC0D9A"/>
    <w:rsid w:val="00AC1C2D"/>
    <w:rsid w:val="00AC601E"/>
    <w:rsid w:val="00AC7448"/>
    <w:rsid w:val="00AD1349"/>
    <w:rsid w:val="00AD2DC0"/>
    <w:rsid w:val="00AD3EFC"/>
    <w:rsid w:val="00AD4DA4"/>
    <w:rsid w:val="00AD604D"/>
    <w:rsid w:val="00AD7546"/>
    <w:rsid w:val="00AE02B9"/>
    <w:rsid w:val="00AE24A6"/>
    <w:rsid w:val="00AE3A9B"/>
    <w:rsid w:val="00AE466D"/>
    <w:rsid w:val="00AE4F32"/>
    <w:rsid w:val="00AE6859"/>
    <w:rsid w:val="00AE75D5"/>
    <w:rsid w:val="00AE76CB"/>
    <w:rsid w:val="00AF24BE"/>
    <w:rsid w:val="00AF2E24"/>
    <w:rsid w:val="00AF49BE"/>
    <w:rsid w:val="00AF53F1"/>
    <w:rsid w:val="00AF675C"/>
    <w:rsid w:val="00B003CF"/>
    <w:rsid w:val="00B03442"/>
    <w:rsid w:val="00B03B64"/>
    <w:rsid w:val="00B042CB"/>
    <w:rsid w:val="00B04EBB"/>
    <w:rsid w:val="00B059C6"/>
    <w:rsid w:val="00B05CAC"/>
    <w:rsid w:val="00B0759E"/>
    <w:rsid w:val="00B11940"/>
    <w:rsid w:val="00B2146E"/>
    <w:rsid w:val="00B21FC8"/>
    <w:rsid w:val="00B2547C"/>
    <w:rsid w:val="00B30A62"/>
    <w:rsid w:val="00B30C5E"/>
    <w:rsid w:val="00B30CC2"/>
    <w:rsid w:val="00B31ABF"/>
    <w:rsid w:val="00B3271C"/>
    <w:rsid w:val="00B356F6"/>
    <w:rsid w:val="00B419BC"/>
    <w:rsid w:val="00B41CA8"/>
    <w:rsid w:val="00B4329B"/>
    <w:rsid w:val="00B45BE3"/>
    <w:rsid w:val="00B46C24"/>
    <w:rsid w:val="00B47285"/>
    <w:rsid w:val="00B47D72"/>
    <w:rsid w:val="00B503BF"/>
    <w:rsid w:val="00B516F8"/>
    <w:rsid w:val="00B520F1"/>
    <w:rsid w:val="00B610A5"/>
    <w:rsid w:val="00B633E6"/>
    <w:rsid w:val="00B640FC"/>
    <w:rsid w:val="00B64A95"/>
    <w:rsid w:val="00B65ADE"/>
    <w:rsid w:val="00B6603C"/>
    <w:rsid w:val="00B66541"/>
    <w:rsid w:val="00B67B32"/>
    <w:rsid w:val="00B70D87"/>
    <w:rsid w:val="00B73665"/>
    <w:rsid w:val="00B73C34"/>
    <w:rsid w:val="00B73EF4"/>
    <w:rsid w:val="00B756A9"/>
    <w:rsid w:val="00B76659"/>
    <w:rsid w:val="00B773F7"/>
    <w:rsid w:val="00B777AA"/>
    <w:rsid w:val="00B81824"/>
    <w:rsid w:val="00B821AE"/>
    <w:rsid w:val="00B828ED"/>
    <w:rsid w:val="00B83B25"/>
    <w:rsid w:val="00B84A76"/>
    <w:rsid w:val="00B84BC8"/>
    <w:rsid w:val="00B86830"/>
    <w:rsid w:val="00B9041F"/>
    <w:rsid w:val="00B9178F"/>
    <w:rsid w:val="00B91FBC"/>
    <w:rsid w:val="00B9341A"/>
    <w:rsid w:val="00B97128"/>
    <w:rsid w:val="00BA35C0"/>
    <w:rsid w:val="00BA7DA2"/>
    <w:rsid w:val="00BB1641"/>
    <w:rsid w:val="00BB1FB9"/>
    <w:rsid w:val="00BB2A36"/>
    <w:rsid w:val="00BB3844"/>
    <w:rsid w:val="00BB3EC8"/>
    <w:rsid w:val="00BB552E"/>
    <w:rsid w:val="00BB7650"/>
    <w:rsid w:val="00BB782A"/>
    <w:rsid w:val="00BC11F1"/>
    <w:rsid w:val="00BC1E7F"/>
    <w:rsid w:val="00BC253D"/>
    <w:rsid w:val="00BC38F7"/>
    <w:rsid w:val="00BC5BEE"/>
    <w:rsid w:val="00BC5E7A"/>
    <w:rsid w:val="00BC7A92"/>
    <w:rsid w:val="00BD15C1"/>
    <w:rsid w:val="00BD345F"/>
    <w:rsid w:val="00BD42C5"/>
    <w:rsid w:val="00BD4329"/>
    <w:rsid w:val="00BD4A3B"/>
    <w:rsid w:val="00BD6678"/>
    <w:rsid w:val="00BD6EDB"/>
    <w:rsid w:val="00BD71A1"/>
    <w:rsid w:val="00BD741A"/>
    <w:rsid w:val="00BE0ED3"/>
    <w:rsid w:val="00BE0F60"/>
    <w:rsid w:val="00BE109F"/>
    <w:rsid w:val="00BE1D4A"/>
    <w:rsid w:val="00BE2D70"/>
    <w:rsid w:val="00BE4682"/>
    <w:rsid w:val="00BE4AA1"/>
    <w:rsid w:val="00BE57BB"/>
    <w:rsid w:val="00BE5EF2"/>
    <w:rsid w:val="00BF1DD0"/>
    <w:rsid w:val="00BF2E30"/>
    <w:rsid w:val="00BF39A8"/>
    <w:rsid w:val="00BF3D85"/>
    <w:rsid w:val="00BF6213"/>
    <w:rsid w:val="00BF6D6F"/>
    <w:rsid w:val="00BF7077"/>
    <w:rsid w:val="00BF79E2"/>
    <w:rsid w:val="00C03C91"/>
    <w:rsid w:val="00C03F59"/>
    <w:rsid w:val="00C041A3"/>
    <w:rsid w:val="00C04EAB"/>
    <w:rsid w:val="00C05032"/>
    <w:rsid w:val="00C05D9C"/>
    <w:rsid w:val="00C078EA"/>
    <w:rsid w:val="00C10481"/>
    <w:rsid w:val="00C1217A"/>
    <w:rsid w:val="00C12544"/>
    <w:rsid w:val="00C14CA4"/>
    <w:rsid w:val="00C14CE3"/>
    <w:rsid w:val="00C14EDF"/>
    <w:rsid w:val="00C155FA"/>
    <w:rsid w:val="00C169E4"/>
    <w:rsid w:val="00C16E78"/>
    <w:rsid w:val="00C1798D"/>
    <w:rsid w:val="00C216CB"/>
    <w:rsid w:val="00C22682"/>
    <w:rsid w:val="00C22CAE"/>
    <w:rsid w:val="00C23144"/>
    <w:rsid w:val="00C24A8E"/>
    <w:rsid w:val="00C24D98"/>
    <w:rsid w:val="00C24F4F"/>
    <w:rsid w:val="00C26EDD"/>
    <w:rsid w:val="00C30B67"/>
    <w:rsid w:val="00C33115"/>
    <w:rsid w:val="00C40C4B"/>
    <w:rsid w:val="00C41CCA"/>
    <w:rsid w:val="00C434F8"/>
    <w:rsid w:val="00C4427A"/>
    <w:rsid w:val="00C47BB2"/>
    <w:rsid w:val="00C513C2"/>
    <w:rsid w:val="00C515B2"/>
    <w:rsid w:val="00C51C1A"/>
    <w:rsid w:val="00C52100"/>
    <w:rsid w:val="00C52CDF"/>
    <w:rsid w:val="00C54340"/>
    <w:rsid w:val="00C609FE"/>
    <w:rsid w:val="00C61DE3"/>
    <w:rsid w:val="00C6255C"/>
    <w:rsid w:val="00C647A6"/>
    <w:rsid w:val="00C64AAC"/>
    <w:rsid w:val="00C64C9B"/>
    <w:rsid w:val="00C668A5"/>
    <w:rsid w:val="00C66A29"/>
    <w:rsid w:val="00C676B2"/>
    <w:rsid w:val="00C6785C"/>
    <w:rsid w:val="00C70BD6"/>
    <w:rsid w:val="00C72A64"/>
    <w:rsid w:val="00C735CA"/>
    <w:rsid w:val="00C73ADC"/>
    <w:rsid w:val="00C7435F"/>
    <w:rsid w:val="00C74D4D"/>
    <w:rsid w:val="00C81175"/>
    <w:rsid w:val="00C90987"/>
    <w:rsid w:val="00C92155"/>
    <w:rsid w:val="00C92313"/>
    <w:rsid w:val="00C923D4"/>
    <w:rsid w:val="00C9358A"/>
    <w:rsid w:val="00C94D36"/>
    <w:rsid w:val="00C965A4"/>
    <w:rsid w:val="00C967DE"/>
    <w:rsid w:val="00CA0181"/>
    <w:rsid w:val="00CA2853"/>
    <w:rsid w:val="00CA4583"/>
    <w:rsid w:val="00CA6773"/>
    <w:rsid w:val="00CB04D9"/>
    <w:rsid w:val="00CB0C3A"/>
    <w:rsid w:val="00CB1342"/>
    <w:rsid w:val="00CB1EDF"/>
    <w:rsid w:val="00CB2FCD"/>
    <w:rsid w:val="00CB3ADE"/>
    <w:rsid w:val="00CB529E"/>
    <w:rsid w:val="00CB6F86"/>
    <w:rsid w:val="00CB7C02"/>
    <w:rsid w:val="00CB7DBE"/>
    <w:rsid w:val="00CC01BC"/>
    <w:rsid w:val="00CC283B"/>
    <w:rsid w:val="00CC3862"/>
    <w:rsid w:val="00CC45CD"/>
    <w:rsid w:val="00CC5390"/>
    <w:rsid w:val="00CC73A0"/>
    <w:rsid w:val="00CC7F94"/>
    <w:rsid w:val="00CD034D"/>
    <w:rsid w:val="00CD0D19"/>
    <w:rsid w:val="00CD56D3"/>
    <w:rsid w:val="00CD6D13"/>
    <w:rsid w:val="00CE0303"/>
    <w:rsid w:val="00CE20A7"/>
    <w:rsid w:val="00CE3002"/>
    <w:rsid w:val="00CE4EF2"/>
    <w:rsid w:val="00CE644F"/>
    <w:rsid w:val="00CE79B2"/>
    <w:rsid w:val="00CF04CF"/>
    <w:rsid w:val="00CF1822"/>
    <w:rsid w:val="00CF6428"/>
    <w:rsid w:val="00CF6E51"/>
    <w:rsid w:val="00CF7985"/>
    <w:rsid w:val="00D02EBC"/>
    <w:rsid w:val="00D0323E"/>
    <w:rsid w:val="00D057A4"/>
    <w:rsid w:val="00D0588B"/>
    <w:rsid w:val="00D06041"/>
    <w:rsid w:val="00D07AC9"/>
    <w:rsid w:val="00D1125C"/>
    <w:rsid w:val="00D128D1"/>
    <w:rsid w:val="00D13843"/>
    <w:rsid w:val="00D15B26"/>
    <w:rsid w:val="00D15F20"/>
    <w:rsid w:val="00D2295D"/>
    <w:rsid w:val="00D23195"/>
    <w:rsid w:val="00D241FD"/>
    <w:rsid w:val="00D26EA0"/>
    <w:rsid w:val="00D31906"/>
    <w:rsid w:val="00D328E5"/>
    <w:rsid w:val="00D33692"/>
    <w:rsid w:val="00D3584B"/>
    <w:rsid w:val="00D35F8D"/>
    <w:rsid w:val="00D377AC"/>
    <w:rsid w:val="00D37E6B"/>
    <w:rsid w:val="00D40603"/>
    <w:rsid w:val="00D4079C"/>
    <w:rsid w:val="00D418F0"/>
    <w:rsid w:val="00D449CF"/>
    <w:rsid w:val="00D46488"/>
    <w:rsid w:val="00D466ED"/>
    <w:rsid w:val="00D50777"/>
    <w:rsid w:val="00D560F9"/>
    <w:rsid w:val="00D5651E"/>
    <w:rsid w:val="00D57128"/>
    <w:rsid w:val="00D611C0"/>
    <w:rsid w:val="00D61427"/>
    <w:rsid w:val="00D61F75"/>
    <w:rsid w:val="00D632FE"/>
    <w:rsid w:val="00D65181"/>
    <w:rsid w:val="00D67B1D"/>
    <w:rsid w:val="00D72AD7"/>
    <w:rsid w:val="00D747CD"/>
    <w:rsid w:val="00D74943"/>
    <w:rsid w:val="00D80B77"/>
    <w:rsid w:val="00D81165"/>
    <w:rsid w:val="00D83317"/>
    <w:rsid w:val="00D849B1"/>
    <w:rsid w:val="00D85024"/>
    <w:rsid w:val="00D870AE"/>
    <w:rsid w:val="00D876D2"/>
    <w:rsid w:val="00D90774"/>
    <w:rsid w:val="00D9136A"/>
    <w:rsid w:val="00D93A19"/>
    <w:rsid w:val="00D951B6"/>
    <w:rsid w:val="00D955FE"/>
    <w:rsid w:val="00D95B0C"/>
    <w:rsid w:val="00D96114"/>
    <w:rsid w:val="00D97344"/>
    <w:rsid w:val="00DA0352"/>
    <w:rsid w:val="00DA1129"/>
    <w:rsid w:val="00DA23F0"/>
    <w:rsid w:val="00DA2614"/>
    <w:rsid w:val="00DA3E78"/>
    <w:rsid w:val="00DA7FA9"/>
    <w:rsid w:val="00DB3B39"/>
    <w:rsid w:val="00DB4F7A"/>
    <w:rsid w:val="00DB55EE"/>
    <w:rsid w:val="00DB7E65"/>
    <w:rsid w:val="00DC00C7"/>
    <w:rsid w:val="00DC0E05"/>
    <w:rsid w:val="00DC27A8"/>
    <w:rsid w:val="00DC33DC"/>
    <w:rsid w:val="00DC4996"/>
    <w:rsid w:val="00DC51C3"/>
    <w:rsid w:val="00DC5330"/>
    <w:rsid w:val="00DC775D"/>
    <w:rsid w:val="00DC7933"/>
    <w:rsid w:val="00DC7A00"/>
    <w:rsid w:val="00DD11E6"/>
    <w:rsid w:val="00DD2B94"/>
    <w:rsid w:val="00DD316E"/>
    <w:rsid w:val="00DD33C5"/>
    <w:rsid w:val="00DD3656"/>
    <w:rsid w:val="00DD3E93"/>
    <w:rsid w:val="00DD4E1A"/>
    <w:rsid w:val="00DD5568"/>
    <w:rsid w:val="00DD6989"/>
    <w:rsid w:val="00DE1615"/>
    <w:rsid w:val="00DE3D95"/>
    <w:rsid w:val="00DE4C1B"/>
    <w:rsid w:val="00DE4C7C"/>
    <w:rsid w:val="00DF2903"/>
    <w:rsid w:val="00DF4638"/>
    <w:rsid w:val="00DF4790"/>
    <w:rsid w:val="00DF553B"/>
    <w:rsid w:val="00DF6CA7"/>
    <w:rsid w:val="00DF70EB"/>
    <w:rsid w:val="00DF7833"/>
    <w:rsid w:val="00E005ED"/>
    <w:rsid w:val="00E022A6"/>
    <w:rsid w:val="00E02886"/>
    <w:rsid w:val="00E02B15"/>
    <w:rsid w:val="00E03C26"/>
    <w:rsid w:val="00E0457B"/>
    <w:rsid w:val="00E05439"/>
    <w:rsid w:val="00E071C0"/>
    <w:rsid w:val="00E1199D"/>
    <w:rsid w:val="00E12419"/>
    <w:rsid w:val="00E1301D"/>
    <w:rsid w:val="00E146A8"/>
    <w:rsid w:val="00E17DAA"/>
    <w:rsid w:val="00E217A3"/>
    <w:rsid w:val="00E21CE0"/>
    <w:rsid w:val="00E25467"/>
    <w:rsid w:val="00E25A9C"/>
    <w:rsid w:val="00E261B9"/>
    <w:rsid w:val="00E312DB"/>
    <w:rsid w:val="00E31D87"/>
    <w:rsid w:val="00E31E1C"/>
    <w:rsid w:val="00E32D59"/>
    <w:rsid w:val="00E34F3D"/>
    <w:rsid w:val="00E35BA2"/>
    <w:rsid w:val="00E40C2C"/>
    <w:rsid w:val="00E413C8"/>
    <w:rsid w:val="00E42850"/>
    <w:rsid w:val="00E42CDF"/>
    <w:rsid w:val="00E46C64"/>
    <w:rsid w:val="00E53F99"/>
    <w:rsid w:val="00E546A4"/>
    <w:rsid w:val="00E55763"/>
    <w:rsid w:val="00E55AF0"/>
    <w:rsid w:val="00E56259"/>
    <w:rsid w:val="00E56349"/>
    <w:rsid w:val="00E5719C"/>
    <w:rsid w:val="00E62487"/>
    <w:rsid w:val="00E6285D"/>
    <w:rsid w:val="00E62DFF"/>
    <w:rsid w:val="00E63612"/>
    <w:rsid w:val="00E65DC5"/>
    <w:rsid w:val="00E70AEE"/>
    <w:rsid w:val="00E71183"/>
    <w:rsid w:val="00E7255A"/>
    <w:rsid w:val="00E762D0"/>
    <w:rsid w:val="00E81349"/>
    <w:rsid w:val="00E818C0"/>
    <w:rsid w:val="00E8317B"/>
    <w:rsid w:val="00E84BEE"/>
    <w:rsid w:val="00E84FF3"/>
    <w:rsid w:val="00E8765E"/>
    <w:rsid w:val="00E9075C"/>
    <w:rsid w:val="00E91CBC"/>
    <w:rsid w:val="00E92252"/>
    <w:rsid w:val="00E93D8D"/>
    <w:rsid w:val="00E944A1"/>
    <w:rsid w:val="00E95BD5"/>
    <w:rsid w:val="00E95EF3"/>
    <w:rsid w:val="00E9787B"/>
    <w:rsid w:val="00EA3214"/>
    <w:rsid w:val="00EA3A0D"/>
    <w:rsid w:val="00EA691A"/>
    <w:rsid w:val="00EB0736"/>
    <w:rsid w:val="00EB0B3D"/>
    <w:rsid w:val="00EB0FB9"/>
    <w:rsid w:val="00EB32C1"/>
    <w:rsid w:val="00EB344B"/>
    <w:rsid w:val="00EB35A8"/>
    <w:rsid w:val="00EB44F4"/>
    <w:rsid w:val="00EB6D04"/>
    <w:rsid w:val="00EB7C7A"/>
    <w:rsid w:val="00EC34BC"/>
    <w:rsid w:val="00EC450B"/>
    <w:rsid w:val="00EC4CC7"/>
    <w:rsid w:val="00EC7219"/>
    <w:rsid w:val="00EC7AD7"/>
    <w:rsid w:val="00ED03E7"/>
    <w:rsid w:val="00ED23E7"/>
    <w:rsid w:val="00ED607C"/>
    <w:rsid w:val="00ED7F0F"/>
    <w:rsid w:val="00EE1941"/>
    <w:rsid w:val="00EE233B"/>
    <w:rsid w:val="00EE28B1"/>
    <w:rsid w:val="00EE2AC2"/>
    <w:rsid w:val="00EE37D7"/>
    <w:rsid w:val="00EE709B"/>
    <w:rsid w:val="00EF06AB"/>
    <w:rsid w:val="00EF1554"/>
    <w:rsid w:val="00EF1D98"/>
    <w:rsid w:val="00EF1E11"/>
    <w:rsid w:val="00EF255F"/>
    <w:rsid w:val="00EF2B1E"/>
    <w:rsid w:val="00EF3A6D"/>
    <w:rsid w:val="00EF45CD"/>
    <w:rsid w:val="00EF4989"/>
    <w:rsid w:val="00EF54D8"/>
    <w:rsid w:val="00EF57AC"/>
    <w:rsid w:val="00EF5BCF"/>
    <w:rsid w:val="00EF7A5E"/>
    <w:rsid w:val="00EF7B2A"/>
    <w:rsid w:val="00F0386A"/>
    <w:rsid w:val="00F0681B"/>
    <w:rsid w:val="00F06869"/>
    <w:rsid w:val="00F13CEA"/>
    <w:rsid w:val="00F155C9"/>
    <w:rsid w:val="00F166A3"/>
    <w:rsid w:val="00F17485"/>
    <w:rsid w:val="00F17A6A"/>
    <w:rsid w:val="00F20AE5"/>
    <w:rsid w:val="00F20D1C"/>
    <w:rsid w:val="00F2110A"/>
    <w:rsid w:val="00F22D09"/>
    <w:rsid w:val="00F230DD"/>
    <w:rsid w:val="00F23629"/>
    <w:rsid w:val="00F24947"/>
    <w:rsid w:val="00F25CB2"/>
    <w:rsid w:val="00F27564"/>
    <w:rsid w:val="00F319BF"/>
    <w:rsid w:val="00F31FD5"/>
    <w:rsid w:val="00F322F0"/>
    <w:rsid w:val="00F3257F"/>
    <w:rsid w:val="00F32E57"/>
    <w:rsid w:val="00F335AA"/>
    <w:rsid w:val="00F42AEB"/>
    <w:rsid w:val="00F42FC4"/>
    <w:rsid w:val="00F43259"/>
    <w:rsid w:val="00F43260"/>
    <w:rsid w:val="00F441BE"/>
    <w:rsid w:val="00F45BDC"/>
    <w:rsid w:val="00F47A31"/>
    <w:rsid w:val="00F540C7"/>
    <w:rsid w:val="00F614F4"/>
    <w:rsid w:val="00F63872"/>
    <w:rsid w:val="00F64C59"/>
    <w:rsid w:val="00F713D0"/>
    <w:rsid w:val="00F71C7C"/>
    <w:rsid w:val="00F7291D"/>
    <w:rsid w:val="00F72F58"/>
    <w:rsid w:val="00F733E2"/>
    <w:rsid w:val="00F80474"/>
    <w:rsid w:val="00F8307D"/>
    <w:rsid w:val="00F84AEB"/>
    <w:rsid w:val="00F84BFF"/>
    <w:rsid w:val="00F84D57"/>
    <w:rsid w:val="00F86B82"/>
    <w:rsid w:val="00F9170F"/>
    <w:rsid w:val="00F93C44"/>
    <w:rsid w:val="00F9507F"/>
    <w:rsid w:val="00FA17B2"/>
    <w:rsid w:val="00FA34CC"/>
    <w:rsid w:val="00FA5533"/>
    <w:rsid w:val="00FA5CF6"/>
    <w:rsid w:val="00FA686F"/>
    <w:rsid w:val="00FB2211"/>
    <w:rsid w:val="00FB3B03"/>
    <w:rsid w:val="00FB3FB5"/>
    <w:rsid w:val="00FB5A5C"/>
    <w:rsid w:val="00FB61EF"/>
    <w:rsid w:val="00FB6FA8"/>
    <w:rsid w:val="00FC1E29"/>
    <w:rsid w:val="00FC255F"/>
    <w:rsid w:val="00FC2678"/>
    <w:rsid w:val="00FC2FBE"/>
    <w:rsid w:val="00FC501F"/>
    <w:rsid w:val="00FC6EE1"/>
    <w:rsid w:val="00FD18B2"/>
    <w:rsid w:val="00FD3AF2"/>
    <w:rsid w:val="00FD606C"/>
    <w:rsid w:val="00FD7D0C"/>
    <w:rsid w:val="00FE2A3B"/>
    <w:rsid w:val="00FE2BB4"/>
    <w:rsid w:val="00FE2F7F"/>
    <w:rsid w:val="00FE3CC6"/>
    <w:rsid w:val="00FE5691"/>
    <w:rsid w:val="00FF2A83"/>
    <w:rsid w:val="00FF3308"/>
    <w:rsid w:val="00FF5DD5"/>
    <w:rsid w:val="00FF688C"/>
    <w:rsid w:val="00FF7819"/>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9FA34"/>
  <w15:docId w15:val="{91C090CE-9D59-44A9-9402-D5EAD72F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41A"/>
    <w:rPr>
      <w:rFonts w:eastAsiaTheme="minorEastAsia"/>
      <w:lang w:eastAsia="en-AU"/>
    </w:rPr>
  </w:style>
  <w:style w:type="paragraph" w:styleId="Heading1">
    <w:name w:val="heading 1"/>
    <w:basedOn w:val="Normal"/>
    <w:next w:val="Normal"/>
    <w:link w:val="Heading1Char"/>
    <w:uiPriority w:val="9"/>
    <w:qFormat/>
    <w:rsid w:val="00E6285D"/>
    <w:pPr>
      <w:outlineLvl w:val="0"/>
    </w:pPr>
    <w:rPr>
      <w:rFonts w:cstheme="minorHAnsi"/>
      <w:sz w:val="32"/>
      <w:szCs w:val="32"/>
    </w:rPr>
  </w:style>
  <w:style w:type="paragraph" w:styleId="Heading2">
    <w:name w:val="heading 2"/>
    <w:basedOn w:val="Normal"/>
    <w:next w:val="Normal"/>
    <w:link w:val="Heading2Char"/>
    <w:uiPriority w:val="9"/>
    <w:unhideWhenUsed/>
    <w:qFormat/>
    <w:rsid w:val="004C4CCD"/>
    <w:pPr>
      <w:outlineLvl w:val="1"/>
    </w:pPr>
    <w:rPr>
      <w:rFonts w:cstheme="minorHAnsi"/>
      <w:sz w:val="28"/>
      <w:szCs w:val="28"/>
    </w:rPr>
  </w:style>
  <w:style w:type="paragraph" w:styleId="Heading3">
    <w:name w:val="heading 3"/>
    <w:basedOn w:val="Normal"/>
    <w:next w:val="Normal"/>
    <w:link w:val="Heading3Char"/>
    <w:unhideWhenUsed/>
    <w:qFormat/>
    <w:rsid w:val="004C4CCD"/>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semiHidden/>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semiHidden/>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E6285D"/>
    <w:rPr>
      <w:rFonts w:eastAsiaTheme="minorEastAsia" w:cstheme="minorHAnsi"/>
      <w:sz w:val="32"/>
      <w:szCs w:val="32"/>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4C4CCD"/>
    <w:rPr>
      <w:rFonts w:eastAsiaTheme="minorEastAsia" w:cstheme="minorHAnsi"/>
      <w:sz w:val="28"/>
      <w:szCs w:val="28"/>
      <w:lang w:eastAsia="en-AU"/>
    </w:rPr>
  </w:style>
  <w:style w:type="character" w:customStyle="1" w:styleId="Heading3Char">
    <w:name w:val="Heading 3 Char"/>
    <w:basedOn w:val="DefaultParagraphFont"/>
    <w:link w:val="Heading3"/>
    <w:rsid w:val="004C4CCD"/>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F63872"/>
    <w:pPr>
      <w:pBdr>
        <w:top w:val="single" w:sz="36" w:space="10" w:color="43C7F4" w:themeColor="accent1"/>
        <w:bottom w:val="single" w:sz="36" w:space="10" w:color="43C7F4" w:themeColor="accent1"/>
      </w:pBdr>
      <w:ind w:left="0" w:right="-46"/>
      <w:jc w:val="left"/>
    </w:pPr>
    <w:rPr>
      <w:rFonts w:ascii="Verdana" w:hAnsi="Verdana"/>
      <w:b/>
      <w:color w:val="auto"/>
      <w:sz w:val="16"/>
      <w:lang w:val="en-US"/>
      <w14:textOutline w14:w="1270" w14:cap="rnd" w14:cmpd="sng" w14:algn="ctr">
        <w14:solidFill>
          <w14:schemeClr w14:val="tx1"/>
        </w14:solidFill>
        <w14:prstDash w14:val="solid"/>
        <w14:bevel/>
      </w14:textOutline>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B41CA8"/>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5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semiHidden/>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E31E1C"/>
    <w:pPr>
      <w:numPr>
        <w:numId w:val="7"/>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6"/>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E31E1C"/>
    <w:pPr>
      <w:numPr>
        <w:numId w:val="7"/>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F63872"/>
    <w:pPr>
      <w:tabs>
        <w:tab w:val="right" w:pos="9026"/>
      </w:tabs>
    </w:pPr>
    <w:rPr>
      <w:rFonts w:ascii="Verdana" w:hAnsi="Verdana"/>
      <w:b/>
      <w:color w:val="43C7F4" w:themeColor="accent1"/>
      <w:sz w:val="36"/>
      <w:szCs w:val="36"/>
      <w14:textOutline w14:w="3175" w14:cap="rnd" w14:cmpd="sng" w14:algn="ctr">
        <w14:solidFill>
          <w14:schemeClr w14:val="accent1"/>
        </w14:solidFill>
        <w14:prstDash w14:val="solid"/>
        <w14:bevel/>
      </w14:textOutline>
    </w:rPr>
  </w:style>
  <w:style w:type="character" w:customStyle="1" w:styleId="DocLabelChar">
    <w:name w:val="Doc Label Char"/>
    <w:basedOn w:val="DefaultParagraphFont"/>
    <w:link w:val="DocLabel"/>
    <w:rsid w:val="00F63872"/>
    <w:rPr>
      <w:rFonts w:ascii="Verdana" w:eastAsiaTheme="minorEastAsia" w:hAnsi="Verdana"/>
      <w:b/>
      <w:color w:val="43C7F4" w:themeColor="accent1"/>
      <w:sz w:val="36"/>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F63872"/>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F63872"/>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customStyle="1" w:styleId="DocDate">
    <w:name w:val="Doc Date"/>
    <w:basedOn w:val="Normal"/>
    <w:link w:val="DocDateChar"/>
    <w:qFormat/>
    <w:rsid w:val="00F63872"/>
    <w:pPr>
      <w:tabs>
        <w:tab w:val="right" w:pos="9026"/>
      </w:tabs>
    </w:pPr>
    <w:rPr>
      <w:rFonts w:ascii="Verdana" w:hAnsi="Verdana"/>
      <w:b/>
      <w:bCs/>
      <w:i/>
      <w14:textOutline w14:w="3175" w14:cap="rnd" w14:cmpd="sng" w14:algn="ctr">
        <w14:solidFill>
          <w14:schemeClr w14:val="tx1"/>
        </w14:solidFill>
        <w14:prstDash w14:val="solid"/>
        <w14:bevel/>
      </w14:textOutline>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F63872"/>
    <w:rPr>
      <w:rFonts w:ascii="Verdana" w:eastAsiaTheme="minorEastAsia" w:hAnsi="Verdana"/>
      <w:b/>
      <w:bCs/>
      <w:i/>
      <w:lang w:eastAsia="en-AU"/>
      <w14:textOutline w14:w="3175" w14:cap="rnd" w14:cmpd="sng" w14:algn="ctr">
        <w14:solidFill>
          <w14:schemeClr w14:val="tx1"/>
        </w14:solidFill>
        <w14:prstDash w14:val="solid"/>
        <w14:bevel/>
      </w14:textOutline>
    </w:rPr>
  </w:style>
  <w:style w:type="paragraph" w:styleId="Header">
    <w:name w:val="header"/>
    <w:basedOn w:val="Normal"/>
    <w:link w:val="HeaderChar"/>
    <w:uiPriority w:val="99"/>
    <w:unhideWhenUsed/>
    <w:rsid w:val="009A3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14F"/>
    <w:rPr>
      <w:rFonts w:eastAsiaTheme="minorEastAsia"/>
      <w:lang w:eastAsia="en-AU"/>
    </w:rPr>
  </w:style>
  <w:style w:type="paragraph" w:styleId="Footer">
    <w:name w:val="footer"/>
    <w:basedOn w:val="Normal"/>
    <w:link w:val="FooterChar"/>
    <w:uiPriority w:val="99"/>
    <w:unhideWhenUsed/>
    <w:rsid w:val="009A3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14F"/>
    <w:rPr>
      <w:rFonts w:eastAsiaTheme="minorEastAsia"/>
      <w:lang w:eastAsia="en-AU"/>
    </w:rPr>
  </w:style>
  <w:style w:type="paragraph" w:styleId="FootnoteText">
    <w:name w:val="footnote text"/>
    <w:basedOn w:val="Normal"/>
    <w:link w:val="FootnoteTextChar"/>
    <w:uiPriority w:val="99"/>
    <w:semiHidden/>
    <w:unhideWhenUsed/>
    <w:rsid w:val="00DA3E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3E78"/>
    <w:rPr>
      <w:rFonts w:eastAsiaTheme="minorEastAsia"/>
      <w:sz w:val="20"/>
      <w:szCs w:val="20"/>
      <w:lang w:eastAsia="en-AU"/>
    </w:rPr>
  </w:style>
  <w:style w:type="paragraph" w:styleId="TOC1">
    <w:name w:val="toc 1"/>
    <w:basedOn w:val="Normal"/>
    <w:next w:val="Normal"/>
    <w:autoRedefine/>
    <w:uiPriority w:val="39"/>
    <w:unhideWhenUsed/>
    <w:rsid w:val="001134B0"/>
    <w:pPr>
      <w:spacing w:after="100"/>
    </w:pPr>
  </w:style>
  <w:style w:type="paragraph" w:styleId="CommentText">
    <w:name w:val="annotation text"/>
    <w:basedOn w:val="Normal"/>
    <w:link w:val="CommentTextChar"/>
    <w:uiPriority w:val="99"/>
    <w:unhideWhenUsed/>
    <w:rsid w:val="00C04EAB"/>
    <w:pPr>
      <w:spacing w:line="240" w:lineRule="auto"/>
    </w:pPr>
    <w:rPr>
      <w:sz w:val="20"/>
      <w:szCs w:val="20"/>
    </w:rPr>
  </w:style>
  <w:style w:type="character" w:customStyle="1" w:styleId="CommentTextChar">
    <w:name w:val="Comment Text Char"/>
    <w:basedOn w:val="DefaultParagraphFont"/>
    <w:link w:val="CommentText"/>
    <w:uiPriority w:val="99"/>
    <w:rsid w:val="00C04EAB"/>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tio.com.au/guidance-notes/contracts" TargetMode="External"/><Relationship Id="rId3" Type="http://schemas.openxmlformats.org/officeDocument/2006/relationships/hyperlink" Target="https://www.commsalliance.com.au/__data/assets/pdf_file/0013/1345/C625_2020.pdf" TargetMode="External"/><Relationship Id="rId7" Type="http://schemas.openxmlformats.org/officeDocument/2006/relationships/hyperlink" Target="https://www.commsalliance.com.au/__data/assets/pdf_file/0018/59301/G651-2017.pdf" TargetMode="External"/><Relationship Id="rId2" Type="http://schemas.openxmlformats.org/officeDocument/2006/relationships/hyperlink" Target="https://www.commsalliance.com.au/__data/assets/pdf_file/0018/59301/G651-2017.pdf" TargetMode="External"/><Relationship Id="rId1" Type="http://schemas.openxmlformats.org/officeDocument/2006/relationships/hyperlink" Target="https://www.commsalliance.com.au/Documents/Documents-under-Review/current" TargetMode="External"/><Relationship Id="rId6" Type="http://schemas.openxmlformats.org/officeDocument/2006/relationships/hyperlink" Target="https://www.tio.com.au/guidance-notes/transfer-of-services-in-detail" TargetMode="External"/><Relationship Id="rId5" Type="http://schemas.openxmlformats.org/officeDocument/2006/relationships/hyperlink" Target="https://www.commsalliance.com.au/__data/assets/pdf_file/0018/59301/G651-2017.pdf" TargetMode="External"/><Relationship Id="rId4" Type="http://schemas.openxmlformats.org/officeDocument/2006/relationships/hyperlink" Target="https://www.legislation.gov.au/Details/F2015L00191/Download" TargetMode="External"/><Relationship Id="rId9" Type="http://schemas.openxmlformats.org/officeDocument/2006/relationships/hyperlink" Target="https://www.commsalliance.com.au/__data/assets/pdf_file/0018/59301/G651-2017.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e\ACCAN\ACCAN%20-%20Business\Templates%202022\DocumentTemplate-Long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7780EADF-B74E-4262-8D85-D9588AD9FF44}">
  <ds:schemaRefs>
    <ds:schemaRef ds:uri="http://schemas.openxmlformats.org/officeDocument/2006/bibliography"/>
  </ds:schemaRefs>
</ds:datastoreItem>
</file>

<file path=customXml/itemProps3.xml><?xml version="1.0" encoding="utf-8"?>
<ds:datastoreItem xmlns:ds="http://schemas.openxmlformats.org/officeDocument/2006/customXml" ds:itemID="{6A6C894A-CD13-4CDE-9CF7-6B45CBA99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docProps/app.xml><?xml version="1.0" encoding="utf-8"?>
<Properties xmlns="http://schemas.openxmlformats.org/officeDocument/2006/extended-properties" xmlns:vt="http://schemas.openxmlformats.org/officeDocument/2006/docPropsVTypes">
  <Template>DocumentTemplate-LongSubmission</Template>
  <TotalTime>166</TotalTime>
  <Pages>8</Pages>
  <Words>1736</Words>
  <Characters>9897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11610</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dc:creator>
  <cp:keywords/>
  <cp:lastModifiedBy>Elie Antonios</cp:lastModifiedBy>
  <cp:revision>74</cp:revision>
  <cp:lastPrinted>2023-03-13T04:28:00Z</cp:lastPrinted>
  <dcterms:created xsi:type="dcterms:W3CDTF">2023-03-06T21:34:00Z</dcterms:created>
  <dcterms:modified xsi:type="dcterms:W3CDTF">2023-03-13T04:28:00Z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