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488D" w14:textId="77777777" w:rsidR="008825DD" w:rsidRDefault="008825DD" w:rsidP="00B14DFB">
      <w:pPr>
        <w:pStyle w:val="Subtitle"/>
        <w:rPr>
          <w:rFonts w:eastAsiaTheme="majorEastAsia" w:cstheme="majorBidi"/>
          <w:b/>
          <w:spacing w:val="5"/>
          <w:kern w:val="28"/>
          <w:sz w:val="52"/>
          <w:szCs w:val="52"/>
        </w:rPr>
      </w:pPr>
    </w:p>
    <w:p w14:paraId="31BDFDA6" w14:textId="1AB73224" w:rsidR="005E585D" w:rsidRDefault="005E585D" w:rsidP="00B14DFB">
      <w:pPr>
        <w:pStyle w:val="Subtitle"/>
        <w:rPr>
          <w:rFonts w:eastAsiaTheme="majorEastAsia" w:cstheme="majorBidi"/>
          <w:b/>
          <w:spacing w:val="5"/>
          <w:kern w:val="28"/>
          <w:sz w:val="52"/>
          <w:szCs w:val="52"/>
        </w:rPr>
      </w:pPr>
      <w:r w:rsidRPr="005E585D">
        <w:rPr>
          <w:rFonts w:eastAsiaTheme="majorEastAsia" w:cstheme="majorBidi"/>
          <w:b/>
          <w:spacing w:val="5"/>
          <w:kern w:val="28"/>
          <w:sz w:val="52"/>
          <w:szCs w:val="52"/>
        </w:rPr>
        <w:t>Improving the effectiveness of the consumer guarantee and supplier indemnification provisions under the Australian Consumer Law</w:t>
      </w:r>
    </w:p>
    <w:p w14:paraId="458E0D6A" w14:textId="628075BA" w:rsidR="009F4B9D" w:rsidRPr="003441E5" w:rsidRDefault="009F4B9D" w:rsidP="004C09FE">
      <w:pPr>
        <w:pStyle w:val="Subtitle"/>
      </w:pPr>
      <w:r w:rsidRPr="003441E5">
        <w:t xml:space="preserve">Submission by the Australian Communications Consumer Action Network to </w:t>
      </w:r>
      <w:r w:rsidR="00400CEA" w:rsidRPr="00400CEA">
        <w:t>the Treasury</w:t>
      </w:r>
      <w:r w:rsidR="004C09FE">
        <w:t xml:space="preserve"> on the Consultation Regulation Impact Statement</w:t>
      </w:r>
    </w:p>
    <w:p w14:paraId="75A56AB4" w14:textId="6803A91A" w:rsidR="009F4B9D" w:rsidRPr="003441E5" w:rsidRDefault="00F311C9" w:rsidP="00B14DFB">
      <w:pPr>
        <w:pStyle w:val="Subtitle"/>
      </w:pPr>
      <w:r>
        <w:t xml:space="preserve">11 </w:t>
      </w:r>
      <w:r w:rsidR="005E585D">
        <w:t>February</w:t>
      </w:r>
      <w:r w:rsidR="0018644C">
        <w:t xml:space="preserve"> 202</w:t>
      </w:r>
      <w:r w:rsidR="005E585D">
        <w:t>2</w:t>
      </w:r>
    </w:p>
    <w:p w14:paraId="65FB7B5E" w14:textId="77777777" w:rsidR="009F4B9D" w:rsidRPr="003441E5" w:rsidRDefault="009F4B9D" w:rsidP="00D16972">
      <w:r w:rsidRPr="003441E5">
        <w:br w:type="page"/>
      </w:r>
    </w:p>
    <w:p w14:paraId="7BB8A846" w14:textId="77777777" w:rsidR="009F4B9D" w:rsidRPr="003441E5" w:rsidRDefault="009F4B9D" w:rsidP="00D16972">
      <w:pPr>
        <w:pStyle w:val="About"/>
      </w:pPr>
      <w:r w:rsidRPr="003441E5">
        <w:t xml:space="preserve">About ACCAN </w:t>
      </w:r>
    </w:p>
    <w:p w14:paraId="761C918B" w14:textId="77777777" w:rsidR="009F4B9D" w:rsidRPr="003441E5" w:rsidRDefault="009F4B9D" w:rsidP="00D16972">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4108751C" w14:textId="77777777" w:rsidR="00A615CC" w:rsidRPr="003441E5" w:rsidRDefault="00A615CC" w:rsidP="00D16972">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7C81977F" w14:textId="77777777" w:rsidR="009F4B9D" w:rsidRDefault="009F4B9D" w:rsidP="00D16972">
      <w:pPr>
        <w:pStyle w:val="About"/>
      </w:pPr>
      <w:r w:rsidRPr="003441E5">
        <w:t>Contact</w:t>
      </w:r>
    </w:p>
    <w:p w14:paraId="2619F0CA" w14:textId="505C4084" w:rsidR="00BF754D" w:rsidRDefault="00BF754D" w:rsidP="00D16972">
      <w:pPr>
        <w:jc w:val="left"/>
      </w:pPr>
      <w:r>
        <w:t xml:space="preserve">PO Box </w:t>
      </w:r>
      <w:r w:rsidR="009C7A51">
        <w:t>A1158</w:t>
      </w:r>
      <w:r w:rsidR="00E83F46">
        <w:br/>
      </w:r>
      <w:r w:rsidR="009C7A51">
        <w:t>Sydney South</w:t>
      </w:r>
      <w:r w:rsidR="009F4B9D" w:rsidRPr="003441E5">
        <w:t xml:space="preserve"> NSW, </w:t>
      </w:r>
      <w:r w:rsidR="009C7A51">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t xml:space="preserve">Contact us through the </w:t>
      </w:r>
      <w:hyperlink r:id="rId12" w:history="1">
        <w:r w:rsidRPr="00FE6EAF">
          <w:rPr>
            <w:rStyle w:val="Hyperlink"/>
          </w:rPr>
          <w:t>National Relay Service</w:t>
        </w:r>
      </w:hyperlink>
    </w:p>
    <w:p w14:paraId="4C373E96" w14:textId="77777777" w:rsidR="009F4B9D" w:rsidRPr="003441E5" w:rsidRDefault="009F4B9D" w:rsidP="00D16972"/>
    <w:sdt>
      <w:sdtPr>
        <w:rPr>
          <w:rFonts w:eastAsiaTheme="minorEastAsia" w:cstheme="minorBidi"/>
          <w:bCs w:val="0"/>
          <w:sz w:val="23"/>
          <w:szCs w:val="22"/>
          <w:lang w:eastAsia="en-AU"/>
        </w:rPr>
        <w:id w:val="-39521029"/>
        <w:docPartObj>
          <w:docPartGallery w:val="Table of Contents"/>
          <w:docPartUnique/>
        </w:docPartObj>
      </w:sdtPr>
      <w:sdtEndPr>
        <w:rPr>
          <w:noProof/>
          <w:sz w:val="22"/>
          <w:lang w:eastAsia="en-US"/>
        </w:rPr>
      </w:sdtEndPr>
      <w:sdtContent>
        <w:p w14:paraId="7E68EC16" w14:textId="77777777" w:rsidR="00EC1696" w:rsidRPr="003441E5" w:rsidRDefault="00EC1696">
          <w:pPr>
            <w:pStyle w:val="TOCHeading"/>
          </w:pPr>
          <w:r w:rsidRPr="003441E5">
            <w:t>Contents</w:t>
          </w:r>
        </w:p>
        <w:p w14:paraId="630A5769" w14:textId="1212F681" w:rsidR="00F80482" w:rsidRDefault="00EC1696">
          <w:pPr>
            <w:pStyle w:val="TOC1"/>
            <w:rPr>
              <w:rFonts w:asciiTheme="minorHAnsi" w:hAnsiTheme="minorHAnsi"/>
              <w:noProof/>
              <w:lang w:eastAsia="en-AU"/>
            </w:rPr>
          </w:pPr>
          <w:r w:rsidRPr="003441E5">
            <w:fldChar w:fldCharType="begin"/>
          </w:r>
          <w:r w:rsidRPr="003441E5">
            <w:instrText xml:space="preserve"> TOC \o "1-3" \h \z \u </w:instrText>
          </w:r>
          <w:r w:rsidRPr="003441E5">
            <w:fldChar w:fldCharType="separate"/>
          </w:r>
          <w:hyperlink w:anchor="_Toc95487982" w:history="1">
            <w:r w:rsidR="00F80482" w:rsidRPr="00747084">
              <w:rPr>
                <w:rStyle w:val="Hyperlink"/>
                <w:noProof/>
              </w:rPr>
              <w:t>General comments</w:t>
            </w:r>
            <w:r w:rsidR="00F80482">
              <w:rPr>
                <w:noProof/>
                <w:webHidden/>
              </w:rPr>
              <w:tab/>
            </w:r>
            <w:r w:rsidR="00F80482">
              <w:rPr>
                <w:noProof/>
                <w:webHidden/>
              </w:rPr>
              <w:fldChar w:fldCharType="begin"/>
            </w:r>
            <w:r w:rsidR="00F80482">
              <w:rPr>
                <w:noProof/>
                <w:webHidden/>
              </w:rPr>
              <w:instrText xml:space="preserve"> PAGEREF _Toc95487982 \h </w:instrText>
            </w:r>
            <w:r w:rsidR="00F80482">
              <w:rPr>
                <w:noProof/>
                <w:webHidden/>
              </w:rPr>
            </w:r>
            <w:r w:rsidR="00F80482">
              <w:rPr>
                <w:noProof/>
                <w:webHidden/>
              </w:rPr>
              <w:fldChar w:fldCharType="separate"/>
            </w:r>
            <w:r w:rsidR="00786FD7">
              <w:rPr>
                <w:noProof/>
                <w:webHidden/>
              </w:rPr>
              <w:t>4</w:t>
            </w:r>
            <w:r w:rsidR="00F80482">
              <w:rPr>
                <w:noProof/>
                <w:webHidden/>
              </w:rPr>
              <w:fldChar w:fldCharType="end"/>
            </w:r>
          </w:hyperlink>
        </w:p>
        <w:p w14:paraId="1EC8400D" w14:textId="705048A1" w:rsidR="00F80482" w:rsidRDefault="00F80482">
          <w:pPr>
            <w:pStyle w:val="TOC2"/>
            <w:rPr>
              <w:rFonts w:asciiTheme="minorHAnsi" w:hAnsiTheme="minorHAnsi"/>
              <w:lang w:eastAsia="en-AU"/>
            </w:rPr>
          </w:pPr>
          <w:hyperlink w:anchor="_Toc95487983" w:history="1">
            <w:r w:rsidRPr="00747084">
              <w:rPr>
                <w:rStyle w:val="Hyperlink"/>
              </w:rPr>
              <w:t>ACCAN’s view on the Consultation RIS options</w:t>
            </w:r>
            <w:r>
              <w:rPr>
                <w:webHidden/>
              </w:rPr>
              <w:tab/>
            </w:r>
            <w:r>
              <w:rPr>
                <w:webHidden/>
              </w:rPr>
              <w:fldChar w:fldCharType="begin"/>
            </w:r>
            <w:r>
              <w:rPr>
                <w:webHidden/>
              </w:rPr>
              <w:instrText xml:space="preserve"> PAGEREF _Toc95487983 \h </w:instrText>
            </w:r>
            <w:r>
              <w:rPr>
                <w:webHidden/>
              </w:rPr>
            </w:r>
            <w:r>
              <w:rPr>
                <w:webHidden/>
              </w:rPr>
              <w:fldChar w:fldCharType="separate"/>
            </w:r>
            <w:r w:rsidR="00786FD7">
              <w:rPr>
                <w:webHidden/>
              </w:rPr>
              <w:t>4</w:t>
            </w:r>
            <w:r>
              <w:rPr>
                <w:webHidden/>
              </w:rPr>
              <w:fldChar w:fldCharType="end"/>
            </w:r>
          </w:hyperlink>
        </w:p>
        <w:p w14:paraId="034DE23B" w14:textId="22B4CCBE" w:rsidR="00F80482" w:rsidRDefault="00F80482">
          <w:pPr>
            <w:pStyle w:val="TOC3"/>
            <w:rPr>
              <w:rFonts w:asciiTheme="minorHAnsi" w:hAnsiTheme="minorHAnsi"/>
              <w:lang w:eastAsia="en-AU"/>
            </w:rPr>
          </w:pPr>
          <w:hyperlink w:anchor="_Toc95487984" w:history="1">
            <w:r w:rsidRPr="00747084">
              <w:rPr>
                <w:rStyle w:val="Hyperlink"/>
              </w:rPr>
              <w:t>Part A: Receiving remedies</w:t>
            </w:r>
            <w:r>
              <w:rPr>
                <w:webHidden/>
              </w:rPr>
              <w:tab/>
            </w:r>
            <w:r>
              <w:rPr>
                <w:webHidden/>
              </w:rPr>
              <w:fldChar w:fldCharType="begin"/>
            </w:r>
            <w:r>
              <w:rPr>
                <w:webHidden/>
              </w:rPr>
              <w:instrText xml:space="preserve"> PAGEREF _Toc95487984 \h </w:instrText>
            </w:r>
            <w:r>
              <w:rPr>
                <w:webHidden/>
              </w:rPr>
            </w:r>
            <w:r>
              <w:rPr>
                <w:webHidden/>
              </w:rPr>
              <w:fldChar w:fldCharType="separate"/>
            </w:r>
            <w:r w:rsidR="00786FD7">
              <w:rPr>
                <w:webHidden/>
              </w:rPr>
              <w:t>4</w:t>
            </w:r>
            <w:r>
              <w:rPr>
                <w:webHidden/>
              </w:rPr>
              <w:fldChar w:fldCharType="end"/>
            </w:r>
          </w:hyperlink>
        </w:p>
        <w:p w14:paraId="5DECAB0D" w14:textId="068BACE3" w:rsidR="00F80482" w:rsidRDefault="00F80482">
          <w:pPr>
            <w:pStyle w:val="TOC3"/>
            <w:rPr>
              <w:rFonts w:asciiTheme="minorHAnsi" w:hAnsiTheme="minorHAnsi"/>
              <w:lang w:eastAsia="en-AU"/>
            </w:rPr>
          </w:pPr>
          <w:hyperlink w:anchor="_Toc95487985" w:history="1">
            <w:r w:rsidRPr="00747084">
              <w:rPr>
                <w:rStyle w:val="Hyperlink"/>
              </w:rPr>
              <w:t>Part B: Supplier indemnification</w:t>
            </w:r>
            <w:r>
              <w:rPr>
                <w:webHidden/>
              </w:rPr>
              <w:tab/>
            </w:r>
            <w:r>
              <w:rPr>
                <w:webHidden/>
              </w:rPr>
              <w:fldChar w:fldCharType="begin"/>
            </w:r>
            <w:r>
              <w:rPr>
                <w:webHidden/>
              </w:rPr>
              <w:instrText xml:space="preserve"> PAGEREF _Toc95487985 \h </w:instrText>
            </w:r>
            <w:r>
              <w:rPr>
                <w:webHidden/>
              </w:rPr>
            </w:r>
            <w:r>
              <w:rPr>
                <w:webHidden/>
              </w:rPr>
              <w:fldChar w:fldCharType="separate"/>
            </w:r>
            <w:r w:rsidR="00786FD7">
              <w:rPr>
                <w:webHidden/>
              </w:rPr>
              <w:t>5</w:t>
            </w:r>
            <w:r>
              <w:rPr>
                <w:webHidden/>
              </w:rPr>
              <w:fldChar w:fldCharType="end"/>
            </w:r>
          </w:hyperlink>
        </w:p>
        <w:p w14:paraId="5B6B05B6" w14:textId="01D3C0E3" w:rsidR="00F80482" w:rsidRDefault="00F80482">
          <w:pPr>
            <w:pStyle w:val="TOC2"/>
            <w:rPr>
              <w:rFonts w:asciiTheme="minorHAnsi" w:hAnsiTheme="minorHAnsi"/>
              <w:lang w:eastAsia="en-AU"/>
            </w:rPr>
          </w:pPr>
          <w:hyperlink w:anchor="_Toc95487986" w:history="1">
            <w:r w:rsidRPr="00747084">
              <w:rPr>
                <w:rStyle w:val="Hyperlink"/>
              </w:rPr>
              <w:t>Summary of communications consumer issues</w:t>
            </w:r>
            <w:r>
              <w:rPr>
                <w:webHidden/>
              </w:rPr>
              <w:tab/>
            </w:r>
            <w:r>
              <w:rPr>
                <w:webHidden/>
              </w:rPr>
              <w:fldChar w:fldCharType="begin"/>
            </w:r>
            <w:r>
              <w:rPr>
                <w:webHidden/>
              </w:rPr>
              <w:instrText xml:space="preserve"> PAGEREF _Toc95487986 \h </w:instrText>
            </w:r>
            <w:r>
              <w:rPr>
                <w:webHidden/>
              </w:rPr>
            </w:r>
            <w:r>
              <w:rPr>
                <w:webHidden/>
              </w:rPr>
              <w:fldChar w:fldCharType="separate"/>
            </w:r>
            <w:r w:rsidR="00786FD7">
              <w:rPr>
                <w:webHidden/>
              </w:rPr>
              <w:t>5</w:t>
            </w:r>
            <w:r>
              <w:rPr>
                <w:webHidden/>
              </w:rPr>
              <w:fldChar w:fldCharType="end"/>
            </w:r>
          </w:hyperlink>
        </w:p>
        <w:p w14:paraId="33C70EDB" w14:textId="6FD938C3" w:rsidR="00F80482" w:rsidRDefault="00F80482">
          <w:pPr>
            <w:pStyle w:val="TOC2"/>
            <w:rPr>
              <w:rFonts w:asciiTheme="minorHAnsi" w:hAnsiTheme="minorHAnsi"/>
              <w:lang w:eastAsia="en-AU"/>
            </w:rPr>
          </w:pPr>
          <w:hyperlink w:anchor="_Toc95487987" w:history="1">
            <w:r w:rsidRPr="00747084">
              <w:rPr>
                <w:rStyle w:val="Hyperlink"/>
              </w:rPr>
              <w:t>List of recommendations</w:t>
            </w:r>
            <w:r>
              <w:rPr>
                <w:webHidden/>
              </w:rPr>
              <w:tab/>
            </w:r>
            <w:r>
              <w:rPr>
                <w:webHidden/>
              </w:rPr>
              <w:fldChar w:fldCharType="begin"/>
            </w:r>
            <w:r>
              <w:rPr>
                <w:webHidden/>
              </w:rPr>
              <w:instrText xml:space="preserve"> PAGEREF _Toc95487987 \h </w:instrText>
            </w:r>
            <w:r>
              <w:rPr>
                <w:webHidden/>
              </w:rPr>
            </w:r>
            <w:r>
              <w:rPr>
                <w:webHidden/>
              </w:rPr>
              <w:fldChar w:fldCharType="separate"/>
            </w:r>
            <w:r w:rsidR="00786FD7">
              <w:rPr>
                <w:webHidden/>
              </w:rPr>
              <w:t>5</w:t>
            </w:r>
            <w:r>
              <w:rPr>
                <w:webHidden/>
              </w:rPr>
              <w:fldChar w:fldCharType="end"/>
            </w:r>
          </w:hyperlink>
        </w:p>
        <w:p w14:paraId="7691A512" w14:textId="363E9F0E" w:rsidR="00F80482" w:rsidRDefault="00F80482">
          <w:pPr>
            <w:pStyle w:val="TOC1"/>
            <w:rPr>
              <w:rFonts w:asciiTheme="minorHAnsi" w:hAnsiTheme="minorHAnsi"/>
              <w:noProof/>
              <w:lang w:eastAsia="en-AU"/>
            </w:rPr>
          </w:pPr>
          <w:hyperlink w:anchor="_Toc95487988" w:history="1">
            <w:r w:rsidRPr="00747084">
              <w:rPr>
                <w:rStyle w:val="Hyperlink"/>
                <w:noProof/>
              </w:rPr>
              <w:t>1.</w:t>
            </w:r>
            <w:r>
              <w:rPr>
                <w:rFonts w:asciiTheme="minorHAnsi" w:hAnsiTheme="minorHAnsi"/>
                <w:noProof/>
                <w:lang w:eastAsia="en-AU"/>
              </w:rPr>
              <w:tab/>
            </w:r>
            <w:r w:rsidRPr="00747084">
              <w:rPr>
                <w:rStyle w:val="Hyperlink"/>
                <w:noProof/>
              </w:rPr>
              <w:t>Response to Part A: Remedies</w:t>
            </w:r>
            <w:r>
              <w:rPr>
                <w:noProof/>
                <w:webHidden/>
              </w:rPr>
              <w:tab/>
            </w:r>
            <w:r>
              <w:rPr>
                <w:noProof/>
                <w:webHidden/>
              </w:rPr>
              <w:fldChar w:fldCharType="begin"/>
            </w:r>
            <w:r>
              <w:rPr>
                <w:noProof/>
                <w:webHidden/>
              </w:rPr>
              <w:instrText xml:space="preserve"> PAGEREF _Toc95487988 \h </w:instrText>
            </w:r>
            <w:r>
              <w:rPr>
                <w:noProof/>
                <w:webHidden/>
              </w:rPr>
            </w:r>
            <w:r>
              <w:rPr>
                <w:noProof/>
                <w:webHidden/>
              </w:rPr>
              <w:fldChar w:fldCharType="separate"/>
            </w:r>
            <w:r w:rsidR="00786FD7">
              <w:rPr>
                <w:noProof/>
                <w:webHidden/>
              </w:rPr>
              <w:t>6</w:t>
            </w:r>
            <w:r>
              <w:rPr>
                <w:noProof/>
                <w:webHidden/>
              </w:rPr>
              <w:fldChar w:fldCharType="end"/>
            </w:r>
          </w:hyperlink>
        </w:p>
        <w:p w14:paraId="4C76A89C" w14:textId="17E7BB80" w:rsidR="00F80482" w:rsidRDefault="00F80482">
          <w:pPr>
            <w:pStyle w:val="TOC2"/>
            <w:rPr>
              <w:rFonts w:asciiTheme="minorHAnsi" w:hAnsiTheme="minorHAnsi"/>
              <w:lang w:eastAsia="en-AU"/>
            </w:rPr>
          </w:pPr>
          <w:hyperlink w:anchor="_Toc95487989" w:history="1">
            <w:r w:rsidRPr="00747084">
              <w:rPr>
                <w:rStyle w:val="Hyperlink"/>
              </w:rPr>
              <w:t>1.1.</w:t>
            </w:r>
            <w:r>
              <w:rPr>
                <w:rFonts w:asciiTheme="minorHAnsi" w:hAnsiTheme="minorHAnsi"/>
                <w:lang w:eastAsia="en-AU"/>
              </w:rPr>
              <w:tab/>
            </w:r>
            <w:r w:rsidRPr="00747084">
              <w:rPr>
                <w:rStyle w:val="Hyperlink"/>
              </w:rPr>
              <w:t>Consumers do not always receive the remedies they are entitled to</w:t>
            </w:r>
            <w:r>
              <w:rPr>
                <w:webHidden/>
              </w:rPr>
              <w:tab/>
            </w:r>
            <w:r>
              <w:rPr>
                <w:webHidden/>
              </w:rPr>
              <w:fldChar w:fldCharType="begin"/>
            </w:r>
            <w:r>
              <w:rPr>
                <w:webHidden/>
              </w:rPr>
              <w:instrText xml:space="preserve"> PAGEREF _Toc95487989 \h </w:instrText>
            </w:r>
            <w:r>
              <w:rPr>
                <w:webHidden/>
              </w:rPr>
            </w:r>
            <w:r>
              <w:rPr>
                <w:webHidden/>
              </w:rPr>
              <w:fldChar w:fldCharType="separate"/>
            </w:r>
            <w:r w:rsidR="00786FD7">
              <w:rPr>
                <w:webHidden/>
              </w:rPr>
              <w:t>6</w:t>
            </w:r>
            <w:r>
              <w:rPr>
                <w:webHidden/>
              </w:rPr>
              <w:fldChar w:fldCharType="end"/>
            </w:r>
          </w:hyperlink>
        </w:p>
        <w:p w14:paraId="7F2F5949" w14:textId="1307F7A5" w:rsidR="00F80482" w:rsidRDefault="00F80482">
          <w:pPr>
            <w:pStyle w:val="TOC2"/>
            <w:rPr>
              <w:rFonts w:asciiTheme="minorHAnsi" w:hAnsiTheme="minorHAnsi"/>
              <w:lang w:eastAsia="en-AU"/>
            </w:rPr>
          </w:pPr>
          <w:hyperlink w:anchor="_Toc95487990" w:history="1">
            <w:r w:rsidRPr="00747084">
              <w:rPr>
                <w:rStyle w:val="Hyperlink"/>
              </w:rPr>
              <w:t>1.2.</w:t>
            </w:r>
            <w:r>
              <w:rPr>
                <w:rFonts w:asciiTheme="minorHAnsi" w:hAnsiTheme="minorHAnsi"/>
                <w:lang w:eastAsia="en-AU"/>
              </w:rPr>
              <w:tab/>
            </w:r>
            <w:r w:rsidRPr="00747084">
              <w:rPr>
                <w:rStyle w:val="Hyperlink"/>
              </w:rPr>
              <w:t>Consumers spend too much time negotiating remedies</w:t>
            </w:r>
            <w:r>
              <w:rPr>
                <w:webHidden/>
              </w:rPr>
              <w:tab/>
            </w:r>
            <w:r>
              <w:rPr>
                <w:webHidden/>
              </w:rPr>
              <w:fldChar w:fldCharType="begin"/>
            </w:r>
            <w:r>
              <w:rPr>
                <w:webHidden/>
              </w:rPr>
              <w:instrText xml:space="preserve"> PAGEREF _Toc95487990 \h </w:instrText>
            </w:r>
            <w:r>
              <w:rPr>
                <w:webHidden/>
              </w:rPr>
            </w:r>
            <w:r>
              <w:rPr>
                <w:webHidden/>
              </w:rPr>
              <w:fldChar w:fldCharType="separate"/>
            </w:r>
            <w:r w:rsidR="00786FD7">
              <w:rPr>
                <w:webHidden/>
              </w:rPr>
              <w:t>8</w:t>
            </w:r>
            <w:r>
              <w:rPr>
                <w:webHidden/>
              </w:rPr>
              <w:fldChar w:fldCharType="end"/>
            </w:r>
          </w:hyperlink>
        </w:p>
        <w:p w14:paraId="568145F2" w14:textId="258A33FD" w:rsidR="00F80482" w:rsidRDefault="00F80482">
          <w:pPr>
            <w:pStyle w:val="TOC2"/>
            <w:rPr>
              <w:rFonts w:asciiTheme="minorHAnsi" w:hAnsiTheme="minorHAnsi"/>
              <w:lang w:eastAsia="en-AU"/>
            </w:rPr>
          </w:pPr>
          <w:hyperlink w:anchor="_Toc95487991" w:history="1">
            <w:r w:rsidRPr="00747084">
              <w:rPr>
                <w:rStyle w:val="Hyperlink"/>
              </w:rPr>
              <w:t>1.3.</w:t>
            </w:r>
            <w:r>
              <w:rPr>
                <w:rFonts w:asciiTheme="minorHAnsi" w:hAnsiTheme="minorHAnsi"/>
                <w:lang w:eastAsia="en-AU"/>
              </w:rPr>
              <w:tab/>
            </w:r>
            <w:r w:rsidRPr="00747084">
              <w:rPr>
                <w:rStyle w:val="Hyperlink"/>
              </w:rPr>
              <w:t>Stronger rules about providing remedies will incentivise fairness</w:t>
            </w:r>
            <w:r>
              <w:rPr>
                <w:webHidden/>
              </w:rPr>
              <w:tab/>
            </w:r>
            <w:r>
              <w:rPr>
                <w:webHidden/>
              </w:rPr>
              <w:fldChar w:fldCharType="begin"/>
            </w:r>
            <w:r>
              <w:rPr>
                <w:webHidden/>
              </w:rPr>
              <w:instrText xml:space="preserve"> PAGEREF _Toc95487991 \h </w:instrText>
            </w:r>
            <w:r>
              <w:rPr>
                <w:webHidden/>
              </w:rPr>
            </w:r>
            <w:r>
              <w:rPr>
                <w:webHidden/>
              </w:rPr>
              <w:fldChar w:fldCharType="separate"/>
            </w:r>
            <w:r w:rsidR="00786FD7">
              <w:rPr>
                <w:webHidden/>
              </w:rPr>
              <w:t>9</w:t>
            </w:r>
            <w:r>
              <w:rPr>
                <w:webHidden/>
              </w:rPr>
              <w:fldChar w:fldCharType="end"/>
            </w:r>
          </w:hyperlink>
        </w:p>
        <w:p w14:paraId="38653BA4" w14:textId="0FC766B0" w:rsidR="00F80482" w:rsidRDefault="00F80482">
          <w:pPr>
            <w:pStyle w:val="TOC2"/>
            <w:rPr>
              <w:rFonts w:asciiTheme="minorHAnsi" w:hAnsiTheme="minorHAnsi"/>
              <w:lang w:eastAsia="en-AU"/>
            </w:rPr>
          </w:pPr>
          <w:hyperlink w:anchor="_Toc95487992" w:history="1">
            <w:r w:rsidRPr="00747084">
              <w:rPr>
                <w:rStyle w:val="Hyperlink"/>
              </w:rPr>
              <w:t>1.4.</w:t>
            </w:r>
            <w:r>
              <w:rPr>
                <w:rFonts w:asciiTheme="minorHAnsi" w:hAnsiTheme="minorHAnsi"/>
                <w:lang w:eastAsia="en-AU"/>
              </w:rPr>
              <w:tab/>
            </w:r>
            <w:r w:rsidRPr="00747084">
              <w:rPr>
                <w:rStyle w:val="Hyperlink"/>
              </w:rPr>
              <w:t>Further consideration is needed on how consumer guarantees apply to phone and internet products and services</w:t>
            </w:r>
            <w:r>
              <w:rPr>
                <w:webHidden/>
              </w:rPr>
              <w:tab/>
            </w:r>
            <w:r>
              <w:rPr>
                <w:webHidden/>
              </w:rPr>
              <w:fldChar w:fldCharType="begin"/>
            </w:r>
            <w:r>
              <w:rPr>
                <w:webHidden/>
              </w:rPr>
              <w:instrText xml:space="preserve"> PAGEREF _Toc95487992 \h </w:instrText>
            </w:r>
            <w:r>
              <w:rPr>
                <w:webHidden/>
              </w:rPr>
            </w:r>
            <w:r>
              <w:rPr>
                <w:webHidden/>
              </w:rPr>
              <w:fldChar w:fldCharType="separate"/>
            </w:r>
            <w:r w:rsidR="00786FD7">
              <w:rPr>
                <w:webHidden/>
              </w:rPr>
              <w:t>10</w:t>
            </w:r>
            <w:r>
              <w:rPr>
                <w:webHidden/>
              </w:rPr>
              <w:fldChar w:fldCharType="end"/>
            </w:r>
          </w:hyperlink>
        </w:p>
        <w:p w14:paraId="1EADDD8B" w14:textId="7C5C0A61" w:rsidR="00F80482" w:rsidRDefault="00F80482">
          <w:pPr>
            <w:pStyle w:val="TOC3"/>
            <w:rPr>
              <w:rFonts w:asciiTheme="minorHAnsi" w:hAnsiTheme="minorHAnsi"/>
              <w:lang w:eastAsia="en-AU"/>
            </w:rPr>
          </w:pPr>
          <w:hyperlink w:anchor="_Toc95487993" w:history="1">
            <w:r w:rsidRPr="00747084">
              <w:rPr>
                <w:rStyle w:val="Hyperlink"/>
              </w:rPr>
              <w:t>Provision of services with due care and skill</w:t>
            </w:r>
            <w:r>
              <w:rPr>
                <w:webHidden/>
              </w:rPr>
              <w:tab/>
            </w:r>
            <w:r>
              <w:rPr>
                <w:webHidden/>
              </w:rPr>
              <w:fldChar w:fldCharType="begin"/>
            </w:r>
            <w:r>
              <w:rPr>
                <w:webHidden/>
              </w:rPr>
              <w:instrText xml:space="preserve"> PAGEREF _Toc95487993 \h </w:instrText>
            </w:r>
            <w:r>
              <w:rPr>
                <w:webHidden/>
              </w:rPr>
            </w:r>
            <w:r>
              <w:rPr>
                <w:webHidden/>
              </w:rPr>
              <w:fldChar w:fldCharType="separate"/>
            </w:r>
            <w:r w:rsidR="00786FD7">
              <w:rPr>
                <w:webHidden/>
              </w:rPr>
              <w:t>10</w:t>
            </w:r>
            <w:r>
              <w:rPr>
                <w:webHidden/>
              </w:rPr>
              <w:fldChar w:fldCharType="end"/>
            </w:r>
          </w:hyperlink>
        </w:p>
        <w:p w14:paraId="0F18E49B" w14:textId="16C16F52" w:rsidR="00F80482" w:rsidRDefault="00F80482">
          <w:pPr>
            <w:pStyle w:val="TOC3"/>
            <w:rPr>
              <w:rFonts w:asciiTheme="minorHAnsi" w:hAnsiTheme="minorHAnsi"/>
              <w:lang w:eastAsia="en-AU"/>
            </w:rPr>
          </w:pPr>
          <w:hyperlink w:anchor="_Toc95487994" w:history="1">
            <w:r w:rsidRPr="00747084">
              <w:rPr>
                <w:rStyle w:val="Hyperlink"/>
              </w:rPr>
              <w:t>Mobile service outages</w:t>
            </w:r>
            <w:r>
              <w:rPr>
                <w:webHidden/>
              </w:rPr>
              <w:tab/>
            </w:r>
            <w:r>
              <w:rPr>
                <w:webHidden/>
              </w:rPr>
              <w:fldChar w:fldCharType="begin"/>
            </w:r>
            <w:r>
              <w:rPr>
                <w:webHidden/>
              </w:rPr>
              <w:instrText xml:space="preserve"> PAGEREF _Toc95487994 \h </w:instrText>
            </w:r>
            <w:r>
              <w:rPr>
                <w:webHidden/>
              </w:rPr>
            </w:r>
            <w:r>
              <w:rPr>
                <w:webHidden/>
              </w:rPr>
              <w:fldChar w:fldCharType="separate"/>
            </w:r>
            <w:r w:rsidR="00786FD7">
              <w:rPr>
                <w:webHidden/>
              </w:rPr>
              <w:t>12</w:t>
            </w:r>
            <w:r>
              <w:rPr>
                <w:webHidden/>
              </w:rPr>
              <w:fldChar w:fldCharType="end"/>
            </w:r>
          </w:hyperlink>
        </w:p>
        <w:p w14:paraId="4906D03F" w14:textId="26E80E3D" w:rsidR="00F80482" w:rsidRDefault="00F80482">
          <w:pPr>
            <w:pStyle w:val="TOC3"/>
            <w:rPr>
              <w:rFonts w:asciiTheme="minorHAnsi" w:hAnsiTheme="minorHAnsi"/>
              <w:lang w:eastAsia="en-AU"/>
            </w:rPr>
          </w:pPr>
          <w:hyperlink w:anchor="_Toc95487995" w:history="1">
            <w:r w:rsidRPr="00747084">
              <w:rPr>
                <w:rStyle w:val="Hyperlink"/>
              </w:rPr>
              <w:t>Internet of Things products</w:t>
            </w:r>
            <w:r>
              <w:rPr>
                <w:webHidden/>
              </w:rPr>
              <w:tab/>
            </w:r>
            <w:r>
              <w:rPr>
                <w:webHidden/>
              </w:rPr>
              <w:fldChar w:fldCharType="begin"/>
            </w:r>
            <w:r>
              <w:rPr>
                <w:webHidden/>
              </w:rPr>
              <w:instrText xml:space="preserve"> PAGEREF _Toc95487995 \h </w:instrText>
            </w:r>
            <w:r>
              <w:rPr>
                <w:webHidden/>
              </w:rPr>
            </w:r>
            <w:r>
              <w:rPr>
                <w:webHidden/>
              </w:rPr>
              <w:fldChar w:fldCharType="separate"/>
            </w:r>
            <w:r w:rsidR="00786FD7">
              <w:rPr>
                <w:webHidden/>
              </w:rPr>
              <w:t>13</w:t>
            </w:r>
            <w:r>
              <w:rPr>
                <w:webHidden/>
              </w:rPr>
              <w:fldChar w:fldCharType="end"/>
            </w:r>
          </w:hyperlink>
        </w:p>
        <w:p w14:paraId="256FD4BC" w14:textId="03B1F36C" w:rsidR="00F80482" w:rsidRDefault="00F80482">
          <w:pPr>
            <w:pStyle w:val="TOC3"/>
            <w:rPr>
              <w:rFonts w:asciiTheme="minorHAnsi" w:hAnsiTheme="minorHAnsi"/>
              <w:lang w:eastAsia="en-AU"/>
            </w:rPr>
          </w:pPr>
          <w:hyperlink w:anchor="_Toc95487996" w:history="1">
            <w:r w:rsidRPr="00747084">
              <w:rPr>
                <w:rStyle w:val="Hyperlink"/>
              </w:rPr>
              <w:t>Mechanisms for accessing remedies</w:t>
            </w:r>
            <w:r>
              <w:rPr>
                <w:webHidden/>
              </w:rPr>
              <w:tab/>
            </w:r>
            <w:r>
              <w:rPr>
                <w:webHidden/>
              </w:rPr>
              <w:fldChar w:fldCharType="begin"/>
            </w:r>
            <w:r>
              <w:rPr>
                <w:webHidden/>
              </w:rPr>
              <w:instrText xml:space="preserve"> PAGEREF _Toc95487996 \h </w:instrText>
            </w:r>
            <w:r>
              <w:rPr>
                <w:webHidden/>
              </w:rPr>
            </w:r>
            <w:r>
              <w:rPr>
                <w:webHidden/>
              </w:rPr>
              <w:fldChar w:fldCharType="separate"/>
            </w:r>
            <w:r w:rsidR="00786FD7">
              <w:rPr>
                <w:webHidden/>
              </w:rPr>
              <w:t>14</w:t>
            </w:r>
            <w:r>
              <w:rPr>
                <w:webHidden/>
              </w:rPr>
              <w:fldChar w:fldCharType="end"/>
            </w:r>
          </w:hyperlink>
        </w:p>
        <w:p w14:paraId="4E40ED96" w14:textId="509090F7" w:rsidR="00F80482" w:rsidRDefault="00F80482">
          <w:pPr>
            <w:pStyle w:val="TOC2"/>
            <w:rPr>
              <w:rFonts w:asciiTheme="minorHAnsi" w:hAnsiTheme="minorHAnsi"/>
              <w:lang w:eastAsia="en-AU"/>
            </w:rPr>
          </w:pPr>
          <w:hyperlink w:anchor="_Toc95487997" w:history="1">
            <w:r w:rsidRPr="00747084">
              <w:rPr>
                <w:rStyle w:val="Hyperlink"/>
              </w:rPr>
              <w:t>1.5.</w:t>
            </w:r>
            <w:r>
              <w:rPr>
                <w:rFonts w:asciiTheme="minorHAnsi" w:hAnsiTheme="minorHAnsi"/>
                <w:lang w:eastAsia="en-AU"/>
              </w:rPr>
              <w:tab/>
            </w:r>
            <w:r w:rsidRPr="00747084">
              <w:rPr>
                <w:rStyle w:val="Hyperlink"/>
              </w:rPr>
              <w:t>Other comments</w:t>
            </w:r>
            <w:r>
              <w:rPr>
                <w:webHidden/>
              </w:rPr>
              <w:tab/>
            </w:r>
            <w:r>
              <w:rPr>
                <w:webHidden/>
              </w:rPr>
              <w:fldChar w:fldCharType="begin"/>
            </w:r>
            <w:r>
              <w:rPr>
                <w:webHidden/>
              </w:rPr>
              <w:instrText xml:space="preserve"> PAGEREF _Toc95487997 \h </w:instrText>
            </w:r>
            <w:r>
              <w:rPr>
                <w:webHidden/>
              </w:rPr>
            </w:r>
            <w:r>
              <w:rPr>
                <w:webHidden/>
              </w:rPr>
              <w:fldChar w:fldCharType="separate"/>
            </w:r>
            <w:r w:rsidR="00786FD7">
              <w:rPr>
                <w:webHidden/>
              </w:rPr>
              <w:t>14</w:t>
            </w:r>
            <w:r>
              <w:rPr>
                <w:webHidden/>
              </w:rPr>
              <w:fldChar w:fldCharType="end"/>
            </w:r>
          </w:hyperlink>
        </w:p>
        <w:p w14:paraId="2BE783A9" w14:textId="4D695C86" w:rsidR="00F80482" w:rsidRDefault="00F80482">
          <w:pPr>
            <w:pStyle w:val="TOC1"/>
            <w:rPr>
              <w:rFonts w:asciiTheme="minorHAnsi" w:hAnsiTheme="minorHAnsi"/>
              <w:noProof/>
              <w:lang w:eastAsia="en-AU"/>
            </w:rPr>
          </w:pPr>
          <w:hyperlink w:anchor="_Toc95487998" w:history="1">
            <w:r w:rsidRPr="00747084">
              <w:rPr>
                <w:rStyle w:val="Hyperlink"/>
                <w:noProof/>
              </w:rPr>
              <w:t>2.</w:t>
            </w:r>
            <w:r>
              <w:rPr>
                <w:rFonts w:asciiTheme="minorHAnsi" w:hAnsiTheme="minorHAnsi"/>
                <w:noProof/>
                <w:lang w:eastAsia="en-AU"/>
              </w:rPr>
              <w:tab/>
            </w:r>
            <w:r w:rsidRPr="00747084">
              <w:rPr>
                <w:rStyle w:val="Hyperlink"/>
                <w:noProof/>
              </w:rPr>
              <w:t>Response to Part B: Indemnification</w:t>
            </w:r>
            <w:r>
              <w:rPr>
                <w:noProof/>
                <w:webHidden/>
              </w:rPr>
              <w:tab/>
            </w:r>
            <w:r>
              <w:rPr>
                <w:noProof/>
                <w:webHidden/>
              </w:rPr>
              <w:fldChar w:fldCharType="begin"/>
            </w:r>
            <w:r>
              <w:rPr>
                <w:noProof/>
                <w:webHidden/>
              </w:rPr>
              <w:instrText xml:space="preserve"> PAGEREF _Toc95487998 \h </w:instrText>
            </w:r>
            <w:r>
              <w:rPr>
                <w:noProof/>
                <w:webHidden/>
              </w:rPr>
            </w:r>
            <w:r>
              <w:rPr>
                <w:noProof/>
                <w:webHidden/>
              </w:rPr>
              <w:fldChar w:fldCharType="separate"/>
            </w:r>
            <w:r w:rsidR="00786FD7">
              <w:rPr>
                <w:noProof/>
                <w:webHidden/>
              </w:rPr>
              <w:t>15</w:t>
            </w:r>
            <w:r>
              <w:rPr>
                <w:noProof/>
                <w:webHidden/>
              </w:rPr>
              <w:fldChar w:fldCharType="end"/>
            </w:r>
          </w:hyperlink>
        </w:p>
        <w:p w14:paraId="73575E35" w14:textId="6BB2C102" w:rsidR="00EC1696" w:rsidRPr="003441E5" w:rsidRDefault="00EC1696" w:rsidP="00D16972">
          <w:r w:rsidRPr="003441E5">
            <w:rPr>
              <w:bCs/>
              <w:noProof/>
            </w:rPr>
            <w:fldChar w:fldCharType="end"/>
          </w:r>
        </w:p>
      </w:sdtContent>
    </w:sdt>
    <w:p w14:paraId="79C60133" w14:textId="77777777" w:rsidR="00AD032B" w:rsidRPr="003441E5" w:rsidRDefault="00AD032B" w:rsidP="00D16972"/>
    <w:p w14:paraId="3C28FBBC" w14:textId="77777777" w:rsidR="009F4B9D" w:rsidRPr="003441E5" w:rsidRDefault="009F4B9D" w:rsidP="00D16972"/>
    <w:p w14:paraId="4E78F329" w14:textId="5DC713F8" w:rsidR="0018644C" w:rsidRDefault="00A47778" w:rsidP="00770D6E">
      <w:pPr>
        <w:pStyle w:val="Heading1"/>
      </w:pPr>
      <w:bookmarkStart w:id="0" w:name="_Toc95487982"/>
      <w:r>
        <w:t>General comments</w:t>
      </w:r>
      <w:bookmarkEnd w:id="0"/>
      <w:r>
        <w:t xml:space="preserve"> </w:t>
      </w:r>
    </w:p>
    <w:p w14:paraId="7D95210B" w14:textId="1F0748B9" w:rsidR="00A97B51" w:rsidRPr="00D16972" w:rsidRDefault="00A97B51" w:rsidP="00D16972">
      <w:r w:rsidRPr="00D16972">
        <w:t xml:space="preserve">ACCAN thanks the Treasury for the opportunity to comment on </w:t>
      </w:r>
      <w:r w:rsidR="00FE4F04" w:rsidRPr="00D16972">
        <w:t xml:space="preserve">improvements to </w:t>
      </w:r>
      <w:r w:rsidR="00F311C9">
        <w:t xml:space="preserve">the </w:t>
      </w:r>
      <w:r w:rsidR="00FE4F04" w:rsidRPr="00D16972">
        <w:t>consumer guarantee and supplier indemnification pro</w:t>
      </w:r>
      <w:r w:rsidR="00D93FCF" w:rsidRPr="00D16972">
        <w:t>visions in the Australian Consumer Law</w:t>
      </w:r>
      <w:r w:rsidR="002A7128" w:rsidRPr="00D16972">
        <w:t xml:space="preserve"> (</w:t>
      </w:r>
      <w:r w:rsidR="002A7128" w:rsidRPr="004C09FE">
        <w:rPr>
          <w:b/>
          <w:bCs/>
        </w:rPr>
        <w:t>ACL</w:t>
      </w:r>
      <w:r w:rsidR="002A7128" w:rsidRPr="00D16972">
        <w:t>).</w:t>
      </w:r>
    </w:p>
    <w:p w14:paraId="1ABEF617" w14:textId="64735388" w:rsidR="00E20264" w:rsidRPr="00D16972" w:rsidRDefault="004C09FE" w:rsidP="00D16972">
      <w:r>
        <w:t>T</w:t>
      </w:r>
      <w:r w:rsidR="00322D96" w:rsidRPr="00D16972">
        <w:t xml:space="preserve">here is </w:t>
      </w:r>
      <w:r>
        <w:t>overwhelming</w:t>
      </w:r>
      <w:r w:rsidR="00B81CB2" w:rsidRPr="00D16972">
        <w:t xml:space="preserve"> </w:t>
      </w:r>
      <w:r w:rsidR="00322D96" w:rsidRPr="00D16972">
        <w:t xml:space="preserve">evidence </w:t>
      </w:r>
      <w:r w:rsidR="00B81CB2" w:rsidRPr="00D16972">
        <w:t>to suggest</w:t>
      </w:r>
      <w:r w:rsidR="00322D96" w:rsidRPr="00D16972">
        <w:t xml:space="preserve"> that </w:t>
      </w:r>
      <w:r w:rsidR="00361B50" w:rsidRPr="00D16972">
        <w:t xml:space="preserve">regulatory intervention is needed to improve </w:t>
      </w:r>
      <w:r w:rsidR="00EB23A9" w:rsidRPr="00D16972">
        <w:t xml:space="preserve">ACL provisions </w:t>
      </w:r>
      <w:r w:rsidR="009A51B7" w:rsidRPr="00D16972">
        <w:t>relating</w:t>
      </w:r>
      <w:r w:rsidR="00EB23A9" w:rsidRPr="00D16972">
        <w:t xml:space="preserve"> </w:t>
      </w:r>
      <w:r w:rsidR="00D76543">
        <w:t xml:space="preserve">to </w:t>
      </w:r>
      <w:r w:rsidR="00EB23A9" w:rsidRPr="00D16972">
        <w:t xml:space="preserve">accessing remedies and supplier indemnification. </w:t>
      </w:r>
      <w:r w:rsidR="00B81CB2" w:rsidRPr="00D16972">
        <w:t>ACCAN’s comments</w:t>
      </w:r>
      <w:r w:rsidR="009A51B7" w:rsidRPr="00D16972">
        <w:t xml:space="preserve"> </w:t>
      </w:r>
      <w:r w:rsidR="00BB3BAC" w:rsidRPr="00D16972">
        <w:t xml:space="preserve">will focus on the needs and experiences of communications consumers particularly in relation to accessing remedies, but also regarding supplier indemnification for telecommunications </w:t>
      </w:r>
      <w:r w:rsidR="002629DE" w:rsidRPr="00D16972">
        <w:t>products and services</w:t>
      </w:r>
      <w:r w:rsidR="00BB3BAC" w:rsidRPr="00D16972">
        <w:t xml:space="preserve"> which do not </w:t>
      </w:r>
      <w:r w:rsidR="00E83B1E">
        <w:t xml:space="preserve">meet </w:t>
      </w:r>
      <w:r w:rsidR="00F620BB">
        <w:t>consumer guarantees</w:t>
      </w:r>
      <w:r w:rsidR="005D4723" w:rsidRPr="00D16972">
        <w:t>.</w:t>
      </w:r>
      <w:r w:rsidR="00F620BB">
        <w:t xml:space="preserve"> </w:t>
      </w:r>
      <w:r w:rsidR="00F620BB" w:rsidRPr="00FB175F">
        <w:t>In addition to our comments, w</w:t>
      </w:r>
      <w:r w:rsidR="00B81CB2" w:rsidRPr="00FB175F">
        <w:t>e endorse</w:t>
      </w:r>
      <w:r w:rsidR="00F620BB" w:rsidRPr="00FB175F">
        <w:t xml:space="preserve"> the </w:t>
      </w:r>
      <w:r w:rsidR="00B91A56" w:rsidRPr="00FB175F">
        <w:t xml:space="preserve">joint </w:t>
      </w:r>
      <w:r w:rsidR="00F620BB" w:rsidRPr="00FB175F">
        <w:t>submission</w:t>
      </w:r>
      <w:r w:rsidR="00331D01" w:rsidRPr="00FB175F">
        <w:t xml:space="preserve"> of</w:t>
      </w:r>
      <w:r w:rsidR="00E20264" w:rsidRPr="00FB175F">
        <w:t xml:space="preserve"> </w:t>
      </w:r>
      <w:r w:rsidR="00B91A56" w:rsidRPr="00FB175F">
        <w:t xml:space="preserve">CHOICE, Consumer Action Legal Centre, </w:t>
      </w:r>
      <w:r w:rsidR="00917E5D" w:rsidRPr="00FB175F">
        <w:t xml:space="preserve">Consumer Credit Legal Service WA and </w:t>
      </w:r>
      <w:proofErr w:type="spellStart"/>
      <w:r w:rsidR="00917E5D" w:rsidRPr="00FB175F">
        <w:t>WEstjustice</w:t>
      </w:r>
      <w:proofErr w:type="spellEnd"/>
      <w:r w:rsidR="00917E5D" w:rsidRPr="00FB175F">
        <w:t xml:space="preserve"> </w:t>
      </w:r>
      <w:r w:rsidR="009A51B7" w:rsidRPr="00FB175F">
        <w:t>and point to the need for reform across all consumer markets</w:t>
      </w:r>
      <w:r w:rsidR="004D582D" w:rsidRPr="00FB175F">
        <w:t xml:space="preserve"> as put forward in th</w:t>
      </w:r>
      <w:r w:rsidR="00917E5D" w:rsidRPr="00FB175F">
        <w:t>is</w:t>
      </w:r>
      <w:r w:rsidR="004D582D" w:rsidRPr="00FB175F">
        <w:t xml:space="preserve"> submission</w:t>
      </w:r>
      <w:r w:rsidR="006E4DD3" w:rsidRPr="00FB175F">
        <w:t>.</w:t>
      </w:r>
      <w:r w:rsidR="00D00590">
        <w:t xml:space="preserve"> </w:t>
      </w:r>
      <w:r w:rsidR="00FB175F">
        <w:t xml:space="preserve">Consumer Action Law Centre, Consumer Credit Legal Service WA, and </w:t>
      </w:r>
      <w:proofErr w:type="spellStart"/>
      <w:r w:rsidR="00FB175F">
        <w:t>WEstjustice</w:t>
      </w:r>
      <w:proofErr w:type="spellEnd"/>
      <w:r w:rsidR="00FB175F">
        <w:t xml:space="preserve"> have </w:t>
      </w:r>
      <w:r w:rsidR="00BE08A4">
        <w:t xml:space="preserve">also </w:t>
      </w:r>
      <w:r w:rsidR="00FB175F">
        <w:t xml:space="preserve">endorsed </w:t>
      </w:r>
      <w:r w:rsidR="002B288C">
        <w:t>our submission</w:t>
      </w:r>
      <w:r w:rsidR="00FB175F">
        <w:t>.</w:t>
      </w:r>
    </w:p>
    <w:p w14:paraId="7D022057" w14:textId="073F5514" w:rsidR="00675FE8" w:rsidRDefault="006C7056" w:rsidP="00D16972">
      <w:r>
        <w:t xml:space="preserve">Telecommunications are essential services. </w:t>
      </w:r>
      <w:r w:rsidR="0091417B">
        <w:t>It is critical</w:t>
      </w:r>
      <w:r w:rsidR="0097152F">
        <w:t xml:space="preserve"> that where there is a problem with a device or service, a </w:t>
      </w:r>
      <w:r w:rsidR="00675FE8">
        <w:t>person</w:t>
      </w:r>
      <w:r w:rsidR="0097152F">
        <w:t xml:space="preserve"> </w:t>
      </w:r>
      <w:r w:rsidR="005165B0">
        <w:t>can</w:t>
      </w:r>
      <w:r w:rsidR="0097152F">
        <w:t xml:space="preserve"> </w:t>
      </w:r>
      <w:r w:rsidR="00675FE8">
        <w:t xml:space="preserve">quickly </w:t>
      </w:r>
      <w:r w:rsidR="0097152F">
        <w:t xml:space="preserve">access </w:t>
      </w:r>
      <w:r w:rsidR="00675FE8">
        <w:t>a fair remedy. However, ACCAN submits that c</w:t>
      </w:r>
      <w:r w:rsidR="00020616" w:rsidRPr="00D16972">
        <w:t>ommunications consumers are not always able to access</w:t>
      </w:r>
      <w:r w:rsidR="00675FE8">
        <w:t xml:space="preserve"> </w:t>
      </w:r>
      <w:r w:rsidR="00D35B99" w:rsidRPr="00D16972">
        <w:t>remedies for consumer guarantee failure</w:t>
      </w:r>
      <w:r w:rsidR="00675FE8">
        <w:t>s</w:t>
      </w:r>
      <w:r w:rsidR="00D35B99" w:rsidRPr="00D16972">
        <w:t>. Pursuing a remedy can be incredibly time</w:t>
      </w:r>
      <w:r w:rsidR="000E5D1B" w:rsidRPr="00D16972">
        <w:t>-consuming</w:t>
      </w:r>
      <w:r w:rsidR="00E6705D">
        <w:t xml:space="preserve">, and too often </w:t>
      </w:r>
      <w:r w:rsidR="00790A2F">
        <w:t xml:space="preserve">communications </w:t>
      </w:r>
      <w:r w:rsidR="00E6705D">
        <w:t xml:space="preserve">consumers </w:t>
      </w:r>
      <w:r w:rsidR="00741604">
        <w:t>are left out of pocket or</w:t>
      </w:r>
      <w:r w:rsidR="00E91690" w:rsidRPr="00D16972">
        <w:t xml:space="preserve"> without a working</w:t>
      </w:r>
      <w:r w:rsidR="004D582D" w:rsidRPr="00D16972">
        <w:t xml:space="preserve"> or suitable</w:t>
      </w:r>
      <w:r w:rsidR="00E91690" w:rsidRPr="00D16972">
        <w:t xml:space="preserve"> phone or internet service </w:t>
      </w:r>
      <w:r w:rsidR="00E6705D">
        <w:t xml:space="preserve">while </w:t>
      </w:r>
      <w:r w:rsidR="00C03631">
        <w:t>pursuing a remedy</w:t>
      </w:r>
      <w:r w:rsidR="00E91690" w:rsidRPr="00D16972">
        <w:t xml:space="preserve">. </w:t>
      </w:r>
      <w:r w:rsidR="00FC627B">
        <w:t>The ACL, and indeed</w:t>
      </w:r>
      <w:r w:rsidR="00E1533D">
        <w:t xml:space="preserve"> the Consultation </w:t>
      </w:r>
      <w:r w:rsidR="00FC0D5F">
        <w:t>Regulat</w:t>
      </w:r>
      <w:r w:rsidR="00F157AD">
        <w:t>ion</w:t>
      </w:r>
      <w:r w:rsidR="00FC0D5F">
        <w:t xml:space="preserve"> Impact Statement (</w:t>
      </w:r>
      <w:r w:rsidR="00E1533D" w:rsidRPr="00F157AD">
        <w:rPr>
          <w:b/>
          <w:bCs/>
        </w:rPr>
        <w:t>RIS</w:t>
      </w:r>
      <w:r w:rsidR="00FC0D5F">
        <w:t>)</w:t>
      </w:r>
      <w:r w:rsidR="00E1533D">
        <w:t xml:space="preserve">, does not provide a sufficient level of guidance or consideration for the status of services </w:t>
      </w:r>
      <w:r w:rsidR="00FF51A5">
        <w:t>in relation to</w:t>
      </w:r>
      <w:r w:rsidR="00E1533D">
        <w:t xml:space="preserve"> consumer guarantees</w:t>
      </w:r>
      <w:r w:rsidR="00FF51A5">
        <w:t>.</w:t>
      </w:r>
      <w:r w:rsidR="00412FF0">
        <w:t xml:space="preserve"> </w:t>
      </w:r>
    </w:p>
    <w:p w14:paraId="55F7D8D6" w14:textId="01D5AAB2" w:rsidR="00020616" w:rsidRPr="00D16972" w:rsidRDefault="00141D3C" w:rsidP="00D16972">
      <w:r w:rsidRPr="00D16972">
        <w:t xml:space="preserve">As market stewards, governments have </w:t>
      </w:r>
      <w:r w:rsidR="003A6D55" w:rsidRPr="00D16972">
        <w:t xml:space="preserve">an active </w:t>
      </w:r>
      <w:r w:rsidRPr="00D16972">
        <w:t>responsibility to consumers to ensure that markets work fairly</w:t>
      </w:r>
      <w:r w:rsidR="003A6D55" w:rsidRPr="00D16972">
        <w:t xml:space="preserve"> and efficiently</w:t>
      </w:r>
      <w:r w:rsidR="001C763F">
        <w:t>, especially where markets are complex and consumers may have difficulty navigating them</w:t>
      </w:r>
      <w:r w:rsidRPr="00D16972">
        <w:t>.</w:t>
      </w:r>
      <w:r w:rsidR="00A72165" w:rsidRPr="00616F31">
        <w:rPr>
          <w:rStyle w:val="FootnoteReference"/>
        </w:rPr>
        <w:footnoteReference w:id="2"/>
      </w:r>
      <w:r w:rsidRPr="00D16972">
        <w:t xml:space="preserve"> It is therefore essential that Treasury adopts </w:t>
      </w:r>
      <w:r w:rsidR="00445E66" w:rsidRPr="00D16972">
        <w:t>reforms to the ACL which would improve consumers’ ability to access remedies for consumer guarantee failures, and improve the supply chain efficiency and indemnity to provide consumers timely</w:t>
      </w:r>
      <w:r w:rsidR="006C6128">
        <w:t xml:space="preserve"> and fair</w:t>
      </w:r>
      <w:r w:rsidR="00445E66" w:rsidRPr="00D16972">
        <w:t xml:space="preserve"> access to remedies. </w:t>
      </w:r>
    </w:p>
    <w:p w14:paraId="335BA684" w14:textId="19C23A18" w:rsidR="00A97B51" w:rsidRDefault="009B46C4" w:rsidP="00F23254">
      <w:pPr>
        <w:pStyle w:val="Heading2"/>
      </w:pPr>
      <w:bookmarkStart w:id="1" w:name="_Toc95487983"/>
      <w:r>
        <w:t xml:space="preserve">ACCAN’s </w:t>
      </w:r>
      <w:r w:rsidR="00770D6E">
        <w:t>view</w:t>
      </w:r>
      <w:r w:rsidR="004C09FE">
        <w:t xml:space="preserve"> </w:t>
      </w:r>
      <w:r w:rsidR="00770D6E">
        <w:t>on the</w:t>
      </w:r>
      <w:r w:rsidR="004C09FE">
        <w:t xml:space="preserve"> </w:t>
      </w:r>
      <w:r w:rsidR="00770D6E">
        <w:t>C</w:t>
      </w:r>
      <w:r w:rsidR="004C09FE">
        <w:t>onsultation RIS options</w:t>
      </w:r>
      <w:bookmarkEnd w:id="1"/>
    </w:p>
    <w:p w14:paraId="47B2D6BF" w14:textId="77777777" w:rsidR="00F65131" w:rsidRDefault="00F65131" w:rsidP="00F65131">
      <w:pPr>
        <w:pStyle w:val="Heading3"/>
        <w:ind w:left="0" w:firstLine="0"/>
      </w:pPr>
      <w:bookmarkStart w:id="2" w:name="_Toc95487984"/>
      <w:r>
        <w:t>Part A: Receiving remedies</w:t>
      </w:r>
      <w:bookmarkEnd w:id="2"/>
      <w:r>
        <w:t xml:space="preserve"> </w:t>
      </w:r>
    </w:p>
    <w:p w14:paraId="56587C3F" w14:textId="588008EC" w:rsidR="00F65131" w:rsidRPr="00F65131" w:rsidRDefault="00A72842" w:rsidP="00D16972">
      <w:r>
        <w:t>ACCAN urges</w:t>
      </w:r>
      <w:r w:rsidR="00D2243A">
        <w:t xml:space="preserve"> the</w:t>
      </w:r>
      <w:r>
        <w:t xml:space="preserve"> Consumer Senior Officials to adopt Part A Option 3.a. in the Decision RIS. </w:t>
      </w:r>
      <w:r w:rsidR="0005550C">
        <w:t>These a</w:t>
      </w:r>
      <w:r w:rsidR="002A7128">
        <w:t xml:space="preserve">mendments </w:t>
      </w:r>
      <w:r w:rsidR="00FB4B18">
        <w:t>would</w:t>
      </w:r>
      <w:r w:rsidR="00671CFC">
        <w:t xml:space="preserve"> prohibit suppliers from </w:t>
      </w:r>
      <w:r w:rsidR="00671CFC" w:rsidRPr="00671CFC">
        <w:t xml:space="preserve">not providing a remedy for a consumer guarantee failure </w:t>
      </w:r>
      <w:r w:rsidR="00130883">
        <w:t xml:space="preserve">as </w:t>
      </w:r>
      <w:r w:rsidR="00671CFC" w:rsidRPr="00671CFC">
        <w:t xml:space="preserve">required </w:t>
      </w:r>
      <w:r w:rsidR="00130883">
        <w:t>by</w:t>
      </w:r>
      <w:r w:rsidR="00671CFC" w:rsidRPr="00671CFC">
        <w:t xml:space="preserve"> law</w:t>
      </w:r>
      <w:r w:rsidR="004D497A">
        <w:t xml:space="preserve">. </w:t>
      </w:r>
      <w:r w:rsidR="00B30711">
        <w:t xml:space="preserve">Failure to </w:t>
      </w:r>
      <w:r w:rsidR="007170E1">
        <w:t>provide a remedy should incur</w:t>
      </w:r>
      <w:r w:rsidR="008A622F">
        <w:t xml:space="preserve"> civil penalties</w:t>
      </w:r>
      <w:r w:rsidR="00A54A09">
        <w:t xml:space="preserve"> proportionate to the misconduct. </w:t>
      </w:r>
      <w:r w:rsidR="00465692">
        <w:t>This legislative change</w:t>
      </w:r>
      <w:r w:rsidR="00A12CCA">
        <w:t xml:space="preserve"> should be implemented across the whole of the Australian economy to </w:t>
      </w:r>
      <w:r w:rsidR="00465692">
        <w:t>support all</w:t>
      </w:r>
      <w:r w:rsidR="00A12CCA">
        <w:t xml:space="preserve"> consumers</w:t>
      </w:r>
      <w:r w:rsidR="000D5C95">
        <w:t xml:space="preserve"> to</w:t>
      </w:r>
      <w:r w:rsidR="00A12CCA">
        <w:t xml:space="preserve"> </w:t>
      </w:r>
      <w:r w:rsidR="00465692">
        <w:t xml:space="preserve">access </w:t>
      </w:r>
      <w:r w:rsidR="00F20524">
        <w:t>the remedies they are entitled to.</w:t>
      </w:r>
      <w:r w:rsidR="00E57E2E">
        <w:t xml:space="preserve"> </w:t>
      </w:r>
      <w:r w:rsidR="00A37B6B">
        <w:t xml:space="preserve">While a consumer, supplier and manufacturer education and guidance campaign may expand awareness of </w:t>
      </w:r>
      <w:r w:rsidR="00083AE4">
        <w:t xml:space="preserve">consumer guarantees, only </w:t>
      </w:r>
      <w:r w:rsidR="00B30711">
        <w:t>enforceable ACL amendments</w:t>
      </w:r>
      <w:r w:rsidR="00A54A09">
        <w:t xml:space="preserve"> will provide a powerful enough </w:t>
      </w:r>
      <w:r w:rsidR="00130883">
        <w:t>incentive to encourage suppliers to provide remedies when required</w:t>
      </w:r>
      <w:r w:rsidR="00E94C0E">
        <w:t>, as demonstrated by the success of</w:t>
      </w:r>
      <w:r w:rsidR="008B1233">
        <w:t xml:space="preserve"> certain</w:t>
      </w:r>
      <w:r w:rsidR="00E94C0E">
        <w:t xml:space="preserve"> improved consumer protections </w:t>
      </w:r>
      <w:r w:rsidR="008B1233">
        <w:t xml:space="preserve">in the telecommunications sector. </w:t>
      </w:r>
    </w:p>
    <w:p w14:paraId="1C4EC90A" w14:textId="4B5F1B90" w:rsidR="00F65131" w:rsidRDefault="00F65131" w:rsidP="00F65131">
      <w:pPr>
        <w:pStyle w:val="Heading3"/>
      </w:pPr>
      <w:bookmarkStart w:id="3" w:name="_Toc95487985"/>
      <w:r>
        <w:t>Part B: Supplier indemnification</w:t>
      </w:r>
      <w:bookmarkEnd w:id="3"/>
      <w:r>
        <w:t xml:space="preserve"> </w:t>
      </w:r>
    </w:p>
    <w:p w14:paraId="1ACDEB8E" w14:textId="429A28A2" w:rsidR="008B1233" w:rsidRDefault="009B46C4" w:rsidP="00D16972">
      <w:r>
        <w:t xml:space="preserve">ACCAN supports Part B </w:t>
      </w:r>
      <w:r w:rsidR="008B1233">
        <w:t>O</w:t>
      </w:r>
      <w:r w:rsidR="00821A61">
        <w:t xml:space="preserve">ptions </w:t>
      </w:r>
      <w:r w:rsidR="00430F6A">
        <w:t>3.a</w:t>
      </w:r>
      <w:r w:rsidR="000A7114">
        <w:t>.</w:t>
      </w:r>
      <w:r w:rsidR="008B1233">
        <w:t xml:space="preserve"> and </w:t>
      </w:r>
      <w:r w:rsidR="00821A61">
        <w:t>4.a</w:t>
      </w:r>
      <w:r w:rsidR="000A7114">
        <w:t>.</w:t>
      </w:r>
      <w:r w:rsidR="003E2D4B">
        <w:t xml:space="preserve"> of the Consultation RIS. These options </w:t>
      </w:r>
      <w:r w:rsidR="00B5254B">
        <w:t xml:space="preserve">prohibit </w:t>
      </w:r>
      <w:r w:rsidR="00D47D13">
        <w:t>manufacturers and importers</w:t>
      </w:r>
      <w:r w:rsidR="00314658">
        <w:t xml:space="preserve"> </w:t>
      </w:r>
      <w:r w:rsidR="00172CF3">
        <w:t xml:space="preserve">from </w:t>
      </w:r>
      <w:r w:rsidR="00B5254B">
        <w:t>fail</w:t>
      </w:r>
      <w:r w:rsidR="00C920FC">
        <w:t>ing</w:t>
      </w:r>
      <w:r w:rsidR="00B5254B">
        <w:t xml:space="preserve"> to </w:t>
      </w:r>
      <w:r w:rsidR="000A7114" w:rsidRPr="000A7114">
        <w:t>indemnify suppliers where a consumer guarantee failure falls within the</w:t>
      </w:r>
      <w:r w:rsidR="00314658">
        <w:t>ir</w:t>
      </w:r>
      <w:r w:rsidR="000A7114" w:rsidRPr="000A7114">
        <w:t xml:space="preserve"> responsibility</w:t>
      </w:r>
      <w:r w:rsidR="00672184">
        <w:t xml:space="preserve">. They also </w:t>
      </w:r>
      <w:r w:rsidR="00532DDC">
        <w:t>prevent</w:t>
      </w:r>
      <w:r w:rsidR="00927494">
        <w:t xml:space="preserve"> </w:t>
      </w:r>
      <w:r w:rsidR="002B26E3">
        <w:t>manufacturers and import</w:t>
      </w:r>
      <w:r w:rsidR="00927494">
        <w:t>er</w:t>
      </w:r>
      <w:r w:rsidR="002B26E3">
        <w:t>s fr</w:t>
      </w:r>
      <w:r w:rsidR="00172CF3">
        <w:t>o</w:t>
      </w:r>
      <w:r w:rsidR="002B26E3">
        <w:t>m retaliating against suppliers seeking indemnity.</w:t>
      </w:r>
      <w:r w:rsidR="00C920FC">
        <w:t xml:space="preserve"> These reforms will support suppliers to offer timely and fair remedies to consumers</w:t>
      </w:r>
      <w:r w:rsidR="00927494">
        <w:t xml:space="preserve"> whose </w:t>
      </w:r>
      <w:r w:rsidR="005D43BD">
        <w:t xml:space="preserve">phone and internet products and services do not meet </w:t>
      </w:r>
      <w:r w:rsidR="00520193">
        <w:t>consumer guarantees</w:t>
      </w:r>
      <w:r w:rsidR="00C920FC">
        <w:t xml:space="preserve">. </w:t>
      </w:r>
      <w:r w:rsidR="004A21EE">
        <w:t>Consumers should be confident that regardless of where responsibility for a consumer guarantee failure</w:t>
      </w:r>
      <w:r w:rsidR="00520193">
        <w:t xml:space="preserve"> </w:t>
      </w:r>
      <w:proofErr w:type="gramStart"/>
      <w:r w:rsidR="00520193">
        <w:t>lies,</w:t>
      </w:r>
      <w:proofErr w:type="gramEnd"/>
      <w:r w:rsidR="00520193">
        <w:t xml:space="preserve"> a remedy </w:t>
      </w:r>
      <w:r w:rsidR="00F27D3C">
        <w:t xml:space="preserve">will </w:t>
      </w:r>
      <w:r w:rsidR="00520193">
        <w:t>be fair and quickly accessible</w:t>
      </w:r>
      <w:r w:rsidR="00C80445">
        <w:t>. C</w:t>
      </w:r>
      <w:r w:rsidR="00532DDC">
        <w:t>larifying and improving</w:t>
      </w:r>
      <w:r w:rsidR="00C80445">
        <w:t xml:space="preserve"> the fairness of</w:t>
      </w:r>
      <w:r w:rsidR="00532DDC">
        <w:t xml:space="preserve"> supply chain arrangements will contribute to this end</w:t>
      </w:r>
      <w:r w:rsidR="00520193">
        <w:t xml:space="preserve">. </w:t>
      </w:r>
    </w:p>
    <w:p w14:paraId="0DE37B95" w14:textId="74CAE1B8" w:rsidR="00520193" w:rsidRDefault="009B46C4" w:rsidP="00F23254">
      <w:pPr>
        <w:pStyle w:val="Heading2"/>
      </w:pPr>
      <w:bookmarkStart w:id="4" w:name="_Toc95487986"/>
      <w:r>
        <w:t xml:space="preserve">Summary of </w:t>
      </w:r>
      <w:r w:rsidR="00C06C41">
        <w:t xml:space="preserve">communications consumer </w:t>
      </w:r>
      <w:r>
        <w:t>issues</w:t>
      </w:r>
      <w:bookmarkEnd w:id="4"/>
      <w:r>
        <w:t xml:space="preserve"> </w:t>
      </w:r>
    </w:p>
    <w:p w14:paraId="4CF8DD78" w14:textId="37A1E344" w:rsidR="004C5199" w:rsidRDefault="004C5199" w:rsidP="004C5199">
      <w:r>
        <w:t>ACCAN’s submission will focus on the following points:</w:t>
      </w:r>
    </w:p>
    <w:p w14:paraId="6F0773A5" w14:textId="101BF7EE" w:rsidR="004C5199" w:rsidRDefault="004C5199" w:rsidP="005409B5">
      <w:pPr>
        <w:pStyle w:val="ListParagraph"/>
        <w:numPr>
          <w:ilvl w:val="0"/>
          <w:numId w:val="15"/>
        </w:numPr>
      </w:pPr>
      <w:r w:rsidRPr="004C5199">
        <w:t>Consumers do</w:t>
      </w:r>
      <w:r w:rsidR="000D5A58">
        <w:t xml:space="preserve"> no</w:t>
      </w:r>
      <w:r w:rsidRPr="004C5199">
        <w:t>t always receive the remedies they are entitled to</w:t>
      </w:r>
      <w:r>
        <w:t>.</w:t>
      </w:r>
    </w:p>
    <w:p w14:paraId="27BEC272" w14:textId="407E297A" w:rsidR="004C5199" w:rsidRDefault="004C5199" w:rsidP="005409B5">
      <w:pPr>
        <w:pStyle w:val="ListParagraph"/>
        <w:numPr>
          <w:ilvl w:val="0"/>
          <w:numId w:val="15"/>
        </w:numPr>
      </w:pPr>
      <w:r w:rsidRPr="004C5199">
        <w:t>Consumers spen</w:t>
      </w:r>
      <w:r w:rsidR="00F27D3C">
        <w:t>d</w:t>
      </w:r>
      <w:r w:rsidRPr="004C5199">
        <w:t xml:space="preserve"> too much time </w:t>
      </w:r>
      <w:r w:rsidR="00027E92">
        <w:t>negotiating</w:t>
      </w:r>
      <w:r w:rsidRPr="004C5199">
        <w:t xml:space="preserve"> remedies</w:t>
      </w:r>
      <w:r>
        <w:t>.</w:t>
      </w:r>
    </w:p>
    <w:p w14:paraId="75AD0784" w14:textId="0562E2A0" w:rsidR="004C5199" w:rsidRDefault="004C5199" w:rsidP="005409B5">
      <w:pPr>
        <w:pStyle w:val="ListParagraph"/>
        <w:numPr>
          <w:ilvl w:val="0"/>
          <w:numId w:val="15"/>
        </w:numPr>
      </w:pPr>
      <w:r w:rsidRPr="004C5199">
        <w:t>Stronger rules about providing remedies will incentivise fairness</w:t>
      </w:r>
      <w:r>
        <w:t>.</w:t>
      </w:r>
    </w:p>
    <w:p w14:paraId="3130178F" w14:textId="167FBD2A" w:rsidR="004C5199" w:rsidRDefault="004C5199" w:rsidP="005409B5">
      <w:pPr>
        <w:pStyle w:val="ListParagraph"/>
        <w:numPr>
          <w:ilvl w:val="0"/>
          <w:numId w:val="15"/>
        </w:numPr>
      </w:pPr>
      <w:r w:rsidRPr="004C5199">
        <w:t xml:space="preserve">Further consideration </w:t>
      </w:r>
      <w:r w:rsidR="00A00920">
        <w:t xml:space="preserve">and guidance </w:t>
      </w:r>
      <w:proofErr w:type="gramStart"/>
      <w:r w:rsidRPr="004C5199">
        <w:t>is</w:t>
      </w:r>
      <w:proofErr w:type="gramEnd"/>
      <w:r w:rsidRPr="004C5199">
        <w:t xml:space="preserve"> needed on how consumer guarantees apply to phone and internet services</w:t>
      </w:r>
      <w:r>
        <w:t>.</w:t>
      </w:r>
    </w:p>
    <w:p w14:paraId="28987A20" w14:textId="359A142C" w:rsidR="000B3418" w:rsidRPr="004C5199" w:rsidRDefault="00D540A3" w:rsidP="000B3418">
      <w:r>
        <w:t>Given ACCAN’s scope</w:t>
      </w:r>
      <w:r w:rsidR="005012A8">
        <w:t xml:space="preserve"> is limited to issues</w:t>
      </w:r>
      <w:r w:rsidR="00F23254">
        <w:t xml:space="preserve"> affecting phone and internet consumers</w:t>
      </w:r>
      <w:r>
        <w:t xml:space="preserve">, we </w:t>
      </w:r>
      <w:r w:rsidR="00717D7D">
        <w:t>do not answer each</w:t>
      </w:r>
      <w:r w:rsidR="005012A8">
        <w:t xml:space="preserve"> consultation</w:t>
      </w:r>
      <w:r w:rsidR="00717D7D">
        <w:t xml:space="preserve"> question in turn</w:t>
      </w:r>
      <w:r w:rsidR="004B12D3">
        <w:t xml:space="preserve"> </w:t>
      </w:r>
      <w:r w:rsidR="00A958D5">
        <w:t xml:space="preserve">and instead </w:t>
      </w:r>
      <w:r w:rsidR="004B12D3">
        <w:t>offer our feedback</w:t>
      </w:r>
      <w:r w:rsidR="00717D7D">
        <w:t xml:space="preserve"> in </w:t>
      </w:r>
      <w:r w:rsidR="004B12D3">
        <w:t>relation to relevant systemic issues facing</w:t>
      </w:r>
      <w:r w:rsidR="00D40518">
        <w:t xml:space="preserve"> communications </w:t>
      </w:r>
      <w:r w:rsidR="004B12D3">
        <w:t xml:space="preserve">consumers. </w:t>
      </w:r>
    </w:p>
    <w:p w14:paraId="19E41E07" w14:textId="6F83E1B3" w:rsidR="00E87753" w:rsidRDefault="00B351C3" w:rsidP="00E87753">
      <w:pPr>
        <w:pStyle w:val="Heading2"/>
      </w:pPr>
      <w:bookmarkStart w:id="5" w:name="_Toc95487987"/>
      <w:r>
        <w:t>List</w:t>
      </w:r>
      <w:r w:rsidR="00E87753">
        <w:t xml:space="preserve"> of recommendations</w:t>
      </w:r>
      <w:bookmarkEnd w:id="5"/>
    </w:p>
    <w:p w14:paraId="7EECC47E" w14:textId="77777777" w:rsidR="00B351C3" w:rsidRPr="00B351C3" w:rsidRDefault="00B351C3" w:rsidP="005409B5">
      <w:pPr>
        <w:pStyle w:val="Recommendation"/>
        <w:spacing w:after="240" w:afterAutospacing="0"/>
      </w:pPr>
      <w:r w:rsidRPr="00B351C3">
        <w:t xml:space="preserve">That the Decision RIS proposes reforms to the way in which consumer guarantee failures are </w:t>
      </w:r>
      <w:r w:rsidRPr="00B351C3">
        <w:rPr>
          <w:rStyle w:val="RecommendationChar"/>
        </w:rPr>
        <w:t>managed</w:t>
      </w:r>
      <w:r w:rsidRPr="00B351C3">
        <w:t xml:space="preserve"> under the ACL.</w:t>
      </w:r>
    </w:p>
    <w:p w14:paraId="5C3B04F7" w14:textId="77777777" w:rsidR="00B351C3" w:rsidRPr="00B351C3" w:rsidRDefault="00B351C3" w:rsidP="005409B5">
      <w:pPr>
        <w:pStyle w:val="Recommendation"/>
        <w:spacing w:after="240" w:afterAutospacing="0"/>
      </w:pPr>
      <w:r w:rsidRPr="00B351C3">
        <w:t xml:space="preserve">That the Decision RIS finds that civil prohibitions are necessary to improve access to remedies and indemnification arrangements under the ACL. </w:t>
      </w:r>
    </w:p>
    <w:p w14:paraId="5F3A66D9" w14:textId="77777777" w:rsidR="00B351C3" w:rsidRPr="00B351C3" w:rsidRDefault="00B351C3" w:rsidP="005409B5">
      <w:pPr>
        <w:pStyle w:val="Recommendation"/>
        <w:spacing w:after="240" w:afterAutospacing="0"/>
      </w:pPr>
      <w:r w:rsidRPr="00B351C3">
        <w:t xml:space="preserve">That the Decision RIS supports a bold enforcement regime to ensure compliance with ACL reforms. </w:t>
      </w:r>
    </w:p>
    <w:p w14:paraId="5E887AFB" w14:textId="77777777" w:rsidR="00B351C3" w:rsidRPr="00B351C3" w:rsidRDefault="00B351C3" w:rsidP="005409B5">
      <w:pPr>
        <w:pStyle w:val="Recommendation"/>
        <w:spacing w:after="240" w:afterAutospacing="0"/>
      </w:pPr>
      <w:r w:rsidRPr="00B351C3">
        <w:t xml:space="preserve">That the Decision RIS highlights the need for telecommunications-specific guidance on the application of consumer guarantees targeted at both consumers and industry. </w:t>
      </w:r>
    </w:p>
    <w:p w14:paraId="34E2DB75" w14:textId="77777777" w:rsidR="00B351C3" w:rsidRPr="00B351C3" w:rsidRDefault="00B351C3" w:rsidP="005409B5">
      <w:pPr>
        <w:pStyle w:val="Recommendation"/>
        <w:spacing w:after="240" w:afterAutospacing="0"/>
      </w:pPr>
      <w:r w:rsidRPr="00B351C3">
        <w:t xml:space="preserve">That the Decision RIS considers instances where suppliers should proactively offer remedies to affected consumers. </w:t>
      </w:r>
    </w:p>
    <w:p w14:paraId="7E09DD09" w14:textId="77777777" w:rsidR="00B351C3" w:rsidRPr="00B351C3" w:rsidRDefault="00B351C3" w:rsidP="005409B5">
      <w:pPr>
        <w:pStyle w:val="Recommendation"/>
        <w:spacing w:after="240" w:afterAutospacing="0"/>
      </w:pPr>
      <w:r w:rsidRPr="00B351C3">
        <w:t xml:space="preserve">That the Decision RIS recommends Options 3.a. and 4.a. </w:t>
      </w:r>
    </w:p>
    <w:p w14:paraId="42CAEB31" w14:textId="039132E5" w:rsidR="00B351C3" w:rsidRPr="005409B5" w:rsidRDefault="00B351C3" w:rsidP="00B351C3">
      <w:pPr>
        <w:pStyle w:val="Recommendation"/>
        <w:spacing w:after="240" w:afterAutospacing="0"/>
      </w:pPr>
      <w:r w:rsidRPr="00B351C3">
        <w:t xml:space="preserve">That the Decision RIS explicitly states that where a repair takes too long as part of the provision of a remedy, a consumer should be entitled to replacement or refund. </w:t>
      </w:r>
    </w:p>
    <w:p w14:paraId="43CC810E" w14:textId="10106C8C" w:rsidR="00853322" w:rsidRDefault="00853322" w:rsidP="00A958D5">
      <w:pPr>
        <w:pStyle w:val="Heading1"/>
        <w:numPr>
          <w:ilvl w:val="0"/>
          <w:numId w:val="14"/>
        </w:numPr>
      </w:pPr>
      <w:bookmarkStart w:id="6" w:name="_Toc95487988"/>
      <w:r>
        <w:t>Response to Part A: Remedies</w:t>
      </w:r>
      <w:bookmarkEnd w:id="6"/>
    </w:p>
    <w:p w14:paraId="227A6574" w14:textId="6C672448" w:rsidR="00770D6E" w:rsidRPr="00A958D5" w:rsidRDefault="00770D6E" w:rsidP="00A958D5">
      <w:pPr>
        <w:pStyle w:val="Heading2"/>
        <w:numPr>
          <w:ilvl w:val="1"/>
          <w:numId w:val="3"/>
        </w:numPr>
      </w:pPr>
      <w:bookmarkStart w:id="7" w:name="_Toc95487989"/>
      <w:r w:rsidRPr="00A958D5">
        <w:t>Consumers do</w:t>
      </w:r>
      <w:r w:rsidR="007D4699">
        <w:t xml:space="preserve"> </w:t>
      </w:r>
      <w:r w:rsidRPr="00A958D5">
        <w:t>n</w:t>
      </w:r>
      <w:r w:rsidR="007D4699">
        <w:t>o</w:t>
      </w:r>
      <w:r w:rsidRPr="00A958D5">
        <w:t>t always receive the remedies they are entitled to</w:t>
      </w:r>
      <w:bookmarkEnd w:id="7"/>
      <w:r w:rsidRPr="00A958D5">
        <w:t xml:space="preserve"> </w:t>
      </w:r>
    </w:p>
    <w:p w14:paraId="4C92D082" w14:textId="1CF03644" w:rsidR="00770D6E" w:rsidRDefault="00770D6E" w:rsidP="00770D6E">
      <w:r>
        <w:t xml:space="preserve">As the Consultation RIS notes, there is extensive evidence that consumers experience immense barriers to accessing remedies for consumer guarantee failures due to </w:t>
      </w:r>
      <w:r w:rsidR="00DE5785">
        <w:t xml:space="preserve">the </w:t>
      </w:r>
      <w:r>
        <w:t>limited incentives for suppliers and manufacturers to comply with their ACL obligations.</w:t>
      </w:r>
      <w:r>
        <w:rPr>
          <w:rStyle w:val="FootnoteReference"/>
        </w:rPr>
        <w:footnoteReference w:id="3"/>
      </w:r>
      <w:r>
        <w:t xml:space="preserve"> </w:t>
      </w:r>
    </w:p>
    <w:p w14:paraId="3755DC00" w14:textId="77777777" w:rsidR="00770D6E" w:rsidRDefault="00770D6E" w:rsidP="00770D6E">
      <w:r>
        <w:t>ACCAN is frequently contacted by consumers regarding telecommunications product and service failures they have had difficulty seeking remedies for, for a variety of common reasons including:</w:t>
      </w:r>
    </w:p>
    <w:p w14:paraId="73E5BE7E" w14:textId="0268D76E" w:rsidR="00770D6E" w:rsidRDefault="00770D6E" w:rsidP="009F692F">
      <w:pPr>
        <w:pStyle w:val="ListParagraph"/>
        <w:numPr>
          <w:ilvl w:val="0"/>
          <w:numId w:val="11"/>
        </w:numPr>
      </w:pPr>
      <w:r>
        <w:t xml:space="preserve">Difficulty getting in contact with their </w:t>
      </w:r>
      <w:r w:rsidR="00283479">
        <w:t xml:space="preserve">telecommunications </w:t>
      </w:r>
      <w:r>
        <w:t>retail service provider (</w:t>
      </w:r>
      <w:r w:rsidRPr="00CF4B72">
        <w:rPr>
          <w:b/>
          <w:bCs/>
        </w:rPr>
        <w:t>RSP</w:t>
      </w:r>
      <w:r>
        <w:t xml:space="preserve">) due to a lack of </w:t>
      </w:r>
      <w:proofErr w:type="spellStart"/>
      <w:r>
        <w:t>contactability</w:t>
      </w:r>
      <w:proofErr w:type="spellEnd"/>
      <w:r>
        <w:t>, excessive wait times for customer service, or inaccessible communications channels.</w:t>
      </w:r>
    </w:p>
    <w:p w14:paraId="4FC9E773" w14:textId="77777777" w:rsidR="00770D6E" w:rsidRDefault="00770D6E" w:rsidP="009F692F">
      <w:pPr>
        <w:pStyle w:val="ListParagraph"/>
        <w:numPr>
          <w:ilvl w:val="0"/>
          <w:numId w:val="11"/>
        </w:numPr>
      </w:pPr>
      <w:r>
        <w:t xml:space="preserve">Unfair dispute resolution processes where an RSP offers an unsuitable </w:t>
      </w:r>
      <w:proofErr w:type="gramStart"/>
      <w:r>
        <w:t>remedy, or</w:t>
      </w:r>
      <w:proofErr w:type="gramEnd"/>
      <w:r>
        <w:t xml:space="preserve"> refuses to offer a remedy at all.</w:t>
      </w:r>
    </w:p>
    <w:p w14:paraId="0FC11467" w14:textId="65500BE3" w:rsidR="00770D6E" w:rsidRDefault="00770D6E" w:rsidP="009F692F">
      <w:pPr>
        <w:pStyle w:val="ListParagraph"/>
        <w:numPr>
          <w:ilvl w:val="0"/>
          <w:numId w:val="11"/>
        </w:numPr>
      </w:pPr>
      <w:r>
        <w:t xml:space="preserve">Buck-passing between RSPs and wholesale network operators, where the parties either fail to co-ordinate to provide a </w:t>
      </w:r>
      <w:proofErr w:type="gramStart"/>
      <w:r>
        <w:t>remedy, or</w:t>
      </w:r>
      <w:proofErr w:type="gramEnd"/>
      <w:r>
        <w:t xml:space="preserve"> refuse to take responsibility for resolving the problem.</w:t>
      </w:r>
      <w:r w:rsidR="00E509D8">
        <w:t xml:space="preserve"> </w:t>
      </w:r>
    </w:p>
    <w:p w14:paraId="7D385CED" w14:textId="5DF3A1FE" w:rsidR="00770D6E" w:rsidRDefault="00405954" w:rsidP="009F692F">
      <w:pPr>
        <w:pStyle w:val="ListParagraph"/>
        <w:numPr>
          <w:ilvl w:val="0"/>
          <w:numId w:val="11"/>
        </w:numPr>
      </w:pPr>
      <w:r>
        <w:t xml:space="preserve">Consumer, </w:t>
      </w:r>
      <w:proofErr w:type="gramStart"/>
      <w:r>
        <w:t>supplier</w:t>
      </w:r>
      <w:proofErr w:type="gramEnd"/>
      <w:r>
        <w:t xml:space="preserve"> and manufacturer c</w:t>
      </w:r>
      <w:r w:rsidR="00770D6E">
        <w:t>onfusion about the status of telecommunications products and services, including Internet of Things and other software-enabled goods, under the ACL.</w:t>
      </w:r>
    </w:p>
    <w:p w14:paraId="7651E210" w14:textId="71A575AD" w:rsidR="00770D6E" w:rsidRPr="009756BE" w:rsidRDefault="00770D6E" w:rsidP="00770D6E">
      <w:pPr>
        <w:pStyle w:val="Casestudy"/>
      </w:pPr>
      <w:r w:rsidRPr="009756BE">
        <w:t xml:space="preserve">Case study 1: Consumers </w:t>
      </w:r>
      <w:r w:rsidR="007D4699">
        <w:t>unable to</w:t>
      </w:r>
      <w:r w:rsidRPr="009756BE">
        <w:t xml:space="preserve"> contact a </w:t>
      </w:r>
      <w:r>
        <w:t>telco about</w:t>
      </w:r>
      <w:r w:rsidRPr="009756BE">
        <w:t xml:space="preserve"> a consumer guarantee failure </w:t>
      </w:r>
    </w:p>
    <w:p w14:paraId="3E5A644B" w14:textId="77777777" w:rsidR="00770D6E" w:rsidRPr="00937F02" w:rsidRDefault="00770D6E" w:rsidP="00770D6E">
      <w:pPr>
        <w:pStyle w:val="Casestudy"/>
        <w:rPr>
          <w:b w:val="0"/>
          <w:bCs w:val="0"/>
        </w:rPr>
      </w:pPr>
      <w:r w:rsidRPr="00937F02">
        <w:rPr>
          <w:b w:val="0"/>
          <w:bCs w:val="0"/>
        </w:rPr>
        <w:t>In June 2020 a consumer</w:t>
      </w:r>
      <w:r>
        <w:rPr>
          <w:b w:val="0"/>
          <w:bCs w:val="0"/>
        </w:rPr>
        <w:t xml:space="preserve"> contacted ACCAN about issues with their NBN broadband and home phone service</w:t>
      </w:r>
      <w:r w:rsidRPr="00937F02">
        <w:rPr>
          <w:b w:val="0"/>
          <w:bCs w:val="0"/>
        </w:rPr>
        <w:t xml:space="preserve">. </w:t>
      </w:r>
      <w:r>
        <w:rPr>
          <w:b w:val="0"/>
          <w:bCs w:val="0"/>
        </w:rPr>
        <w:t xml:space="preserve">The consumer’s telco </w:t>
      </w:r>
      <w:r w:rsidRPr="00937F02">
        <w:rPr>
          <w:b w:val="0"/>
          <w:bCs w:val="0"/>
        </w:rPr>
        <w:t xml:space="preserve">offered general customer support via online </w:t>
      </w:r>
      <w:r>
        <w:rPr>
          <w:b w:val="0"/>
          <w:bCs w:val="0"/>
        </w:rPr>
        <w:t>communication methods</w:t>
      </w:r>
      <w:r w:rsidRPr="00937F02">
        <w:rPr>
          <w:b w:val="0"/>
          <w:bCs w:val="0"/>
        </w:rPr>
        <w:t xml:space="preserve"> only</w:t>
      </w:r>
      <w:r>
        <w:rPr>
          <w:b w:val="0"/>
          <w:bCs w:val="0"/>
        </w:rPr>
        <w:t xml:space="preserve">. </w:t>
      </w:r>
      <w:r w:rsidRPr="00937F02">
        <w:rPr>
          <w:b w:val="0"/>
          <w:bCs w:val="0"/>
        </w:rPr>
        <w:t xml:space="preserve">The consumer’s </w:t>
      </w:r>
      <w:r>
        <w:rPr>
          <w:b w:val="0"/>
          <w:bCs w:val="0"/>
        </w:rPr>
        <w:t xml:space="preserve">phone and internet </w:t>
      </w:r>
      <w:r w:rsidRPr="00937F02">
        <w:rPr>
          <w:b w:val="0"/>
          <w:bCs w:val="0"/>
        </w:rPr>
        <w:t>service had stopped working and the consumer did not own a smartphone to access mobile broadband</w:t>
      </w:r>
      <w:r>
        <w:rPr>
          <w:b w:val="0"/>
          <w:bCs w:val="0"/>
        </w:rPr>
        <w:t xml:space="preserve"> and </w:t>
      </w:r>
      <w:proofErr w:type="gramStart"/>
      <w:r>
        <w:rPr>
          <w:b w:val="0"/>
          <w:bCs w:val="0"/>
        </w:rPr>
        <w:t>make contact with</w:t>
      </w:r>
      <w:proofErr w:type="gramEnd"/>
      <w:r>
        <w:rPr>
          <w:b w:val="0"/>
          <w:bCs w:val="0"/>
        </w:rPr>
        <w:t xml:space="preserve"> their telco</w:t>
      </w:r>
      <w:r w:rsidRPr="00937F02">
        <w:rPr>
          <w:b w:val="0"/>
          <w:bCs w:val="0"/>
        </w:rPr>
        <w:t xml:space="preserve">. In this circumstance, the consumer was unable to communicate with the </w:t>
      </w:r>
      <w:r>
        <w:rPr>
          <w:b w:val="0"/>
          <w:bCs w:val="0"/>
        </w:rPr>
        <w:t>telco</w:t>
      </w:r>
      <w:r w:rsidRPr="00937F02">
        <w:rPr>
          <w:b w:val="0"/>
          <w:bCs w:val="0"/>
        </w:rPr>
        <w:t xml:space="preserve"> to inform it of the failure and request a remedy.</w:t>
      </w:r>
    </w:p>
    <w:p w14:paraId="2CC65B0D" w14:textId="4B6F8C3C" w:rsidR="00770D6E" w:rsidRPr="00937F02" w:rsidRDefault="00770D6E" w:rsidP="00770D6E">
      <w:pPr>
        <w:pStyle w:val="Casestudy"/>
        <w:rPr>
          <w:b w:val="0"/>
          <w:bCs w:val="0"/>
        </w:rPr>
      </w:pPr>
      <w:r w:rsidRPr="00937F02">
        <w:rPr>
          <w:b w:val="0"/>
          <w:bCs w:val="0"/>
        </w:rPr>
        <w:t>In November 2020, a</w:t>
      </w:r>
      <w:r>
        <w:rPr>
          <w:b w:val="0"/>
          <w:bCs w:val="0"/>
        </w:rPr>
        <w:t xml:space="preserve">nother </w:t>
      </w:r>
      <w:r w:rsidRPr="00937F02">
        <w:rPr>
          <w:b w:val="0"/>
          <w:bCs w:val="0"/>
        </w:rPr>
        <w:t xml:space="preserve">consumer with the same </w:t>
      </w:r>
      <w:r>
        <w:rPr>
          <w:b w:val="0"/>
          <w:bCs w:val="0"/>
        </w:rPr>
        <w:t>telco</w:t>
      </w:r>
      <w:r w:rsidRPr="00937F02">
        <w:rPr>
          <w:b w:val="0"/>
          <w:bCs w:val="0"/>
        </w:rPr>
        <w:t xml:space="preserve"> contacted ACCAN for assistance. The consumer was Deaf and communicated using SMS relay via the National Relay Service. The consumer’s </w:t>
      </w:r>
      <w:r>
        <w:rPr>
          <w:b w:val="0"/>
          <w:bCs w:val="0"/>
        </w:rPr>
        <w:t xml:space="preserve">internet </w:t>
      </w:r>
      <w:r w:rsidRPr="00937F02">
        <w:rPr>
          <w:b w:val="0"/>
          <w:bCs w:val="0"/>
        </w:rPr>
        <w:t xml:space="preserve">service was not working properly, </w:t>
      </w:r>
      <w:r w:rsidR="007D4699">
        <w:rPr>
          <w:b w:val="0"/>
          <w:bCs w:val="0"/>
        </w:rPr>
        <w:t>so</w:t>
      </w:r>
      <w:r w:rsidR="007D4699" w:rsidRPr="00937F02">
        <w:rPr>
          <w:b w:val="0"/>
          <w:bCs w:val="0"/>
        </w:rPr>
        <w:t xml:space="preserve"> </w:t>
      </w:r>
      <w:r w:rsidR="003719BB">
        <w:rPr>
          <w:b w:val="0"/>
          <w:bCs w:val="0"/>
        </w:rPr>
        <w:t xml:space="preserve">they </w:t>
      </w:r>
      <w:r w:rsidRPr="00937F02">
        <w:rPr>
          <w:b w:val="0"/>
          <w:bCs w:val="0"/>
        </w:rPr>
        <w:t xml:space="preserve">could not use the </w:t>
      </w:r>
      <w:r>
        <w:rPr>
          <w:b w:val="0"/>
          <w:bCs w:val="0"/>
        </w:rPr>
        <w:t>telco’s</w:t>
      </w:r>
      <w:r w:rsidRPr="00937F02">
        <w:rPr>
          <w:b w:val="0"/>
          <w:bCs w:val="0"/>
        </w:rPr>
        <w:t xml:space="preserve"> website to lodge a fault and seek assistance. The </w:t>
      </w:r>
      <w:r>
        <w:rPr>
          <w:b w:val="0"/>
          <w:bCs w:val="0"/>
        </w:rPr>
        <w:t>telco’s</w:t>
      </w:r>
      <w:r w:rsidRPr="00937F02">
        <w:rPr>
          <w:b w:val="0"/>
          <w:bCs w:val="0"/>
        </w:rPr>
        <w:t xml:space="preserve"> complaints-only phone number was not easily located on its website, meaning that the consumer </w:t>
      </w:r>
      <w:r w:rsidR="007D4699">
        <w:rPr>
          <w:b w:val="0"/>
          <w:bCs w:val="0"/>
        </w:rPr>
        <w:t>did not know how</w:t>
      </w:r>
      <w:r w:rsidRPr="00937F02">
        <w:rPr>
          <w:b w:val="0"/>
          <w:bCs w:val="0"/>
        </w:rPr>
        <w:t xml:space="preserve"> to contact the </w:t>
      </w:r>
      <w:r>
        <w:rPr>
          <w:b w:val="0"/>
          <w:bCs w:val="0"/>
        </w:rPr>
        <w:t>telco</w:t>
      </w:r>
      <w:r w:rsidRPr="00937F02">
        <w:rPr>
          <w:b w:val="0"/>
          <w:bCs w:val="0"/>
        </w:rPr>
        <w:t xml:space="preserve"> to request a remedy. </w:t>
      </w:r>
    </w:p>
    <w:p w14:paraId="509FD857" w14:textId="77777777" w:rsidR="00770D6E" w:rsidRDefault="00770D6E" w:rsidP="00770D6E">
      <w:pPr>
        <w:rPr>
          <w:highlight w:val="yellow"/>
        </w:rPr>
      </w:pPr>
    </w:p>
    <w:p w14:paraId="1F3B5A8C" w14:textId="77777777" w:rsidR="00770D6E" w:rsidRDefault="00770D6E" w:rsidP="00770D6E">
      <w:pPr>
        <w:pStyle w:val="Casestudy"/>
      </w:pPr>
      <w:r>
        <w:t>Case study 2: Consumer unable to claim repairs for a damaged device</w:t>
      </w:r>
    </w:p>
    <w:p w14:paraId="430D77A3" w14:textId="6E29894F" w:rsidR="00770D6E" w:rsidRPr="00D853CB" w:rsidRDefault="00770D6E" w:rsidP="00770D6E">
      <w:pPr>
        <w:pStyle w:val="Casestudy"/>
        <w:rPr>
          <w:b w:val="0"/>
          <w:bCs w:val="0"/>
        </w:rPr>
      </w:pPr>
      <w:r>
        <w:rPr>
          <w:b w:val="0"/>
          <w:bCs w:val="0"/>
        </w:rPr>
        <w:t xml:space="preserve">In 2021, </w:t>
      </w:r>
      <w:r w:rsidRPr="00075446">
        <w:rPr>
          <w:b w:val="0"/>
          <w:bCs w:val="0"/>
        </w:rPr>
        <w:t xml:space="preserve">Mika </w:t>
      </w:r>
      <w:r>
        <w:rPr>
          <w:b w:val="0"/>
          <w:bCs w:val="0"/>
        </w:rPr>
        <w:t xml:space="preserve">(name changed) purchased a Samsung mobile phone handset on a repayment plan from his telco. He dropped the handset which then stopped working, raising concerns about the durability of the handset he had purchased. Mika contacted his telco about the issue and was assured he would be able to return the device for repairs at no cost to him. When he attempted to do so, his telco changed its advice and would not arrange for the device to be repaired, but said Mika still needed to make his repayments. Mika spent several months disputing this with his telco but was unable to resolve the issue, and instead went to the </w:t>
      </w:r>
      <w:r w:rsidR="00641ACD">
        <w:rPr>
          <w:b w:val="0"/>
          <w:bCs w:val="0"/>
        </w:rPr>
        <w:t>Telecommunications Industry Ombudsman (</w:t>
      </w:r>
      <w:r w:rsidRPr="00F157AD">
        <w:t>TIO</w:t>
      </w:r>
      <w:r w:rsidR="00641ACD">
        <w:rPr>
          <w:b w:val="0"/>
          <w:bCs w:val="0"/>
        </w:rPr>
        <w:t>)</w:t>
      </w:r>
      <w:r>
        <w:rPr>
          <w:b w:val="0"/>
          <w:bCs w:val="0"/>
        </w:rPr>
        <w:t xml:space="preserve">. The TIO decided that a $100 gift card from the telco was a sufficient remedy for Mika. Mika stopped paying for his service out of frustration, and his service was terminated. He was unsure whether he would be pursued by debt collectors for the amount owed on the damaged device. </w:t>
      </w:r>
    </w:p>
    <w:p w14:paraId="76B38CB1" w14:textId="77777777" w:rsidR="00770D6E" w:rsidRDefault="00770D6E" w:rsidP="00770D6E">
      <w:pPr>
        <w:shd w:val="clear" w:color="auto" w:fill="FFFFFF" w:themeFill="background1"/>
      </w:pPr>
      <w:r w:rsidRPr="003F687C">
        <w:t xml:space="preserve">The number and nature of issues present in TIO complaints are useful indicators </w:t>
      </w:r>
      <w:r>
        <w:t xml:space="preserve">of the barriers experienced by consumers when pursuing a remedy. </w:t>
      </w:r>
    </w:p>
    <w:p w14:paraId="61295264" w14:textId="77777777" w:rsidR="00770D6E" w:rsidRPr="009756BE" w:rsidRDefault="00770D6E" w:rsidP="00770D6E">
      <w:pPr>
        <w:rPr>
          <w:b/>
          <w:bCs/>
        </w:rPr>
      </w:pPr>
      <w:r w:rsidRPr="009756BE">
        <w:rPr>
          <w:b/>
          <w:bCs/>
        </w:rPr>
        <w:t>Figure 1: Issues present in TIO complaints in 2020-21</w:t>
      </w:r>
      <w:r>
        <w:rPr>
          <w:rStyle w:val="FootnoteReference"/>
          <w:b/>
          <w:bCs/>
        </w:rPr>
        <w:footnoteReference w:id="4"/>
      </w:r>
    </w:p>
    <w:tbl>
      <w:tblPr>
        <w:tblStyle w:val="TableGrid"/>
        <w:tblW w:w="9041" w:type="dxa"/>
        <w:tblLook w:val="04A0" w:firstRow="1" w:lastRow="0" w:firstColumn="1" w:lastColumn="0" w:noHBand="0" w:noVBand="1"/>
      </w:tblPr>
      <w:tblGrid>
        <w:gridCol w:w="3404"/>
        <w:gridCol w:w="2935"/>
        <w:gridCol w:w="2702"/>
      </w:tblGrid>
      <w:tr w:rsidR="00770D6E" w14:paraId="314AC0AE" w14:textId="77777777" w:rsidTr="006F74FA">
        <w:trPr>
          <w:trHeight w:val="732"/>
        </w:trPr>
        <w:tc>
          <w:tcPr>
            <w:tcW w:w="3404" w:type="dxa"/>
            <w:shd w:val="clear" w:color="auto" w:fill="DBE5F1" w:themeFill="accent1" w:themeFillTint="33"/>
          </w:tcPr>
          <w:p w14:paraId="094ABC58" w14:textId="77777777" w:rsidR="00770D6E" w:rsidRPr="00043A14" w:rsidRDefault="00770D6E" w:rsidP="00DF38DA">
            <w:pPr>
              <w:jc w:val="left"/>
            </w:pPr>
            <w:r>
              <w:t xml:space="preserve">Issue </w:t>
            </w:r>
          </w:p>
        </w:tc>
        <w:tc>
          <w:tcPr>
            <w:tcW w:w="2935" w:type="dxa"/>
            <w:shd w:val="clear" w:color="auto" w:fill="DBE5F1" w:themeFill="accent1" w:themeFillTint="33"/>
          </w:tcPr>
          <w:p w14:paraId="132832AB" w14:textId="77777777" w:rsidR="00770D6E" w:rsidRPr="00043A14" w:rsidRDefault="00770D6E" w:rsidP="00DF38DA">
            <w:pPr>
              <w:jc w:val="left"/>
            </w:pPr>
            <w:r w:rsidRPr="00043A14">
              <w:t xml:space="preserve">Number of complaints </w:t>
            </w:r>
            <w:r>
              <w:t>involving</w:t>
            </w:r>
            <w:r w:rsidRPr="00043A14">
              <w:t xml:space="preserve"> issue in 2020-21</w:t>
            </w:r>
          </w:p>
        </w:tc>
        <w:tc>
          <w:tcPr>
            <w:tcW w:w="2702" w:type="dxa"/>
            <w:shd w:val="clear" w:color="auto" w:fill="DBE5F1" w:themeFill="accent1" w:themeFillTint="33"/>
          </w:tcPr>
          <w:p w14:paraId="082C9487" w14:textId="77777777" w:rsidR="00770D6E" w:rsidRPr="00043A14" w:rsidRDefault="00770D6E" w:rsidP="00DF38DA">
            <w:pPr>
              <w:jc w:val="left"/>
            </w:pPr>
            <w:r w:rsidRPr="00043A14">
              <w:t xml:space="preserve">% </w:t>
            </w:r>
            <w:proofErr w:type="gramStart"/>
            <w:r w:rsidRPr="00043A14">
              <w:t>of</w:t>
            </w:r>
            <w:proofErr w:type="gramEnd"/>
            <w:r w:rsidRPr="00043A14">
              <w:t xml:space="preserve"> total issues in 2020-21</w:t>
            </w:r>
          </w:p>
        </w:tc>
      </w:tr>
      <w:tr w:rsidR="00770D6E" w14:paraId="5C029105" w14:textId="77777777" w:rsidTr="006F74FA">
        <w:trPr>
          <w:trHeight w:val="365"/>
        </w:trPr>
        <w:tc>
          <w:tcPr>
            <w:tcW w:w="3404" w:type="dxa"/>
            <w:shd w:val="clear" w:color="auto" w:fill="auto"/>
          </w:tcPr>
          <w:p w14:paraId="1BCEB18C" w14:textId="77777777" w:rsidR="00770D6E" w:rsidRPr="00043A14" w:rsidRDefault="00770D6E" w:rsidP="00DF38DA">
            <w:pPr>
              <w:jc w:val="left"/>
            </w:pPr>
            <w:r w:rsidRPr="00043A14">
              <w:t>No or delayed action by provider</w:t>
            </w:r>
          </w:p>
        </w:tc>
        <w:tc>
          <w:tcPr>
            <w:tcW w:w="2935" w:type="dxa"/>
            <w:shd w:val="clear" w:color="auto" w:fill="auto"/>
          </w:tcPr>
          <w:p w14:paraId="637E15A2" w14:textId="77777777" w:rsidR="00770D6E" w:rsidRPr="00043A14" w:rsidRDefault="00770D6E" w:rsidP="00DF38DA">
            <w:pPr>
              <w:jc w:val="left"/>
            </w:pPr>
            <w:r>
              <w:t>46,533</w:t>
            </w:r>
          </w:p>
        </w:tc>
        <w:tc>
          <w:tcPr>
            <w:tcW w:w="2702" w:type="dxa"/>
            <w:shd w:val="clear" w:color="auto" w:fill="auto"/>
          </w:tcPr>
          <w:p w14:paraId="7710D685" w14:textId="77777777" w:rsidR="00770D6E" w:rsidRPr="00043A14" w:rsidRDefault="00770D6E" w:rsidP="00DF38DA">
            <w:pPr>
              <w:jc w:val="left"/>
            </w:pPr>
            <w:r>
              <w:t>39.0%</w:t>
            </w:r>
          </w:p>
        </w:tc>
      </w:tr>
      <w:tr w:rsidR="00770D6E" w14:paraId="1C77E9DC" w14:textId="77777777" w:rsidTr="006F74FA">
        <w:trPr>
          <w:trHeight w:val="365"/>
        </w:trPr>
        <w:tc>
          <w:tcPr>
            <w:tcW w:w="3404" w:type="dxa"/>
            <w:shd w:val="clear" w:color="auto" w:fill="auto"/>
          </w:tcPr>
          <w:p w14:paraId="69824B73" w14:textId="77777777" w:rsidR="00770D6E" w:rsidRPr="00043A14" w:rsidRDefault="00770D6E" w:rsidP="00DF38DA">
            <w:pPr>
              <w:jc w:val="left"/>
            </w:pPr>
            <w:r w:rsidRPr="00043A14">
              <w:t>Service and equipment fees</w:t>
            </w:r>
          </w:p>
        </w:tc>
        <w:tc>
          <w:tcPr>
            <w:tcW w:w="2935" w:type="dxa"/>
            <w:shd w:val="clear" w:color="auto" w:fill="auto"/>
          </w:tcPr>
          <w:p w14:paraId="4695646D" w14:textId="77777777" w:rsidR="00770D6E" w:rsidRPr="00043A14" w:rsidRDefault="00770D6E" w:rsidP="00DF38DA">
            <w:pPr>
              <w:jc w:val="left"/>
            </w:pPr>
            <w:r>
              <w:t>39,584</w:t>
            </w:r>
          </w:p>
        </w:tc>
        <w:tc>
          <w:tcPr>
            <w:tcW w:w="2702" w:type="dxa"/>
            <w:shd w:val="clear" w:color="auto" w:fill="auto"/>
          </w:tcPr>
          <w:p w14:paraId="6C3A87C8" w14:textId="77777777" w:rsidR="00770D6E" w:rsidRPr="00043A14" w:rsidRDefault="00770D6E" w:rsidP="00DF38DA">
            <w:pPr>
              <w:jc w:val="left"/>
            </w:pPr>
            <w:r>
              <w:t>33.2%</w:t>
            </w:r>
          </w:p>
        </w:tc>
      </w:tr>
      <w:tr w:rsidR="00770D6E" w14:paraId="35590C57" w14:textId="77777777" w:rsidTr="006F74FA">
        <w:trPr>
          <w:trHeight w:val="365"/>
        </w:trPr>
        <w:tc>
          <w:tcPr>
            <w:tcW w:w="3404" w:type="dxa"/>
            <w:shd w:val="clear" w:color="auto" w:fill="auto"/>
          </w:tcPr>
          <w:p w14:paraId="3F536D78" w14:textId="77777777" w:rsidR="00770D6E" w:rsidRPr="00043A14" w:rsidRDefault="00770D6E" w:rsidP="00DF38DA">
            <w:pPr>
              <w:jc w:val="left"/>
            </w:pPr>
            <w:r w:rsidRPr="00043A14">
              <w:t>No phone or internet service</w:t>
            </w:r>
          </w:p>
        </w:tc>
        <w:tc>
          <w:tcPr>
            <w:tcW w:w="2935" w:type="dxa"/>
            <w:shd w:val="clear" w:color="auto" w:fill="auto"/>
          </w:tcPr>
          <w:p w14:paraId="7E9B788B" w14:textId="77777777" w:rsidR="00770D6E" w:rsidRPr="00043A14" w:rsidRDefault="00770D6E" w:rsidP="00DF38DA">
            <w:pPr>
              <w:jc w:val="left"/>
            </w:pPr>
            <w:r>
              <w:t>15,593</w:t>
            </w:r>
          </w:p>
        </w:tc>
        <w:tc>
          <w:tcPr>
            <w:tcW w:w="2702" w:type="dxa"/>
            <w:shd w:val="clear" w:color="auto" w:fill="auto"/>
          </w:tcPr>
          <w:p w14:paraId="2D6C788A" w14:textId="77777777" w:rsidR="00770D6E" w:rsidRPr="00043A14" w:rsidRDefault="00770D6E" w:rsidP="00DF38DA">
            <w:pPr>
              <w:jc w:val="left"/>
            </w:pPr>
            <w:r>
              <w:t>13.1%</w:t>
            </w:r>
          </w:p>
        </w:tc>
      </w:tr>
      <w:tr w:rsidR="00770D6E" w14:paraId="14F82D4F" w14:textId="77777777" w:rsidTr="006F74FA">
        <w:trPr>
          <w:trHeight w:val="365"/>
        </w:trPr>
        <w:tc>
          <w:tcPr>
            <w:tcW w:w="3404" w:type="dxa"/>
            <w:shd w:val="clear" w:color="auto" w:fill="auto"/>
          </w:tcPr>
          <w:p w14:paraId="343B4703" w14:textId="77777777" w:rsidR="00770D6E" w:rsidRPr="00043A14" w:rsidRDefault="00770D6E" w:rsidP="00DF38DA">
            <w:pPr>
              <w:jc w:val="left"/>
            </w:pPr>
            <w:r w:rsidRPr="00043A14">
              <w:t>Delay establishing a service</w:t>
            </w:r>
          </w:p>
        </w:tc>
        <w:tc>
          <w:tcPr>
            <w:tcW w:w="2935" w:type="dxa"/>
            <w:shd w:val="clear" w:color="auto" w:fill="auto"/>
          </w:tcPr>
          <w:p w14:paraId="61201D06" w14:textId="77777777" w:rsidR="00770D6E" w:rsidRPr="00043A14" w:rsidRDefault="00770D6E" w:rsidP="00DF38DA">
            <w:pPr>
              <w:jc w:val="left"/>
            </w:pPr>
            <w:r>
              <w:t>14,170</w:t>
            </w:r>
          </w:p>
        </w:tc>
        <w:tc>
          <w:tcPr>
            <w:tcW w:w="2702" w:type="dxa"/>
            <w:shd w:val="clear" w:color="auto" w:fill="auto"/>
          </w:tcPr>
          <w:p w14:paraId="28064E57" w14:textId="77777777" w:rsidR="00770D6E" w:rsidRPr="00043A14" w:rsidRDefault="00770D6E" w:rsidP="00DF38DA">
            <w:pPr>
              <w:jc w:val="left"/>
            </w:pPr>
            <w:r>
              <w:t>11.9%</w:t>
            </w:r>
          </w:p>
        </w:tc>
      </w:tr>
      <w:tr w:rsidR="00770D6E" w14:paraId="038FC8FF" w14:textId="77777777" w:rsidTr="006F74FA">
        <w:trPr>
          <w:trHeight w:val="365"/>
        </w:trPr>
        <w:tc>
          <w:tcPr>
            <w:tcW w:w="3404" w:type="dxa"/>
            <w:shd w:val="clear" w:color="auto" w:fill="auto"/>
          </w:tcPr>
          <w:p w14:paraId="0FEEF10A" w14:textId="77777777" w:rsidR="00770D6E" w:rsidRPr="00043A14" w:rsidRDefault="00770D6E" w:rsidP="00DF38DA">
            <w:pPr>
              <w:jc w:val="left"/>
            </w:pPr>
            <w:r w:rsidRPr="00043A14">
              <w:t xml:space="preserve">Intermittent service or </w:t>
            </w:r>
            <w:proofErr w:type="gramStart"/>
            <w:r w:rsidRPr="00043A14">
              <w:t>drop outs</w:t>
            </w:r>
            <w:proofErr w:type="gramEnd"/>
          </w:p>
        </w:tc>
        <w:tc>
          <w:tcPr>
            <w:tcW w:w="2935" w:type="dxa"/>
            <w:shd w:val="clear" w:color="auto" w:fill="auto"/>
          </w:tcPr>
          <w:p w14:paraId="5CA1CF18" w14:textId="77777777" w:rsidR="00770D6E" w:rsidRPr="00043A14" w:rsidRDefault="00770D6E" w:rsidP="00DF38DA">
            <w:pPr>
              <w:jc w:val="left"/>
            </w:pPr>
            <w:r>
              <w:t>10,913</w:t>
            </w:r>
          </w:p>
        </w:tc>
        <w:tc>
          <w:tcPr>
            <w:tcW w:w="2702" w:type="dxa"/>
            <w:shd w:val="clear" w:color="auto" w:fill="auto"/>
          </w:tcPr>
          <w:p w14:paraId="4692A9FA" w14:textId="77777777" w:rsidR="00770D6E" w:rsidRPr="00043A14" w:rsidRDefault="00770D6E" w:rsidP="00DF38DA">
            <w:pPr>
              <w:jc w:val="left"/>
            </w:pPr>
            <w:r>
              <w:t>9.1%</w:t>
            </w:r>
          </w:p>
        </w:tc>
      </w:tr>
      <w:tr w:rsidR="00770D6E" w14:paraId="6A77A9DE" w14:textId="77777777" w:rsidTr="006F74FA">
        <w:trPr>
          <w:trHeight w:val="365"/>
        </w:trPr>
        <w:tc>
          <w:tcPr>
            <w:tcW w:w="3404" w:type="dxa"/>
            <w:shd w:val="clear" w:color="auto" w:fill="auto"/>
          </w:tcPr>
          <w:p w14:paraId="3E1E84B3" w14:textId="77777777" w:rsidR="00770D6E" w:rsidRPr="00043A14" w:rsidRDefault="00770D6E" w:rsidP="00DF38DA">
            <w:pPr>
              <w:jc w:val="left"/>
            </w:pPr>
            <w:r w:rsidRPr="00043A14">
              <w:t xml:space="preserve">Resolution agreed but not met </w:t>
            </w:r>
          </w:p>
        </w:tc>
        <w:tc>
          <w:tcPr>
            <w:tcW w:w="2935" w:type="dxa"/>
            <w:shd w:val="clear" w:color="auto" w:fill="auto"/>
          </w:tcPr>
          <w:p w14:paraId="33D5AB5B" w14:textId="77777777" w:rsidR="00770D6E" w:rsidRPr="00043A14" w:rsidRDefault="00770D6E" w:rsidP="00DF38DA">
            <w:pPr>
              <w:jc w:val="left"/>
            </w:pPr>
            <w:r>
              <w:t>10,275</w:t>
            </w:r>
          </w:p>
        </w:tc>
        <w:tc>
          <w:tcPr>
            <w:tcW w:w="2702" w:type="dxa"/>
            <w:shd w:val="clear" w:color="auto" w:fill="auto"/>
          </w:tcPr>
          <w:p w14:paraId="271BA437" w14:textId="77777777" w:rsidR="00770D6E" w:rsidRPr="00043A14" w:rsidRDefault="00770D6E" w:rsidP="00DF38DA">
            <w:pPr>
              <w:jc w:val="left"/>
            </w:pPr>
            <w:r>
              <w:t>8.6%</w:t>
            </w:r>
          </w:p>
        </w:tc>
      </w:tr>
      <w:tr w:rsidR="00770D6E" w14:paraId="1913338D" w14:textId="77777777" w:rsidTr="006F74FA">
        <w:trPr>
          <w:trHeight w:val="348"/>
        </w:trPr>
        <w:tc>
          <w:tcPr>
            <w:tcW w:w="3404" w:type="dxa"/>
            <w:shd w:val="clear" w:color="auto" w:fill="auto"/>
          </w:tcPr>
          <w:p w14:paraId="0BBCAC54" w14:textId="77777777" w:rsidR="00770D6E" w:rsidRPr="00043A14" w:rsidRDefault="00770D6E" w:rsidP="00DF38DA">
            <w:pPr>
              <w:jc w:val="left"/>
            </w:pPr>
            <w:r>
              <w:t>Provider uncontactable</w:t>
            </w:r>
          </w:p>
        </w:tc>
        <w:tc>
          <w:tcPr>
            <w:tcW w:w="2935" w:type="dxa"/>
            <w:shd w:val="clear" w:color="auto" w:fill="auto"/>
          </w:tcPr>
          <w:p w14:paraId="602BBD99" w14:textId="77777777" w:rsidR="00770D6E" w:rsidRPr="00043A14" w:rsidRDefault="00770D6E" w:rsidP="00DF38DA">
            <w:pPr>
              <w:jc w:val="left"/>
            </w:pPr>
            <w:r>
              <w:t>8,800</w:t>
            </w:r>
          </w:p>
        </w:tc>
        <w:tc>
          <w:tcPr>
            <w:tcW w:w="2702" w:type="dxa"/>
            <w:shd w:val="clear" w:color="auto" w:fill="auto"/>
          </w:tcPr>
          <w:p w14:paraId="0915816F" w14:textId="77777777" w:rsidR="00770D6E" w:rsidRPr="00043A14" w:rsidRDefault="00770D6E" w:rsidP="00DF38DA">
            <w:pPr>
              <w:jc w:val="left"/>
            </w:pPr>
            <w:r>
              <w:t>7.4%</w:t>
            </w:r>
          </w:p>
        </w:tc>
      </w:tr>
      <w:tr w:rsidR="00770D6E" w14:paraId="0CD9ACC1" w14:textId="77777777" w:rsidTr="006F74FA">
        <w:trPr>
          <w:trHeight w:val="348"/>
        </w:trPr>
        <w:tc>
          <w:tcPr>
            <w:tcW w:w="3404" w:type="dxa"/>
            <w:shd w:val="clear" w:color="auto" w:fill="auto"/>
          </w:tcPr>
          <w:p w14:paraId="10AD72DB" w14:textId="77777777" w:rsidR="00770D6E" w:rsidRPr="00043A14" w:rsidRDefault="00770D6E" w:rsidP="00DF38DA">
            <w:pPr>
              <w:jc w:val="left"/>
            </w:pPr>
            <w:r w:rsidRPr="00043A14">
              <w:t>Failure to cancel a service</w:t>
            </w:r>
          </w:p>
        </w:tc>
        <w:tc>
          <w:tcPr>
            <w:tcW w:w="2935" w:type="dxa"/>
            <w:shd w:val="clear" w:color="auto" w:fill="auto"/>
          </w:tcPr>
          <w:p w14:paraId="691BEBBC" w14:textId="77777777" w:rsidR="00770D6E" w:rsidRPr="00043A14" w:rsidRDefault="00770D6E" w:rsidP="00DF38DA">
            <w:pPr>
              <w:jc w:val="left"/>
            </w:pPr>
            <w:r>
              <w:t>8,775</w:t>
            </w:r>
          </w:p>
        </w:tc>
        <w:tc>
          <w:tcPr>
            <w:tcW w:w="2702" w:type="dxa"/>
            <w:shd w:val="clear" w:color="auto" w:fill="auto"/>
          </w:tcPr>
          <w:p w14:paraId="6F2F83A1" w14:textId="77777777" w:rsidR="00770D6E" w:rsidRPr="00043A14" w:rsidRDefault="00770D6E" w:rsidP="00DF38DA">
            <w:pPr>
              <w:jc w:val="left"/>
            </w:pPr>
            <w:r>
              <w:t>7.3%</w:t>
            </w:r>
          </w:p>
        </w:tc>
      </w:tr>
      <w:tr w:rsidR="00770D6E" w14:paraId="592CF988" w14:textId="77777777" w:rsidTr="006F74FA">
        <w:trPr>
          <w:trHeight w:val="348"/>
        </w:trPr>
        <w:tc>
          <w:tcPr>
            <w:tcW w:w="3404" w:type="dxa"/>
            <w:shd w:val="clear" w:color="auto" w:fill="auto"/>
          </w:tcPr>
          <w:p w14:paraId="15C525EF" w14:textId="77777777" w:rsidR="00770D6E" w:rsidRPr="00043A14" w:rsidRDefault="00770D6E" w:rsidP="00DF38DA">
            <w:pPr>
              <w:jc w:val="left"/>
            </w:pPr>
            <w:r w:rsidRPr="00043A14">
              <w:t>Slow data speed</w:t>
            </w:r>
          </w:p>
        </w:tc>
        <w:tc>
          <w:tcPr>
            <w:tcW w:w="2935" w:type="dxa"/>
            <w:shd w:val="clear" w:color="auto" w:fill="auto"/>
          </w:tcPr>
          <w:p w14:paraId="474CEFAE" w14:textId="77777777" w:rsidR="00770D6E" w:rsidRPr="00043A14" w:rsidRDefault="00770D6E" w:rsidP="00DF38DA">
            <w:pPr>
              <w:jc w:val="left"/>
            </w:pPr>
            <w:r>
              <w:t>7,122</w:t>
            </w:r>
          </w:p>
        </w:tc>
        <w:tc>
          <w:tcPr>
            <w:tcW w:w="2702" w:type="dxa"/>
            <w:shd w:val="clear" w:color="auto" w:fill="auto"/>
          </w:tcPr>
          <w:p w14:paraId="6D93C657" w14:textId="77777777" w:rsidR="00770D6E" w:rsidRPr="00043A14" w:rsidRDefault="00770D6E" w:rsidP="00DF38DA">
            <w:pPr>
              <w:jc w:val="left"/>
            </w:pPr>
            <w:r>
              <w:t>6.0%</w:t>
            </w:r>
          </w:p>
        </w:tc>
      </w:tr>
      <w:tr w:rsidR="00770D6E" w14:paraId="6E2AE195" w14:textId="77777777" w:rsidTr="006F74FA">
        <w:trPr>
          <w:trHeight w:val="348"/>
        </w:trPr>
        <w:tc>
          <w:tcPr>
            <w:tcW w:w="3404" w:type="dxa"/>
            <w:shd w:val="clear" w:color="auto" w:fill="auto"/>
          </w:tcPr>
          <w:p w14:paraId="2D6DAF0C" w14:textId="77777777" w:rsidR="00770D6E" w:rsidRPr="00043A14" w:rsidRDefault="00770D6E" w:rsidP="00DF38DA">
            <w:pPr>
              <w:jc w:val="left"/>
            </w:pPr>
            <w:r w:rsidRPr="00043A14">
              <w:t>Problem with add-on feature</w:t>
            </w:r>
          </w:p>
        </w:tc>
        <w:tc>
          <w:tcPr>
            <w:tcW w:w="2935" w:type="dxa"/>
            <w:shd w:val="clear" w:color="auto" w:fill="auto"/>
          </w:tcPr>
          <w:p w14:paraId="63E134A0" w14:textId="77777777" w:rsidR="00770D6E" w:rsidRPr="00043A14" w:rsidRDefault="00770D6E" w:rsidP="00DF38DA">
            <w:pPr>
              <w:jc w:val="left"/>
            </w:pPr>
            <w:r>
              <w:t>4,344</w:t>
            </w:r>
          </w:p>
        </w:tc>
        <w:tc>
          <w:tcPr>
            <w:tcW w:w="2702" w:type="dxa"/>
            <w:shd w:val="clear" w:color="auto" w:fill="auto"/>
          </w:tcPr>
          <w:p w14:paraId="51ACD316" w14:textId="77777777" w:rsidR="00770D6E" w:rsidRPr="00043A14" w:rsidRDefault="00770D6E" w:rsidP="00DF38DA">
            <w:pPr>
              <w:jc w:val="left"/>
            </w:pPr>
            <w:r>
              <w:t>3.6%</w:t>
            </w:r>
          </w:p>
        </w:tc>
      </w:tr>
    </w:tbl>
    <w:p w14:paraId="7E1D1539" w14:textId="7A9CC8EC" w:rsidR="00770D6E" w:rsidRDefault="00770D6E" w:rsidP="00770D6E">
      <w:pPr>
        <w:shd w:val="clear" w:color="auto" w:fill="FFFFFF" w:themeFill="background1"/>
      </w:pPr>
      <w:r>
        <w:t xml:space="preserve">More than 1 in 3 issues reported to the TIO in 2020-21 involved a provider failing to act or delaying action in response to a complaint. Just under 1 in 10 issues involved an unreliable service </w:t>
      </w:r>
      <w:r w:rsidR="00EA2E66">
        <w:t>problem</w:t>
      </w:r>
      <w:r>
        <w:t xml:space="preserve">, and more than 1 in 10 issues related to a lack of service altogether. There were more than 10,200 instances reported where a provider had agreed to a complaint </w:t>
      </w:r>
      <w:proofErr w:type="gramStart"/>
      <w:r>
        <w:t>resolution, but</w:t>
      </w:r>
      <w:proofErr w:type="gramEnd"/>
      <w:r>
        <w:t xml:space="preserve"> did not meet the agreement. This is a clear indication that consumers consistently experience </w:t>
      </w:r>
      <w:r w:rsidR="00EA2E66">
        <w:t xml:space="preserve">difficulties </w:t>
      </w:r>
      <w:r>
        <w:t xml:space="preserve">when pursuing remedies for consumer guarantee </w:t>
      </w:r>
      <w:proofErr w:type="gramStart"/>
      <w:r>
        <w:t>failures, and</w:t>
      </w:r>
      <w:proofErr w:type="gramEnd"/>
      <w:r>
        <w:t xml:space="preserve"> need to seek time-consuming external dispute resolution avenues to access the remedies they are entitled to. </w:t>
      </w:r>
    </w:p>
    <w:p w14:paraId="3CC434E7" w14:textId="2EAD3CCF" w:rsidR="00770D6E" w:rsidRDefault="00770D6E" w:rsidP="00770D6E">
      <w:pPr>
        <w:shd w:val="clear" w:color="auto" w:fill="FFFFFF" w:themeFill="background1"/>
      </w:pPr>
      <w:r>
        <w:t xml:space="preserve">Case studies and complaints data are the tip of the iceberg when quantifying consumers’ issues accessing remedies: as the Consultation RIS acknowledges, many consumers absorb the cost of consumer guarantee failures due to the fatigue and inconvenience of seeking a remedy. The telecommunications sector is considered one of the least trusted sectors by consumers, </w:t>
      </w:r>
      <w:r w:rsidR="00EA2E66">
        <w:t xml:space="preserve">with </w:t>
      </w:r>
      <w:r>
        <w:t>the Consumer Policy Research Centre’s Sector Scorecard f</w:t>
      </w:r>
      <w:r w:rsidR="00EA2E66">
        <w:t>inding</w:t>
      </w:r>
      <w:r>
        <w:t xml:space="preserve"> that RSPs are ranked last for user experience, </w:t>
      </w:r>
      <w:proofErr w:type="gramStart"/>
      <w:r>
        <w:t>accessibility</w:t>
      </w:r>
      <w:proofErr w:type="gramEnd"/>
      <w:r>
        <w:t xml:space="preserve"> and supportive provider practices, and second last for advice and customer service.</w:t>
      </w:r>
      <w:r>
        <w:rPr>
          <w:rStyle w:val="FootnoteReference"/>
        </w:rPr>
        <w:footnoteReference w:id="5"/>
      </w:r>
      <w:r>
        <w:t xml:space="preserve"> </w:t>
      </w:r>
      <w:r>
        <w:rPr>
          <w:rStyle w:val="FootnoteReference"/>
        </w:rPr>
        <w:footnoteReference w:id="6"/>
      </w:r>
      <w:r>
        <w:t xml:space="preserve"> </w:t>
      </w:r>
    </w:p>
    <w:p w14:paraId="4E2E4BDF" w14:textId="4F8228CD" w:rsidR="00770D6E" w:rsidRDefault="00770D6E" w:rsidP="00B351C3">
      <w:pPr>
        <w:pStyle w:val="Recommendation"/>
        <w:numPr>
          <w:ilvl w:val="0"/>
          <w:numId w:val="24"/>
        </w:numPr>
      </w:pPr>
      <w:r>
        <w:t xml:space="preserve">That the </w:t>
      </w:r>
      <w:r w:rsidR="00695188">
        <w:t>Decision RIS proposes reforms to</w:t>
      </w:r>
      <w:r>
        <w:t xml:space="preserve"> </w:t>
      </w:r>
      <w:r w:rsidR="008903DE">
        <w:t xml:space="preserve">the </w:t>
      </w:r>
      <w:r>
        <w:t xml:space="preserve">way in which consumer guarantee failures are </w:t>
      </w:r>
      <w:r w:rsidRPr="00AE7CD5">
        <w:rPr>
          <w:rStyle w:val="RecommendationChar"/>
        </w:rPr>
        <w:t>managed</w:t>
      </w:r>
      <w:r>
        <w:t xml:space="preserve"> under the ACL</w:t>
      </w:r>
      <w:r w:rsidR="00695188">
        <w:t>.</w:t>
      </w:r>
    </w:p>
    <w:p w14:paraId="26BD6C0E" w14:textId="37C0EB25" w:rsidR="002A74E6" w:rsidRPr="00A958D5" w:rsidRDefault="002A74E6" w:rsidP="00A958D5">
      <w:pPr>
        <w:pStyle w:val="Heading2"/>
        <w:numPr>
          <w:ilvl w:val="1"/>
          <w:numId w:val="3"/>
        </w:numPr>
      </w:pPr>
      <w:bookmarkStart w:id="8" w:name="_Toc95487990"/>
      <w:r w:rsidRPr="00A958D5">
        <w:t>Consumers spen</w:t>
      </w:r>
      <w:r w:rsidR="00FF2620">
        <w:t>d</w:t>
      </w:r>
      <w:r w:rsidRPr="00A958D5">
        <w:t xml:space="preserve"> too much time </w:t>
      </w:r>
      <w:r w:rsidR="005F09B7">
        <w:t>negotiating</w:t>
      </w:r>
      <w:r w:rsidR="005F09B7" w:rsidRPr="00A958D5">
        <w:t xml:space="preserve"> </w:t>
      </w:r>
      <w:r w:rsidRPr="00A958D5">
        <w:t>remedies</w:t>
      </w:r>
      <w:bookmarkEnd w:id="8"/>
      <w:r w:rsidRPr="00A958D5">
        <w:t xml:space="preserve"> </w:t>
      </w:r>
    </w:p>
    <w:p w14:paraId="4BE7246F" w14:textId="77777777" w:rsidR="002A74E6" w:rsidRDefault="002A74E6" w:rsidP="002A74E6">
      <w:r>
        <w:t>In 2020 ACCAN commissioned research to understand the consumer cost of poor customer service and long call wait times. As the Consultation RIS indicates, t</w:t>
      </w:r>
      <w:r w:rsidRPr="001B1FA5">
        <w:t xml:space="preserve">ime spent resolving an issue </w:t>
      </w:r>
      <w:r>
        <w:t xml:space="preserve">imposes </w:t>
      </w:r>
      <w:r w:rsidRPr="001B1FA5">
        <w:t>a genuine cost to consumers, as the time could have been spent doing something else.</w:t>
      </w:r>
    </w:p>
    <w:p w14:paraId="7D6D9DDF" w14:textId="7E760CCF" w:rsidR="002A74E6" w:rsidRDefault="002A74E6" w:rsidP="002A74E6">
      <w:r>
        <w:t>The study found that between February 2019 and February 2020, consumers spent 7.6 million hours in contact with their telecommunications provider in order to resolve issues, and a large proportion of this time was spent on hold.</w:t>
      </w:r>
      <w:r>
        <w:rPr>
          <w:rStyle w:val="FootnoteReference"/>
        </w:rPr>
        <w:footnoteReference w:id="7"/>
      </w:r>
      <w:r w:rsidRPr="004E760B">
        <w:t xml:space="preserve"> </w:t>
      </w:r>
      <w:r>
        <w:t xml:space="preserve">Using a survey which showed the average time consumers spent in contact with their provider to resolve issues, and previous research which placed a value on consumers’ time, ACCAN estimated that the time consumers spent trying to resolve issues with their </w:t>
      </w:r>
      <w:r w:rsidR="0033017C">
        <w:t xml:space="preserve">telco </w:t>
      </w:r>
      <w:r>
        <w:t>provider cost between $106 -$132 million between February 2019 and February 2020.</w:t>
      </w:r>
      <w:r>
        <w:rPr>
          <w:rStyle w:val="FootnoteReference"/>
        </w:rPr>
        <w:footnoteReference w:id="8"/>
      </w:r>
      <w:r>
        <w:t xml:space="preserve"> </w:t>
      </w:r>
      <w:r>
        <w:rPr>
          <w:rStyle w:val="FootnoteReference"/>
        </w:rPr>
        <w:footnoteReference w:id="9"/>
      </w:r>
      <w:r>
        <w:t xml:space="preserve"> </w:t>
      </w:r>
      <w:r>
        <w:rPr>
          <w:rStyle w:val="FootnoteReference"/>
        </w:rPr>
        <w:footnoteReference w:id="10"/>
      </w:r>
    </w:p>
    <w:p w14:paraId="714E7543" w14:textId="77777777" w:rsidR="002A74E6" w:rsidRDefault="002A74E6" w:rsidP="002A74E6">
      <w:pPr>
        <w:pStyle w:val="Casestudy"/>
      </w:pPr>
      <w:r>
        <w:t xml:space="preserve">Case study 3: Regional consumer left without reliable service for 4 months </w:t>
      </w:r>
    </w:p>
    <w:p w14:paraId="69F571EA" w14:textId="1B3B494E" w:rsidR="002A74E6" w:rsidRDefault="002A74E6" w:rsidP="00F3649F">
      <w:pPr>
        <w:pStyle w:val="Casestudy"/>
        <w:rPr>
          <w:b w:val="0"/>
          <w:bCs w:val="0"/>
        </w:rPr>
      </w:pPr>
      <w:r>
        <w:rPr>
          <w:b w:val="0"/>
          <w:bCs w:val="0"/>
        </w:rPr>
        <w:t>Amanda (name changed) is a phone and internet customer living in the Perth hills area. She contacted her telco at the end of 2019 to switch over to the NBN. When Amanda switched, she experienced</w:t>
      </w:r>
      <w:r w:rsidR="00D72F4D">
        <w:rPr>
          <w:b w:val="0"/>
          <w:bCs w:val="0"/>
        </w:rPr>
        <w:t xml:space="preserve"> an</w:t>
      </w:r>
      <w:r>
        <w:rPr>
          <w:b w:val="0"/>
          <w:bCs w:val="0"/>
        </w:rPr>
        <w:t xml:space="preserve"> extremely unreliable phone and internet service. Her internet dropped out frequently, with dropouts lasting from a few hours to several days at a time. Her fixed phone service wasn’t working at all, and she had no mobile coverage in her home. Frustrated, she contacted her telco multiple times to complain about her unreliable service over a 4-month period, but the issues persisted. </w:t>
      </w:r>
    </w:p>
    <w:p w14:paraId="0820117A" w14:textId="4A0D1CB8" w:rsidR="002A74E6" w:rsidRDefault="002A74E6" w:rsidP="002A74E6">
      <w:pPr>
        <w:pStyle w:val="Casestudy"/>
        <w:rPr>
          <w:b w:val="0"/>
          <w:bCs w:val="0"/>
        </w:rPr>
      </w:pPr>
      <w:r w:rsidRPr="00E43A50">
        <w:rPr>
          <w:b w:val="0"/>
          <w:bCs w:val="0"/>
        </w:rPr>
        <w:t xml:space="preserve">One morning, Amanda realised that her infant daughter was having breathing difficulties. Her phone connection, VoIP via the NBN, didn’t work, and </w:t>
      </w:r>
      <w:r w:rsidR="008C654C">
        <w:rPr>
          <w:b w:val="0"/>
          <w:bCs w:val="0"/>
        </w:rPr>
        <w:t>due to</w:t>
      </w:r>
      <w:r w:rsidRPr="00E43A50">
        <w:rPr>
          <w:b w:val="0"/>
          <w:bCs w:val="0"/>
        </w:rPr>
        <w:t xml:space="preserve"> limited mobile coverage</w:t>
      </w:r>
      <w:r w:rsidR="00297C94">
        <w:rPr>
          <w:b w:val="0"/>
          <w:bCs w:val="0"/>
        </w:rPr>
        <w:t xml:space="preserve"> in her area</w:t>
      </w:r>
      <w:r w:rsidRPr="00E43A50">
        <w:rPr>
          <w:b w:val="0"/>
          <w:bCs w:val="0"/>
        </w:rPr>
        <w:t xml:space="preserve">, she wasn’t able to call 000. Luckily, she was able to apply first aid. </w:t>
      </w:r>
    </w:p>
    <w:p w14:paraId="6CCA2856" w14:textId="7B6082D4" w:rsidR="00770D6E" w:rsidRPr="00F3649F" w:rsidRDefault="002A74E6" w:rsidP="00EE7110">
      <w:pPr>
        <w:pStyle w:val="Casestudy"/>
        <w:rPr>
          <w:b w:val="0"/>
        </w:rPr>
      </w:pPr>
      <w:r w:rsidRPr="00E43A50">
        <w:rPr>
          <w:b w:val="0"/>
          <w:bCs w:val="0"/>
        </w:rPr>
        <w:t>For a total of four months, Amanda experienced constant internet dropouts and no phone service, with no mobile coverage to rely on. Despite contacting</w:t>
      </w:r>
      <w:r>
        <w:rPr>
          <w:b w:val="0"/>
          <w:bCs w:val="0"/>
        </w:rPr>
        <w:t xml:space="preserve"> her telco</w:t>
      </w:r>
      <w:r w:rsidRPr="00E43A50">
        <w:rPr>
          <w:b w:val="0"/>
          <w:bCs w:val="0"/>
        </w:rPr>
        <w:t xml:space="preserve"> numerous time</w:t>
      </w:r>
      <w:r>
        <w:rPr>
          <w:b w:val="0"/>
          <w:bCs w:val="0"/>
        </w:rPr>
        <w:t>s and indicating that her service was not meeting consumer guarantees, the telco did not provide any form of remedy</w:t>
      </w:r>
      <w:r w:rsidRPr="00E43A50">
        <w:rPr>
          <w:b w:val="0"/>
          <w:bCs w:val="0"/>
        </w:rPr>
        <w:t>.</w:t>
      </w:r>
    </w:p>
    <w:p w14:paraId="25AFF952" w14:textId="5AFA9043" w:rsidR="00324891" w:rsidRPr="00A958D5" w:rsidRDefault="00324891" w:rsidP="00A958D5">
      <w:pPr>
        <w:pStyle w:val="Heading2"/>
        <w:numPr>
          <w:ilvl w:val="1"/>
          <w:numId w:val="3"/>
        </w:numPr>
      </w:pPr>
      <w:bookmarkStart w:id="9" w:name="_Toc95487991"/>
      <w:r w:rsidRPr="00A958D5">
        <w:t>Stronger rules about providing remedies will incentivise fairness</w:t>
      </w:r>
      <w:bookmarkEnd w:id="9"/>
    </w:p>
    <w:p w14:paraId="73CC3472" w14:textId="77777777" w:rsidR="00324891" w:rsidRDefault="00324891" w:rsidP="00324891">
      <w:r>
        <w:t>The Consultation RIS considers whether education and guidance campaigns for consumers, suppliers and manufacturers will improve the status quo regarding access to remedies and supplier indemnification. Accessible and effectively implemented education and guidance campaigns can support consumers to understand their rights under consumer law and equip them to advocate for a remedy in the event of a consumer guarantee failure. However, there is no evidence to suggest that education and guidance prevents suppliers’ systemic non-compliance with consumer law, especially considering that the burden for responding to non-compliance and enforcing ACL rights currently falls to the consumer on an individual level via court or tribunal. As the paper itself notes:</w:t>
      </w:r>
    </w:p>
    <w:p w14:paraId="7C04FE1C" w14:textId="77777777" w:rsidR="00324891" w:rsidRDefault="00324891" w:rsidP="00324891">
      <w:pPr>
        <w:pStyle w:val="Blockquote2"/>
      </w:pPr>
      <w:r w:rsidRPr="00F8216E">
        <w:t>Helping consumers to understand their rights does not necessarily mean business compliance with the consumer guarantees will increase. It may only marginally assist consumers when negotiating with suppliers or manufacturers, given the inherent power imbalance between the parties and the difficulties for consumers in asserting their rights</w:t>
      </w:r>
      <w:r>
        <w:t>.</w:t>
      </w:r>
      <w:r>
        <w:rPr>
          <w:rStyle w:val="FootnoteReference"/>
        </w:rPr>
        <w:footnoteReference w:id="11"/>
      </w:r>
    </w:p>
    <w:p w14:paraId="66956C62" w14:textId="100E9D9E" w:rsidR="00324891" w:rsidRDefault="00324891" w:rsidP="00324891">
      <w:r>
        <w:t xml:space="preserve">Therefore, </w:t>
      </w:r>
      <w:r w:rsidR="004C47C7">
        <w:t xml:space="preserve">while </w:t>
      </w:r>
      <w:r>
        <w:t xml:space="preserve">education and guidance campaigns </w:t>
      </w:r>
      <w:r w:rsidR="004C47C7">
        <w:t>provide practical support to consumers seeking remedies on an individual</w:t>
      </w:r>
      <w:r w:rsidR="00B82CE2">
        <w:t xml:space="preserve"> level</w:t>
      </w:r>
      <w:r w:rsidR="004C47C7">
        <w:t xml:space="preserve">, </w:t>
      </w:r>
      <w:r w:rsidR="00B82CE2">
        <w:t>these</w:t>
      </w:r>
      <w:r>
        <w:t xml:space="preserve"> cannot be considered a</w:t>
      </w:r>
      <w:r w:rsidR="00600123">
        <w:t>n adequate</w:t>
      </w:r>
      <w:r>
        <w:t xml:space="preserve"> response to the problem at hand</w:t>
      </w:r>
      <w:r w:rsidR="004C47C7">
        <w:t xml:space="preserve">. </w:t>
      </w:r>
      <w:r w:rsidR="00B82CE2">
        <w:t>N</w:t>
      </w:r>
      <w:r w:rsidR="00600123">
        <w:t xml:space="preserve">amely, </w:t>
      </w:r>
      <w:r>
        <w:t>that consumers do not always have access to remedies they are entitled to, and suppliers face difficulty being indemnified where responsibility for a consumer guarantee failure lies with a manufacturer or importer. The Decision RIS must recommend the introduction of civil prohibitions to prevent the</w:t>
      </w:r>
      <w:r w:rsidR="00F157AD">
        <w:t xml:space="preserve"> consumer and supplier detriment </w:t>
      </w:r>
      <w:r>
        <w:t xml:space="preserve">that </w:t>
      </w:r>
      <w:r w:rsidR="00F157AD">
        <w:t xml:space="preserve">has </w:t>
      </w:r>
      <w:r>
        <w:t>been identified</w:t>
      </w:r>
      <w:r w:rsidR="002F6CAF">
        <w:t xml:space="preserve">, in addition to </w:t>
      </w:r>
      <w:r w:rsidR="00CE63DC">
        <w:t>education and guidance campaign</w:t>
      </w:r>
      <w:r w:rsidR="000158C4">
        <w:t>s</w:t>
      </w:r>
      <w:r w:rsidR="005D7ED2">
        <w:t>.</w:t>
      </w:r>
    </w:p>
    <w:p w14:paraId="0D6BE151" w14:textId="6753A07E" w:rsidR="00324891" w:rsidRDefault="00324891" w:rsidP="00324891">
      <w:r>
        <w:t>Recent improved regulation of some aspects of the telecommunications sector is a valuable example of how the risk of incurring civil penalties is an effective deterrent for poor industry conduct. For example, the strengthening of mobile number pre-porting authorisation rules, violation of which can incur civil penalties, has decreased the incidence of mobile number theft.</w:t>
      </w:r>
      <w:r>
        <w:rPr>
          <w:rStyle w:val="FootnoteReference"/>
        </w:rPr>
        <w:footnoteReference w:id="12"/>
      </w:r>
      <w:r>
        <w:t xml:space="preserve"> Additionally, the Telecommunications Complaints Handling Standards and NBN service rules, other recently introduced and directly regulated instruments, have contributed to lower numbers of telecommunications complaints year on year.</w:t>
      </w:r>
      <w:r>
        <w:rPr>
          <w:rStyle w:val="FootnoteReference"/>
        </w:rPr>
        <w:footnoteReference w:id="13"/>
      </w:r>
      <w:r>
        <w:t xml:space="preserve"> </w:t>
      </w:r>
      <w:r>
        <w:rPr>
          <w:rStyle w:val="FootnoteReference"/>
        </w:rPr>
        <w:footnoteReference w:id="14"/>
      </w:r>
    </w:p>
    <w:p w14:paraId="7EAFA19C" w14:textId="6F567816" w:rsidR="00324891" w:rsidRPr="00C94139" w:rsidRDefault="00324891" w:rsidP="00324891">
      <w:pPr>
        <w:pStyle w:val="Recommendation"/>
      </w:pPr>
      <w:r>
        <w:t xml:space="preserve">That the Decision RIS finds that civil prohibitions are necessary to improve access to remedies and indemnification </w:t>
      </w:r>
      <w:r w:rsidR="00A174AF">
        <w:t>arrangements</w:t>
      </w:r>
      <w:r>
        <w:t xml:space="preserve"> under the ACL. </w:t>
      </w:r>
    </w:p>
    <w:p w14:paraId="341383A6" w14:textId="72EC1958" w:rsidR="004273D3" w:rsidRPr="00C94139" w:rsidRDefault="004273D3" w:rsidP="00324891">
      <w:pPr>
        <w:pStyle w:val="Recommendation"/>
      </w:pPr>
      <w:r>
        <w:t xml:space="preserve">That the Decision RIS supports a bold enforcement regime to </w:t>
      </w:r>
      <w:r w:rsidR="006B3742">
        <w:t xml:space="preserve">ensure compliance with ACL reforms. </w:t>
      </w:r>
    </w:p>
    <w:p w14:paraId="6E802382" w14:textId="3CE8CC19" w:rsidR="00324891" w:rsidRPr="00A958D5" w:rsidRDefault="00324891" w:rsidP="00A958D5">
      <w:pPr>
        <w:pStyle w:val="Heading2"/>
        <w:numPr>
          <w:ilvl w:val="1"/>
          <w:numId w:val="3"/>
        </w:numPr>
      </w:pPr>
      <w:bookmarkStart w:id="10" w:name="_Toc95487992"/>
      <w:r w:rsidRPr="00A958D5">
        <w:t xml:space="preserve">Further consideration is needed on how consumer guarantees apply to phone and internet </w:t>
      </w:r>
      <w:r w:rsidR="002004DA" w:rsidRPr="00A958D5">
        <w:t xml:space="preserve">products and </w:t>
      </w:r>
      <w:r w:rsidRPr="00A958D5">
        <w:t>services</w:t>
      </w:r>
      <w:bookmarkEnd w:id="10"/>
    </w:p>
    <w:p w14:paraId="44DF2B76" w14:textId="7EE0C1BC" w:rsidR="00324891" w:rsidRDefault="00324891" w:rsidP="00324891">
      <w:r>
        <w:t xml:space="preserve">The practical implementation of consumer guarantees for telecommunications products and services has never been straightforward due to their nature, complexity, and supply chains which can obscure </w:t>
      </w:r>
      <w:r w:rsidR="00547949">
        <w:t>which party is responsible for the</w:t>
      </w:r>
      <w:r>
        <w:t xml:space="preserve"> consumer guarantee failure. To resolve a telecommunications device or service issue, consumers may need to engage with any combination of the following parties:</w:t>
      </w:r>
    </w:p>
    <w:p w14:paraId="409323CF" w14:textId="7D372ED0" w:rsidR="00324891" w:rsidRDefault="00324891" w:rsidP="009F692F">
      <w:pPr>
        <w:pStyle w:val="ListParagraph"/>
        <w:numPr>
          <w:ilvl w:val="0"/>
          <w:numId w:val="12"/>
        </w:numPr>
      </w:pPr>
      <w:r>
        <w:t>Telecommunications service providers</w:t>
      </w:r>
      <w:r w:rsidR="00F80482">
        <w:t xml:space="preserve"> and network operators</w:t>
      </w:r>
    </w:p>
    <w:p w14:paraId="67D1A326" w14:textId="0828A9DE" w:rsidR="00324891" w:rsidRDefault="00324891" w:rsidP="009F692F">
      <w:pPr>
        <w:pStyle w:val="ListParagraph"/>
        <w:numPr>
          <w:ilvl w:val="0"/>
          <w:numId w:val="12"/>
        </w:numPr>
      </w:pPr>
      <w:r>
        <w:t>A device manufacturer (</w:t>
      </w:r>
      <w:proofErr w:type="gramStart"/>
      <w:r>
        <w:t>e</w:t>
      </w:r>
      <w:r w:rsidR="00C75E0E">
        <w:t>.</w:t>
      </w:r>
      <w:r>
        <w:t>g.</w:t>
      </w:r>
      <w:proofErr w:type="gramEnd"/>
      <w:r>
        <w:t xml:space="preserve"> Apple, Samsung)</w:t>
      </w:r>
    </w:p>
    <w:p w14:paraId="706CD8AC" w14:textId="5D416855" w:rsidR="00324891" w:rsidRDefault="00324891" w:rsidP="009F692F">
      <w:pPr>
        <w:pStyle w:val="ListParagraph"/>
        <w:numPr>
          <w:ilvl w:val="0"/>
          <w:numId w:val="12"/>
        </w:numPr>
      </w:pPr>
      <w:r>
        <w:t>A device supplier (</w:t>
      </w:r>
      <w:proofErr w:type="gramStart"/>
      <w:r>
        <w:t>e</w:t>
      </w:r>
      <w:r w:rsidR="00C75E0E">
        <w:t>.</w:t>
      </w:r>
      <w:r>
        <w:t>g.</w:t>
      </w:r>
      <w:proofErr w:type="gramEnd"/>
      <w:r>
        <w:t xml:space="preserve"> JB Hi</w:t>
      </w:r>
      <w:r w:rsidR="00B27507">
        <w:t>-</w:t>
      </w:r>
      <w:r>
        <w:t>Fi, Kogan)</w:t>
      </w:r>
    </w:p>
    <w:p w14:paraId="1AC11F98" w14:textId="77777777" w:rsidR="00324891" w:rsidRDefault="00324891" w:rsidP="009F692F">
      <w:pPr>
        <w:pStyle w:val="ListParagraph"/>
        <w:numPr>
          <w:ilvl w:val="0"/>
          <w:numId w:val="12"/>
        </w:numPr>
      </w:pPr>
      <w:r>
        <w:t>App/software developers</w:t>
      </w:r>
    </w:p>
    <w:p w14:paraId="7DE5CD47" w14:textId="38778224" w:rsidR="00324891" w:rsidRDefault="00324891" w:rsidP="009F692F">
      <w:pPr>
        <w:pStyle w:val="ListParagraph"/>
        <w:numPr>
          <w:ilvl w:val="0"/>
          <w:numId w:val="12"/>
        </w:numPr>
      </w:pPr>
      <w:r>
        <w:t>Ombudsmen (</w:t>
      </w:r>
      <w:proofErr w:type="gramStart"/>
      <w:r>
        <w:t>e</w:t>
      </w:r>
      <w:r w:rsidR="00C75E0E">
        <w:t>.</w:t>
      </w:r>
      <w:r>
        <w:t>g.</w:t>
      </w:r>
      <w:proofErr w:type="gramEnd"/>
      <w:r>
        <w:t xml:space="preserve"> the TIO)</w:t>
      </w:r>
    </w:p>
    <w:p w14:paraId="74010C6F" w14:textId="00B96492" w:rsidR="00324891" w:rsidRDefault="00324891" w:rsidP="009F692F">
      <w:pPr>
        <w:pStyle w:val="ListParagraph"/>
        <w:numPr>
          <w:ilvl w:val="0"/>
          <w:numId w:val="12"/>
        </w:numPr>
      </w:pPr>
      <w:r>
        <w:t>Consumer protection bodies and regulators (</w:t>
      </w:r>
      <w:proofErr w:type="gramStart"/>
      <w:r>
        <w:t>e</w:t>
      </w:r>
      <w:r w:rsidR="00C75E0E">
        <w:t>.</w:t>
      </w:r>
      <w:r>
        <w:t>g.</w:t>
      </w:r>
      <w:proofErr w:type="gramEnd"/>
      <w:r>
        <w:t xml:space="preserve"> the ACCC, the ACMA</w:t>
      </w:r>
      <w:r w:rsidR="003B6870">
        <w:t>, state</w:t>
      </w:r>
      <w:r w:rsidR="00F93A94">
        <w:t xml:space="preserve"> and territory</w:t>
      </w:r>
      <w:r w:rsidR="003B6870">
        <w:t xml:space="preserve"> Fair Trading offices</w:t>
      </w:r>
      <w:r>
        <w:t>)</w:t>
      </w:r>
    </w:p>
    <w:p w14:paraId="6746F10A" w14:textId="04547843" w:rsidR="00324891" w:rsidRDefault="00324891" w:rsidP="009F692F">
      <w:pPr>
        <w:pStyle w:val="ListParagraph"/>
        <w:numPr>
          <w:ilvl w:val="0"/>
          <w:numId w:val="12"/>
        </w:numPr>
      </w:pPr>
      <w:r>
        <w:t>Content aggregators and providers (</w:t>
      </w:r>
      <w:proofErr w:type="gramStart"/>
      <w:r>
        <w:t>e</w:t>
      </w:r>
      <w:r w:rsidR="00C75E0E">
        <w:t>.</w:t>
      </w:r>
      <w:r>
        <w:t>g.</w:t>
      </w:r>
      <w:proofErr w:type="gramEnd"/>
      <w:r>
        <w:t xml:space="preserve"> Netflix, app stores) </w:t>
      </w:r>
    </w:p>
    <w:p w14:paraId="56B57B6C" w14:textId="764A5E64" w:rsidR="00324891" w:rsidRDefault="00324891" w:rsidP="00324891">
      <w:r>
        <w:t>It is difficult for communications consumers to understand and advocate for their rights under consumer law. There have been numerous calls for the development of telecommunications-specific guidance on the application of consumer guarantees to improve consumer and industry understanding, including clarification on when remedies are entitled and what those remedies may look like.</w:t>
      </w:r>
      <w:r>
        <w:rPr>
          <w:rStyle w:val="FootnoteReference"/>
        </w:rPr>
        <w:footnoteReference w:id="15"/>
      </w:r>
      <w:r>
        <w:t xml:space="preserve"> </w:t>
      </w:r>
      <w:r>
        <w:rPr>
          <w:rStyle w:val="FootnoteReference"/>
        </w:rPr>
        <w:footnoteReference w:id="16"/>
      </w:r>
      <w:r w:rsidR="002004DA">
        <w:t xml:space="preserve"> </w:t>
      </w:r>
      <w:r>
        <w:t>ACCAN again calls for the development of telecommunications-specific guidance on the application of consumer guarantees, particularly in the following instances.</w:t>
      </w:r>
    </w:p>
    <w:p w14:paraId="1966DD9A" w14:textId="553E4263" w:rsidR="00412FF0" w:rsidRDefault="00412FF0" w:rsidP="00324891">
      <w:pPr>
        <w:pStyle w:val="Heading3"/>
        <w:ind w:left="0" w:firstLine="0"/>
      </w:pPr>
      <w:bookmarkStart w:id="11" w:name="_Toc95487993"/>
      <w:r>
        <w:t xml:space="preserve">Provision of services </w:t>
      </w:r>
      <w:r w:rsidR="005C5B51">
        <w:t>with due care and skill</w:t>
      </w:r>
      <w:bookmarkEnd w:id="11"/>
    </w:p>
    <w:p w14:paraId="2B7CBFE0" w14:textId="4C7A01C2" w:rsidR="002D155E" w:rsidRDefault="005C5B51" w:rsidP="005C5B51">
      <w:r>
        <w:t xml:space="preserve">The ACL </w:t>
      </w:r>
      <w:r w:rsidR="005D2AB6">
        <w:t>states</w:t>
      </w:r>
      <w:r>
        <w:t xml:space="preserve"> that services </w:t>
      </w:r>
      <w:r w:rsidR="00BE2222">
        <w:t>must</w:t>
      </w:r>
      <w:r w:rsidR="00446503">
        <w:t xml:space="preserve"> be </w:t>
      </w:r>
      <w:r w:rsidR="005D2AB6">
        <w:t>delivered</w:t>
      </w:r>
      <w:r w:rsidR="005D2AB6" w:rsidRPr="005D2AB6">
        <w:t xml:space="preserve"> with acceptable care and skill or technical knowledge and taking all necessary steps to avoid loss and damage</w:t>
      </w:r>
      <w:r w:rsidR="00BE2222">
        <w:t>.</w:t>
      </w:r>
      <w:r w:rsidR="00BE2222">
        <w:rPr>
          <w:rStyle w:val="FootnoteReference"/>
        </w:rPr>
        <w:footnoteReference w:id="17"/>
      </w:r>
      <w:r w:rsidR="00BE2222">
        <w:t xml:space="preserve"> </w:t>
      </w:r>
      <w:r w:rsidR="00A262F5">
        <w:t xml:space="preserve">This does not mean that consumers </w:t>
      </w:r>
      <w:r w:rsidR="002D155E">
        <w:t xml:space="preserve">should be guaranteed a totally uninterrupted </w:t>
      </w:r>
      <w:r w:rsidR="00347E23">
        <w:t xml:space="preserve">service, but it does mean that suppliers of a service have </w:t>
      </w:r>
      <w:r w:rsidR="00B27307">
        <w:t>significant</w:t>
      </w:r>
      <w:r w:rsidR="00347E23">
        <w:t xml:space="preserve"> responsibility to their customers </w:t>
      </w:r>
      <w:r w:rsidR="00B27307">
        <w:t xml:space="preserve">relating </w:t>
      </w:r>
      <w:r w:rsidR="00347E23">
        <w:t xml:space="preserve">to </w:t>
      </w:r>
      <w:r w:rsidR="00B27307">
        <w:t>how services are delivered</w:t>
      </w:r>
      <w:r w:rsidR="005A63CD">
        <w:t>, regardless of what the service is and where responsibility for the mechanics of the service lie</w:t>
      </w:r>
      <w:r w:rsidR="00B27307">
        <w:t>.</w:t>
      </w:r>
      <w:r w:rsidR="001263AD">
        <w:t xml:space="preserve"> </w:t>
      </w:r>
    </w:p>
    <w:p w14:paraId="72EF8599" w14:textId="55E02C5C" w:rsidR="005C5B51" w:rsidRPr="005C5B51" w:rsidRDefault="007513F9" w:rsidP="005C5B51">
      <w:r>
        <w:t xml:space="preserve">In the telecommunications context, it is exceptionally difficult for a consumer to argue that </w:t>
      </w:r>
      <w:r w:rsidR="00B27307">
        <w:t>due care and skill</w:t>
      </w:r>
      <w:r w:rsidR="004408A8">
        <w:t xml:space="preserve"> has not been </w:t>
      </w:r>
      <w:r w:rsidR="00B27307">
        <w:t>taken</w:t>
      </w:r>
      <w:r w:rsidR="004A620D">
        <w:t xml:space="preserve"> </w:t>
      </w:r>
      <w:r w:rsidR="005A63CD">
        <w:t>in delivering</w:t>
      </w:r>
      <w:r w:rsidR="004A620D">
        <w:t xml:space="preserve"> a </w:t>
      </w:r>
      <w:r w:rsidR="005A63CD">
        <w:t xml:space="preserve">service. This makes it difficult to </w:t>
      </w:r>
      <w:r w:rsidR="004A620D">
        <w:t>demonstrat</w:t>
      </w:r>
      <w:r w:rsidR="005A63CD">
        <w:t>e</w:t>
      </w:r>
      <w:r w:rsidR="004A620D">
        <w:t xml:space="preserve"> co</w:t>
      </w:r>
      <w:r w:rsidR="00742272">
        <w:t>n</w:t>
      </w:r>
      <w:r w:rsidR="004A620D">
        <w:t>sumer guarantee failure</w:t>
      </w:r>
      <w:r w:rsidR="005A63CD">
        <w:t>s</w:t>
      </w:r>
      <w:r w:rsidR="00A262F5">
        <w:t xml:space="preserve">, especially in the case </w:t>
      </w:r>
      <w:r w:rsidR="00742272">
        <w:t xml:space="preserve">of </w:t>
      </w:r>
      <w:r w:rsidR="00A262F5">
        <w:t>broadband reliability and performance issues</w:t>
      </w:r>
      <w:r w:rsidR="0037672E">
        <w:t>.</w:t>
      </w:r>
      <w:r w:rsidR="004408A8">
        <w:t xml:space="preserve"> </w:t>
      </w:r>
    </w:p>
    <w:p w14:paraId="60529B93" w14:textId="1B13C20D" w:rsidR="00A262F5" w:rsidRDefault="00A262F5" w:rsidP="00A262F5">
      <w:r>
        <w:t>Broadband service performance and reliability issues are one of the most common communications consumer problems.</w:t>
      </w:r>
      <w:r>
        <w:rPr>
          <w:rStyle w:val="FootnoteReference"/>
        </w:rPr>
        <w:footnoteReference w:id="18"/>
      </w:r>
      <w:r>
        <w:t xml:space="preserve"> Resolving and seeking remedies for broadband issues is exceptionally complex for consumers for a variety of reasons, including buck-passing </w:t>
      </w:r>
      <w:r w:rsidR="005149EA">
        <w:t xml:space="preserve">responsibility </w:t>
      </w:r>
      <w:r>
        <w:t xml:space="preserve">between wholesaler network operators and RSPs, and difficulties isolating the cause of a broadband service issue, as well as which party is liable for it. </w:t>
      </w:r>
      <w:r w:rsidR="00A97B83">
        <w:t>A prim</w:t>
      </w:r>
      <w:r w:rsidR="00F66C51">
        <w:t>e</w:t>
      </w:r>
      <w:r w:rsidR="00A97B83">
        <w:t xml:space="preserve"> example of </w:t>
      </w:r>
      <w:r w:rsidR="00067B6E">
        <w:t>this</w:t>
      </w:r>
      <w:r w:rsidR="00A97B83">
        <w:t xml:space="preserve"> </w:t>
      </w:r>
      <w:r w:rsidR="00164EDB">
        <w:t xml:space="preserve">is the </w:t>
      </w:r>
      <w:r w:rsidR="00A97B83">
        <w:t xml:space="preserve">difficulties consumers have experienced regarding poorly performing NBN Fibre-To-The-Node </w:t>
      </w:r>
      <w:r w:rsidR="00627D9F">
        <w:t>(</w:t>
      </w:r>
      <w:r w:rsidR="00627D9F" w:rsidRPr="00627D9F">
        <w:rPr>
          <w:b/>
          <w:bCs/>
        </w:rPr>
        <w:t>FTTN</w:t>
      </w:r>
      <w:r w:rsidR="00627D9F">
        <w:t xml:space="preserve">) </w:t>
      </w:r>
      <w:r w:rsidR="00A97B83">
        <w:t>services.</w:t>
      </w:r>
      <w:r w:rsidR="00A97B83">
        <w:rPr>
          <w:rStyle w:val="FootnoteReference"/>
        </w:rPr>
        <w:footnoteReference w:id="19"/>
      </w:r>
      <w:r w:rsidR="00A97B83">
        <w:t xml:space="preserve"> </w:t>
      </w:r>
    </w:p>
    <w:p w14:paraId="2D29822D" w14:textId="7DC933BA" w:rsidR="00732548" w:rsidRDefault="00732548" w:rsidP="00732548">
      <w:pPr>
        <w:pStyle w:val="Casestudy"/>
      </w:pPr>
      <w:r>
        <w:t xml:space="preserve">Case study 4: Consumer </w:t>
      </w:r>
      <w:r w:rsidR="00226C31">
        <w:t xml:space="preserve">unable to fix ongoing NBN performance problems </w:t>
      </w:r>
    </w:p>
    <w:p w14:paraId="0B91E0B3" w14:textId="2ED113BC" w:rsidR="00ED3D25" w:rsidRDefault="00627D9F" w:rsidP="00ED3D25">
      <w:pPr>
        <w:pStyle w:val="Casestudy"/>
        <w:rPr>
          <w:b w:val="0"/>
          <w:bCs w:val="0"/>
        </w:rPr>
      </w:pPr>
      <w:r>
        <w:rPr>
          <w:b w:val="0"/>
          <w:bCs w:val="0"/>
        </w:rPr>
        <w:t>Ross (name changed) is an NBN FTTN home broadband customer</w:t>
      </w:r>
      <w:r w:rsidR="00DA0273">
        <w:rPr>
          <w:b w:val="0"/>
          <w:bCs w:val="0"/>
        </w:rPr>
        <w:t xml:space="preserve"> in Terrigal, NSW</w:t>
      </w:r>
      <w:r>
        <w:rPr>
          <w:b w:val="0"/>
          <w:bCs w:val="0"/>
        </w:rPr>
        <w:t xml:space="preserve">. </w:t>
      </w:r>
      <w:r w:rsidR="00743FBF">
        <w:rPr>
          <w:b w:val="0"/>
          <w:bCs w:val="0"/>
        </w:rPr>
        <w:t>He</w:t>
      </w:r>
      <w:r w:rsidR="00E23DC2">
        <w:rPr>
          <w:b w:val="0"/>
          <w:bCs w:val="0"/>
        </w:rPr>
        <w:t xml:space="preserve"> and his neighbours</w:t>
      </w:r>
      <w:r w:rsidR="00743FBF">
        <w:rPr>
          <w:b w:val="0"/>
          <w:bCs w:val="0"/>
        </w:rPr>
        <w:t xml:space="preserve"> </w:t>
      </w:r>
      <w:r w:rsidR="00EE1546">
        <w:rPr>
          <w:b w:val="0"/>
          <w:bCs w:val="0"/>
        </w:rPr>
        <w:t>routinely</w:t>
      </w:r>
      <w:r w:rsidR="00743FBF">
        <w:rPr>
          <w:b w:val="0"/>
          <w:bCs w:val="0"/>
        </w:rPr>
        <w:t xml:space="preserve"> experience </w:t>
      </w:r>
      <w:r w:rsidR="00976FBD">
        <w:rPr>
          <w:b w:val="0"/>
          <w:bCs w:val="0"/>
        </w:rPr>
        <w:t xml:space="preserve">service dropouts and </w:t>
      </w:r>
      <w:r w:rsidR="00446D04">
        <w:rPr>
          <w:b w:val="0"/>
          <w:bCs w:val="0"/>
        </w:rPr>
        <w:t>poor</w:t>
      </w:r>
      <w:r w:rsidR="00976FBD">
        <w:rPr>
          <w:b w:val="0"/>
          <w:bCs w:val="0"/>
        </w:rPr>
        <w:t xml:space="preserve"> download </w:t>
      </w:r>
      <w:r w:rsidR="00446D04">
        <w:rPr>
          <w:b w:val="0"/>
          <w:bCs w:val="0"/>
        </w:rPr>
        <w:t xml:space="preserve">and upload </w:t>
      </w:r>
      <w:r w:rsidR="00976FBD">
        <w:rPr>
          <w:b w:val="0"/>
          <w:bCs w:val="0"/>
        </w:rPr>
        <w:t>speeds</w:t>
      </w:r>
      <w:r w:rsidR="00ED3D25">
        <w:rPr>
          <w:b w:val="0"/>
          <w:bCs w:val="0"/>
        </w:rPr>
        <w:t xml:space="preserve"> due to the limitations of the FTTN network in their area</w:t>
      </w:r>
      <w:r w:rsidR="00CC7543">
        <w:rPr>
          <w:b w:val="0"/>
          <w:bCs w:val="0"/>
        </w:rPr>
        <w:t>.</w:t>
      </w:r>
      <w:r w:rsidR="00976FBD">
        <w:rPr>
          <w:b w:val="0"/>
          <w:bCs w:val="0"/>
        </w:rPr>
        <w:t xml:space="preserve"> </w:t>
      </w:r>
      <w:r w:rsidR="006E1558">
        <w:rPr>
          <w:b w:val="0"/>
          <w:bCs w:val="0"/>
        </w:rPr>
        <w:t xml:space="preserve">Ross </w:t>
      </w:r>
      <w:r w:rsidR="00CC7543">
        <w:rPr>
          <w:b w:val="0"/>
          <w:bCs w:val="0"/>
        </w:rPr>
        <w:t>experienced 952 service disruptions in one month, with a total duration of 5 hours.</w:t>
      </w:r>
    </w:p>
    <w:p w14:paraId="4D35DDA8" w14:textId="04BB2C51" w:rsidR="00226C31" w:rsidRPr="00226C31" w:rsidRDefault="006E1558" w:rsidP="00732548">
      <w:pPr>
        <w:pStyle w:val="Casestudy"/>
        <w:rPr>
          <w:b w:val="0"/>
          <w:bCs w:val="0"/>
        </w:rPr>
      </w:pPr>
      <w:r>
        <w:rPr>
          <w:b w:val="0"/>
          <w:bCs w:val="0"/>
        </w:rPr>
        <w:t xml:space="preserve">Ross </w:t>
      </w:r>
      <w:r w:rsidR="00CC7543">
        <w:rPr>
          <w:b w:val="0"/>
          <w:bCs w:val="0"/>
        </w:rPr>
        <w:t>has been</w:t>
      </w:r>
      <w:r>
        <w:rPr>
          <w:b w:val="0"/>
          <w:bCs w:val="0"/>
        </w:rPr>
        <w:t xml:space="preserve"> in frequent contact</w:t>
      </w:r>
      <w:r w:rsidR="00E11C9C">
        <w:rPr>
          <w:b w:val="0"/>
          <w:bCs w:val="0"/>
        </w:rPr>
        <w:t xml:space="preserve"> with his RSP </w:t>
      </w:r>
      <w:r w:rsidR="00CC7543">
        <w:rPr>
          <w:b w:val="0"/>
          <w:bCs w:val="0"/>
        </w:rPr>
        <w:t xml:space="preserve">and with NBN Co to </w:t>
      </w:r>
      <w:r w:rsidR="00ED3D25">
        <w:rPr>
          <w:b w:val="0"/>
          <w:bCs w:val="0"/>
        </w:rPr>
        <w:t xml:space="preserve">resolve </w:t>
      </w:r>
      <w:r w:rsidR="00811669">
        <w:rPr>
          <w:b w:val="0"/>
          <w:bCs w:val="0"/>
        </w:rPr>
        <w:t xml:space="preserve">his broadband </w:t>
      </w:r>
      <w:proofErr w:type="gramStart"/>
      <w:r w:rsidR="00811669">
        <w:rPr>
          <w:b w:val="0"/>
          <w:bCs w:val="0"/>
        </w:rPr>
        <w:t>issues</w:t>
      </w:r>
      <w:r w:rsidR="00700E1A">
        <w:rPr>
          <w:b w:val="0"/>
          <w:bCs w:val="0"/>
        </w:rPr>
        <w:t>, but</w:t>
      </w:r>
      <w:proofErr w:type="gramEnd"/>
      <w:r w:rsidR="00700E1A">
        <w:rPr>
          <w:b w:val="0"/>
          <w:bCs w:val="0"/>
        </w:rPr>
        <w:t xml:space="preserve"> has been unsuccessful</w:t>
      </w:r>
      <w:r w:rsidR="00811669">
        <w:rPr>
          <w:b w:val="0"/>
          <w:bCs w:val="0"/>
        </w:rPr>
        <w:t>.</w:t>
      </w:r>
      <w:r w:rsidR="00D14CDD">
        <w:rPr>
          <w:b w:val="0"/>
          <w:bCs w:val="0"/>
        </w:rPr>
        <w:t xml:space="preserve"> </w:t>
      </w:r>
      <w:r w:rsidR="00700E1A">
        <w:rPr>
          <w:b w:val="0"/>
          <w:bCs w:val="0"/>
        </w:rPr>
        <w:t>His RSP informed him tha</w:t>
      </w:r>
      <w:r w:rsidR="004246CB">
        <w:rPr>
          <w:b w:val="0"/>
          <w:bCs w:val="0"/>
        </w:rPr>
        <w:t xml:space="preserve">t </w:t>
      </w:r>
      <w:r w:rsidR="005A4FE6">
        <w:rPr>
          <w:b w:val="0"/>
          <w:bCs w:val="0"/>
        </w:rPr>
        <w:t>it</w:t>
      </w:r>
      <w:r w:rsidR="004246CB">
        <w:rPr>
          <w:b w:val="0"/>
          <w:bCs w:val="0"/>
        </w:rPr>
        <w:t xml:space="preserve"> had referred the issue to NBN Co but there was nothing further </w:t>
      </w:r>
      <w:r w:rsidR="005A4FE6">
        <w:rPr>
          <w:b w:val="0"/>
          <w:bCs w:val="0"/>
        </w:rPr>
        <w:t>it</w:t>
      </w:r>
      <w:r w:rsidR="004246CB">
        <w:rPr>
          <w:b w:val="0"/>
          <w:bCs w:val="0"/>
        </w:rPr>
        <w:t xml:space="preserve"> could do</w:t>
      </w:r>
      <w:r w:rsidR="005A4FE6">
        <w:rPr>
          <w:b w:val="0"/>
          <w:bCs w:val="0"/>
        </w:rPr>
        <w:t>, because NBN Co was responsible for the performance problems</w:t>
      </w:r>
      <w:r w:rsidR="004246CB">
        <w:rPr>
          <w:b w:val="0"/>
          <w:bCs w:val="0"/>
        </w:rPr>
        <w:t xml:space="preserve">. NBN Co told Ross </w:t>
      </w:r>
      <w:r w:rsidR="00285446">
        <w:rPr>
          <w:b w:val="0"/>
          <w:bCs w:val="0"/>
        </w:rPr>
        <w:t xml:space="preserve">that </w:t>
      </w:r>
      <w:r w:rsidR="005A4FE6">
        <w:rPr>
          <w:b w:val="0"/>
          <w:bCs w:val="0"/>
        </w:rPr>
        <w:t>his broadband</w:t>
      </w:r>
      <w:r w:rsidR="00285446">
        <w:rPr>
          <w:b w:val="0"/>
          <w:bCs w:val="0"/>
        </w:rPr>
        <w:t xml:space="preserve"> issues may be due to in-home wiring </w:t>
      </w:r>
      <w:r w:rsidR="00206F47">
        <w:rPr>
          <w:b w:val="0"/>
          <w:bCs w:val="0"/>
        </w:rPr>
        <w:t>or equipment, d</w:t>
      </w:r>
      <w:r w:rsidR="00285446">
        <w:rPr>
          <w:b w:val="0"/>
          <w:bCs w:val="0"/>
        </w:rPr>
        <w:t>espite</w:t>
      </w:r>
      <w:r w:rsidR="00206F47">
        <w:rPr>
          <w:b w:val="0"/>
          <w:bCs w:val="0"/>
        </w:rPr>
        <w:t xml:space="preserve"> Ross</w:t>
      </w:r>
      <w:r w:rsidR="00285446">
        <w:rPr>
          <w:b w:val="0"/>
          <w:bCs w:val="0"/>
        </w:rPr>
        <w:t xml:space="preserve"> re-wiring his house and purchasing new </w:t>
      </w:r>
      <w:r w:rsidR="00206F47">
        <w:rPr>
          <w:b w:val="0"/>
          <w:bCs w:val="0"/>
        </w:rPr>
        <w:t xml:space="preserve">devices and </w:t>
      </w:r>
      <w:r w:rsidR="007031E9">
        <w:rPr>
          <w:b w:val="0"/>
          <w:bCs w:val="0"/>
        </w:rPr>
        <w:t>equipment</w:t>
      </w:r>
      <w:r w:rsidR="00C36AE7">
        <w:rPr>
          <w:b w:val="0"/>
          <w:bCs w:val="0"/>
        </w:rPr>
        <w:t xml:space="preserve"> in pursuit of a solution</w:t>
      </w:r>
      <w:r w:rsidR="007031E9">
        <w:rPr>
          <w:b w:val="0"/>
          <w:bCs w:val="0"/>
        </w:rPr>
        <w:t xml:space="preserve">. </w:t>
      </w:r>
      <w:r w:rsidR="00C0344F">
        <w:rPr>
          <w:b w:val="0"/>
          <w:bCs w:val="0"/>
        </w:rPr>
        <w:t>NBN Co was unable to provide further assistance because it is a wholesale service provider, and insisted Ross contact his RSP.</w:t>
      </w:r>
    </w:p>
    <w:p w14:paraId="242716AD" w14:textId="76655D9C" w:rsidR="003C2016" w:rsidRPr="00226C31" w:rsidRDefault="00A27C15" w:rsidP="00ED3D25">
      <w:pPr>
        <w:pStyle w:val="Casestudy"/>
        <w:rPr>
          <w:b w:val="0"/>
          <w:bCs w:val="0"/>
        </w:rPr>
      </w:pPr>
      <w:r>
        <w:rPr>
          <w:b w:val="0"/>
          <w:bCs w:val="0"/>
        </w:rPr>
        <w:t xml:space="preserve">In May 2021, </w:t>
      </w:r>
      <w:r w:rsidR="00174D4A">
        <w:rPr>
          <w:b w:val="0"/>
          <w:bCs w:val="0"/>
        </w:rPr>
        <w:t>NBN Co</w:t>
      </w:r>
      <w:r w:rsidR="006A5375">
        <w:rPr>
          <w:b w:val="0"/>
          <w:bCs w:val="0"/>
        </w:rPr>
        <w:t xml:space="preserve"> announced that </w:t>
      </w:r>
      <w:r w:rsidR="00C0344F">
        <w:rPr>
          <w:b w:val="0"/>
          <w:bCs w:val="0"/>
        </w:rPr>
        <w:t>some premises in the Terrigal area would be eligible for a</w:t>
      </w:r>
      <w:r w:rsidR="008050A8">
        <w:rPr>
          <w:b w:val="0"/>
          <w:bCs w:val="0"/>
        </w:rPr>
        <w:t xml:space="preserve"> technology</w:t>
      </w:r>
      <w:r w:rsidR="00C0344F">
        <w:rPr>
          <w:b w:val="0"/>
          <w:bCs w:val="0"/>
        </w:rPr>
        <w:t xml:space="preserve"> upgrade from FTTN to Fibre-To-The-Premises (</w:t>
      </w:r>
      <w:r w:rsidR="008050A8" w:rsidRPr="008050A8">
        <w:t>FTTP</w:t>
      </w:r>
      <w:r w:rsidR="008050A8">
        <w:rPr>
          <w:b w:val="0"/>
          <w:bCs w:val="0"/>
        </w:rPr>
        <w:t xml:space="preserve">). </w:t>
      </w:r>
      <w:r>
        <w:rPr>
          <w:b w:val="0"/>
          <w:bCs w:val="0"/>
        </w:rPr>
        <w:t>Months later,</w:t>
      </w:r>
      <w:r w:rsidR="008050A8">
        <w:rPr>
          <w:b w:val="0"/>
          <w:bCs w:val="0"/>
        </w:rPr>
        <w:t xml:space="preserve"> </w:t>
      </w:r>
      <w:r>
        <w:rPr>
          <w:b w:val="0"/>
          <w:bCs w:val="0"/>
        </w:rPr>
        <w:t xml:space="preserve">Ross discovered his </w:t>
      </w:r>
      <w:r w:rsidR="00B351C3">
        <w:rPr>
          <w:b w:val="0"/>
          <w:bCs w:val="0"/>
        </w:rPr>
        <w:t xml:space="preserve">premises was not in the upgrade footprint, and his broadband issues will persist indefinitely. </w:t>
      </w:r>
      <w:r>
        <w:rPr>
          <w:b w:val="0"/>
          <w:bCs w:val="0"/>
        </w:rPr>
        <w:t xml:space="preserve"> </w:t>
      </w:r>
    </w:p>
    <w:p w14:paraId="5C2746B8" w14:textId="7CAB3932" w:rsidR="00A262F5" w:rsidRDefault="00A262F5" w:rsidP="00A262F5">
      <w:r>
        <w:t>NBN Co’s Wholesale Broadband Agreement</w:t>
      </w:r>
      <w:r w:rsidR="00F93A94">
        <w:t xml:space="preserve"> (WBA4)</w:t>
      </w:r>
      <w:r>
        <w:t xml:space="preserve"> sets out NBN Co’s definition of a service fault (10 or more dropouts within a 24-hour period), and outlines the compensation that RSPs may be able to claim </w:t>
      </w:r>
      <w:r w:rsidR="00742272">
        <w:t xml:space="preserve">from NBN Co </w:t>
      </w:r>
      <w:r>
        <w:t>in the event of a service fault.</w:t>
      </w:r>
      <w:r>
        <w:rPr>
          <w:rStyle w:val="FootnoteReference"/>
        </w:rPr>
        <w:footnoteReference w:id="20"/>
      </w:r>
      <w:r>
        <w:t xml:space="preserve"> ACCAN has concerns about the limitations of this definition, given that RSPs </w:t>
      </w:r>
      <w:r w:rsidR="00687EDF">
        <w:t xml:space="preserve">under the </w:t>
      </w:r>
      <w:r w:rsidR="00F93A94">
        <w:t>WBA4</w:t>
      </w:r>
      <w:r w:rsidR="00687EDF">
        <w:t xml:space="preserve"> </w:t>
      </w:r>
      <w:r>
        <w:t xml:space="preserve">are not supported to compensate consumers for poorly performing services outside </w:t>
      </w:r>
      <w:r w:rsidR="006B3742">
        <w:t>that</w:t>
      </w:r>
      <w:r>
        <w:t xml:space="preserve"> definition. This undermines the ease </w:t>
      </w:r>
      <w:r w:rsidR="00742272">
        <w:t xml:space="preserve">with </w:t>
      </w:r>
      <w:r>
        <w:t xml:space="preserve">which a consumer may access a remedy, as </w:t>
      </w:r>
      <w:r w:rsidR="00940845">
        <w:t xml:space="preserve">RSPs have financial and legal obligations under the ACL, but </w:t>
      </w:r>
      <w:r w:rsidR="007376EB">
        <w:t xml:space="preserve">the </w:t>
      </w:r>
      <w:r w:rsidR="004E7216">
        <w:t xml:space="preserve">cause of </w:t>
      </w:r>
      <w:r w:rsidR="00A41B53">
        <w:t xml:space="preserve">the </w:t>
      </w:r>
      <w:r w:rsidR="007376EB">
        <w:t>consumer guarantee failure is the technical resp</w:t>
      </w:r>
      <w:r w:rsidR="004E7216">
        <w:t>onsibility o</w:t>
      </w:r>
      <w:r w:rsidR="003E6BC0">
        <w:t>f</w:t>
      </w:r>
      <w:r w:rsidR="004E7216">
        <w:t xml:space="preserve"> NBN Co.</w:t>
      </w:r>
      <w:r>
        <w:t xml:space="preserve"> Additionally, there is no current</w:t>
      </w:r>
      <w:r w:rsidR="002F0693">
        <w:t xml:space="preserve"> specific</w:t>
      </w:r>
      <w:r>
        <w:t xml:space="preserve"> legislative requirement for RSPs to immediately and directly pass on </w:t>
      </w:r>
      <w:r w:rsidR="00D65780">
        <w:t xml:space="preserve">NBN </w:t>
      </w:r>
      <w:r w:rsidR="00C01C28">
        <w:t xml:space="preserve">Co’s </w:t>
      </w:r>
      <w:r>
        <w:t>service fault rebates.</w:t>
      </w:r>
      <w:r>
        <w:rPr>
          <w:rStyle w:val="FootnoteReference"/>
        </w:rPr>
        <w:footnoteReference w:id="21"/>
      </w:r>
      <w:r w:rsidR="00E241B3">
        <w:t xml:space="preserve"> An additional concern here is that </w:t>
      </w:r>
      <w:r w:rsidR="00E00169">
        <w:t xml:space="preserve">the </w:t>
      </w:r>
      <w:r w:rsidR="001409D8">
        <w:t xml:space="preserve">definition of </w:t>
      </w:r>
      <w:r w:rsidR="00005471">
        <w:t xml:space="preserve">a service fault </w:t>
      </w:r>
      <w:r w:rsidR="001005AB">
        <w:t xml:space="preserve">permits </w:t>
      </w:r>
      <w:r w:rsidR="00E41216">
        <w:t xml:space="preserve">an unacceptable degree of service disruption for </w:t>
      </w:r>
      <w:r w:rsidR="00265848">
        <w:t>households using the service</w:t>
      </w:r>
      <w:r w:rsidR="00BB39C9">
        <w:t xml:space="preserve">, </w:t>
      </w:r>
      <w:r w:rsidR="00905D41">
        <w:t xml:space="preserve">as </w:t>
      </w:r>
      <w:r w:rsidR="007741FE">
        <w:t xml:space="preserve">less than </w:t>
      </w:r>
      <w:r w:rsidR="004D3BAA">
        <w:t>10</w:t>
      </w:r>
      <w:r w:rsidR="00CA3A91">
        <w:t xml:space="preserve"> drop outs </w:t>
      </w:r>
      <w:r w:rsidR="00C35121">
        <w:t>in a 24 hour p</w:t>
      </w:r>
      <w:r w:rsidR="00C705A2">
        <w:t>eriod</w:t>
      </w:r>
      <w:r w:rsidR="00905D41">
        <w:t xml:space="preserve"> could </w:t>
      </w:r>
      <w:r w:rsidR="00E2094D">
        <w:t>make the service unusable</w:t>
      </w:r>
      <w:r w:rsidR="00B675E6">
        <w:t xml:space="preserve">. It is </w:t>
      </w:r>
      <w:r w:rsidR="00BB39C9">
        <w:t xml:space="preserve">not clear </w:t>
      </w:r>
      <w:r w:rsidR="00525355">
        <w:t xml:space="preserve">what rights </w:t>
      </w:r>
      <w:r w:rsidR="00B04D78">
        <w:t xml:space="preserve">are available under </w:t>
      </w:r>
      <w:r w:rsidR="008438B7">
        <w:t xml:space="preserve">ACL service guarantees </w:t>
      </w:r>
      <w:r w:rsidR="00F65266">
        <w:t>in these circumstances</w:t>
      </w:r>
      <w:r w:rsidR="0068124D">
        <w:t>, nor how consumers would exercise them</w:t>
      </w:r>
      <w:r w:rsidR="00F65266">
        <w:t xml:space="preserve">. </w:t>
      </w:r>
    </w:p>
    <w:p w14:paraId="15DF7A32" w14:textId="26AF2B88" w:rsidR="001E025F" w:rsidRDefault="00B658B6" w:rsidP="009C51AE">
      <w:r>
        <w:t>ACCAN has significant concerns about</w:t>
      </w:r>
      <w:r w:rsidR="00B27307">
        <w:t xml:space="preserve"> the lack of case law and guidance relating to the provision of </w:t>
      </w:r>
      <w:r>
        <w:t>essential services</w:t>
      </w:r>
      <w:r w:rsidR="00BD5CAE">
        <w:t>, including telecommunications,</w:t>
      </w:r>
      <w:r>
        <w:t xml:space="preserve"> under the consumer guarantees. </w:t>
      </w:r>
      <w:r w:rsidR="007815DC">
        <w:t xml:space="preserve">The </w:t>
      </w:r>
      <w:r w:rsidR="00366FFD">
        <w:t>C</w:t>
      </w:r>
      <w:r w:rsidR="007815DC">
        <w:t xml:space="preserve">onsultation RIS essentially overlooks the </w:t>
      </w:r>
      <w:r w:rsidR="00366FFD">
        <w:t xml:space="preserve">status of services in supplier indemnification processes. </w:t>
      </w:r>
      <w:r>
        <w:t xml:space="preserve">There is a significant need for </w:t>
      </w:r>
      <w:r w:rsidR="005655F0">
        <w:t xml:space="preserve">more </w:t>
      </w:r>
      <w:r>
        <w:t>clarity</w:t>
      </w:r>
      <w:r w:rsidR="005655F0">
        <w:t xml:space="preserve"> surrounding RSPs’ and wholesale network operators’ obligations </w:t>
      </w:r>
      <w:r w:rsidR="00770F87">
        <w:t xml:space="preserve">under the consumer guarantees, so that consumers are </w:t>
      </w:r>
      <w:r w:rsidR="00E07B3E">
        <w:t>supported to</w:t>
      </w:r>
      <w:r w:rsidR="00770F87">
        <w:t xml:space="preserve"> </w:t>
      </w:r>
      <w:r w:rsidR="009C51AE">
        <w:t>access remedies</w:t>
      </w:r>
      <w:r w:rsidR="00E07B3E">
        <w:t xml:space="preserve"> where they are entitled</w:t>
      </w:r>
      <w:r w:rsidR="00742272">
        <w:t xml:space="preserve"> to them</w:t>
      </w:r>
      <w:r w:rsidR="00E07B3E">
        <w:t>.</w:t>
      </w:r>
      <w:r w:rsidR="00B27307">
        <w:t xml:space="preserve"> </w:t>
      </w:r>
    </w:p>
    <w:p w14:paraId="219DF8AE" w14:textId="517900FA" w:rsidR="00557A94" w:rsidRPr="00C8452A" w:rsidRDefault="00557A94" w:rsidP="005D4269">
      <w:pPr>
        <w:pStyle w:val="Recommendation"/>
      </w:pPr>
      <w:r>
        <w:t xml:space="preserve">That the Decision RIS highlights the need for telecommunications-specific guidance on the application of consumer guarantees targeted at both consumers and industry. </w:t>
      </w:r>
    </w:p>
    <w:p w14:paraId="0B4CB1A2" w14:textId="22184DA1" w:rsidR="00324891" w:rsidRPr="00B468C8" w:rsidRDefault="00324891" w:rsidP="00324891">
      <w:pPr>
        <w:pStyle w:val="Heading3"/>
        <w:ind w:left="0" w:firstLine="0"/>
      </w:pPr>
      <w:bookmarkStart w:id="12" w:name="_Toc95487994"/>
      <w:r>
        <w:t>Mobile s</w:t>
      </w:r>
      <w:r w:rsidRPr="00B468C8">
        <w:t>ervice outages</w:t>
      </w:r>
      <w:bookmarkEnd w:id="12"/>
    </w:p>
    <w:p w14:paraId="18474DB3" w14:textId="491FAFFB" w:rsidR="00324891" w:rsidRDefault="00324891" w:rsidP="00324891">
      <w:r>
        <w:t xml:space="preserve">Mobile service outages are a recurrent problem for many communications consumers. Service outages can range from extremely inconvenient to </w:t>
      </w:r>
      <w:proofErr w:type="gramStart"/>
      <w:r>
        <w:t>life-threatening, and</w:t>
      </w:r>
      <w:proofErr w:type="gramEnd"/>
      <w:r>
        <w:t xml:space="preserve"> have a disproportionate impact on mobile-only internet users who wholly rely on mobile connectivity. Last financial year saw mobile coverage and mobile equipment issues in TIO complaints increase by 9.3% and 7.3%</w:t>
      </w:r>
      <w:r w:rsidR="00742272">
        <w:t xml:space="preserve"> respectively</w:t>
      </w:r>
      <w:r>
        <w:t>.</w:t>
      </w:r>
      <w:r>
        <w:rPr>
          <w:rStyle w:val="FootnoteReference"/>
        </w:rPr>
        <w:footnoteReference w:id="22"/>
      </w:r>
      <w:r>
        <w:t xml:space="preserve"> </w:t>
      </w:r>
    </w:p>
    <w:p w14:paraId="027C8833" w14:textId="6739E8C0" w:rsidR="00324891" w:rsidRDefault="00324891" w:rsidP="00324891">
      <w:r>
        <w:t>There is no tailored legislative mechanism to ensure that consumers can access fair remedies where mobile services fail, unlike fixed voice services which are in some circumstances covered by the Customer Service Guarantee.</w:t>
      </w:r>
      <w:r>
        <w:rPr>
          <w:rStyle w:val="FootnoteReference"/>
        </w:rPr>
        <w:footnoteReference w:id="23"/>
      </w:r>
      <w:r>
        <w:t xml:space="preserve"> Industry responses to mobile service failures vary significantly. At worst, industry responses to mobile service failures involve delays in resolving network faults without consumer compensation or provision of an interim service.</w:t>
      </w:r>
      <w:r>
        <w:rPr>
          <w:rStyle w:val="FootnoteReference"/>
        </w:rPr>
        <w:footnoteReference w:id="24"/>
      </w:r>
      <w:r>
        <w:t xml:space="preserve"> </w:t>
      </w:r>
      <w:r>
        <w:rPr>
          <w:rStyle w:val="FootnoteReference"/>
        </w:rPr>
        <w:footnoteReference w:id="25"/>
      </w:r>
      <w:r>
        <w:t xml:space="preserve"> At best, RSPs provide ad-hoc or piecemeal remedies, for example, a day’s worth of free mobile data, or a small refund on request</w:t>
      </w:r>
      <w:r w:rsidR="009B7E43">
        <w:t>, but these</w:t>
      </w:r>
      <w:r w:rsidR="001E543D">
        <w:t xml:space="preserve"> </w:t>
      </w:r>
      <w:r w:rsidR="002D015D">
        <w:t>offers</w:t>
      </w:r>
      <w:r w:rsidR="009B7E43">
        <w:t xml:space="preserve"> are on the RSPs terms</w:t>
      </w:r>
      <w:r>
        <w:t>.</w:t>
      </w:r>
      <w:r>
        <w:rPr>
          <w:rStyle w:val="FootnoteReference"/>
        </w:rPr>
        <w:footnoteReference w:id="26"/>
      </w:r>
      <w:r>
        <w:t xml:space="preserve"> </w:t>
      </w:r>
      <w:r>
        <w:rPr>
          <w:rStyle w:val="FootnoteReference"/>
        </w:rPr>
        <w:footnoteReference w:id="27"/>
      </w:r>
      <w:r w:rsidR="006311BE">
        <w:t xml:space="preserve"> </w:t>
      </w:r>
      <w:r w:rsidR="00A03F09">
        <w:t>Without clarification</w:t>
      </w:r>
      <w:r w:rsidR="00646FF5">
        <w:t xml:space="preserve"> on how remedies should be managed in these circumstances</w:t>
      </w:r>
      <w:r w:rsidR="00A03F09">
        <w:t xml:space="preserve">, consumers are left to pursue </w:t>
      </w:r>
      <w:r w:rsidR="00646FF5">
        <w:t>remedies without practical knowledge or support</w:t>
      </w:r>
      <w:r w:rsidR="00352EAB">
        <w:t xml:space="preserve">, or accept </w:t>
      </w:r>
      <w:r w:rsidR="00BB436F">
        <w:t xml:space="preserve">lesser remedies </w:t>
      </w:r>
      <w:r w:rsidR="00FA2C31">
        <w:t>than may be available under the ACL</w:t>
      </w:r>
      <w:r w:rsidR="00646FF5">
        <w:t xml:space="preserve">. </w:t>
      </w:r>
    </w:p>
    <w:p w14:paraId="0C395D1E" w14:textId="4F7F1693" w:rsidR="00324891" w:rsidRDefault="00324891" w:rsidP="00324891">
      <w:pPr>
        <w:pStyle w:val="Heading3"/>
      </w:pPr>
      <w:bookmarkStart w:id="13" w:name="_Toc95487995"/>
      <w:r>
        <w:t>Internet of Things products</w:t>
      </w:r>
      <w:bookmarkEnd w:id="13"/>
    </w:p>
    <w:p w14:paraId="0FB60904" w14:textId="2A235359" w:rsidR="00324891" w:rsidRDefault="00324891" w:rsidP="00324891">
      <w:r>
        <w:t>There is a growing acknowledgment that consumer guarantees need to adapt to keep up with the changing and increasing complexity of digital products and services.</w:t>
      </w:r>
      <w:r>
        <w:rPr>
          <w:rStyle w:val="FootnoteReference"/>
        </w:rPr>
        <w:footnoteReference w:id="28"/>
      </w:r>
      <w:r>
        <w:t xml:space="preserve"> For example, the Productivity Commission’s Right to Repair inquiry found that the increasing popularity of Internet of Things</w:t>
      </w:r>
      <w:r w:rsidR="00417E19">
        <w:rPr>
          <w:rStyle w:val="FootnoteReference"/>
        </w:rPr>
        <w:footnoteReference w:id="29"/>
      </w:r>
      <w:r>
        <w:t xml:space="preserve"> (</w:t>
      </w:r>
      <w:r w:rsidRPr="00D06294">
        <w:rPr>
          <w:b/>
          <w:bCs/>
        </w:rPr>
        <w:t>IoT</w:t>
      </w:r>
      <w:r>
        <w:t>) devices has created difficulties for consumers accessing repairs in the event of a consumer guarantee failure, and that repair facilities are not always available.</w:t>
      </w:r>
      <w:r>
        <w:rPr>
          <w:rStyle w:val="FootnoteReference"/>
        </w:rPr>
        <w:footnoteReference w:id="30"/>
      </w:r>
      <w:r>
        <w:t xml:space="preserve"> </w:t>
      </w:r>
    </w:p>
    <w:p w14:paraId="55848C02" w14:textId="6C3CED57" w:rsidR="00324891" w:rsidRDefault="00324891" w:rsidP="00430E08">
      <w:pPr>
        <w:keepNext/>
        <w:keepLines/>
        <w:contextualSpacing/>
      </w:pPr>
      <w:r>
        <w:t xml:space="preserve">Under the ACL, </w:t>
      </w:r>
      <w:r w:rsidRPr="00702488">
        <w:t xml:space="preserve">IoT </w:t>
      </w:r>
      <w:r>
        <w:t>products</w:t>
      </w:r>
      <w:r w:rsidRPr="00702488">
        <w:t xml:space="preserve"> should be durable and fit for purpose. </w:t>
      </w:r>
      <w:r>
        <w:t xml:space="preserve">However, </w:t>
      </w:r>
      <w:r w:rsidRPr="00702488">
        <w:t xml:space="preserve">ACCAN’s </w:t>
      </w:r>
      <w:r w:rsidRPr="00557A94">
        <w:t>IoT</w:t>
      </w:r>
      <w:r w:rsidRPr="00702488">
        <w:t xml:space="preserve"> policy position highlights issues with the status of IoT products under consumer</w:t>
      </w:r>
      <w:r>
        <w:t xml:space="preserve"> guarantees:</w:t>
      </w:r>
      <w:r>
        <w:rPr>
          <w:rStyle w:val="FootnoteReference"/>
        </w:rPr>
        <w:footnoteReference w:id="31"/>
      </w:r>
      <w:r>
        <w:t xml:space="preserve"> </w:t>
      </w:r>
    </w:p>
    <w:p w14:paraId="58FC1359" w14:textId="77777777" w:rsidR="00324891" w:rsidRDefault="00324891" w:rsidP="00430E08">
      <w:pPr>
        <w:pStyle w:val="ListParagraph"/>
        <w:keepNext/>
        <w:keepLines/>
        <w:numPr>
          <w:ilvl w:val="0"/>
          <w:numId w:val="13"/>
        </w:numPr>
      </w:pPr>
      <w:r w:rsidRPr="00702488">
        <w:t>Planned obsolescence – where a device is designed so that within days of a warranty period expiry, users find their devices cease to function and the cost of repair exceeds that of replacement – is commonplace.</w:t>
      </w:r>
    </w:p>
    <w:p w14:paraId="597F2961" w14:textId="77777777" w:rsidR="00324891" w:rsidRDefault="00324891" w:rsidP="00430E08">
      <w:pPr>
        <w:pStyle w:val="ListParagraph"/>
        <w:keepNext/>
        <w:keepLines/>
        <w:numPr>
          <w:ilvl w:val="0"/>
          <w:numId w:val="13"/>
        </w:numPr>
      </w:pPr>
      <w:r w:rsidRPr="00702488">
        <w:t>New release devices quickly become incompatible with software updates and consumers are either left with expensive and useless purchases or are forced into a position where it is more cost effective to buy a new device. This increases sales for the manufacturer but has negative flow-on effects for not only the consumer but also the environment.</w:t>
      </w:r>
    </w:p>
    <w:p w14:paraId="7E63453A" w14:textId="77777777" w:rsidR="00324891" w:rsidRDefault="00324891" w:rsidP="00430E08">
      <w:pPr>
        <w:pStyle w:val="ListParagraph"/>
        <w:keepNext/>
        <w:keepLines/>
        <w:numPr>
          <w:ilvl w:val="0"/>
          <w:numId w:val="13"/>
        </w:numPr>
      </w:pPr>
      <w:r w:rsidRPr="00FB6F0B">
        <w:t xml:space="preserve">It </w:t>
      </w:r>
      <w:r>
        <w:t>is unclear</w:t>
      </w:r>
      <w:r w:rsidRPr="00FB6F0B">
        <w:t xml:space="preserve"> how consumer law guarantee</w:t>
      </w:r>
      <w:r>
        <w:t>s</w:t>
      </w:r>
      <w:r w:rsidRPr="00FB6F0B">
        <w:t xml:space="preserve"> </w:t>
      </w:r>
      <w:r>
        <w:t>surrounding</w:t>
      </w:r>
      <w:r w:rsidRPr="00FB6F0B">
        <w:t xml:space="preserve"> quality</w:t>
      </w:r>
      <w:r>
        <w:t xml:space="preserve"> and durability</w:t>
      </w:r>
      <w:r w:rsidRPr="00FB6F0B">
        <w:t xml:space="preserve"> appl</w:t>
      </w:r>
      <w:r>
        <w:t>y</w:t>
      </w:r>
      <w:r w:rsidRPr="00FB6F0B">
        <w:t xml:space="preserve"> to IoT </w:t>
      </w:r>
      <w:r>
        <w:t xml:space="preserve">products. It is extremely difficult for consumers to estimate the durability and life cycle of IoT </w:t>
      </w:r>
      <w:proofErr w:type="gramStart"/>
      <w:r>
        <w:t>products, and</w:t>
      </w:r>
      <w:proofErr w:type="gramEnd"/>
      <w:r>
        <w:t xml:space="preserve"> know when they are entitled to a remedy. </w:t>
      </w:r>
    </w:p>
    <w:p w14:paraId="4163BDDA" w14:textId="7AC9DA4F" w:rsidR="00324891" w:rsidRDefault="00324891" w:rsidP="00324891">
      <w:pPr>
        <w:pStyle w:val="Casestudy"/>
      </w:pPr>
      <w:r>
        <w:t xml:space="preserve">Case study </w:t>
      </w:r>
      <w:r w:rsidR="00732548">
        <w:t>5</w:t>
      </w:r>
      <w:r>
        <w:t>: Consumer purchase</w:t>
      </w:r>
      <w:r w:rsidR="00014968">
        <w:t xml:space="preserve"> of</w:t>
      </w:r>
      <w:r>
        <w:t xml:space="preserve"> </w:t>
      </w:r>
      <w:r w:rsidR="006B3742">
        <w:t>a</w:t>
      </w:r>
      <w:r>
        <w:t xml:space="preserve"> non-durable IoT-enabled product </w:t>
      </w:r>
    </w:p>
    <w:p w14:paraId="2A7730BC" w14:textId="0209CF69" w:rsidR="00324891" w:rsidRPr="00C270C3" w:rsidRDefault="00324891" w:rsidP="00324891">
      <w:pPr>
        <w:pStyle w:val="Casestudy"/>
        <w:rPr>
          <w:b w:val="0"/>
          <w:bCs w:val="0"/>
        </w:rPr>
      </w:pPr>
      <w:r w:rsidRPr="00C270C3">
        <w:rPr>
          <w:b w:val="0"/>
          <w:bCs w:val="0"/>
        </w:rPr>
        <w:t>Sarah (name changed) purchased a Sony digital alarm clock that could sync with her Apple iPhone</w:t>
      </w:r>
      <w:r>
        <w:rPr>
          <w:b w:val="0"/>
          <w:bCs w:val="0"/>
        </w:rPr>
        <w:t xml:space="preserve"> via a downloadable Sony smartphone app</w:t>
      </w:r>
      <w:r w:rsidRPr="00C270C3">
        <w:rPr>
          <w:b w:val="0"/>
          <w:bCs w:val="0"/>
        </w:rPr>
        <w:t>. The phone plugged into the alarm clock via a physical port</w:t>
      </w:r>
      <w:r>
        <w:rPr>
          <w:b w:val="0"/>
          <w:bCs w:val="0"/>
        </w:rPr>
        <w:t xml:space="preserve">, and the alarm clock </w:t>
      </w:r>
      <w:r w:rsidRPr="00C270C3">
        <w:rPr>
          <w:b w:val="0"/>
          <w:bCs w:val="0"/>
        </w:rPr>
        <w:t>could play music</w:t>
      </w:r>
      <w:r>
        <w:rPr>
          <w:b w:val="0"/>
          <w:bCs w:val="0"/>
        </w:rPr>
        <w:t>, set</w:t>
      </w:r>
      <w:r w:rsidRPr="00C270C3">
        <w:rPr>
          <w:b w:val="0"/>
          <w:bCs w:val="0"/>
        </w:rPr>
        <w:t xml:space="preserve"> alarms</w:t>
      </w:r>
      <w:r>
        <w:rPr>
          <w:b w:val="0"/>
          <w:bCs w:val="0"/>
        </w:rPr>
        <w:t>, and use other features via the smartphone app’s controls. Within two years, Sony stopped updating the alarm clock’s smartphone app, meaning that it soon became incompatible with the iPhone’s operating system. When the app was no longer compatible with the iPhone, Sarah could not use any of the alarm’s special features. The alarm clock had cost a little under $100, and Sarah felt its smart features should have lasted longer than 2 years. She did not request a remedy because she did not know whether she was entitled to one. Sarah would not have purchased the alarm clock if she had known its smart features would fail within 2 years.</w:t>
      </w:r>
    </w:p>
    <w:p w14:paraId="5241268C" w14:textId="79D14CA5" w:rsidR="00E07B3E" w:rsidRPr="00324891" w:rsidRDefault="00E07B3E" w:rsidP="00E07B3E">
      <w:pPr>
        <w:pStyle w:val="Heading3"/>
      </w:pPr>
      <w:bookmarkStart w:id="14" w:name="_Toc95487996"/>
      <w:r>
        <w:t>Mechanisms for accessing remedies</w:t>
      </w:r>
      <w:bookmarkEnd w:id="14"/>
    </w:p>
    <w:p w14:paraId="39955C49" w14:textId="6C38DF6B" w:rsidR="00324891" w:rsidRDefault="00EB7F67" w:rsidP="00324891">
      <w:r>
        <w:t>The onus for seeking a remedy for a consumer guarantee failure falls to consumers</w:t>
      </w:r>
      <w:r w:rsidR="00A00920">
        <w:t xml:space="preserve"> under the ACL</w:t>
      </w:r>
      <w:r>
        <w:t>.</w:t>
      </w:r>
      <w:r w:rsidR="00335A9D">
        <w:t xml:space="preserve"> </w:t>
      </w:r>
      <w:r w:rsidR="000C73C4">
        <w:t xml:space="preserve">In the telecommunications sector, where </w:t>
      </w:r>
      <w:r w:rsidR="001914DD">
        <w:t>service failures are common and</w:t>
      </w:r>
      <w:r w:rsidR="00335A9D">
        <w:t xml:space="preserve"> </w:t>
      </w:r>
      <w:r w:rsidR="0082119B">
        <w:t xml:space="preserve">can affect large numbers of consumers, </w:t>
      </w:r>
      <w:r w:rsidR="00335A9D">
        <w:t>ACCAN believes</w:t>
      </w:r>
      <w:r w:rsidR="00035047">
        <w:t>,</w:t>
      </w:r>
      <w:r w:rsidR="00335A9D">
        <w:t xml:space="preserve"> </w:t>
      </w:r>
      <w:r w:rsidR="000C73C4">
        <w:t>in the interest of fairness</w:t>
      </w:r>
      <w:r w:rsidR="00035047">
        <w:t>,</w:t>
      </w:r>
      <w:r w:rsidR="0082119B">
        <w:t xml:space="preserve"> that there is scope for </w:t>
      </w:r>
      <w:r w:rsidR="00D61A51">
        <w:t>the ACL</w:t>
      </w:r>
      <w:r w:rsidR="0082119B">
        <w:t xml:space="preserve"> to require</w:t>
      </w:r>
      <w:r w:rsidR="00775169">
        <w:t xml:space="preserve"> </w:t>
      </w:r>
      <w:r w:rsidR="001E08A9">
        <w:t>suppliers</w:t>
      </w:r>
      <w:r w:rsidR="00775169">
        <w:t xml:space="preserve"> to proactively approach consumers</w:t>
      </w:r>
      <w:r w:rsidR="001E08A9">
        <w:t xml:space="preserve"> to offer them a remedy, where the supplier is aware </w:t>
      </w:r>
      <w:r w:rsidR="00A838CB">
        <w:t xml:space="preserve">of a </w:t>
      </w:r>
      <w:r w:rsidR="00273124">
        <w:t xml:space="preserve">consumer guarantee failure. The development of a legislative obligation to offer a remedy where a consumer guarantee has not been met delivers </w:t>
      </w:r>
      <w:r w:rsidR="00CF0BD0">
        <w:t xml:space="preserve">an overall net benefit for government, </w:t>
      </w:r>
      <w:proofErr w:type="gramStart"/>
      <w:r w:rsidR="00CF0BD0">
        <w:t>consumers</w:t>
      </w:r>
      <w:proofErr w:type="gramEnd"/>
      <w:r w:rsidR="00CF0BD0">
        <w:t xml:space="preserve"> and industry</w:t>
      </w:r>
      <w:r w:rsidR="00273124">
        <w:t>, as it would reduce the need for civil p</w:t>
      </w:r>
      <w:r w:rsidR="00CF0BD0">
        <w:t xml:space="preserve">roceedings where non-compliance has </w:t>
      </w:r>
      <w:r w:rsidR="00A52C27">
        <w:t>occurred</w:t>
      </w:r>
      <w:r w:rsidR="00CF0BD0">
        <w:t xml:space="preserve">. </w:t>
      </w:r>
    </w:p>
    <w:p w14:paraId="702638EC" w14:textId="32D5C372" w:rsidR="00775169" w:rsidRPr="00C8452A" w:rsidRDefault="00775169" w:rsidP="00EF73BF">
      <w:pPr>
        <w:pStyle w:val="Recommendation"/>
      </w:pPr>
      <w:r>
        <w:t xml:space="preserve">That the Decision RIS considers instances where suppliers should proactively </w:t>
      </w:r>
      <w:r w:rsidR="00830F9E">
        <w:t xml:space="preserve">offer remedies to affected consumers. </w:t>
      </w:r>
    </w:p>
    <w:p w14:paraId="374685CC" w14:textId="68435AD5" w:rsidR="00937032" w:rsidRPr="00A958D5" w:rsidRDefault="00937032" w:rsidP="00A958D5">
      <w:pPr>
        <w:pStyle w:val="Heading2"/>
        <w:numPr>
          <w:ilvl w:val="1"/>
          <w:numId w:val="3"/>
        </w:numPr>
      </w:pPr>
      <w:bookmarkStart w:id="15" w:name="_Toc95487997"/>
      <w:r w:rsidRPr="00A958D5">
        <w:t>Other comments</w:t>
      </w:r>
      <w:bookmarkEnd w:id="15"/>
      <w:r w:rsidRPr="00A958D5">
        <w:t xml:space="preserve"> </w:t>
      </w:r>
    </w:p>
    <w:p w14:paraId="534DD122" w14:textId="0C450CF0" w:rsidR="00937032" w:rsidRDefault="00937032" w:rsidP="00937032">
      <w:pPr>
        <w:rPr>
          <w:b/>
          <w:bCs/>
        </w:rPr>
      </w:pPr>
      <w:r>
        <w:rPr>
          <w:b/>
          <w:bCs/>
        </w:rPr>
        <w:t xml:space="preserve">Maximum penalty and infringement notice amounts </w:t>
      </w:r>
    </w:p>
    <w:p w14:paraId="57DC6D0C" w14:textId="1BF59BF0" w:rsidR="00FE7D2F" w:rsidRDefault="00BF0BA5" w:rsidP="00BF0BA5">
      <w:r>
        <w:t>T</w:t>
      </w:r>
      <w:r w:rsidRPr="00BF0BA5">
        <w:t xml:space="preserve">he deterrent effect </w:t>
      </w:r>
      <w:r>
        <w:t xml:space="preserve">of compliance regimes </w:t>
      </w:r>
      <w:r w:rsidRPr="00BF0BA5">
        <w:t>can be undermined if profit from breaching behaviour outweighs the penalty</w:t>
      </w:r>
      <w:r>
        <w:t xml:space="preserve">. </w:t>
      </w:r>
      <w:r w:rsidR="00FE7D2F">
        <w:t>Thus, i</w:t>
      </w:r>
      <w:r w:rsidR="0023446A">
        <w:t xml:space="preserve">t is essential that </w:t>
      </w:r>
      <w:r w:rsidR="00DB2D58">
        <w:t xml:space="preserve">civil prohibitions recommended by the Decision RIS </w:t>
      </w:r>
      <w:r w:rsidR="00AE68B0">
        <w:t>are proportionate to the misconduc</w:t>
      </w:r>
      <w:r w:rsidR="00AC4258">
        <w:t>t</w:t>
      </w:r>
      <w:r w:rsidR="00DB2D58">
        <w:t>.</w:t>
      </w:r>
      <w:r w:rsidR="00BD7FB0">
        <w:t xml:space="preserve"> As</w:t>
      </w:r>
      <w:r w:rsidR="00E83484">
        <w:t xml:space="preserve"> it stands, </w:t>
      </w:r>
      <w:r w:rsidR="00602536">
        <w:t>maximum</w:t>
      </w:r>
      <w:r w:rsidR="00E83484">
        <w:t xml:space="preserve"> </w:t>
      </w:r>
      <w:r w:rsidR="009813FD">
        <w:t xml:space="preserve">penalty </w:t>
      </w:r>
      <w:r w:rsidR="00602536">
        <w:t>and infringement notice</w:t>
      </w:r>
      <w:r w:rsidR="009813FD">
        <w:t xml:space="preserve"> amounts are too low</w:t>
      </w:r>
      <w:r w:rsidR="00602536">
        <w:t xml:space="preserve"> to act as a deterrent in many cases</w:t>
      </w:r>
      <w:r w:rsidR="00B723AC">
        <w:t>.</w:t>
      </w:r>
      <w:r w:rsidR="009813FD">
        <w:t xml:space="preserve"> </w:t>
      </w:r>
      <w:r w:rsidR="00197422">
        <w:t xml:space="preserve">ACCAN </w:t>
      </w:r>
      <w:r w:rsidR="005055B8">
        <w:t>has previously</w:t>
      </w:r>
      <w:r w:rsidR="00197422">
        <w:t xml:space="preserve"> supported increases to </w:t>
      </w:r>
      <w:r w:rsidR="00602536">
        <w:t xml:space="preserve">ACL penalty and infringement notice amounts </w:t>
      </w:r>
      <w:r w:rsidR="005055B8">
        <w:t xml:space="preserve">and believes that </w:t>
      </w:r>
      <w:r w:rsidR="008630D1">
        <w:t>this</w:t>
      </w:r>
      <w:r w:rsidR="005055B8">
        <w:t xml:space="preserve"> area</w:t>
      </w:r>
      <w:r w:rsidR="008630D1">
        <w:t xml:space="preserve"> </w:t>
      </w:r>
      <w:r w:rsidR="00602536">
        <w:t xml:space="preserve">should be under </w:t>
      </w:r>
      <w:r w:rsidR="00F67958">
        <w:t>constant</w:t>
      </w:r>
      <w:r w:rsidR="00602536">
        <w:t xml:space="preserve"> review.</w:t>
      </w:r>
      <w:r w:rsidR="00232B96">
        <w:rPr>
          <w:rStyle w:val="FootnoteReference"/>
        </w:rPr>
        <w:footnoteReference w:id="32"/>
      </w:r>
    </w:p>
    <w:p w14:paraId="513C1F0A" w14:textId="0BEE8C53" w:rsidR="00937032" w:rsidRDefault="00937032" w:rsidP="00937032">
      <w:pPr>
        <w:rPr>
          <w:b/>
          <w:bCs/>
        </w:rPr>
      </w:pPr>
      <w:r>
        <w:rPr>
          <w:b/>
          <w:bCs/>
        </w:rPr>
        <w:t>Implement</w:t>
      </w:r>
      <w:r w:rsidR="00362D91">
        <w:rPr>
          <w:b/>
          <w:bCs/>
        </w:rPr>
        <w:t xml:space="preserve">ing of ACL reforms </w:t>
      </w:r>
    </w:p>
    <w:p w14:paraId="0B1AC3FB" w14:textId="209FAB15" w:rsidR="004F2578" w:rsidRDefault="00AC4258" w:rsidP="00AC4258">
      <w:r>
        <w:t>Consumers</w:t>
      </w:r>
      <w:r w:rsidR="00362D91">
        <w:t xml:space="preserve"> and suppliers</w:t>
      </w:r>
      <w:r>
        <w:t xml:space="preserve"> need to be adequately supported to report i</w:t>
      </w:r>
      <w:r w:rsidR="004F2578">
        <w:t xml:space="preserve">nstances where a remedy was entitled </w:t>
      </w:r>
      <w:r w:rsidR="00362D91">
        <w:t>but</w:t>
      </w:r>
      <w:r w:rsidR="004F2578">
        <w:t xml:space="preserve"> not </w:t>
      </w:r>
      <w:r w:rsidR="00362D91">
        <w:t>given</w:t>
      </w:r>
      <w:r w:rsidR="004F2578">
        <w:t>.</w:t>
      </w:r>
      <w:r w:rsidR="00362D91">
        <w:t xml:space="preserve"> Currently, the ACCC is only able to pursue enforcement action for systemic </w:t>
      </w:r>
      <w:r w:rsidR="00320191">
        <w:t>or particularly egregious ACL compliance issues</w:t>
      </w:r>
      <w:r w:rsidR="00BF44EC">
        <w:t>,</w:t>
      </w:r>
      <w:r w:rsidR="00A77002">
        <w:t xml:space="preserve"> p</w:t>
      </w:r>
      <w:r w:rsidR="00295845">
        <w:t>rio</w:t>
      </w:r>
      <w:r w:rsidR="0037279F">
        <w:t>ri</w:t>
      </w:r>
      <w:r w:rsidR="00295845">
        <w:t>tis</w:t>
      </w:r>
      <w:r w:rsidR="008D0940">
        <w:t xml:space="preserve">ed within its budget. </w:t>
      </w:r>
      <w:r w:rsidR="005B02EF">
        <w:t>The</w:t>
      </w:r>
      <w:r w:rsidR="00C64C32">
        <w:t xml:space="preserve"> </w:t>
      </w:r>
      <w:r w:rsidR="005B02EF" w:rsidRPr="00D003EA">
        <w:t>ACCC</w:t>
      </w:r>
      <w:r w:rsidR="005B02EF">
        <w:t xml:space="preserve"> should be adequately resourced</w:t>
      </w:r>
      <w:r w:rsidR="005B02EF" w:rsidRPr="00D003EA">
        <w:t xml:space="preserve"> to </w:t>
      </w:r>
      <w:r w:rsidR="005B02EF">
        <w:t>improve its ability to investigate complaints and identify systemic ACL breaches.</w:t>
      </w:r>
      <w:r w:rsidR="00BF44EC">
        <w:t xml:space="preserve"> </w:t>
      </w:r>
      <w:r w:rsidR="00C64C32">
        <w:t>Consideration should also be given to the role</w:t>
      </w:r>
      <w:r w:rsidR="004C565D">
        <w:t>s</w:t>
      </w:r>
      <w:r w:rsidR="00D4363C">
        <w:t>,</w:t>
      </w:r>
      <w:r w:rsidR="004C565D">
        <w:t xml:space="preserve"> jur</w:t>
      </w:r>
      <w:r w:rsidR="00A86A66">
        <w:t>i</w:t>
      </w:r>
      <w:r w:rsidR="004C565D">
        <w:t>sdictions</w:t>
      </w:r>
      <w:r w:rsidR="00D4363C">
        <w:t>, and resourcing</w:t>
      </w:r>
      <w:r w:rsidR="00C64C32">
        <w:t xml:space="preserve"> of </w:t>
      </w:r>
      <w:r w:rsidR="004C565D">
        <w:t>relevant Ombudsmen scheme</w:t>
      </w:r>
      <w:r w:rsidR="00986887">
        <w:t xml:space="preserve">s </w:t>
      </w:r>
      <w:r w:rsidR="00D4363C">
        <w:t>to support consumers</w:t>
      </w:r>
      <w:r w:rsidR="00BF44EC">
        <w:t>’</w:t>
      </w:r>
      <w:r w:rsidR="00D4363C">
        <w:t xml:space="preserve"> access </w:t>
      </w:r>
      <w:r w:rsidR="00BF44EC">
        <w:t xml:space="preserve">to ACL </w:t>
      </w:r>
      <w:r w:rsidR="00D4363C">
        <w:t>remedies at an individual complaint level</w:t>
      </w:r>
      <w:r w:rsidR="00320191">
        <w:t>.</w:t>
      </w:r>
      <w:r w:rsidR="00362D91">
        <w:t xml:space="preserve"> </w:t>
      </w:r>
    </w:p>
    <w:p w14:paraId="2541CFE5" w14:textId="39FA9B7A" w:rsidR="000D437F" w:rsidRDefault="007B3E23" w:rsidP="00A958D5">
      <w:pPr>
        <w:pStyle w:val="Heading1"/>
        <w:numPr>
          <w:ilvl w:val="0"/>
          <w:numId w:val="3"/>
        </w:numPr>
      </w:pPr>
      <w:bookmarkStart w:id="16" w:name="_Toc95487998"/>
      <w:r>
        <w:t>Response to Part B: Indemnification</w:t>
      </w:r>
      <w:bookmarkEnd w:id="16"/>
    </w:p>
    <w:p w14:paraId="2A924058" w14:textId="2E65E513" w:rsidR="00A74C8E" w:rsidRDefault="00490DDF" w:rsidP="00A74C8E">
      <w:r>
        <w:t xml:space="preserve">As ACCAN </w:t>
      </w:r>
      <w:r w:rsidR="00083C60">
        <w:t xml:space="preserve">has </w:t>
      </w:r>
      <w:r>
        <w:t>indicated</w:t>
      </w:r>
      <w:r w:rsidR="00083C60">
        <w:t xml:space="preserve"> earlier in this submiss</w:t>
      </w:r>
      <w:r w:rsidR="00F7711D">
        <w:t>i</w:t>
      </w:r>
      <w:r w:rsidR="00083C60">
        <w:t>on</w:t>
      </w:r>
      <w:r>
        <w:t xml:space="preserve">, </w:t>
      </w:r>
      <w:r w:rsidR="00E31ED6">
        <w:t>the Consultation RIS largely overlooks</w:t>
      </w:r>
      <w:r w:rsidR="00A52C27">
        <w:t xml:space="preserve"> indemnification issues in a service delivery context</w:t>
      </w:r>
      <w:r w:rsidR="00576027">
        <w:t xml:space="preserve">, meaning that proposals related to indemnification have limited applicability to consumers of phone and internet services. </w:t>
      </w:r>
      <w:r w:rsidR="008A6138">
        <w:t xml:space="preserve">However, </w:t>
      </w:r>
      <w:r w:rsidR="00632CED">
        <w:t xml:space="preserve">ACCAN is aware of </w:t>
      </w:r>
      <w:r w:rsidR="00576027">
        <w:t xml:space="preserve">numerous </w:t>
      </w:r>
      <w:r w:rsidR="00081D7E">
        <w:t>instances</w:t>
      </w:r>
      <w:r w:rsidR="00995680">
        <w:t xml:space="preserve"> w</w:t>
      </w:r>
      <w:r w:rsidR="00081D7E">
        <w:t>h</w:t>
      </w:r>
      <w:r w:rsidR="00995680">
        <w:t xml:space="preserve">ere </w:t>
      </w:r>
      <w:r w:rsidR="00081D7E">
        <w:t xml:space="preserve">a </w:t>
      </w:r>
      <w:r w:rsidR="00995680">
        <w:t>consumer ha</w:t>
      </w:r>
      <w:r w:rsidR="00081D7E">
        <w:t>s</w:t>
      </w:r>
      <w:r w:rsidR="00995680">
        <w:t xml:space="preserve"> had difficulty accessing </w:t>
      </w:r>
      <w:r w:rsidR="00081D7E">
        <w:t xml:space="preserve">a </w:t>
      </w:r>
      <w:r w:rsidR="00995680">
        <w:t>remed</w:t>
      </w:r>
      <w:r w:rsidR="00081D7E">
        <w:t>y</w:t>
      </w:r>
      <w:r w:rsidR="00995680">
        <w:t xml:space="preserve"> </w:t>
      </w:r>
      <w:r w:rsidR="00A74C8E">
        <w:t xml:space="preserve">related to a hardware failure </w:t>
      </w:r>
      <w:r w:rsidR="00995680">
        <w:t xml:space="preserve">due to </w:t>
      </w:r>
      <w:r w:rsidR="005448DC">
        <w:t xml:space="preserve">supply chain </w:t>
      </w:r>
      <w:r w:rsidR="00576027">
        <w:t xml:space="preserve">complexities. </w:t>
      </w:r>
      <w:r w:rsidR="00083C60">
        <w:t>I</w:t>
      </w:r>
      <w:r w:rsidR="00995680">
        <w:t xml:space="preserve">ndemnification </w:t>
      </w:r>
      <w:r w:rsidR="00576027">
        <w:t>difficulties</w:t>
      </w:r>
      <w:r w:rsidR="00995680">
        <w:t xml:space="preserve"> </w:t>
      </w:r>
      <w:r w:rsidR="00F529B3">
        <w:t>between RSPs and hardware manufacturers</w:t>
      </w:r>
      <w:r w:rsidR="00576027">
        <w:t xml:space="preserve"> ultimately prevent consumers from accessing</w:t>
      </w:r>
      <w:r w:rsidR="005448DC">
        <w:t xml:space="preserve"> the</w:t>
      </w:r>
      <w:r w:rsidR="00576027">
        <w:t xml:space="preserve"> remedies they are entitled to</w:t>
      </w:r>
      <w:r w:rsidR="009C0F94">
        <w:t xml:space="preserve">, because </w:t>
      </w:r>
      <w:r w:rsidR="005448DC">
        <w:t>these difficulties</w:t>
      </w:r>
      <w:r w:rsidR="00A74C8E">
        <w:t xml:space="preserve"> can create unreasonable delays, and suppliers</w:t>
      </w:r>
      <w:r w:rsidR="00591098">
        <w:t xml:space="preserve"> are incentivised to </w:t>
      </w:r>
      <w:r w:rsidR="00A74C8E">
        <w:t xml:space="preserve">avoid bearing the financial burden </w:t>
      </w:r>
      <w:r w:rsidR="00750B6F">
        <w:t xml:space="preserve">of </w:t>
      </w:r>
      <w:r w:rsidR="00A74C8E">
        <w:t>manufactur</w:t>
      </w:r>
      <w:r w:rsidR="00750B6F">
        <w:t xml:space="preserve">er faults. </w:t>
      </w:r>
    </w:p>
    <w:p w14:paraId="0D4E136F" w14:textId="633EE887" w:rsidR="005F2060" w:rsidRDefault="0032604E" w:rsidP="00A74C8E">
      <w:r>
        <w:t xml:space="preserve">In principle, ACCAN supports </w:t>
      </w:r>
      <w:r w:rsidR="00996A91">
        <w:t>Options 3.a. and 4.a.</w:t>
      </w:r>
      <w:r w:rsidR="00C12E68">
        <w:t xml:space="preserve"> </w:t>
      </w:r>
      <w:r w:rsidR="00064090">
        <w:t xml:space="preserve">to prevent manufacturers from </w:t>
      </w:r>
      <w:r w:rsidR="00064090" w:rsidRPr="00064090">
        <w:t xml:space="preserve">failing to indemnify suppliers </w:t>
      </w:r>
      <w:r w:rsidR="00064090">
        <w:t>when</w:t>
      </w:r>
      <w:r w:rsidR="00064090" w:rsidRPr="00064090">
        <w:t xml:space="preserve"> a consumer guarantee failure falls within the</w:t>
      </w:r>
      <w:r w:rsidR="00064090">
        <w:t>ir responsibility, and</w:t>
      </w:r>
      <w:r w:rsidR="006B50EB">
        <w:t xml:space="preserve"> to</w:t>
      </w:r>
      <w:r w:rsidR="00064090">
        <w:t xml:space="preserve"> ensure suppliers do not face retaliation for enforcing their indemnity rights. </w:t>
      </w:r>
    </w:p>
    <w:p w14:paraId="76EAC81E" w14:textId="42C0B446" w:rsidR="008A6138" w:rsidRDefault="006A6D61" w:rsidP="00D16972">
      <w:r>
        <w:t xml:space="preserve">Additionally, the Decision RIS should consider circumstances where </w:t>
      </w:r>
      <w:r w:rsidR="005F2060">
        <w:t>product</w:t>
      </w:r>
      <w:r w:rsidR="00555A05">
        <w:t xml:space="preserve">s returned for repair as part of a consumer guarantee failure </w:t>
      </w:r>
      <w:r w:rsidR="00DD32F2">
        <w:t xml:space="preserve">take too long to be assessed and fixed. In these circumstances, consumers should be confident that </w:t>
      </w:r>
      <w:r w:rsidR="00476F6D">
        <w:t xml:space="preserve">if a </w:t>
      </w:r>
      <w:r w:rsidR="00C91CEA">
        <w:t xml:space="preserve">product has not been repaired or returned within a reasonable period of time, </w:t>
      </w:r>
      <w:r w:rsidR="00591098">
        <w:t xml:space="preserve">this constitutes a major </w:t>
      </w:r>
      <w:proofErr w:type="gramStart"/>
      <w:r w:rsidR="00591098">
        <w:t>fault</w:t>
      </w:r>
      <w:proofErr w:type="gramEnd"/>
      <w:r w:rsidR="00591098">
        <w:t xml:space="preserve"> and </w:t>
      </w:r>
      <w:r w:rsidR="00C91CEA">
        <w:t>th</w:t>
      </w:r>
      <w:r w:rsidR="00811E44">
        <w:t xml:space="preserve">e consumer should be </w:t>
      </w:r>
      <w:r w:rsidR="00591098">
        <w:t>given</w:t>
      </w:r>
      <w:r w:rsidR="00811E44">
        <w:t xml:space="preserve"> a replacement or refund. Greater clarity for the assessment of faults will support consumers </w:t>
      </w:r>
      <w:r w:rsidR="006B50EB">
        <w:t xml:space="preserve">to </w:t>
      </w:r>
      <w:r w:rsidR="00811E44">
        <w:t xml:space="preserve">access remedies, </w:t>
      </w:r>
      <w:proofErr w:type="gramStart"/>
      <w:r w:rsidR="00811E44">
        <w:t>and also</w:t>
      </w:r>
      <w:proofErr w:type="gramEnd"/>
      <w:r w:rsidR="00811E44">
        <w:t xml:space="preserve"> establish benchmarks for manufacturers and suppliers working together to provide a remedy. </w:t>
      </w:r>
    </w:p>
    <w:p w14:paraId="41D5BF2F" w14:textId="14BB0160" w:rsidR="00811E44" w:rsidRDefault="00811E44" w:rsidP="00811E44">
      <w:pPr>
        <w:pStyle w:val="Recommendation"/>
      </w:pPr>
      <w:r>
        <w:t xml:space="preserve">That </w:t>
      </w:r>
      <w:r w:rsidR="006E3B52">
        <w:t xml:space="preserve">the Decision RIS recommends </w:t>
      </w:r>
      <w:r>
        <w:t xml:space="preserve">Options 3.a. and 4.a. </w:t>
      </w:r>
    </w:p>
    <w:p w14:paraId="0F7F1A8A" w14:textId="20C1052E" w:rsidR="00811E44" w:rsidRDefault="00811E44" w:rsidP="00811E44">
      <w:pPr>
        <w:pStyle w:val="Recommendation"/>
      </w:pPr>
      <w:r>
        <w:t xml:space="preserve">That the Decision RIS explicitly states that where a repair takes too long as part of the provision of a remedy, a consumer should be entitled to replacement or refund. </w:t>
      </w:r>
    </w:p>
    <w:p w14:paraId="76AF11E5" w14:textId="0AF94609" w:rsidR="0053167B" w:rsidRDefault="0053167B">
      <w:pPr>
        <w:spacing w:before="0" w:beforeAutospacing="0" w:after="0" w:afterAutospacing="0"/>
        <w:jc w:val="left"/>
      </w:pPr>
      <w:r>
        <w:br w:type="page"/>
      </w:r>
    </w:p>
    <w:p w14:paraId="2380B184" w14:textId="77777777" w:rsidR="00547FC9" w:rsidRDefault="00547FC9" w:rsidP="00547FC9">
      <w:r>
        <w:t>ACCAN’s submission has been endorsed by the following organisations:</w:t>
      </w:r>
    </w:p>
    <w:p w14:paraId="1B26E5CE" w14:textId="5011A981" w:rsidR="00547FC9" w:rsidRDefault="00E57724" w:rsidP="00547FC9">
      <w:r>
        <w:rPr>
          <w:noProof/>
        </w:rPr>
        <w:drawing>
          <wp:anchor distT="0" distB="0" distL="114300" distR="114300" simplePos="0" relativeHeight="251658241" behindDoc="0" locked="0" layoutInCell="1" allowOverlap="1" wp14:anchorId="245CFD02" wp14:editId="481D48F1">
            <wp:simplePos x="0" y="0"/>
            <wp:positionH relativeFrom="column">
              <wp:posOffset>2767744</wp:posOffset>
            </wp:positionH>
            <wp:positionV relativeFrom="paragraph">
              <wp:posOffset>366560</wp:posOffset>
            </wp:positionV>
            <wp:extent cx="3177540" cy="959485"/>
            <wp:effectExtent l="0" t="0" r="3810" b="0"/>
            <wp:wrapSquare wrapText="bothSides"/>
            <wp:docPr id="3" name="Picture 3" descr="CCLS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CLSW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75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BFB27" w14:textId="51A0AB82" w:rsidR="00547FC9" w:rsidRDefault="00547FC9" w:rsidP="00547FC9">
      <w:r>
        <w:rPr>
          <w:noProof/>
        </w:rPr>
        <w:drawing>
          <wp:anchor distT="0" distB="0" distL="114300" distR="114300" simplePos="0" relativeHeight="251658240" behindDoc="0" locked="0" layoutInCell="1" allowOverlap="1" wp14:anchorId="21961884" wp14:editId="163752E7">
            <wp:simplePos x="0" y="0"/>
            <wp:positionH relativeFrom="column">
              <wp:posOffset>17780</wp:posOffset>
            </wp:positionH>
            <wp:positionV relativeFrom="paragraph">
              <wp:posOffset>17145</wp:posOffset>
            </wp:positionV>
            <wp:extent cx="2537460" cy="877570"/>
            <wp:effectExtent l="0" t="0" r="0" b="0"/>
            <wp:wrapSquare wrapText="bothSides"/>
            <wp:docPr id="2" name="Picture 2" descr="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746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EBE2B" w14:textId="53BB06E3" w:rsidR="00547FC9" w:rsidRDefault="00547FC9" w:rsidP="00547FC9">
      <w:r w:rsidRPr="000D18A2">
        <w:rPr>
          <w:b/>
          <w:bCs/>
        </w:rPr>
        <w:t>Consumer Action Law Centre</w:t>
      </w:r>
      <w:r>
        <w:tab/>
      </w:r>
      <w:r>
        <w:tab/>
      </w:r>
      <w:r>
        <w:tab/>
      </w:r>
      <w:r>
        <w:tab/>
      </w:r>
      <w:r w:rsidR="00FD0DE5" w:rsidRPr="0041407F">
        <w:rPr>
          <w:b/>
          <w:bCs/>
        </w:rPr>
        <w:t>Consumer</w:t>
      </w:r>
      <w:r w:rsidR="0041407F" w:rsidRPr="0041407F">
        <w:rPr>
          <w:b/>
          <w:bCs/>
        </w:rPr>
        <w:t xml:space="preserve"> Credit Legal Service (WA) Inc.</w:t>
      </w:r>
      <w:r>
        <w:tab/>
      </w:r>
    </w:p>
    <w:p w14:paraId="50F95A49" w14:textId="3C7E4C6B" w:rsidR="00547FC9" w:rsidRDefault="00547FC9" w:rsidP="00547FC9"/>
    <w:p w14:paraId="4E93D8EF" w14:textId="56B8B8A4" w:rsidR="00547FC9" w:rsidRDefault="002A3CFB" w:rsidP="00547FC9">
      <w:r>
        <w:rPr>
          <w:noProof/>
        </w:rPr>
        <w:drawing>
          <wp:inline distT="0" distB="0" distL="0" distR="0" wp14:anchorId="6D8A5552" wp14:editId="705AA374">
            <wp:extent cx="2679590" cy="595464"/>
            <wp:effectExtent l="0" t="0" r="6985" b="0"/>
            <wp:docPr id="4" name="Picture 4" descr="WEst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stjustice logo"/>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1549" cy="600344"/>
                    </a:xfrm>
                    <a:prstGeom prst="rect">
                      <a:avLst/>
                    </a:prstGeom>
                    <a:noFill/>
                    <a:ln>
                      <a:noFill/>
                    </a:ln>
                  </pic:spPr>
                </pic:pic>
              </a:graphicData>
            </a:graphic>
          </wp:inline>
        </w:drawing>
      </w:r>
    </w:p>
    <w:p w14:paraId="18F62284" w14:textId="207A4296" w:rsidR="00547FC9" w:rsidRDefault="004D0A21" w:rsidP="00547FC9">
      <w:pPr>
        <w:rPr>
          <w:b/>
          <w:bCs/>
        </w:rPr>
      </w:pPr>
      <w:proofErr w:type="spellStart"/>
      <w:r>
        <w:rPr>
          <w:b/>
          <w:bCs/>
        </w:rPr>
        <w:t>WEstjustice</w:t>
      </w:r>
      <w:proofErr w:type="spellEnd"/>
    </w:p>
    <w:p w14:paraId="34CC915C" w14:textId="77777777" w:rsidR="00FB175F" w:rsidRDefault="00FB175F" w:rsidP="00547FC9">
      <w:pPr>
        <w:rPr>
          <w:b/>
          <w:bCs/>
        </w:rPr>
      </w:pPr>
    </w:p>
    <w:p w14:paraId="428DDD84" w14:textId="77777777" w:rsidR="00FB175F" w:rsidRPr="000D18A2" w:rsidRDefault="00FB175F" w:rsidP="00547FC9">
      <w:pPr>
        <w:rPr>
          <w:b/>
          <w:bCs/>
        </w:rPr>
      </w:pPr>
    </w:p>
    <w:p w14:paraId="1800762D" w14:textId="77777777" w:rsidR="008A6138" w:rsidRDefault="008A6138" w:rsidP="00D16972"/>
    <w:p w14:paraId="568376CB" w14:textId="280C308B" w:rsidR="00CB0F87" w:rsidRPr="007B3E23" w:rsidRDefault="00637DC3" w:rsidP="00D16972">
      <w:r>
        <w:t xml:space="preserve"> </w:t>
      </w:r>
    </w:p>
    <w:sectPr w:rsidR="00CB0F87" w:rsidRPr="007B3E23" w:rsidSect="00A13B92">
      <w:headerReference w:type="default" r:id="rId16"/>
      <w:footerReference w:type="default" r:id="rId17"/>
      <w:headerReference w:type="first" r:id="rId18"/>
      <w:footerReference w:type="first" r:id="rId19"/>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BE21" w14:textId="77777777" w:rsidR="005439DB" w:rsidRDefault="005439DB" w:rsidP="00D16972">
      <w:r>
        <w:separator/>
      </w:r>
    </w:p>
  </w:endnote>
  <w:endnote w:type="continuationSeparator" w:id="0">
    <w:p w14:paraId="3640BEA9" w14:textId="77777777" w:rsidR="005439DB" w:rsidRDefault="005439DB" w:rsidP="00D16972">
      <w:r>
        <w:continuationSeparator/>
      </w:r>
    </w:p>
  </w:endnote>
  <w:endnote w:type="continuationNotice" w:id="1">
    <w:p w14:paraId="49951847" w14:textId="77777777" w:rsidR="005439DB" w:rsidRDefault="005439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5109" w14:textId="77777777" w:rsidR="00553427" w:rsidRDefault="000F58CC" w:rsidP="00D16972">
    <w:pPr>
      <w:rPr>
        <w:noProof/>
      </w:rPr>
    </w:pPr>
    <w:r w:rsidRPr="00E05115">
      <w:t>www.accan.org.au | info@accan.org.au | twitter: @ACCAN_AU</w:t>
    </w:r>
    <w:r w:rsidR="00F43B24">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6AED7B9E" w14:textId="77777777" w:rsidR="00A13B92" w:rsidRPr="000F58CC" w:rsidRDefault="00A13B92" w:rsidP="00D169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EE6" w14:textId="77777777" w:rsidR="00A13B92" w:rsidRDefault="00A13B92" w:rsidP="00A13B92">
    <w:pPr>
      <w:pStyle w:val="Footerpage1"/>
    </w:pPr>
    <w:r w:rsidRPr="004A0B0A">
      <w:rPr>
        <w:color w:val="44C8F5"/>
      </w:rPr>
      <w:t>Australian Communications Consumer Action Network (ACCAN)</w:t>
    </w:r>
  </w:p>
  <w:p w14:paraId="14BE8770" w14:textId="77777777" w:rsidR="00A13B92" w:rsidRDefault="00A13B92" w:rsidP="00A13B92">
    <w:pPr>
      <w:pStyle w:val="Footerpage1"/>
      <w:rPr>
        <w:i/>
      </w:rPr>
    </w:pPr>
    <w:r w:rsidRPr="004A0B0A">
      <w:rPr>
        <w:i/>
        <w:color w:val="44C8F5"/>
      </w:rPr>
      <w:t>Australia’s peak telecommunications consumer organisation</w:t>
    </w:r>
  </w:p>
  <w:p w14:paraId="6C5E8AE8" w14:textId="77777777" w:rsidR="00A13B92" w:rsidRDefault="00A13B92" w:rsidP="00A13B92">
    <w:pPr>
      <w:pStyle w:val="Footerpage1"/>
    </w:pPr>
    <w:r w:rsidRPr="008E763A">
      <w:rPr>
        <w:noProof/>
        <w:lang w:eastAsia="en-AU"/>
      </w:rPr>
      <mc:AlternateContent>
        <mc:Choice Requires="wps">
          <w:drawing>
            <wp:inline distT="0" distB="0" distL="0" distR="0" wp14:anchorId="1465703C" wp14:editId="128F6AC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6B90A9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r w:rsidR="00BF754D">
      <w:t xml:space="preserve">PO Box </w:t>
    </w:r>
    <w:r w:rsidR="009C7A51">
      <w:t>A1158, Sydney South NSW 1235</w:t>
    </w:r>
  </w:p>
  <w:p w14:paraId="0203E178" w14:textId="77777777"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69ED5D62"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EB87" w14:textId="77777777" w:rsidR="005439DB" w:rsidRDefault="005439DB" w:rsidP="00D16972">
      <w:r>
        <w:separator/>
      </w:r>
    </w:p>
  </w:footnote>
  <w:footnote w:type="continuationSeparator" w:id="0">
    <w:p w14:paraId="549A5EEC" w14:textId="77777777" w:rsidR="005439DB" w:rsidRDefault="005439DB" w:rsidP="00D16972">
      <w:r>
        <w:continuationSeparator/>
      </w:r>
    </w:p>
  </w:footnote>
  <w:footnote w:type="continuationNotice" w:id="1">
    <w:p w14:paraId="2903523E" w14:textId="77777777" w:rsidR="005439DB" w:rsidRDefault="005439DB">
      <w:pPr>
        <w:spacing w:before="0" w:after="0"/>
      </w:pPr>
    </w:p>
  </w:footnote>
  <w:footnote w:id="2">
    <w:p w14:paraId="0C3FEAE0" w14:textId="17278049" w:rsidR="00A72165" w:rsidRPr="00A72165" w:rsidRDefault="00A72165">
      <w:pPr>
        <w:pStyle w:val="FootnoteText"/>
        <w:rPr>
          <w:lang w:val="en-US"/>
        </w:rPr>
      </w:pPr>
      <w:r>
        <w:rPr>
          <w:rStyle w:val="FootnoteReference"/>
        </w:rPr>
        <w:footnoteRef/>
      </w:r>
      <w:r>
        <w:t xml:space="preserve"> Consumer Policy Research Centre 2020, </w:t>
      </w:r>
      <w:r w:rsidR="004D582D" w:rsidRPr="004D582D">
        <w:rPr>
          <w:i/>
          <w:iCs/>
        </w:rPr>
        <w:t>The experiences of older consumers: towards markets that work for people</w:t>
      </w:r>
      <w:r w:rsidR="004D582D">
        <w:t xml:space="preserve">, </w:t>
      </w:r>
      <w:hyperlink r:id="rId1" w:history="1">
        <w:r w:rsidR="004D582D" w:rsidRPr="00044069">
          <w:rPr>
            <w:rStyle w:val="Hyperlink"/>
          </w:rPr>
          <w:t>https://cprc.org.au/app/uploads/2020/07/Markets-for-People-Report_2July2020_compressed-1.pdf</w:t>
        </w:r>
      </w:hyperlink>
      <w:r w:rsidR="004D582D">
        <w:t xml:space="preserve"> </w:t>
      </w:r>
    </w:p>
  </w:footnote>
  <w:footnote w:id="3">
    <w:p w14:paraId="61218E90" w14:textId="77777777" w:rsidR="00770D6E" w:rsidRPr="00B234EB" w:rsidRDefault="00770D6E" w:rsidP="00770D6E">
      <w:pPr>
        <w:pStyle w:val="FootnoteText"/>
        <w:rPr>
          <w:lang w:val="en-US"/>
        </w:rPr>
      </w:pPr>
      <w:r>
        <w:rPr>
          <w:rStyle w:val="FootnoteReference"/>
        </w:rPr>
        <w:footnoteRef/>
      </w:r>
      <w:r>
        <w:t xml:space="preserve"> </w:t>
      </w:r>
      <w:r>
        <w:rPr>
          <w:lang w:val="en-US"/>
        </w:rPr>
        <w:t xml:space="preserve">The Treasury 2021, </w:t>
      </w:r>
      <w:r w:rsidRPr="00F242F6">
        <w:rPr>
          <w:i/>
          <w:iCs/>
          <w:lang w:val="en-US"/>
        </w:rPr>
        <w:t>Improving the effectiveness of the consumer guarantee and supplier indemnification provisions under the Australian Consumer Law: Consultation Regulation Impact Statement</w:t>
      </w:r>
      <w:r>
        <w:rPr>
          <w:lang w:val="en-US"/>
        </w:rPr>
        <w:t xml:space="preserve">, on behalf of Consumer Senior Officials, </w:t>
      </w:r>
      <w:hyperlink r:id="rId2" w:history="1">
        <w:r w:rsidRPr="008B6D72">
          <w:rPr>
            <w:rStyle w:val="Hyperlink"/>
            <w:lang w:val="en-US"/>
          </w:rPr>
          <w:t>https://treasury.gov.au/sites/default/files/2021-12/c2021-224294-cgsicris_2.pdf</w:t>
        </w:r>
      </w:hyperlink>
      <w:r>
        <w:rPr>
          <w:lang w:val="en-US"/>
        </w:rPr>
        <w:t xml:space="preserve"> </w:t>
      </w:r>
    </w:p>
  </w:footnote>
  <w:footnote w:id="4">
    <w:p w14:paraId="5F67215F" w14:textId="77777777" w:rsidR="00770D6E" w:rsidRPr="00ED509E" w:rsidRDefault="00770D6E" w:rsidP="00770D6E">
      <w:pPr>
        <w:pStyle w:val="FootnoteText"/>
        <w:rPr>
          <w:lang w:val="en-US"/>
        </w:rPr>
      </w:pPr>
      <w:r>
        <w:rPr>
          <w:rStyle w:val="FootnoteReference"/>
        </w:rPr>
        <w:footnoteRef/>
      </w:r>
      <w:r>
        <w:t xml:space="preserve"> Telecommunications Industry Ombudsman 2021, </w:t>
      </w:r>
      <w:r w:rsidRPr="00516632">
        <w:rPr>
          <w:i/>
          <w:iCs/>
        </w:rPr>
        <w:t>Annual Report 2020-21</w:t>
      </w:r>
      <w:r>
        <w:t xml:space="preserve">,  </w:t>
      </w:r>
      <w:hyperlink r:id="rId3" w:history="1">
        <w:r w:rsidRPr="008B6D72">
          <w:rPr>
            <w:rStyle w:val="Hyperlink"/>
          </w:rPr>
          <w:t>https://www.tio.com.au/sites/default/files/2021-09/TIO_AR_Accessible_LR.pdf</w:t>
        </w:r>
      </w:hyperlink>
      <w:r>
        <w:t xml:space="preserve"> </w:t>
      </w:r>
    </w:p>
  </w:footnote>
  <w:footnote w:id="5">
    <w:p w14:paraId="12782B68" w14:textId="77777777" w:rsidR="00770D6E" w:rsidRPr="000704D4" w:rsidRDefault="00770D6E" w:rsidP="00770D6E">
      <w:pPr>
        <w:pStyle w:val="FootnoteText"/>
        <w:rPr>
          <w:lang w:val="en-US"/>
        </w:rPr>
      </w:pPr>
      <w:r>
        <w:rPr>
          <w:rStyle w:val="FootnoteReference"/>
        </w:rPr>
        <w:footnoteRef/>
      </w:r>
      <w:r>
        <w:t xml:space="preserve"> Consumer Policy Research Centre 2021, </w:t>
      </w:r>
      <w:r w:rsidRPr="00B7321E">
        <w:rPr>
          <w:i/>
          <w:iCs/>
        </w:rPr>
        <w:t>Consumer insights series: Sector Scorecard</w:t>
      </w:r>
      <w:r>
        <w:t xml:space="preserve">,  </w:t>
      </w:r>
      <w:hyperlink r:id="rId4" w:history="1">
        <w:r w:rsidRPr="008B6D72">
          <w:rPr>
            <w:rStyle w:val="Hyperlink"/>
          </w:rPr>
          <w:t>https://cprc.org.au/app/uploads/2021/09/Secotor-scorecard-sep21.pdf</w:t>
        </w:r>
      </w:hyperlink>
      <w:r>
        <w:t xml:space="preserve"> </w:t>
      </w:r>
    </w:p>
  </w:footnote>
  <w:footnote w:id="6">
    <w:p w14:paraId="2725EBDB" w14:textId="77777777" w:rsidR="00770D6E" w:rsidRPr="005E1A46" w:rsidRDefault="00770D6E" w:rsidP="00770D6E">
      <w:pPr>
        <w:pStyle w:val="FootnoteText"/>
        <w:rPr>
          <w:lang w:val="en-US"/>
        </w:rPr>
      </w:pPr>
      <w:r>
        <w:rPr>
          <w:rStyle w:val="FootnoteReference"/>
        </w:rPr>
        <w:footnoteRef/>
      </w:r>
      <w:r>
        <w:t xml:space="preserve"> Roy Morgan 2021, </w:t>
      </w:r>
      <w:r w:rsidRPr="00C13678">
        <w:rPr>
          <w:i/>
          <w:iCs/>
        </w:rPr>
        <w:t>Supermarkets, Retail, Consumer Products and Technology are the industries with the highest Net Trust Scores</w:t>
      </w:r>
      <w:r>
        <w:t xml:space="preserve">, media release, </w:t>
      </w:r>
      <w:hyperlink r:id="rId5" w:history="1">
        <w:r w:rsidRPr="008B6D72">
          <w:rPr>
            <w:rStyle w:val="Hyperlink"/>
          </w:rPr>
          <w:t>https://www.roymorgan.com/findings/8746-roy-morgan-risk-monitor-by-industry-july-2021-202107150455</w:t>
        </w:r>
      </w:hyperlink>
      <w:r>
        <w:t xml:space="preserve"> </w:t>
      </w:r>
    </w:p>
  </w:footnote>
  <w:footnote w:id="7">
    <w:p w14:paraId="543CC02F" w14:textId="77777777" w:rsidR="002A74E6" w:rsidRPr="00B52831" w:rsidRDefault="002A74E6" w:rsidP="002A74E6">
      <w:pPr>
        <w:pStyle w:val="FootnoteText"/>
        <w:rPr>
          <w:lang w:val="en-US"/>
        </w:rPr>
      </w:pPr>
      <w:r>
        <w:rPr>
          <w:rStyle w:val="FootnoteReference"/>
        </w:rPr>
        <w:footnoteRef/>
      </w:r>
      <w:r>
        <w:t xml:space="preserve"> Colmar Brunton, 2020. Still Waiting… Costing wait times for telecommunications consumers, https://accan.org.au/files/Submissions/2020/Still%20Waiting_v1.1.pdf</w:t>
      </w:r>
    </w:p>
  </w:footnote>
  <w:footnote w:id="8">
    <w:p w14:paraId="39A5AE0E" w14:textId="77777777" w:rsidR="002A74E6" w:rsidRPr="002A09C4" w:rsidRDefault="002A74E6" w:rsidP="002A74E6">
      <w:pPr>
        <w:pStyle w:val="FootnoteText"/>
        <w:rPr>
          <w:lang w:val="en-US"/>
        </w:rPr>
      </w:pPr>
      <w:r>
        <w:rPr>
          <w:rStyle w:val="FootnoteReference"/>
        </w:rPr>
        <w:footnoteRef/>
      </w:r>
      <w:r>
        <w:t xml:space="preserve"> Ibid.</w:t>
      </w:r>
    </w:p>
  </w:footnote>
  <w:footnote w:id="9">
    <w:p w14:paraId="241326E7" w14:textId="77777777" w:rsidR="002A74E6" w:rsidRPr="004B38C8" w:rsidRDefault="002A74E6" w:rsidP="002A74E6">
      <w:pPr>
        <w:pStyle w:val="FootnoteText"/>
        <w:rPr>
          <w:lang w:val="en-US"/>
        </w:rPr>
      </w:pPr>
      <w:r>
        <w:rPr>
          <w:rStyle w:val="FootnoteReference"/>
        </w:rPr>
        <w:footnoteRef/>
      </w:r>
      <w:r>
        <w:t xml:space="preserve"> ACCAN &amp; Synergies 2019, Please hold: costing telco customer wait times, </w:t>
      </w:r>
      <w:hyperlink r:id="rId6" w:history="1">
        <w:r w:rsidRPr="008B6D72">
          <w:rPr>
            <w:rStyle w:val="Hyperlink"/>
          </w:rPr>
          <w:t>https://www.synergies.com.au/wpcontent/uploads/2019/08/Public-report-Please-hold-costing-telco-customer-wait-times.pdf</w:t>
        </w:r>
      </w:hyperlink>
      <w:r>
        <w:t xml:space="preserve"> </w:t>
      </w:r>
    </w:p>
  </w:footnote>
  <w:footnote w:id="10">
    <w:p w14:paraId="0DC84144" w14:textId="77777777" w:rsidR="002A74E6" w:rsidRPr="004B38C8" w:rsidRDefault="002A74E6" w:rsidP="002A74E6">
      <w:pPr>
        <w:pStyle w:val="FootnoteText"/>
        <w:rPr>
          <w:lang w:val="en-US"/>
        </w:rPr>
      </w:pPr>
      <w:r>
        <w:rPr>
          <w:rStyle w:val="FootnoteReference"/>
        </w:rPr>
        <w:footnoteRef/>
      </w:r>
      <w:r>
        <w:t xml:space="preserve"> ACCAN 2020, </w:t>
      </w:r>
      <w:r w:rsidRPr="00E221E7">
        <w:rPr>
          <w:i/>
          <w:iCs/>
        </w:rPr>
        <w:t xml:space="preserve">The </w:t>
      </w:r>
      <w:r>
        <w:rPr>
          <w:i/>
          <w:iCs/>
        </w:rPr>
        <w:t>c</w:t>
      </w:r>
      <w:r w:rsidRPr="00E221E7">
        <w:rPr>
          <w:i/>
          <w:iCs/>
        </w:rPr>
        <w:t xml:space="preserve">ost of </w:t>
      </w:r>
      <w:r>
        <w:rPr>
          <w:i/>
          <w:iCs/>
        </w:rPr>
        <w:t>s</w:t>
      </w:r>
      <w:r w:rsidRPr="00E221E7">
        <w:rPr>
          <w:i/>
          <w:iCs/>
        </w:rPr>
        <w:t xml:space="preserve">till </w:t>
      </w:r>
      <w:r>
        <w:rPr>
          <w:i/>
          <w:iCs/>
        </w:rPr>
        <w:t>w</w:t>
      </w:r>
      <w:r w:rsidRPr="00E221E7">
        <w:rPr>
          <w:i/>
          <w:iCs/>
        </w:rPr>
        <w:t>aiting</w:t>
      </w:r>
      <w:r>
        <w:t xml:space="preserve">,  </w:t>
      </w:r>
      <w:hyperlink r:id="rId7" w:history="1">
        <w:r w:rsidRPr="008B6D72">
          <w:rPr>
            <w:rStyle w:val="Hyperlink"/>
          </w:rPr>
          <w:t>https://accan.org.au/files/News%20items/Still%20waiting%20analysis%20report%20v.1.1.pdf</w:t>
        </w:r>
      </w:hyperlink>
    </w:p>
  </w:footnote>
  <w:footnote w:id="11">
    <w:p w14:paraId="32D7DEED" w14:textId="77777777" w:rsidR="00324891" w:rsidRPr="00B50A69" w:rsidRDefault="00324891" w:rsidP="00324891">
      <w:pPr>
        <w:pStyle w:val="FootnoteText"/>
        <w:rPr>
          <w:lang w:val="en-US"/>
        </w:rPr>
      </w:pPr>
      <w:r>
        <w:rPr>
          <w:rStyle w:val="FootnoteReference"/>
        </w:rPr>
        <w:footnoteRef/>
      </w:r>
      <w:r>
        <w:t xml:space="preserve"> </w:t>
      </w:r>
      <w:r>
        <w:rPr>
          <w:lang w:val="en-US"/>
        </w:rPr>
        <w:t xml:space="preserve">The Treasury 2021, op. cit. </w:t>
      </w:r>
    </w:p>
  </w:footnote>
  <w:footnote w:id="12">
    <w:p w14:paraId="1E8FEA50" w14:textId="77777777" w:rsidR="00324891" w:rsidRPr="004926AD" w:rsidRDefault="00324891" w:rsidP="00324891">
      <w:pPr>
        <w:pStyle w:val="FootnoteText"/>
        <w:rPr>
          <w:lang w:val="en-US"/>
        </w:rPr>
      </w:pPr>
      <w:r>
        <w:rPr>
          <w:rStyle w:val="FootnoteReference"/>
        </w:rPr>
        <w:footnoteRef/>
      </w:r>
      <w:r>
        <w:t xml:space="preserve"> Telecommunications Industry Ombudsman 2021, </w:t>
      </w:r>
      <w:r w:rsidRPr="00A761CC">
        <w:rPr>
          <w:i/>
          <w:iCs/>
        </w:rPr>
        <w:t>Defending phone and internet accounts from fraudsters</w:t>
      </w:r>
      <w:r>
        <w:t xml:space="preserve">,  </w:t>
      </w:r>
      <w:hyperlink r:id="rId8" w:history="1">
        <w:r w:rsidRPr="008B6D72">
          <w:rPr>
            <w:rStyle w:val="Hyperlink"/>
          </w:rPr>
          <w:t>https://www.tio.com.au/sites/default/files/2021-11/Defending%20phone%20and%20internet%20accounts%20from%20fraudsters_fa_HiRes%20CLEAN.pdf</w:t>
        </w:r>
      </w:hyperlink>
      <w:r>
        <w:t xml:space="preserve"> </w:t>
      </w:r>
    </w:p>
  </w:footnote>
  <w:footnote w:id="13">
    <w:p w14:paraId="121CCC18" w14:textId="77777777" w:rsidR="00324891" w:rsidRPr="00D44C37" w:rsidRDefault="00324891" w:rsidP="00324891">
      <w:pPr>
        <w:pStyle w:val="FootnoteText"/>
        <w:rPr>
          <w:lang w:val="en-US"/>
        </w:rPr>
      </w:pPr>
      <w:r>
        <w:rPr>
          <w:rStyle w:val="FootnoteReference"/>
        </w:rPr>
        <w:footnoteRef/>
      </w:r>
      <w:r>
        <w:t xml:space="preserve"> </w:t>
      </w:r>
      <w:r w:rsidRPr="00D44C37">
        <w:t>Telecommunications (Consumer Complaints Handling) Industry Standard 2018</w:t>
      </w:r>
      <w:r>
        <w:t xml:space="preserve">, </w:t>
      </w:r>
      <w:hyperlink r:id="rId9" w:history="1">
        <w:r w:rsidRPr="008B6D72">
          <w:rPr>
            <w:rStyle w:val="Hyperlink"/>
          </w:rPr>
          <w:t>https://www.legislation.gov.au/Details/F2021C00265</w:t>
        </w:r>
      </w:hyperlink>
      <w:r>
        <w:t xml:space="preserve"> </w:t>
      </w:r>
    </w:p>
  </w:footnote>
  <w:footnote w:id="14">
    <w:p w14:paraId="75CE5DB4" w14:textId="77777777" w:rsidR="00324891" w:rsidRPr="00F71568" w:rsidRDefault="00324891" w:rsidP="00324891">
      <w:pPr>
        <w:pStyle w:val="FootnoteText"/>
        <w:rPr>
          <w:lang w:val="en-US"/>
        </w:rPr>
      </w:pPr>
      <w:r>
        <w:rPr>
          <w:rStyle w:val="FootnoteReference"/>
        </w:rPr>
        <w:footnoteRef/>
      </w:r>
      <w:r>
        <w:t xml:space="preserve"> ACMA, </w:t>
      </w:r>
      <w:r w:rsidRPr="00F71568">
        <w:t>NBN service rules for telcos</w:t>
      </w:r>
      <w:r>
        <w:t xml:space="preserve">, </w:t>
      </w:r>
      <w:hyperlink r:id="rId10" w:history="1">
        <w:r w:rsidRPr="008B6D72">
          <w:rPr>
            <w:rStyle w:val="Hyperlink"/>
          </w:rPr>
          <w:t>https://www.acma.gov.au/nbn-service-rules-telcos</w:t>
        </w:r>
      </w:hyperlink>
      <w:r>
        <w:t xml:space="preserve"> </w:t>
      </w:r>
    </w:p>
  </w:footnote>
  <w:footnote w:id="15">
    <w:p w14:paraId="1A9E7114" w14:textId="77777777" w:rsidR="00324891" w:rsidRPr="000C4CA5" w:rsidRDefault="00324891" w:rsidP="00324891">
      <w:pPr>
        <w:pStyle w:val="FootnoteText"/>
        <w:rPr>
          <w:lang w:val="en-US"/>
        </w:rPr>
      </w:pPr>
      <w:r>
        <w:rPr>
          <w:rStyle w:val="FootnoteReference"/>
        </w:rPr>
        <w:footnoteRef/>
      </w:r>
      <w:r>
        <w:t xml:space="preserve"> Telecommunications Industry Ombudsman 2016, </w:t>
      </w:r>
      <w:r w:rsidRPr="00AB40A8">
        <w:rPr>
          <w:i/>
          <w:iCs/>
        </w:rPr>
        <w:t>Review of the Australian Consumer Law 2016</w:t>
      </w:r>
      <w:r>
        <w:t xml:space="preserve">, </w:t>
      </w:r>
      <w:hyperlink r:id="rId11" w:history="1">
        <w:r w:rsidRPr="006B4BDE">
          <w:rPr>
            <w:rStyle w:val="Hyperlink"/>
          </w:rPr>
          <w:t>https://cdn.tspace.gov.au/uploads/sites/60/2016/07/Telecommunications_Industry_Ombudsman.pdf</w:t>
        </w:r>
      </w:hyperlink>
      <w:r>
        <w:t xml:space="preserve"> </w:t>
      </w:r>
    </w:p>
  </w:footnote>
  <w:footnote w:id="16">
    <w:p w14:paraId="4B64CC54" w14:textId="77777777" w:rsidR="00324891" w:rsidRPr="00B34483" w:rsidRDefault="00324891" w:rsidP="00324891">
      <w:pPr>
        <w:pStyle w:val="FootnoteText"/>
        <w:rPr>
          <w:lang w:val="en-US"/>
        </w:rPr>
      </w:pPr>
      <w:r>
        <w:rPr>
          <w:rStyle w:val="FootnoteReference"/>
        </w:rPr>
        <w:footnoteRef/>
      </w:r>
      <w:r>
        <w:t xml:space="preserve"> ACCAN 2016, </w:t>
      </w:r>
      <w:r w:rsidRPr="00BB4928">
        <w:rPr>
          <w:i/>
          <w:iCs/>
        </w:rPr>
        <w:t>Australian Consumer Law Review</w:t>
      </w:r>
      <w:r>
        <w:t xml:space="preserve">,  </w:t>
      </w:r>
      <w:hyperlink r:id="rId12" w:history="1">
        <w:r w:rsidRPr="006B4BDE">
          <w:rPr>
            <w:rStyle w:val="Hyperlink"/>
          </w:rPr>
          <w:t>https://accan.org.au/files/Submissions/Australian%20Consumer%20Law%20Review%20ACCAN%20submission.pdf</w:t>
        </w:r>
      </w:hyperlink>
      <w:r>
        <w:t xml:space="preserve"> </w:t>
      </w:r>
    </w:p>
  </w:footnote>
  <w:footnote w:id="17">
    <w:p w14:paraId="190962F0" w14:textId="72C44D0E" w:rsidR="00BE2222" w:rsidRPr="00BE2222" w:rsidRDefault="00BE2222">
      <w:pPr>
        <w:pStyle w:val="FootnoteText"/>
        <w:rPr>
          <w:lang w:val="en-US"/>
        </w:rPr>
      </w:pPr>
      <w:r>
        <w:rPr>
          <w:rStyle w:val="FootnoteReference"/>
        </w:rPr>
        <w:footnoteRef/>
      </w:r>
      <w:r>
        <w:t xml:space="preserve"> ACCC, </w:t>
      </w:r>
      <w:r w:rsidR="007513F9" w:rsidRPr="007513F9">
        <w:rPr>
          <w:i/>
          <w:iCs/>
        </w:rPr>
        <w:t>Consumer guarantees</w:t>
      </w:r>
      <w:r>
        <w:t xml:space="preserve">, </w:t>
      </w:r>
      <w:hyperlink r:id="rId13" w:history="1">
        <w:r w:rsidRPr="006B4BDE">
          <w:rPr>
            <w:rStyle w:val="Hyperlink"/>
          </w:rPr>
          <w:t>https://www.accc.gov.au/consumers/consumer-rights-guarantees/consumer-guarantees</w:t>
        </w:r>
      </w:hyperlink>
      <w:r>
        <w:t xml:space="preserve"> </w:t>
      </w:r>
    </w:p>
  </w:footnote>
  <w:footnote w:id="18">
    <w:p w14:paraId="69D0E565" w14:textId="77777777" w:rsidR="00A262F5" w:rsidRPr="0005014D" w:rsidRDefault="00A262F5" w:rsidP="00A262F5">
      <w:pPr>
        <w:pStyle w:val="FootnoteText"/>
        <w:rPr>
          <w:lang w:val="en-US"/>
        </w:rPr>
      </w:pPr>
      <w:r>
        <w:rPr>
          <w:rStyle w:val="FootnoteReference"/>
        </w:rPr>
        <w:footnoteRef/>
      </w:r>
      <w:r>
        <w:t xml:space="preserve"> </w:t>
      </w:r>
      <w:r>
        <w:rPr>
          <w:lang w:val="en-US"/>
        </w:rPr>
        <w:t xml:space="preserve">TIO 2021, op. cit. </w:t>
      </w:r>
    </w:p>
  </w:footnote>
  <w:footnote w:id="19">
    <w:p w14:paraId="25D1173F" w14:textId="10620B46" w:rsidR="00A97B83" w:rsidRPr="00B3087D" w:rsidRDefault="00A97B83" w:rsidP="00A97B83">
      <w:pPr>
        <w:pStyle w:val="FootnoteText"/>
        <w:rPr>
          <w:lang w:val="en-US"/>
        </w:rPr>
      </w:pPr>
      <w:r w:rsidRPr="00B3087D">
        <w:rPr>
          <w:rStyle w:val="FootnoteReference"/>
        </w:rPr>
        <w:footnoteRef/>
      </w:r>
      <w:r w:rsidRPr="00B3087D">
        <w:t xml:space="preserve"> IT News</w:t>
      </w:r>
      <w:r w:rsidR="00B3087D" w:rsidRPr="00B3087D">
        <w:t xml:space="preserve"> 2021, Telstra, Optus, TPG to face court over underperforming FTTN services</w:t>
      </w:r>
      <w:r w:rsidRPr="00B3087D">
        <w:t xml:space="preserve"> </w:t>
      </w:r>
      <w:hyperlink r:id="rId14" w:history="1">
        <w:r w:rsidR="00F52127" w:rsidRPr="004D0599">
          <w:rPr>
            <w:rStyle w:val="Hyperlink"/>
          </w:rPr>
          <w:t>https://www.itnews.com.au/news/telstra-optus-tpg-to-face-court-over-underperforming-fttn-services-568372</w:t>
        </w:r>
      </w:hyperlink>
      <w:r w:rsidR="00F52127">
        <w:t xml:space="preserve"> </w:t>
      </w:r>
    </w:p>
  </w:footnote>
  <w:footnote w:id="20">
    <w:p w14:paraId="0DFD4AC1" w14:textId="77777777" w:rsidR="00A262F5" w:rsidRPr="00697F11" w:rsidRDefault="00A262F5" w:rsidP="00A262F5">
      <w:pPr>
        <w:pStyle w:val="FootnoteText"/>
        <w:rPr>
          <w:lang w:val="en-US"/>
        </w:rPr>
      </w:pPr>
      <w:r>
        <w:rPr>
          <w:rStyle w:val="FootnoteReference"/>
        </w:rPr>
        <w:footnoteRef/>
      </w:r>
      <w:r>
        <w:t xml:space="preserve"> NBN Co, </w:t>
      </w:r>
      <w:r w:rsidRPr="00720535">
        <w:rPr>
          <w:i/>
          <w:iCs/>
        </w:rPr>
        <w:t xml:space="preserve">SFAA - Wholesale Broadband Agreement - Service Levels Schedule – </w:t>
      </w:r>
      <w:proofErr w:type="spellStart"/>
      <w:r w:rsidRPr="00720535">
        <w:rPr>
          <w:i/>
          <w:iCs/>
        </w:rPr>
        <w:t>nbn</w:t>
      </w:r>
      <w:proofErr w:type="spellEnd"/>
      <w:r w:rsidRPr="00720535">
        <w:rPr>
          <w:i/>
          <w:iCs/>
        </w:rPr>
        <w:t>™ Ethernet Product Module</w:t>
      </w:r>
      <w:r>
        <w:t xml:space="preserve">, </w:t>
      </w:r>
      <w:hyperlink r:id="rId15" w:history="1">
        <w:r w:rsidRPr="006B4BDE">
          <w:rPr>
            <w:rStyle w:val="Hyperlink"/>
          </w:rPr>
          <w:t>https://www.nbnco.com.au/content/dam/nbnco2/documents/wba/wba2/SFAA_WBAEthernetServiceLevels_markup_CIRRemediation_20180313.pdf</w:t>
        </w:r>
      </w:hyperlink>
      <w:r>
        <w:t xml:space="preserve"> </w:t>
      </w:r>
    </w:p>
  </w:footnote>
  <w:footnote w:id="21">
    <w:p w14:paraId="492999A4" w14:textId="77777777" w:rsidR="00A262F5" w:rsidRPr="000F746C" w:rsidRDefault="00A262F5" w:rsidP="00A262F5">
      <w:pPr>
        <w:pStyle w:val="FootnoteText"/>
        <w:rPr>
          <w:lang w:val="en-US"/>
        </w:rPr>
      </w:pPr>
      <w:r>
        <w:rPr>
          <w:rStyle w:val="FootnoteReference"/>
        </w:rPr>
        <w:footnoteRef/>
      </w:r>
      <w:r>
        <w:t xml:space="preserve"> </w:t>
      </w:r>
      <w:r>
        <w:rPr>
          <w:lang w:val="en-US"/>
        </w:rPr>
        <w:t>NBN Co, op cit., section 1.4.f.</w:t>
      </w:r>
    </w:p>
  </w:footnote>
  <w:footnote w:id="22">
    <w:p w14:paraId="74FF97F7" w14:textId="77777777" w:rsidR="00324891" w:rsidRPr="004C58F6" w:rsidRDefault="00324891" w:rsidP="00324891">
      <w:pPr>
        <w:pStyle w:val="FootnoteText"/>
        <w:rPr>
          <w:lang w:val="en-US"/>
        </w:rPr>
      </w:pPr>
      <w:r>
        <w:rPr>
          <w:rStyle w:val="FootnoteReference"/>
        </w:rPr>
        <w:footnoteRef/>
      </w:r>
      <w:r>
        <w:t xml:space="preserve"> Telecommunications Industry Ombudsman 2021, op. cit. </w:t>
      </w:r>
    </w:p>
  </w:footnote>
  <w:footnote w:id="23">
    <w:p w14:paraId="0C75DCB0" w14:textId="77777777" w:rsidR="00324891" w:rsidRPr="00492D34" w:rsidRDefault="00324891" w:rsidP="00324891">
      <w:pPr>
        <w:pStyle w:val="FootnoteText"/>
        <w:rPr>
          <w:lang w:val="en-US"/>
        </w:rPr>
      </w:pPr>
      <w:r>
        <w:rPr>
          <w:rStyle w:val="FootnoteReference"/>
        </w:rPr>
        <w:footnoteRef/>
      </w:r>
      <w:r>
        <w:t xml:space="preserve"> ACMA, </w:t>
      </w:r>
      <w:r w:rsidRPr="00492D34">
        <w:rPr>
          <w:i/>
          <w:iCs/>
        </w:rPr>
        <w:t>The Customer Service Guarantee</w:t>
      </w:r>
      <w:r>
        <w:t xml:space="preserve">, </w:t>
      </w:r>
      <w:hyperlink r:id="rId16" w:history="1">
        <w:r w:rsidRPr="006B4BDE">
          <w:rPr>
            <w:rStyle w:val="Hyperlink"/>
          </w:rPr>
          <w:t>https://www.acma.gov.au/customer-service-guarantee</w:t>
        </w:r>
      </w:hyperlink>
      <w:r>
        <w:t xml:space="preserve"> </w:t>
      </w:r>
    </w:p>
  </w:footnote>
  <w:footnote w:id="24">
    <w:p w14:paraId="20A00C74" w14:textId="77777777" w:rsidR="00324891" w:rsidRPr="00A93379" w:rsidRDefault="00324891" w:rsidP="00324891">
      <w:pPr>
        <w:pStyle w:val="FootnoteText"/>
        <w:rPr>
          <w:lang w:val="en-US"/>
        </w:rPr>
      </w:pPr>
      <w:r>
        <w:rPr>
          <w:rStyle w:val="FootnoteReference"/>
        </w:rPr>
        <w:footnoteRef/>
      </w:r>
      <w:r>
        <w:t xml:space="preserve"> Sydney Morning Herald 2021, </w:t>
      </w:r>
      <w:r w:rsidRPr="007A733B">
        <w:rPr>
          <w:i/>
          <w:iCs/>
        </w:rPr>
        <w:t>The Sydney suburb that’s been without proper internet since April</w:t>
      </w:r>
      <w:r>
        <w:t xml:space="preserve">, </w:t>
      </w:r>
      <w:hyperlink r:id="rId17" w:history="1">
        <w:r w:rsidRPr="006B4BDE">
          <w:rPr>
            <w:rStyle w:val="Hyperlink"/>
          </w:rPr>
          <w:t>https://www.smh.com.au/national/nsw/the-sydney-suburb-that-s-been-without-proper-internet-since-april-20210715-p589xu.html</w:t>
        </w:r>
      </w:hyperlink>
      <w:r>
        <w:t xml:space="preserve"> </w:t>
      </w:r>
    </w:p>
  </w:footnote>
  <w:footnote w:id="25">
    <w:p w14:paraId="370A80AE" w14:textId="77777777" w:rsidR="00324891" w:rsidRPr="00E13DC8" w:rsidRDefault="00324891" w:rsidP="00324891">
      <w:pPr>
        <w:pStyle w:val="FootnoteText"/>
        <w:rPr>
          <w:lang w:val="en-US"/>
        </w:rPr>
      </w:pPr>
      <w:r>
        <w:rPr>
          <w:rStyle w:val="FootnoteReference"/>
        </w:rPr>
        <w:footnoteRef/>
      </w:r>
      <w:r>
        <w:t xml:space="preserve"> ABC News 2021, </w:t>
      </w:r>
      <w:r w:rsidRPr="004C040C">
        <w:rPr>
          <w:i/>
          <w:iCs/>
        </w:rPr>
        <w:t>Five-day 3G, 4G outage in remote community caused by rodents sparks calls for tailored services</w:t>
      </w:r>
      <w:r>
        <w:t xml:space="preserve">, </w:t>
      </w:r>
      <w:hyperlink r:id="rId18" w:history="1">
        <w:r w:rsidRPr="006B4BDE">
          <w:rPr>
            <w:rStyle w:val="Hyperlink"/>
          </w:rPr>
          <w:t>https://www.abc.net.au/news/2021-01-23/call-for-better-remote-internet-after-rats-cause-outage/13072896</w:t>
        </w:r>
      </w:hyperlink>
      <w:r>
        <w:t xml:space="preserve"> </w:t>
      </w:r>
    </w:p>
  </w:footnote>
  <w:footnote w:id="26">
    <w:p w14:paraId="28F75214" w14:textId="77777777" w:rsidR="00324891" w:rsidRPr="007E58A7" w:rsidRDefault="00324891" w:rsidP="00324891">
      <w:pPr>
        <w:pStyle w:val="FootnoteText"/>
        <w:rPr>
          <w:lang w:val="en-US"/>
        </w:rPr>
      </w:pPr>
      <w:r>
        <w:rPr>
          <w:rStyle w:val="FootnoteReference"/>
        </w:rPr>
        <w:footnoteRef/>
      </w:r>
      <w:r>
        <w:t xml:space="preserve"> Finder 2021, </w:t>
      </w:r>
      <w:r w:rsidRPr="007E58A7">
        <w:rPr>
          <w:i/>
          <w:iCs/>
        </w:rPr>
        <w:t xml:space="preserve">Vodafone outage causes customer backlash: What can you </w:t>
      </w:r>
      <w:proofErr w:type="gramStart"/>
      <w:r w:rsidRPr="007E58A7">
        <w:rPr>
          <w:i/>
          <w:iCs/>
        </w:rPr>
        <w:t>do?</w:t>
      </w:r>
      <w:r>
        <w:t>,</w:t>
      </w:r>
      <w:proofErr w:type="gramEnd"/>
      <w:r>
        <w:t xml:space="preserve"> </w:t>
      </w:r>
      <w:hyperlink r:id="rId19" w:history="1">
        <w:r w:rsidRPr="006B4BDE">
          <w:rPr>
            <w:rStyle w:val="Hyperlink"/>
          </w:rPr>
          <w:t>https://www.finder.com.au/vodafone-outage-australia-april</w:t>
        </w:r>
      </w:hyperlink>
      <w:r>
        <w:t xml:space="preserve"> </w:t>
      </w:r>
    </w:p>
  </w:footnote>
  <w:footnote w:id="27">
    <w:p w14:paraId="33148BF4" w14:textId="77777777" w:rsidR="00324891" w:rsidRPr="002640EA" w:rsidRDefault="00324891" w:rsidP="00324891">
      <w:pPr>
        <w:pStyle w:val="FootnoteText"/>
        <w:rPr>
          <w:lang w:val="en-US"/>
        </w:rPr>
      </w:pPr>
      <w:r>
        <w:rPr>
          <w:rStyle w:val="FootnoteReference"/>
        </w:rPr>
        <w:footnoteRef/>
      </w:r>
      <w:r>
        <w:t xml:space="preserve"> ACCAN 2016, op. cit. </w:t>
      </w:r>
    </w:p>
  </w:footnote>
  <w:footnote w:id="28">
    <w:p w14:paraId="232A06EA" w14:textId="77777777" w:rsidR="00324891" w:rsidRPr="00E80D2A" w:rsidRDefault="00324891" w:rsidP="00324891">
      <w:pPr>
        <w:pStyle w:val="FootnoteText"/>
        <w:rPr>
          <w:lang w:val="en-US"/>
        </w:rPr>
      </w:pPr>
      <w:r>
        <w:rPr>
          <w:rStyle w:val="FootnoteReference"/>
        </w:rPr>
        <w:footnoteRef/>
      </w:r>
      <w:r>
        <w:t xml:space="preserve"> </w:t>
      </w:r>
      <w:r>
        <w:rPr>
          <w:lang w:val="en-US"/>
        </w:rPr>
        <w:t xml:space="preserve">Lindsay, D, Wilkinson, G &amp; Wright, E 2022, </w:t>
      </w:r>
      <w:r w:rsidRPr="00FB6F0B">
        <w:rPr>
          <w:i/>
          <w:iCs/>
          <w:lang w:val="en-US"/>
        </w:rPr>
        <w:t xml:space="preserve">Regulating to Protect Security and Privacy </w:t>
      </w:r>
      <w:proofErr w:type="gramStart"/>
      <w:r w:rsidRPr="00FB6F0B">
        <w:rPr>
          <w:i/>
          <w:iCs/>
          <w:lang w:val="en-US"/>
        </w:rPr>
        <w:t>in</w:t>
      </w:r>
      <w:proofErr w:type="gramEnd"/>
      <w:r w:rsidRPr="00FB6F0B">
        <w:rPr>
          <w:i/>
          <w:iCs/>
          <w:lang w:val="en-US"/>
        </w:rPr>
        <w:t xml:space="preserve"> the Internet of Things (IoT)</w:t>
      </w:r>
      <w:r>
        <w:rPr>
          <w:lang w:val="en-US"/>
        </w:rPr>
        <w:t xml:space="preserve">, draft report to ACCAN, unpublished. </w:t>
      </w:r>
    </w:p>
  </w:footnote>
  <w:footnote w:id="29">
    <w:p w14:paraId="5D367FF8" w14:textId="311B3761" w:rsidR="00417E19" w:rsidRPr="00417E19" w:rsidRDefault="00417E19">
      <w:pPr>
        <w:pStyle w:val="FootnoteText"/>
        <w:rPr>
          <w:lang w:val="en-US"/>
        </w:rPr>
      </w:pPr>
      <w:r>
        <w:rPr>
          <w:rStyle w:val="FootnoteReference"/>
        </w:rPr>
        <w:footnoteRef/>
      </w:r>
      <w:r>
        <w:t xml:space="preserve"> </w:t>
      </w:r>
      <w:r>
        <w:rPr>
          <w:lang w:val="en-US"/>
        </w:rPr>
        <w:t>Internet of Things products include internet-enabled consumer products like smart fridges, virtual home assistants (</w:t>
      </w:r>
      <w:proofErr w:type="gramStart"/>
      <w:r>
        <w:rPr>
          <w:lang w:val="en-US"/>
        </w:rPr>
        <w:t>e</w:t>
      </w:r>
      <w:r w:rsidR="00304B7D">
        <w:rPr>
          <w:lang w:val="en-US"/>
        </w:rPr>
        <w:t>.</w:t>
      </w:r>
      <w:r>
        <w:rPr>
          <w:lang w:val="en-US"/>
        </w:rPr>
        <w:t>g.</w:t>
      </w:r>
      <w:proofErr w:type="gramEnd"/>
      <w:r>
        <w:rPr>
          <w:lang w:val="en-US"/>
        </w:rPr>
        <w:t xml:space="preserve"> Alexa), wearables (e</w:t>
      </w:r>
      <w:r w:rsidR="0000154E">
        <w:rPr>
          <w:lang w:val="en-US"/>
        </w:rPr>
        <w:t>.</w:t>
      </w:r>
      <w:r>
        <w:rPr>
          <w:lang w:val="en-US"/>
        </w:rPr>
        <w:t xml:space="preserve">g. </w:t>
      </w:r>
      <w:proofErr w:type="spellStart"/>
      <w:r>
        <w:rPr>
          <w:lang w:val="en-US"/>
        </w:rPr>
        <w:t>FitBit</w:t>
      </w:r>
      <w:proofErr w:type="spellEnd"/>
      <w:r>
        <w:rPr>
          <w:lang w:val="en-US"/>
        </w:rPr>
        <w:t>), and so on.</w:t>
      </w:r>
    </w:p>
  </w:footnote>
  <w:footnote w:id="30">
    <w:p w14:paraId="1E57F628" w14:textId="77777777" w:rsidR="00324891" w:rsidRPr="00F67782" w:rsidRDefault="00324891" w:rsidP="00324891">
      <w:pPr>
        <w:pStyle w:val="FootnoteText"/>
        <w:rPr>
          <w:lang w:val="en-US"/>
        </w:rPr>
      </w:pPr>
      <w:r>
        <w:rPr>
          <w:rStyle w:val="FootnoteReference"/>
        </w:rPr>
        <w:footnoteRef/>
      </w:r>
      <w:r>
        <w:t xml:space="preserve"> Productivity Commission 2021, </w:t>
      </w:r>
      <w:r w:rsidRPr="00296A85">
        <w:rPr>
          <w:i/>
          <w:iCs/>
        </w:rPr>
        <w:t>Right to Repair: Productivity Commission Inquiry Report</w:t>
      </w:r>
      <w:r>
        <w:t xml:space="preserve">, </w:t>
      </w:r>
      <w:hyperlink r:id="rId20" w:history="1">
        <w:r w:rsidRPr="006B4BDE">
          <w:rPr>
            <w:rStyle w:val="Hyperlink"/>
          </w:rPr>
          <w:t>https://www.pc.gov.au/inquiries/completed/repair/report/repair.pdf</w:t>
        </w:r>
      </w:hyperlink>
      <w:r>
        <w:t xml:space="preserve"> </w:t>
      </w:r>
    </w:p>
  </w:footnote>
  <w:footnote w:id="31">
    <w:p w14:paraId="2F8B2A62" w14:textId="77777777" w:rsidR="00324891" w:rsidRPr="00454A39" w:rsidRDefault="00324891" w:rsidP="00324891">
      <w:pPr>
        <w:pStyle w:val="FootnoteText"/>
        <w:rPr>
          <w:lang w:val="en-US"/>
        </w:rPr>
      </w:pPr>
      <w:r>
        <w:rPr>
          <w:rStyle w:val="FootnoteReference"/>
        </w:rPr>
        <w:footnoteRef/>
      </w:r>
      <w:r>
        <w:t xml:space="preserve"> ACCAN 2021, </w:t>
      </w:r>
      <w:r w:rsidRPr="0006668C">
        <w:rPr>
          <w:i/>
          <w:iCs/>
        </w:rPr>
        <w:t>Internet of Things Position Statement</w:t>
      </w:r>
      <w:r>
        <w:t xml:space="preserve">, </w:t>
      </w:r>
      <w:hyperlink r:id="rId21" w:history="1">
        <w:r w:rsidRPr="006B4BDE">
          <w:rPr>
            <w:rStyle w:val="Hyperlink"/>
          </w:rPr>
          <w:t>https://accan.org.au/files/Policy%20Positions/PP%202021/Internet%20of%20Things%20Position%20Statement%20short_FINAL.pdf</w:t>
        </w:r>
      </w:hyperlink>
      <w:r>
        <w:t xml:space="preserve"> </w:t>
      </w:r>
    </w:p>
  </w:footnote>
  <w:footnote w:id="32">
    <w:p w14:paraId="7AC00F48" w14:textId="5AE9D7F6" w:rsidR="00232B96" w:rsidRDefault="00232B96">
      <w:pPr>
        <w:pStyle w:val="FootnoteText"/>
      </w:pPr>
      <w:r w:rsidRPr="006322AE">
        <w:rPr>
          <w:rStyle w:val="FootnoteReference"/>
        </w:rPr>
        <w:footnoteRef/>
      </w:r>
      <w:r w:rsidRPr="006322AE">
        <w:t xml:space="preserve"> </w:t>
      </w:r>
      <w:r w:rsidR="006322AE" w:rsidRPr="006322AE">
        <w:t xml:space="preserve">ACCC 2018, </w:t>
      </w:r>
      <w:r w:rsidR="006322AE" w:rsidRPr="006322AE">
        <w:rPr>
          <w:i/>
          <w:iCs/>
        </w:rPr>
        <w:t>Consumer law penalties set to increase</w:t>
      </w:r>
      <w:r w:rsidR="006322AE" w:rsidRPr="006322AE">
        <w:t xml:space="preserve">, media release, </w:t>
      </w:r>
      <w:hyperlink r:id="rId22" w:history="1">
        <w:r w:rsidR="006322AE" w:rsidRPr="004D0599">
          <w:rPr>
            <w:rStyle w:val="Hyperlink"/>
          </w:rPr>
          <w:t>https://www.accc.gov.au/media-release/consumer-law-penalties-set-to-increase</w:t>
        </w:r>
      </w:hyperlink>
      <w:r w:rsidR="006322A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1D1A" w14:textId="77777777" w:rsidR="00553427" w:rsidRDefault="00553427" w:rsidP="00E45E4C">
    <w:pPr>
      <w:pStyle w:val="Header"/>
      <w:jc w:val="right"/>
    </w:pPr>
    <w:r>
      <w:rPr>
        <w:noProof/>
        <w:lang w:eastAsia="en-AU"/>
      </w:rPr>
      <w:drawing>
        <wp:inline distT="0" distB="0" distL="0" distR="0" wp14:anchorId="4C197882" wp14:editId="0830DF8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E2D" w14:textId="77777777" w:rsidR="00553427" w:rsidRDefault="00553427" w:rsidP="00B14DFB">
    <w:pPr>
      <w:pStyle w:val="Header"/>
      <w:jc w:val="center"/>
    </w:pPr>
    <w:r>
      <w:rPr>
        <w:noProof/>
        <w:lang w:eastAsia="en-AU"/>
      </w:rPr>
      <w:drawing>
        <wp:inline distT="0" distB="0" distL="0" distR="0" wp14:anchorId="55FB2E41" wp14:editId="202A5E0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B3B"/>
    <w:multiLevelType w:val="hybridMultilevel"/>
    <w:tmpl w:val="2EBA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6F18B5"/>
    <w:multiLevelType w:val="hybridMultilevel"/>
    <w:tmpl w:val="36303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lvl w:ilvl="0">
      <w:start w:val="1"/>
      <w:numFmt w:val="bullet"/>
      <w:lvlText w:val=""/>
      <w:lvlJc w:val="left"/>
      <w:pPr>
        <w:ind w:left="851" w:hanging="284"/>
      </w:pPr>
      <w:rPr>
        <w:rFonts w:ascii="Symbol" w:hAnsi="Symbol" w:hint="default"/>
      </w:rPr>
    </w:lvl>
    <w:lvl w:ilvl="1">
      <w:start w:val="1"/>
      <w:numFmt w:val="bullet"/>
      <w:lvlText w:val=""/>
      <w:lvlJc w:val="left"/>
      <w:pPr>
        <w:ind w:left="1418" w:hanging="284"/>
      </w:pPr>
      <w:rPr>
        <w:rFonts w:ascii="Symbol" w:hAnsi="Symbol" w:hint="default"/>
      </w:rPr>
    </w:lvl>
    <w:lvl w:ilvl="2">
      <w:start w:val="1"/>
      <w:numFmt w:val="bullet"/>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35F41370"/>
    <w:multiLevelType w:val="multilevel"/>
    <w:tmpl w:val="A98287C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5A467144"/>
    <w:multiLevelType w:val="multilevel"/>
    <w:tmpl w:val="85580A20"/>
    <w:numStyleLink w:val="Appendices"/>
  </w:abstractNum>
  <w:abstractNum w:abstractNumId="6" w15:restartNumberingAfterBreak="0">
    <w:nsid w:val="5D2928FE"/>
    <w:multiLevelType w:val="hybridMultilevel"/>
    <w:tmpl w:val="C4ACB1A0"/>
    <w:lvl w:ilvl="0" w:tplc="1AD60936">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B4798B"/>
    <w:multiLevelType w:val="hybridMultilevel"/>
    <w:tmpl w:val="42FAE1CE"/>
    <w:styleLink w:val="Headings"/>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64416AE"/>
    <w:multiLevelType w:val="hybridMultilevel"/>
    <w:tmpl w:val="8426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83359F"/>
    <w:multiLevelType w:val="hybridMultilevel"/>
    <w:tmpl w:val="A26C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D87654"/>
    <w:multiLevelType w:val="hybridMultilevel"/>
    <w:tmpl w:val="9684E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AF098D"/>
    <w:multiLevelType w:val="multilevel"/>
    <w:tmpl w:val="85580A20"/>
    <w:styleLink w:val="Appendice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5366274"/>
    <w:multiLevelType w:val="hybridMultilevel"/>
    <w:tmpl w:val="9F342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EB6740"/>
    <w:multiLevelType w:val="hybridMultilevel"/>
    <w:tmpl w:val="A78E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F45ED"/>
    <w:multiLevelType w:val="multilevel"/>
    <w:tmpl w:val="85580A20"/>
    <w:styleLink w:val="Bullet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3"/>
  </w:num>
  <w:num w:numId="8">
    <w:abstractNumId w:val="5"/>
  </w:num>
  <w:num w:numId="9">
    <w:abstractNumId w:val="12"/>
  </w:num>
  <w:num w:numId="10">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1">
    <w:abstractNumId w:val="10"/>
  </w:num>
  <w:num w:numId="12">
    <w:abstractNumId w:val="9"/>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3"/>
  </w:num>
  <w:num w:numId="18">
    <w:abstractNumId w:val="14"/>
  </w:num>
  <w:num w:numId="19">
    <w:abstractNumId w:val="8"/>
  </w:num>
  <w:num w:numId="20">
    <w:abstractNumId w:val="4"/>
  </w:num>
  <w:num w:numId="21">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2">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4">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4C"/>
    <w:rsid w:val="00000557"/>
    <w:rsid w:val="0000154E"/>
    <w:rsid w:val="00001E9A"/>
    <w:rsid w:val="00002D92"/>
    <w:rsid w:val="00004254"/>
    <w:rsid w:val="00005471"/>
    <w:rsid w:val="000056A3"/>
    <w:rsid w:val="000110DD"/>
    <w:rsid w:val="00014968"/>
    <w:rsid w:val="000158C4"/>
    <w:rsid w:val="000161BC"/>
    <w:rsid w:val="00020616"/>
    <w:rsid w:val="0002289C"/>
    <w:rsid w:val="0002332A"/>
    <w:rsid w:val="00023BFE"/>
    <w:rsid w:val="00027253"/>
    <w:rsid w:val="00027E92"/>
    <w:rsid w:val="00030A73"/>
    <w:rsid w:val="00030D5B"/>
    <w:rsid w:val="00031672"/>
    <w:rsid w:val="00032AFD"/>
    <w:rsid w:val="000346B1"/>
    <w:rsid w:val="00035047"/>
    <w:rsid w:val="0004022A"/>
    <w:rsid w:val="00042C5A"/>
    <w:rsid w:val="00043A14"/>
    <w:rsid w:val="00045593"/>
    <w:rsid w:val="00047257"/>
    <w:rsid w:val="0005014D"/>
    <w:rsid w:val="000501FA"/>
    <w:rsid w:val="000530CE"/>
    <w:rsid w:val="0005550C"/>
    <w:rsid w:val="00056BF0"/>
    <w:rsid w:val="00056FCA"/>
    <w:rsid w:val="0006130C"/>
    <w:rsid w:val="00061DD1"/>
    <w:rsid w:val="000624F3"/>
    <w:rsid w:val="000628D7"/>
    <w:rsid w:val="000631A6"/>
    <w:rsid w:val="00064090"/>
    <w:rsid w:val="000649D1"/>
    <w:rsid w:val="00064A87"/>
    <w:rsid w:val="00065DA6"/>
    <w:rsid w:val="0006600D"/>
    <w:rsid w:val="0006668C"/>
    <w:rsid w:val="00066B4D"/>
    <w:rsid w:val="00066C0C"/>
    <w:rsid w:val="00067B6E"/>
    <w:rsid w:val="000704D4"/>
    <w:rsid w:val="00070733"/>
    <w:rsid w:val="00073A30"/>
    <w:rsid w:val="00073E47"/>
    <w:rsid w:val="00075446"/>
    <w:rsid w:val="000765C8"/>
    <w:rsid w:val="00077563"/>
    <w:rsid w:val="00080DF0"/>
    <w:rsid w:val="00081988"/>
    <w:rsid w:val="00081D7E"/>
    <w:rsid w:val="000834DF"/>
    <w:rsid w:val="000839C8"/>
    <w:rsid w:val="00083AE4"/>
    <w:rsid w:val="00083C60"/>
    <w:rsid w:val="00084E07"/>
    <w:rsid w:val="00090003"/>
    <w:rsid w:val="00091DC8"/>
    <w:rsid w:val="00094808"/>
    <w:rsid w:val="00095373"/>
    <w:rsid w:val="00095FF3"/>
    <w:rsid w:val="00097789"/>
    <w:rsid w:val="000A21B8"/>
    <w:rsid w:val="000A2F5B"/>
    <w:rsid w:val="000A31F4"/>
    <w:rsid w:val="000A354C"/>
    <w:rsid w:val="000A384D"/>
    <w:rsid w:val="000A3CB1"/>
    <w:rsid w:val="000A4883"/>
    <w:rsid w:val="000A648D"/>
    <w:rsid w:val="000A7114"/>
    <w:rsid w:val="000A713B"/>
    <w:rsid w:val="000B0111"/>
    <w:rsid w:val="000B1C2E"/>
    <w:rsid w:val="000B28ED"/>
    <w:rsid w:val="000B3418"/>
    <w:rsid w:val="000B6113"/>
    <w:rsid w:val="000B688C"/>
    <w:rsid w:val="000C195D"/>
    <w:rsid w:val="000C2383"/>
    <w:rsid w:val="000C26AC"/>
    <w:rsid w:val="000C377A"/>
    <w:rsid w:val="000C4545"/>
    <w:rsid w:val="000C4786"/>
    <w:rsid w:val="000C4CA5"/>
    <w:rsid w:val="000C5AC0"/>
    <w:rsid w:val="000C6D8A"/>
    <w:rsid w:val="000C73C4"/>
    <w:rsid w:val="000C7407"/>
    <w:rsid w:val="000D110F"/>
    <w:rsid w:val="000D1717"/>
    <w:rsid w:val="000D437F"/>
    <w:rsid w:val="000D51F4"/>
    <w:rsid w:val="000D539B"/>
    <w:rsid w:val="000D5857"/>
    <w:rsid w:val="000D5A58"/>
    <w:rsid w:val="000D5C95"/>
    <w:rsid w:val="000E17C4"/>
    <w:rsid w:val="000E43BD"/>
    <w:rsid w:val="000E5CE6"/>
    <w:rsid w:val="000E5D1B"/>
    <w:rsid w:val="000F0A2D"/>
    <w:rsid w:val="000F10EE"/>
    <w:rsid w:val="000F58CC"/>
    <w:rsid w:val="000F6613"/>
    <w:rsid w:val="000F692D"/>
    <w:rsid w:val="000F6E34"/>
    <w:rsid w:val="000F746C"/>
    <w:rsid w:val="001005AB"/>
    <w:rsid w:val="001006F1"/>
    <w:rsid w:val="00101A67"/>
    <w:rsid w:val="00102636"/>
    <w:rsid w:val="00105FD6"/>
    <w:rsid w:val="001109C9"/>
    <w:rsid w:val="001120A4"/>
    <w:rsid w:val="00114387"/>
    <w:rsid w:val="0011484A"/>
    <w:rsid w:val="00115566"/>
    <w:rsid w:val="00123C06"/>
    <w:rsid w:val="00124C81"/>
    <w:rsid w:val="001263AD"/>
    <w:rsid w:val="00130883"/>
    <w:rsid w:val="001368AB"/>
    <w:rsid w:val="001374E4"/>
    <w:rsid w:val="001409D8"/>
    <w:rsid w:val="001410FB"/>
    <w:rsid w:val="00141479"/>
    <w:rsid w:val="00141D3C"/>
    <w:rsid w:val="001451AA"/>
    <w:rsid w:val="00145FD6"/>
    <w:rsid w:val="00146F2A"/>
    <w:rsid w:val="001471B6"/>
    <w:rsid w:val="00147A7F"/>
    <w:rsid w:val="001508E3"/>
    <w:rsid w:val="00151DEC"/>
    <w:rsid w:val="00152BC2"/>
    <w:rsid w:val="00154AC9"/>
    <w:rsid w:val="001601CE"/>
    <w:rsid w:val="001612D5"/>
    <w:rsid w:val="00162027"/>
    <w:rsid w:val="00164EDB"/>
    <w:rsid w:val="0016724C"/>
    <w:rsid w:val="00167D7C"/>
    <w:rsid w:val="0017028D"/>
    <w:rsid w:val="00170632"/>
    <w:rsid w:val="00172CF3"/>
    <w:rsid w:val="0017369A"/>
    <w:rsid w:val="00173A00"/>
    <w:rsid w:val="001743CB"/>
    <w:rsid w:val="00174D4A"/>
    <w:rsid w:val="00181D20"/>
    <w:rsid w:val="00181FB9"/>
    <w:rsid w:val="00183034"/>
    <w:rsid w:val="0018644C"/>
    <w:rsid w:val="001914DD"/>
    <w:rsid w:val="00197422"/>
    <w:rsid w:val="001A16ED"/>
    <w:rsid w:val="001A20B4"/>
    <w:rsid w:val="001A20E9"/>
    <w:rsid w:val="001A2E33"/>
    <w:rsid w:val="001A6093"/>
    <w:rsid w:val="001B0D5F"/>
    <w:rsid w:val="001B1BD8"/>
    <w:rsid w:val="001B1FA5"/>
    <w:rsid w:val="001B3CBD"/>
    <w:rsid w:val="001B5CA2"/>
    <w:rsid w:val="001B79C3"/>
    <w:rsid w:val="001C28E7"/>
    <w:rsid w:val="001C34B2"/>
    <w:rsid w:val="001C4C70"/>
    <w:rsid w:val="001C6619"/>
    <w:rsid w:val="001C6657"/>
    <w:rsid w:val="001C763F"/>
    <w:rsid w:val="001D404A"/>
    <w:rsid w:val="001D4A83"/>
    <w:rsid w:val="001D5FC5"/>
    <w:rsid w:val="001D7E10"/>
    <w:rsid w:val="001D7EE0"/>
    <w:rsid w:val="001E025F"/>
    <w:rsid w:val="001E08A9"/>
    <w:rsid w:val="001E39D8"/>
    <w:rsid w:val="001E3A63"/>
    <w:rsid w:val="001E3FDF"/>
    <w:rsid w:val="001E4FF7"/>
    <w:rsid w:val="001E543D"/>
    <w:rsid w:val="001E7674"/>
    <w:rsid w:val="001F1D75"/>
    <w:rsid w:val="001F2000"/>
    <w:rsid w:val="001F2A91"/>
    <w:rsid w:val="001F4184"/>
    <w:rsid w:val="001F5654"/>
    <w:rsid w:val="001F668E"/>
    <w:rsid w:val="001F7DB4"/>
    <w:rsid w:val="002004DA"/>
    <w:rsid w:val="00202F48"/>
    <w:rsid w:val="0020632A"/>
    <w:rsid w:val="00206F47"/>
    <w:rsid w:val="00211EF6"/>
    <w:rsid w:val="002127F0"/>
    <w:rsid w:val="002137CD"/>
    <w:rsid w:val="002145FB"/>
    <w:rsid w:val="00221F59"/>
    <w:rsid w:val="00224C28"/>
    <w:rsid w:val="00225CA3"/>
    <w:rsid w:val="00226C31"/>
    <w:rsid w:val="00227B19"/>
    <w:rsid w:val="00227F35"/>
    <w:rsid w:val="00227F48"/>
    <w:rsid w:val="00230144"/>
    <w:rsid w:val="00232154"/>
    <w:rsid w:val="00232B96"/>
    <w:rsid w:val="00233214"/>
    <w:rsid w:val="00234042"/>
    <w:rsid w:val="0023446A"/>
    <w:rsid w:val="00234FF2"/>
    <w:rsid w:val="00236514"/>
    <w:rsid w:val="00237C15"/>
    <w:rsid w:val="00243704"/>
    <w:rsid w:val="0024480E"/>
    <w:rsid w:val="00244E7D"/>
    <w:rsid w:val="0024711C"/>
    <w:rsid w:val="00250FE8"/>
    <w:rsid w:val="00251549"/>
    <w:rsid w:val="00251872"/>
    <w:rsid w:val="00252541"/>
    <w:rsid w:val="002568B1"/>
    <w:rsid w:val="00256B80"/>
    <w:rsid w:val="00261A37"/>
    <w:rsid w:val="002629DE"/>
    <w:rsid w:val="00263017"/>
    <w:rsid w:val="002640EA"/>
    <w:rsid w:val="00265848"/>
    <w:rsid w:val="00266B59"/>
    <w:rsid w:val="002677BD"/>
    <w:rsid w:val="00270AE7"/>
    <w:rsid w:val="00271EFD"/>
    <w:rsid w:val="00273124"/>
    <w:rsid w:val="002767E6"/>
    <w:rsid w:val="00277455"/>
    <w:rsid w:val="00277E0D"/>
    <w:rsid w:val="00281280"/>
    <w:rsid w:val="0028270B"/>
    <w:rsid w:val="00282AD8"/>
    <w:rsid w:val="0028326A"/>
    <w:rsid w:val="00283479"/>
    <w:rsid w:val="0028434B"/>
    <w:rsid w:val="00285446"/>
    <w:rsid w:val="002854C2"/>
    <w:rsid w:val="002922B7"/>
    <w:rsid w:val="00295845"/>
    <w:rsid w:val="00296A85"/>
    <w:rsid w:val="00297C94"/>
    <w:rsid w:val="002A09C4"/>
    <w:rsid w:val="002A0B82"/>
    <w:rsid w:val="002A1082"/>
    <w:rsid w:val="002A3375"/>
    <w:rsid w:val="002A3B91"/>
    <w:rsid w:val="002A3CFB"/>
    <w:rsid w:val="002A3E1B"/>
    <w:rsid w:val="002A59BC"/>
    <w:rsid w:val="002A611C"/>
    <w:rsid w:val="002A629E"/>
    <w:rsid w:val="002A7128"/>
    <w:rsid w:val="002A74E6"/>
    <w:rsid w:val="002B0145"/>
    <w:rsid w:val="002B081F"/>
    <w:rsid w:val="002B1135"/>
    <w:rsid w:val="002B11F2"/>
    <w:rsid w:val="002B26E3"/>
    <w:rsid w:val="002B288C"/>
    <w:rsid w:val="002B3986"/>
    <w:rsid w:val="002B5A33"/>
    <w:rsid w:val="002B77DA"/>
    <w:rsid w:val="002C336E"/>
    <w:rsid w:val="002C4AE8"/>
    <w:rsid w:val="002C61BE"/>
    <w:rsid w:val="002C65FF"/>
    <w:rsid w:val="002C7822"/>
    <w:rsid w:val="002D015D"/>
    <w:rsid w:val="002D155E"/>
    <w:rsid w:val="002D40EB"/>
    <w:rsid w:val="002D5222"/>
    <w:rsid w:val="002D70EF"/>
    <w:rsid w:val="002E0231"/>
    <w:rsid w:val="002E1876"/>
    <w:rsid w:val="002E1D4B"/>
    <w:rsid w:val="002E22BD"/>
    <w:rsid w:val="002E3228"/>
    <w:rsid w:val="002E332C"/>
    <w:rsid w:val="002E3A1E"/>
    <w:rsid w:val="002E4872"/>
    <w:rsid w:val="002E4BA3"/>
    <w:rsid w:val="002E6737"/>
    <w:rsid w:val="002E6DB4"/>
    <w:rsid w:val="002F0693"/>
    <w:rsid w:val="002F08CA"/>
    <w:rsid w:val="002F33B9"/>
    <w:rsid w:val="002F33D5"/>
    <w:rsid w:val="002F6BD0"/>
    <w:rsid w:val="002F6CAF"/>
    <w:rsid w:val="002F7B96"/>
    <w:rsid w:val="00303B7A"/>
    <w:rsid w:val="00304B7D"/>
    <w:rsid w:val="00305B47"/>
    <w:rsid w:val="00305C39"/>
    <w:rsid w:val="003062BF"/>
    <w:rsid w:val="003070F7"/>
    <w:rsid w:val="003123E7"/>
    <w:rsid w:val="00314658"/>
    <w:rsid w:val="0031534E"/>
    <w:rsid w:val="00315379"/>
    <w:rsid w:val="00315784"/>
    <w:rsid w:val="003176BB"/>
    <w:rsid w:val="00320191"/>
    <w:rsid w:val="00322D96"/>
    <w:rsid w:val="003242A3"/>
    <w:rsid w:val="00324891"/>
    <w:rsid w:val="00325443"/>
    <w:rsid w:val="00325B09"/>
    <w:rsid w:val="0032604E"/>
    <w:rsid w:val="00330032"/>
    <w:rsid w:val="0033017C"/>
    <w:rsid w:val="00331D01"/>
    <w:rsid w:val="00331F07"/>
    <w:rsid w:val="00332A25"/>
    <w:rsid w:val="00332C78"/>
    <w:rsid w:val="00333B84"/>
    <w:rsid w:val="00333C6F"/>
    <w:rsid w:val="00334C16"/>
    <w:rsid w:val="00335127"/>
    <w:rsid w:val="00335A9D"/>
    <w:rsid w:val="00340354"/>
    <w:rsid w:val="00341072"/>
    <w:rsid w:val="003422ED"/>
    <w:rsid w:val="003441E5"/>
    <w:rsid w:val="00347A88"/>
    <w:rsid w:val="00347E23"/>
    <w:rsid w:val="00351445"/>
    <w:rsid w:val="00352EAB"/>
    <w:rsid w:val="00355B68"/>
    <w:rsid w:val="00357561"/>
    <w:rsid w:val="003601F2"/>
    <w:rsid w:val="00360779"/>
    <w:rsid w:val="00361B50"/>
    <w:rsid w:val="00362D91"/>
    <w:rsid w:val="0036351B"/>
    <w:rsid w:val="003640DF"/>
    <w:rsid w:val="00365C8C"/>
    <w:rsid w:val="00366127"/>
    <w:rsid w:val="00366FFD"/>
    <w:rsid w:val="003678E7"/>
    <w:rsid w:val="003719BB"/>
    <w:rsid w:val="0037279F"/>
    <w:rsid w:val="003732EC"/>
    <w:rsid w:val="00373E0F"/>
    <w:rsid w:val="0037672E"/>
    <w:rsid w:val="0038381B"/>
    <w:rsid w:val="0038423A"/>
    <w:rsid w:val="003906E0"/>
    <w:rsid w:val="00390DF1"/>
    <w:rsid w:val="00391495"/>
    <w:rsid w:val="00394D32"/>
    <w:rsid w:val="00396A6C"/>
    <w:rsid w:val="003A2203"/>
    <w:rsid w:val="003A375B"/>
    <w:rsid w:val="003A5573"/>
    <w:rsid w:val="003A5AF7"/>
    <w:rsid w:val="003A6D55"/>
    <w:rsid w:val="003A6FD0"/>
    <w:rsid w:val="003B1187"/>
    <w:rsid w:val="003B1499"/>
    <w:rsid w:val="003B2F84"/>
    <w:rsid w:val="003B3846"/>
    <w:rsid w:val="003B463B"/>
    <w:rsid w:val="003B5E99"/>
    <w:rsid w:val="003B6870"/>
    <w:rsid w:val="003B78C4"/>
    <w:rsid w:val="003C1FB3"/>
    <w:rsid w:val="003C2016"/>
    <w:rsid w:val="003C212F"/>
    <w:rsid w:val="003C4B76"/>
    <w:rsid w:val="003C6CB1"/>
    <w:rsid w:val="003D45D7"/>
    <w:rsid w:val="003D5684"/>
    <w:rsid w:val="003D57CF"/>
    <w:rsid w:val="003D6107"/>
    <w:rsid w:val="003E29BB"/>
    <w:rsid w:val="003E2D4B"/>
    <w:rsid w:val="003E365E"/>
    <w:rsid w:val="003E42D3"/>
    <w:rsid w:val="003E4D3F"/>
    <w:rsid w:val="003E56ED"/>
    <w:rsid w:val="003E6503"/>
    <w:rsid w:val="003E6BC0"/>
    <w:rsid w:val="003E749C"/>
    <w:rsid w:val="003E7579"/>
    <w:rsid w:val="003E76C5"/>
    <w:rsid w:val="003E7E9C"/>
    <w:rsid w:val="003F02D5"/>
    <w:rsid w:val="003F1B6B"/>
    <w:rsid w:val="003F460A"/>
    <w:rsid w:val="003F560D"/>
    <w:rsid w:val="003F6199"/>
    <w:rsid w:val="003F687C"/>
    <w:rsid w:val="003F6CB5"/>
    <w:rsid w:val="003F7352"/>
    <w:rsid w:val="00400C52"/>
    <w:rsid w:val="00400CEA"/>
    <w:rsid w:val="00401947"/>
    <w:rsid w:val="00405954"/>
    <w:rsid w:val="0040664B"/>
    <w:rsid w:val="00406696"/>
    <w:rsid w:val="00407FC8"/>
    <w:rsid w:val="004109D9"/>
    <w:rsid w:val="00411DEB"/>
    <w:rsid w:val="00412C19"/>
    <w:rsid w:val="00412FF0"/>
    <w:rsid w:val="00413045"/>
    <w:rsid w:val="0041407F"/>
    <w:rsid w:val="0041459E"/>
    <w:rsid w:val="00414BBB"/>
    <w:rsid w:val="004171B6"/>
    <w:rsid w:val="0041750A"/>
    <w:rsid w:val="00417E19"/>
    <w:rsid w:val="004234AC"/>
    <w:rsid w:val="004246CB"/>
    <w:rsid w:val="00426216"/>
    <w:rsid w:val="00426966"/>
    <w:rsid w:val="004273D3"/>
    <w:rsid w:val="00430E08"/>
    <w:rsid w:val="00430F6A"/>
    <w:rsid w:val="00432018"/>
    <w:rsid w:val="004328A1"/>
    <w:rsid w:val="004408A8"/>
    <w:rsid w:val="00440A13"/>
    <w:rsid w:val="00440B65"/>
    <w:rsid w:val="0044203D"/>
    <w:rsid w:val="00443E95"/>
    <w:rsid w:val="00445BE2"/>
    <w:rsid w:val="00445E66"/>
    <w:rsid w:val="00446503"/>
    <w:rsid w:val="00446D04"/>
    <w:rsid w:val="00447E1F"/>
    <w:rsid w:val="00451C81"/>
    <w:rsid w:val="00451FD8"/>
    <w:rsid w:val="00453C0A"/>
    <w:rsid w:val="00454A39"/>
    <w:rsid w:val="004552EA"/>
    <w:rsid w:val="0045587E"/>
    <w:rsid w:val="0046059F"/>
    <w:rsid w:val="00462196"/>
    <w:rsid w:val="00463B0C"/>
    <w:rsid w:val="00465692"/>
    <w:rsid w:val="0047238E"/>
    <w:rsid w:val="00472C7E"/>
    <w:rsid w:val="00472CA7"/>
    <w:rsid w:val="00474F8E"/>
    <w:rsid w:val="004768D4"/>
    <w:rsid w:val="00476F6D"/>
    <w:rsid w:val="00477BDB"/>
    <w:rsid w:val="00477DB4"/>
    <w:rsid w:val="00477DD7"/>
    <w:rsid w:val="0048248F"/>
    <w:rsid w:val="004825E8"/>
    <w:rsid w:val="00483B40"/>
    <w:rsid w:val="00484C81"/>
    <w:rsid w:val="004856C4"/>
    <w:rsid w:val="00487685"/>
    <w:rsid w:val="00490DDF"/>
    <w:rsid w:val="004926AD"/>
    <w:rsid w:val="00492D34"/>
    <w:rsid w:val="00494BFF"/>
    <w:rsid w:val="00495104"/>
    <w:rsid w:val="004964E1"/>
    <w:rsid w:val="004A01EB"/>
    <w:rsid w:val="004A21EE"/>
    <w:rsid w:val="004A55CC"/>
    <w:rsid w:val="004A620D"/>
    <w:rsid w:val="004A791B"/>
    <w:rsid w:val="004A7D8B"/>
    <w:rsid w:val="004B12D3"/>
    <w:rsid w:val="004B185A"/>
    <w:rsid w:val="004B18D4"/>
    <w:rsid w:val="004B38C8"/>
    <w:rsid w:val="004B5E60"/>
    <w:rsid w:val="004B6E42"/>
    <w:rsid w:val="004B7462"/>
    <w:rsid w:val="004C0113"/>
    <w:rsid w:val="004C040C"/>
    <w:rsid w:val="004C055B"/>
    <w:rsid w:val="004C09FE"/>
    <w:rsid w:val="004C0A7C"/>
    <w:rsid w:val="004C1ACF"/>
    <w:rsid w:val="004C1FBA"/>
    <w:rsid w:val="004C3886"/>
    <w:rsid w:val="004C47C7"/>
    <w:rsid w:val="004C5199"/>
    <w:rsid w:val="004C565D"/>
    <w:rsid w:val="004C58F6"/>
    <w:rsid w:val="004C612B"/>
    <w:rsid w:val="004C6452"/>
    <w:rsid w:val="004D0A21"/>
    <w:rsid w:val="004D1135"/>
    <w:rsid w:val="004D13CF"/>
    <w:rsid w:val="004D3BAA"/>
    <w:rsid w:val="004D497A"/>
    <w:rsid w:val="004D4CC0"/>
    <w:rsid w:val="004D582D"/>
    <w:rsid w:val="004E05C5"/>
    <w:rsid w:val="004E0A58"/>
    <w:rsid w:val="004E36A2"/>
    <w:rsid w:val="004E65F7"/>
    <w:rsid w:val="004E7216"/>
    <w:rsid w:val="004E7556"/>
    <w:rsid w:val="004E760B"/>
    <w:rsid w:val="004E7E43"/>
    <w:rsid w:val="004F2201"/>
    <w:rsid w:val="004F2578"/>
    <w:rsid w:val="004F3C61"/>
    <w:rsid w:val="004F3F85"/>
    <w:rsid w:val="004F6B5F"/>
    <w:rsid w:val="004F6F23"/>
    <w:rsid w:val="004F76BD"/>
    <w:rsid w:val="004F7CB1"/>
    <w:rsid w:val="00500050"/>
    <w:rsid w:val="00500C01"/>
    <w:rsid w:val="0050106C"/>
    <w:rsid w:val="005012A8"/>
    <w:rsid w:val="005016AD"/>
    <w:rsid w:val="00501C95"/>
    <w:rsid w:val="00501D91"/>
    <w:rsid w:val="0050272E"/>
    <w:rsid w:val="005055B8"/>
    <w:rsid w:val="00506239"/>
    <w:rsid w:val="0050797D"/>
    <w:rsid w:val="00511400"/>
    <w:rsid w:val="00512687"/>
    <w:rsid w:val="00513FF1"/>
    <w:rsid w:val="005149EA"/>
    <w:rsid w:val="00514C0B"/>
    <w:rsid w:val="005165B0"/>
    <w:rsid w:val="00516632"/>
    <w:rsid w:val="00516B8A"/>
    <w:rsid w:val="00516F1A"/>
    <w:rsid w:val="00520193"/>
    <w:rsid w:val="00520231"/>
    <w:rsid w:val="0052089A"/>
    <w:rsid w:val="00521116"/>
    <w:rsid w:val="00521C85"/>
    <w:rsid w:val="005239A2"/>
    <w:rsid w:val="00525355"/>
    <w:rsid w:val="00526003"/>
    <w:rsid w:val="005275E9"/>
    <w:rsid w:val="0053167B"/>
    <w:rsid w:val="00532DDC"/>
    <w:rsid w:val="005336D0"/>
    <w:rsid w:val="0053497E"/>
    <w:rsid w:val="0053539C"/>
    <w:rsid w:val="00536DBC"/>
    <w:rsid w:val="005371D4"/>
    <w:rsid w:val="005378A4"/>
    <w:rsid w:val="005409B5"/>
    <w:rsid w:val="00542267"/>
    <w:rsid w:val="00542DEB"/>
    <w:rsid w:val="005438B1"/>
    <w:rsid w:val="005439DB"/>
    <w:rsid w:val="005448DC"/>
    <w:rsid w:val="00545011"/>
    <w:rsid w:val="00546455"/>
    <w:rsid w:val="00546ABE"/>
    <w:rsid w:val="00547949"/>
    <w:rsid w:val="00547FC9"/>
    <w:rsid w:val="00551028"/>
    <w:rsid w:val="00551531"/>
    <w:rsid w:val="00553427"/>
    <w:rsid w:val="00555A05"/>
    <w:rsid w:val="00557500"/>
    <w:rsid w:val="00557A94"/>
    <w:rsid w:val="0056065B"/>
    <w:rsid w:val="0056400D"/>
    <w:rsid w:val="0056413F"/>
    <w:rsid w:val="005655F0"/>
    <w:rsid w:val="00566E3C"/>
    <w:rsid w:val="0057155A"/>
    <w:rsid w:val="005717FA"/>
    <w:rsid w:val="005739ED"/>
    <w:rsid w:val="00574189"/>
    <w:rsid w:val="005751E5"/>
    <w:rsid w:val="00575687"/>
    <w:rsid w:val="00576027"/>
    <w:rsid w:val="005772CA"/>
    <w:rsid w:val="005778D4"/>
    <w:rsid w:val="00581289"/>
    <w:rsid w:val="00581EB8"/>
    <w:rsid w:val="00581F19"/>
    <w:rsid w:val="005820C9"/>
    <w:rsid w:val="0058213D"/>
    <w:rsid w:val="0058240A"/>
    <w:rsid w:val="005831A7"/>
    <w:rsid w:val="00584174"/>
    <w:rsid w:val="00584400"/>
    <w:rsid w:val="00587810"/>
    <w:rsid w:val="00591098"/>
    <w:rsid w:val="00592615"/>
    <w:rsid w:val="0059368A"/>
    <w:rsid w:val="00593975"/>
    <w:rsid w:val="00596312"/>
    <w:rsid w:val="005A26B1"/>
    <w:rsid w:val="005A4D9A"/>
    <w:rsid w:val="005A4FE6"/>
    <w:rsid w:val="005A547C"/>
    <w:rsid w:val="005A63CD"/>
    <w:rsid w:val="005A673E"/>
    <w:rsid w:val="005B02EF"/>
    <w:rsid w:val="005B44DA"/>
    <w:rsid w:val="005B4836"/>
    <w:rsid w:val="005B5976"/>
    <w:rsid w:val="005B68A4"/>
    <w:rsid w:val="005C00AB"/>
    <w:rsid w:val="005C139E"/>
    <w:rsid w:val="005C1630"/>
    <w:rsid w:val="005C2EBF"/>
    <w:rsid w:val="005C325C"/>
    <w:rsid w:val="005C34BF"/>
    <w:rsid w:val="005C4563"/>
    <w:rsid w:val="005C45C8"/>
    <w:rsid w:val="005C4A1B"/>
    <w:rsid w:val="005C5B51"/>
    <w:rsid w:val="005C7248"/>
    <w:rsid w:val="005D0826"/>
    <w:rsid w:val="005D1339"/>
    <w:rsid w:val="005D2AB6"/>
    <w:rsid w:val="005D4269"/>
    <w:rsid w:val="005D43BD"/>
    <w:rsid w:val="005D4723"/>
    <w:rsid w:val="005D5D17"/>
    <w:rsid w:val="005D76D0"/>
    <w:rsid w:val="005D7ED2"/>
    <w:rsid w:val="005E050B"/>
    <w:rsid w:val="005E1A46"/>
    <w:rsid w:val="005E1AB2"/>
    <w:rsid w:val="005E2BC5"/>
    <w:rsid w:val="005E4F66"/>
    <w:rsid w:val="005E585D"/>
    <w:rsid w:val="005E5F97"/>
    <w:rsid w:val="005E6CA7"/>
    <w:rsid w:val="005F03DE"/>
    <w:rsid w:val="005F09B7"/>
    <w:rsid w:val="005F1B53"/>
    <w:rsid w:val="005F2060"/>
    <w:rsid w:val="005F4C26"/>
    <w:rsid w:val="005F58DF"/>
    <w:rsid w:val="005F6D9C"/>
    <w:rsid w:val="00600123"/>
    <w:rsid w:val="00602536"/>
    <w:rsid w:val="006045AC"/>
    <w:rsid w:val="00605E3F"/>
    <w:rsid w:val="00605F73"/>
    <w:rsid w:val="00610657"/>
    <w:rsid w:val="006113F8"/>
    <w:rsid w:val="00611F20"/>
    <w:rsid w:val="00613698"/>
    <w:rsid w:val="00616F31"/>
    <w:rsid w:val="00620920"/>
    <w:rsid w:val="006227EB"/>
    <w:rsid w:val="00626A69"/>
    <w:rsid w:val="0062739C"/>
    <w:rsid w:val="00627D9F"/>
    <w:rsid w:val="00630ADA"/>
    <w:rsid w:val="006311BE"/>
    <w:rsid w:val="006322AE"/>
    <w:rsid w:val="00632CED"/>
    <w:rsid w:val="00632CF0"/>
    <w:rsid w:val="00632D7F"/>
    <w:rsid w:val="00633CE9"/>
    <w:rsid w:val="00634092"/>
    <w:rsid w:val="00637DC3"/>
    <w:rsid w:val="0064147D"/>
    <w:rsid w:val="00641485"/>
    <w:rsid w:val="00641ACD"/>
    <w:rsid w:val="00641E94"/>
    <w:rsid w:val="00642EBB"/>
    <w:rsid w:val="0064351D"/>
    <w:rsid w:val="00645547"/>
    <w:rsid w:val="00645BCF"/>
    <w:rsid w:val="00646FF5"/>
    <w:rsid w:val="006510B8"/>
    <w:rsid w:val="0065362C"/>
    <w:rsid w:val="0065434E"/>
    <w:rsid w:val="00654E49"/>
    <w:rsid w:val="0065514D"/>
    <w:rsid w:val="006578D7"/>
    <w:rsid w:val="00657A79"/>
    <w:rsid w:val="006713BB"/>
    <w:rsid w:val="00671CFC"/>
    <w:rsid w:val="00672184"/>
    <w:rsid w:val="00674113"/>
    <w:rsid w:val="00675FE8"/>
    <w:rsid w:val="006773DD"/>
    <w:rsid w:val="006809CB"/>
    <w:rsid w:val="00680A5F"/>
    <w:rsid w:val="00681029"/>
    <w:rsid w:val="0068124D"/>
    <w:rsid w:val="00683730"/>
    <w:rsid w:val="00685FA2"/>
    <w:rsid w:val="00687EDF"/>
    <w:rsid w:val="006906CF"/>
    <w:rsid w:val="00690CEB"/>
    <w:rsid w:val="00691821"/>
    <w:rsid w:val="00692E81"/>
    <w:rsid w:val="006935FB"/>
    <w:rsid w:val="00695188"/>
    <w:rsid w:val="00695B74"/>
    <w:rsid w:val="0069682C"/>
    <w:rsid w:val="00697506"/>
    <w:rsid w:val="006976C0"/>
    <w:rsid w:val="00697891"/>
    <w:rsid w:val="00697F11"/>
    <w:rsid w:val="00697FCE"/>
    <w:rsid w:val="006A030E"/>
    <w:rsid w:val="006A5375"/>
    <w:rsid w:val="006A6111"/>
    <w:rsid w:val="006A67C9"/>
    <w:rsid w:val="006A6D61"/>
    <w:rsid w:val="006A7417"/>
    <w:rsid w:val="006B1E1A"/>
    <w:rsid w:val="006B2F3A"/>
    <w:rsid w:val="006B3742"/>
    <w:rsid w:val="006B435F"/>
    <w:rsid w:val="006B50A3"/>
    <w:rsid w:val="006B50EB"/>
    <w:rsid w:val="006B7924"/>
    <w:rsid w:val="006C2173"/>
    <w:rsid w:val="006C2503"/>
    <w:rsid w:val="006C3415"/>
    <w:rsid w:val="006C4B14"/>
    <w:rsid w:val="006C4CB0"/>
    <w:rsid w:val="006C59E7"/>
    <w:rsid w:val="006C6128"/>
    <w:rsid w:val="006C7056"/>
    <w:rsid w:val="006C7C58"/>
    <w:rsid w:val="006D153D"/>
    <w:rsid w:val="006D4B09"/>
    <w:rsid w:val="006D5E55"/>
    <w:rsid w:val="006D662F"/>
    <w:rsid w:val="006D699A"/>
    <w:rsid w:val="006E1558"/>
    <w:rsid w:val="006E3B52"/>
    <w:rsid w:val="006E4882"/>
    <w:rsid w:val="006E4DD3"/>
    <w:rsid w:val="006E7554"/>
    <w:rsid w:val="006F0652"/>
    <w:rsid w:val="006F1812"/>
    <w:rsid w:val="006F26CD"/>
    <w:rsid w:val="006F5753"/>
    <w:rsid w:val="006F6E38"/>
    <w:rsid w:val="006F74FA"/>
    <w:rsid w:val="0070057B"/>
    <w:rsid w:val="00700E1A"/>
    <w:rsid w:val="00701035"/>
    <w:rsid w:val="00702488"/>
    <w:rsid w:val="007031E9"/>
    <w:rsid w:val="007127C4"/>
    <w:rsid w:val="00716F54"/>
    <w:rsid w:val="007170E1"/>
    <w:rsid w:val="00717D7D"/>
    <w:rsid w:val="00720535"/>
    <w:rsid w:val="00723E8E"/>
    <w:rsid w:val="0072462B"/>
    <w:rsid w:val="00732548"/>
    <w:rsid w:val="00733920"/>
    <w:rsid w:val="00734A38"/>
    <w:rsid w:val="0073711C"/>
    <w:rsid w:val="007376EB"/>
    <w:rsid w:val="00741604"/>
    <w:rsid w:val="00742272"/>
    <w:rsid w:val="00743FBF"/>
    <w:rsid w:val="0074400B"/>
    <w:rsid w:val="00744FF6"/>
    <w:rsid w:val="00746D47"/>
    <w:rsid w:val="00746EEA"/>
    <w:rsid w:val="007506AE"/>
    <w:rsid w:val="00750B6F"/>
    <w:rsid w:val="007513F9"/>
    <w:rsid w:val="00752F45"/>
    <w:rsid w:val="00753B28"/>
    <w:rsid w:val="00754131"/>
    <w:rsid w:val="00754C48"/>
    <w:rsid w:val="007564CE"/>
    <w:rsid w:val="00756BB2"/>
    <w:rsid w:val="007571FD"/>
    <w:rsid w:val="00757B30"/>
    <w:rsid w:val="00762719"/>
    <w:rsid w:val="00762E87"/>
    <w:rsid w:val="00764393"/>
    <w:rsid w:val="00765DEE"/>
    <w:rsid w:val="00765E08"/>
    <w:rsid w:val="00770D6E"/>
    <w:rsid w:val="00770F87"/>
    <w:rsid w:val="00773CFC"/>
    <w:rsid w:val="007741FE"/>
    <w:rsid w:val="007747EA"/>
    <w:rsid w:val="00775169"/>
    <w:rsid w:val="007764B9"/>
    <w:rsid w:val="00776ADD"/>
    <w:rsid w:val="007805CF"/>
    <w:rsid w:val="00780EBF"/>
    <w:rsid w:val="007815DC"/>
    <w:rsid w:val="007822F6"/>
    <w:rsid w:val="007824C9"/>
    <w:rsid w:val="00783B75"/>
    <w:rsid w:val="00785ADA"/>
    <w:rsid w:val="00786A15"/>
    <w:rsid w:val="00786FD7"/>
    <w:rsid w:val="00787E02"/>
    <w:rsid w:val="00790A2F"/>
    <w:rsid w:val="007919CD"/>
    <w:rsid w:val="00796BEC"/>
    <w:rsid w:val="007A0A3F"/>
    <w:rsid w:val="007A0E6E"/>
    <w:rsid w:val="007A2CB0"/>
    <w:rsid w:val="007A3E1A"/>
    <w:rsid w:val="007A733B"/>
    <w:rsid w:val="007A7B96"/>
    <w:rsid w:val="007B0607"/>
    <w:rsid w:val="007B2C77"/>
    <w:rsid w:val="007B2DB5"/>
    <w:rsid w:val="007B3E23"/>
    <w:rsid w:val="007B40DA"/>
    <w:rsid w:val="007B4F11"/>
    <w:rsid w:val="007B5C46"/>
    <w:rsid w:val="007B6AC1"/>
    <w:rsid w:val="007C35BE"/>
    <w:rsid w:val="007C4FAA"/>
    <w:rsid w:val="007C596C"/>
    <w:rsid w:val="007C709B"/>
    <w:rsid w:val="007C749C"/>
    <w:rsid w:val="007D0898"/>
    <w:rsid w:val="007D1C0C"/>
    <w:rsid w:val="007D2A53"/>
    <w:rsid w:val="007D2C97"/>
    <w:rsid w:val="007D3F16"/>
    <w:rsid w:val="007D4699"/>
    <w:rsid w:val="007D5BB3"/>
    <w:rsid w:val="007D6308"/>
    <w:rsid w:val="007E33D8"/>
    <w:rsid w:val="007E58A7"/>
    <w:rsid w:val="007E668D"/>
    <w:rsid w:val="007E6A7B"/>
    <w:rsid w:val="007E6AD8"/>
    <w:rsid w:val="007E7867"/>
    <w:rsid w:val="007F0737"/>
    <w:rsid w:val="007F11E4"/>
    <w:rsid w:val="007F1617"/>
    <w:rsid w:val="007F3D5F"/>
    <w:rsid w:val="007F4A44"/>
    <w:rsid w:val="007F5533"/>
    <w:rsid w:val="007F5BFE"/>
    <w:rsid w:val="007F729E"/>
    <w:rsid w:val="00800392"/>
    <w:rsid w:val="00802498"/>
    <w:rsid w:val="00803310"/>
    <w:rsid w:val="008050A8"/>
    <w:rsid w:val="008070D4"/>
    <w:rsid w:val="00811669"/>
    <w:rsid w:val="00811E44"/>
    <w:rsid w:val="00812632"/>
    <w:rsid w:val="00812692"/>
    <w:rsid w:val="008160F7"/>
    <w:rsid w:val="00816175"/>
    <w:rsid w:val="008171A0"/>
    <w:rsid w:val="0081722A"/>
    <w:rsid w:val="00817A13"/>
    <w:rsid w:val="00820F6E"/>
    <w:rsid w:val="0082119B"/>
    <w:rsid w:val="00821A61"/>
    <w:rsid w:val="008230A3"/>
    <w:rsid w:val="008256D4"/>
    <w:rsid w:val="00825725"/>
    <w:rsid w:val="008269DC"/>
    <w:rsid w:val="00826EA6"/>
    <w:rsid w:val="00827E65"/>
    <w:rsid w:val="00830F9E"/>
    <w:rsid w:val="008320BB"/>
    <w:rsid w:val="00832CAD"/>
    <w:rsid w:val="008331AA"/>
    <w:rsid w:val="008338A0"/>
    <w:rsid w:val="008339B2"/>
    <w:rsid w:val="0083405D"/>
    <w:rsid w:val="00835E5D"/>
    <w:rsid w:val="00837CF9"/>
    <w:rsid w:val="00837FD1"/>
    <w:rsid w:val="00840073"/>
    <w:rsid w:val="008424E7"/>
    <w:rsid w:val="008438B7"/>
    <w:rsid w:val="00843E1E"/>
    <w:rsid w:val="0084432D"/>
    <w:rsid w:val="00844730"/>
    <w:rsid w:val="00851178"/>
    <w:rsid w:val="00852993"/>
    <w:rsid w:val="00853322"/>
    <w:rsid w:val="00854EE6"/>
    <w:rsid w:val="00855C43"/>
    <w:rsid w:val="00857D4E"/>
    <w:rsid w:val="00857E74"/>
    <w:rsid w:val="00860B99"/>
    <w:rsid w:val="008630D1"/>
    <w:rsid w:val="00865FAA"/>
    <w:rsid w:val="00870627"/>
    <w:rsid w:val="00871431"/>
    <w:rsid w:val="008737AB"/>
    <w:rsid w:val="00874386"/>
    <w:rsid w:val="008810E1"/>
    <w:rsid w:val="008825DD"/>
    <w:rsid w:val="00882726"/>
    <w:rsid w:val="00882ABC"/>
    <w:rsid w:val="0088571C"/>
    <w:rsid w:val="00886444"/>
    <w:rsid w:val="00886C5D"/>
    <w:rsid w:val="008903DE"/>
    <w:rsid w:val="00890E71"/>
    <w:rsid w:val="008910B0"/>
    <w:rsid w:val="0089174F"/>
    <w:rsid w:val="00892004"/>
    <w:rsid w:val="008925FA"/>
    <w:rsid w:val="00896109"/>
    <w:rsid w:val="008A19E7"/>
    <w:rsid w:val="008A4889"/>
    <w:rsid w:val="008A49F0"/>
    <w:rsid w:val="008A6138"/>
    <w:rsid w:val="008A622F"/>
    <w:rsid w:val="008B1233"/>
    <w:rsid w:val="008B1B7E"/>
    <w:rsid w:val="008B640D"/>
    <w:rsid w:val="008B69F1"/>
    <w:rsid w:val="008B7AAA"/>
    <w:rsid w:val="008C0916"/>
    <w:rsid w:val="008C0C8A"/>
    <w:rsid w:val="008C654C"/>
    <w:rsid w:val="008C76A3"/>
    <w:rsid w:val="008D0870"/>
    <w:rsid w:val="008D0940"/>
    <w:rsid w:val="008D1353"/>
    <w:rsid w:val="008D2D32"/>
    <w:rsid w:val="008D326D"/>
    <w:rsid w:val="008D4E09"/>
    <w:rsid w:val="008D5078"/>
    <w:rsid w:val="008D5A66"/>
    <w:rsid w:val="008D5C49"/>
    <w:rsid w:val="008D7013"/>
    <w:rsid w:val="008D7A5C"/>
    <w:rsid w:val="008E1CC4"/>
    <w:rsid w:val="008E2BF8"/>
    <w:rsid w:val="008E36CD"/>
    <w:rsid w:val="008E3E2A"/>
    <w:rsid w:val="008E4B8A"/>
    <w:rsid w:val="008E5A05"/>
    <w:rsid w:val="008F129C"/>
    <w:rsid w:val="008F24CE"/>
    <w:rsid w:val="008F6486"/>
    <w:rsid w:val="008F7E90"/>
    <w:rsid w:val="0090062C"/>
    <w:rsid w:val="00900DE4"/>
    <w:rsid w:val="00901AF3"/>
    <w:rsid w:val="009053CC"/>
    <w:rsid w:val="00905D41"/>
    <w:rsid w:val="00907BDE"/>
    <w:rsid w:val="00912014"/>
    <w:rsid w:val="00912E14"/>
    <w:rsid w:val="0091417B"/>
    <w:rsid w:val="00916DF6"/>
    <w:rsid w:val="00917E5D"/>
    <w:rsid w:val="0092061E"/>
    <w:rsid w:val="00920815"/>
    <w:rsid w:val="00923CE4"/>
    <w:rsid w:val="00925C55"/>
    <w:rsid w:val="00926B56"/>
    <w:rsid w:val="00927102"/>
    <w:rsid w:val="00927494"/>
    <w:rsid w:val="00930700"/>
    <w:rsid w:val="00933302"/>
    <w:rsid w:val="0093561C"/>
    <w:rsid w:val="0093611D"/>
    <w:rsid w:val="00937032"/>
    <w:rsid w:val="00937F02"/>
    <w:rsid w:val="00940845"/>
    <w:rsid w:val="009421F2"/>
    <w:rsid w:val="0094601B"/>
    <w:rsid w:val="00952279"/>
    <w:rsid w:val="009553D3"/>
    <w:rsid w:val="009563C5"/>
    <w:rsid w:val="009567E6"/>
    <w:rsid w:val="00956E8E"/>
    <w:rsid w:val="00957BA6"/>
    <w:rsid w:val="00961080"/>
    <w:rsid w:val="009643DA"/>
    <w:rsid w:val="00965EFF"/>
    <w:rsid w:val="0096669B"/>
    <w:rsid w:val="00966E96"/>
    <w:rsid w:val="00967FF4"/>
    <w:rsid w:val="00970298"/>
    <w:rsid w:val="0097152F"/>
    <w:rsid w:val="00972DFD"/>
    <w:rsid w:val="009734B6"/>
    <w:rsid w:val="00973FBB"/>
    <w:rsid w:val="009756BE"/>
    <w:rsid w:val="00976CF9"/>
    <w:rsid w:val="00976E85"/>
    <w:rsid w:val="00976FBD"/>
    <w:rsid w:val="0098114E"/>
    <w:rsid w:val="009813FD"/>
    <w:rsid w:val="009825B3"/>
    <w:rsid w:val="009827B1"/>
    <w:rsid w:val="00984508"/>
    <w:rsid w:val="00986887"/>
    <w:rsid w:val="00986BF5"/>
    <w:rsid w:val="00987223"/>
    <w:rsid w:val="009907EE"/>
    <w:rsid w:val="00995680"/>
    <w:rsid w:val="009957A5"/>
    <w:rsid w:val="0099643A"/>
    <w:rsid w:val="00996A91"/>
    <w:rsid w:val="00997060"/>
    <w:rsid w:val="00997071"/>
    <w:rsid w:val="00997F9A"/>
    <w:rsid w:val="009A227B"/>
    <w:rsid w:val="009A25EE"/>
    <w:rsid w:val="009A51B7"/>
    <w:rsid w:val="009A765A"/>
    <w:rsid w:val="009B109C"/>
    <w:rsid w:val="009B1AAE"/>
    <w:rsid w:val="009B46C4"/>
    <w:rsid w:val="009B5CAD"/>
    <w:rsid w:val="009B7E43"/>
    <w:rsid w:val="009C0F94"/>
    <w:rsid w:val="009C297D"/>
    <w:rsid w:val="009C51AE"/>
    <w:rsid w:val="009C61C5"/>
    <w:rsid w:val="009C65F5"/>
    <w:rsid w:val="009C7A51"/>
    <w:rsid w:val="009D25BC"/>
    <w:rsid w:val="009D3152"/>
    <w:rsid w:val="009D4113"/>
    <w:rsid w:val="009D7B41"/>
    <w:rsid w:val="009F01D7"/>
    <w:rsid w:val="009F1934"/>
    <w:rsid w:val="009F2B79"/>
    <w:rsid w:val="009F3E49"/>
    <w:rsid w:val="009F4B9D"/>
    <w:rsid w:val="009F4D3B"/>
    <w:rsid w:val="009F4DFB"/>
    <w:rsid w:val="009F5DD7"/>
    <w:rsid w:val="009F6895"/>
    <w:rsid w:val="009F692F"/>
    <w:rsid w:val="009F6F08"/>
    <w:rsid w:val="009F7C69"/>
    <w:rsid w:val="00A00920"/>
    <w:rsid w:val="00A009B2"/>
    <w:rsid w:val="00A016E4"/>
    <w:rsid w:val="00A022BC"/>
    <w:rsid w:val="00A03F09"/>
    <w:rsid w:val="00A059FE"/>
    <w:rsid w:val="00A05F01"/>
    <w:rsid w:val="00A07173"/>
    <w:rsid w:val="00A10469"/>
    <w:rsid w:val="00A1281A"/>
    <w:rsid w:val="00A12CCA"/>
    <w:rsid w:val="00A13B92"/>
    <w:rsid w:val="00A15B20"/>
    <w:rsid w:val="00A15B6A"/>
    <w:rsid w:val="00A174AF"/>
    <w:rsid w:val="00A17540"/>
    <w:rsid w:val="00A218D3"/>
    <w:rsid w:val="00A22728"/>
    <w:rsid w:val="00A262F5"/>
    <w:rsid w:val="00A2633B"/>
    <w:rsid w:val="00A26FDF"/>
    <w:rsid w:val="00A27C15"/>
    <w:rsid w:val="00A32F09"/>
    <w:rsid w:val="00A3457A"/>
    <w:rsid w:val="00A37B6B"/>
    <w:rsid w:val="00A411FF"/>
    <w:rsid w:val="00A417CE"/>
    <w:rsid w:val="00A41B53"/>
    <w:rsid w:val="00A42164"/>
    <w:rsid w:val="00A43258"/>
    <w:rsid w:val="00A4412F"/>
    <w:rsid w:val="00A4447D"/>
    <w:rsid w:val="00A45B96"/>
    <w:rsid w:val="00A46E2D"/>
    <w:rsid w:val="00A47778"/>
    <w:rsid w:val="00A51EEF"/>
    <w:rsid w:val="00A52667"/>
    <w:rsid w:val="00A5278F"/>
    <w:rsid w:val="00A52C27"/>
    <w:rsid w:val="00A54A09"/>
    <w:rsid w:val="00A55D91"/>
    <w:rsid w:val="00A56328"/>
    <w:rsid w:val="00A56F04"/>
    <w:rsid w:val="00A602AD"/>
    <w:rsid w:val="00A615CC"/>
    <w:rsid w:val="00A6338B"/>
    <w:rsid w:val="00A638D2"/>
    <w:rsid w:val="00A643D0"/>
    <w:rsid w:val="00A656B9"/>
    <w:rsid w:val="00A65E81"/>
    <w:rsid w:val="00A662E7"/>
    <w:rsid w:val="00A67E42"/>
    <w:rsid w:val="00A72165"/>
    <w:rsid w:val="00A72842"/>
    <w:rsid w:val="00A733CE"/>
    <w:rsid w:val="00A744AA"/>
    <w:rsid w:val="00A74C8E"/>
    <w:rsid w:val="00A761CC"/>
    <w:rsid w:val="00A761FB"/>
    <w:rsid w:val="00A7674C"/>
    <w:rsid w:val="00A77002"/>
    <w:rsid w:val="00A80A6D"/>
    <w:rsid w:val="00A838CB"/>
    <w:rsid w:val="00A84C03"/>
    <w:rsid w:val="00A86A66"/>
    <w:rsid w:val="00A87C51"/>
    <w:rsid w:val="00A9175D"/>
    <w:rsid w:val="00A9233D"/>
    <w:rsid w:val="00A923D7"/>
    <w:rsid w:val="00A9263C"/>
    <w:rsid w:val="00A93379"/>
    <w:rsid w:val="00A93CB9"/>
    <w:rsid w:val="00A958D5"/>
    <w:rsid w:val="00A96349"/>
    <w:rsid w:val="00A97B51"/>
    <w:rsid w:val="00A97B83"/>
    <w:rsid w:val="00AA1F51"/>
    <w:rsid w:val="00AA3952"/>
    <w:rsid w:val="00AA64BF"/>
    <w:rsid w:val="00AA686C"/>
    <w:rsid w:val="00AA6C74"/>
    <w:rsid w:val="00AB0239"/>
    <w:rsid w:val="00AB07F1"/>
    <w:rsid w:val="00AB40A8"/>
    <w:rsid w:val="00AB4308"/>
    <w:rsid w:val="00AB5D4F"/>
    <w:rsid w:val="00AB7BA0"/>
    <w:rsid w:val="00AC247A"/>
    <w:rsid w:val="00AC3BBB"/>
    <w:rsid w:val="00AC406E"/>
    <w:rsid w:val="00AC4258"/>
    <w:rsid w:val="00AC5951"/>
    <w:rsid w:val="00AC59F6"/>
    <w:rsid w:val="00AC70F8"/>
    <w:rsid w:val="00AC7795"/>
    <w:rsid w:val="00AD032B"/>
    <w:rsid w:val="00AD278D"/>
    <w:rsid w:val="00AD31B6"/>
    <w:rsid w:val="00AE035D"/>
    <w:rsid w:val="00AE1002"/>
    <w:rsid w:val="00AE1F98"/>
    <w:rsid w:val="00AE2840"/>
    <w:rsid w:val="00AE342F"/>
    <w:rsid w:val="00AE3837"/>
    <w:rsid w:val="00AE38E7"/>
    <w:rsid w:val="00AE4747"/>
    <w:rsid w:val="00AE615B"/>
    <w:rsid w:val="00AE63F8"/>
    <w:rsid w:val="00AE68B0"/>
    <w:rsid w:val="00AE7CD5"/>
    <w:rsid w:val="00AF0AA2"/>
    <w:rsid w:val="00AF1A7C"/>
    <w:rsid w:val="00AF2D0B"/>
    <w:rsid w:val="00AF3BC3"/>
    <w:rsid w:val="00AF495F"/>
    <w:rsid w:val="00AF74B0"/>
    <w:rsid w:val="00AF782E"/>
    <w:rsid w:val="00AF7878"/>
    <w:rsid w:val="00B0102E"/>
    <w:rsid w:val="00B022A6"/>
    <w:rsid w:val="00B02AEB"/>
    <w:rsid w:val="00B04D78"/>
    <w:rsid w:val="00B07059"/>
    <w:rsid w:val="00B07B58"/>
    <w:rsid w:val="00B13869"/>
    <w:rsid w:val="00B14DFB"/>
    <w:rsid w:val="00B161BE"/>
    <w:rsid w:val="00B234EB"/>
    <w:rsid w:val="00B2661F"/>
    <w:rsid w:val="00B27219"/>
    <w:rsid w:val="00B27307"/>
    <w:rsid w:val="00B27507"/>
    <w:rsid w:val="00B30453"/>
    <w:rsid w:val="00B30711"/>
    <w:rsid w:val="00B3087D"/>
    <w:rsid w:val="00B31F62"/>
    <w:rsid w:val="00B33217"/>
    <w:rsid w:val="00B34483"/>
    <w:rsid w:val="00B34908"/>
    <w:rsid w:val="00B34DDC"/>
    <w:rsid w:val="00B351C3"/>
    <w:rsid w:val="00B35312"/>
    <w:rsid w:val="00B35B08"/>
    <w:rsid w:val="00B36950"/>
    <w:rsid w:val="00B36A94"/>
    <w:rsid w:val="00B4140A"/>
    <w:rsid w:val="00B41861"/>
    <w:rsid w:val="00B418A0"/>
    <w:rsid w:val="00B41D26"/>
    <w:rsid w:val="00B468C8"/>
    <w:rsid w:val="00B46C4B"/>
    <w:rsid w:val="00B50A69"/>
    <w:rsid w:val="00B5254B"/>
    <w:rsid w:val="00B52831"/>
    <w:rsid w:val="00B565B0"/>
    <w:rsid w:val="00B5686A"/>
    <w:rsid w:val="00B6149C"/>
    <w:rsid w:val="00B61D6C"/>
    <w:rsid w:val="00B628FF"/>
    <w:rsid w:val="00B63F27"/>
    <w:rsid w:val="00B658B6"/>
    <w:rsid w:val="00B675E6"/>
    <w:rsid w:val="00B70B1A"/>
    <w:rsid w:val="00B70C16"/>
    <w:rsid w:val="00B723AC"/>
    <w:rsid w:val="00B7321E"/>
    <w:rsid w:val="00B74B4A"/>
    <w:rsid w:val="00B74E5A"/>
    <w:rsid w:val="00B760B7"/>
    <w:rsid w:val="00B800ED"/>
    <w:rsid w:val="00B80FC5"/>
    <w:rsid w:val="00B8117B"/>
    <w:rsid w:val="00B817A0"/>
    <w:rsid w:val="00B81CB2"/>
    <w:rsid w:val="00B82CE2"/>
    <w:rsid w:val="00B83AC7"/>
    <w:rsid w:val="00B84147"/>
    <w:rsid w:val="00B8429F"/>
    <w:rsid w:val="00B85256"/>
    <w:rsid w:val="00B861B7"/>
    <w:rsid w:val="00B87233"/>
    <w:rsid w:val="00B87ECD"/>
    <w:rsid w:val="00B912EC"/>
    <w:rsid w:val="00B91932"/>
    <w:rsid w:val="00B91A56"/>
    <w:rsid w:val="00B93BC3"/>
    <w:rsid w:val="00B94EB3"/>
    <w:rsid w:val="00B96DFC"/>
    <w:rsid w:val="00B975A5"/>
    <w:rsid w:val="00BA02C0"/>
    <w:rsid w:val="00BA0C9B"/>
    <w:rsid w:val="00BA27CE"/>
    <w:rsid w:val="00BA35DC"/>
    <w:rsid w:val="00BA3672"/>
    <w:rsid w:val="00BA3F74"/>
    <w:rsid w:val="00BA483F"/>
    <w:rsid w:val="00BA5C36"/>
    <w:rsid w:val="00BA7815"/>
    <w:rsid w:val="00BB0131"/>
    <w:rsid w:val="00BB1745"/>
    <w:rsid w:val="00BB39C9"/>
    <w:rsid w:val="00BB3BAC"/>
    <w:rsid w:val="00BB436F"/>
    <w:rsid w:val="00BB4928"/>
    <w:rsid w:val="00BB496C"/>
    <w:rsid w:val="00BB4B44"/>
    <w:rsid w:val="00BB5025"/>
    <w:rsid w:val="00BC219A"/>
    <w:rsid w:val="00BC396B"/>
    <w:rsid w:val="00BC56C1"/>
    <w:rsid w:val="00BC6EE9"/>
    <w:rsid w:val="00BC7E8D"/>
    <w:rsid w:val="00BD0E41"/>
    <w:rsid w:val="00BD2024"/>
    <w:rsid w:val="00BD2119"/>
    <w:rsid w:val="00BD34F2"/>
    <w:rsid w:val="00BD5CAE"/>
    <w:rsid w:val="00BD5ECB"/>
    <w:rsid w:val="00BD720F"/>
    <w:rsid w:val="00BD7FB0"/>
    <w:rsid w:val="00BE08A4"/>
    <w:rsid w:val="00BE1F11"/>
    <w:rsid w:val="00BE2222"/>
    <w:rsid w:val="00BE22D8"/>
    <w:rsid w:val="00BE4AB8"/>
    <w:rsid w:val="00BE5F4E"/>
    <w:rsid w:val="00BE67BD"/>
    <w:rsid w:val="00BE6DED"/>
    <w:rsid w:val="00BF0BA5"/>
    <w:rsid w:val="00BF44EC"/>
    <w:rsid w:val="00BF67AC"/>
    <w:rsid w:val="00BF754D"/>
    <w:rsid w:val="00C00BBC"/>
    <w:rsid w:val="00C01709"/>
    <w:rsid w:val="00C01AF0"/>
    <w:rsid w:val="00C01C28"/>
    <w:rsid w:val="00C02543"/>
    <w:rsid w:val="00C02722"/>
    <w:rsid w:val="00C0344F"/>
    <w:rsid w:val="00C03631"/>
    <w:rsid w:val="00C044F6"/>
    <w:rsid w:val="00C06C41"/>
    <w:rsid w:val="00C07CA5"/>
    <w:rsid w:val="00C10261"/>
    <w:rsid w:val="00C108FA"/>
    <w:rsid w:val="00C1111C"/>
    <w:rsid w:val="00C11926"/>
    <w:rsid w:val="00C12182"/>
    <w:rsid w:val="00C12E68"/>
    <w:rsid w:val="00C13678"/>
    <w:rsid w:val="00C140F7"/>
    <w:rsid w:val="00C14439"/>
    <w:rsid w:val="00C15018"/>
    <w:rsid w:val="00C1520D"/>
    <w:rsid w:val="00C20664"/>
    <w:rsid w:val="00C215C9"/>
    <w:rsid w:val="00C21E0C"/>
    <w:rsid w:val="00C22D48"/>
    <w:rsid w:val="00C270C3"/>
    <w:rsid w:val="00C31B68"/>
    <w:rsid w:val="00C324B1"/>
    <w:rsid w:val="00C35121"/>
    <w:rsid w:val="00C36273"/>
    <w:rsid w:val="00C36AE7"/>
    <w:rsid w:val="00C37062"/>
    <w:rsid w:val="00C40178"/>
    <w:rsid w:val="00C4140A"/>
    <w:rsid w:val="00C43A48"/>
    <w:rsid w:val="00C43A8D"/>
    <w:rsid w:val="00C44766"/>
    <w:rsid w:val="00C44FCB"/>
    <w:rsid w:val="00C45541"/>
    <w:rsid w:val="00C461D0"/>
    <w:rsid w:val="00C46617"/>
    <w:rsid w:val="00C531CC"/>
    <w:rsid w:val="00C54D05"/>
    <w:rsid w:val="00C55622"/>
    <w:rsid w:val="00C57520"/>
    <w:rsid w:val="00C577D7"/>
    <w:rsid w:val="00C600A3"/>
    <w:rsid w:val="00C613FC"/>
    <w:rsid w:val="00C64C32"/>
    <w:rsid w:val="00C66F1B"/>
    <w:rsid w:val="00C705A2"/>
    <w:rsid w:val="00C7218B"/>
    <w:rsid w:val="00C75E0E"/>
    <w:rsid w:val="00C7626F"/>
    <w:rsid w:val="00C80445"/>
    <w:rsid w:val="00C83CE7"/>
    <w:rsid w:val="00C8452A"/>
    <w:rsid w:val="00C860BB"/>
    <w:rsid w:val="00C86A4C"/>
    <w:rsid w:val="00C87D7A"/>
    <w:rsid w:val="00C903D7"/>
    <w:rsid w:val="00C91CEA"/>
    <w:rsid w:val="00C920FC"/>
    <w:rsid w:val="00C921F7"/>
    <w:rsid w:val="00C92FEA"/>
    <w:rsid w:val="00C94139"/>
    <w:rsid w:val="00C94532"/>
    <w:rsid w:val="00C94AD6"/>
    <w:rsid w:val="00C960DD"/>
    <w:rsid w:val="00C974FD"/>
    <w:rsid w:val="00CA0DBA"/>
    <w:rsid w:val="00CA3A91"/>
    <w:rsid w:val="00CA3CC5"/>
    <w:rsid w:val="00CA41F2"/>
    <w:rsid w:val="00CA5E4C"/>
    <w:rsid w:val="00CB0F87"/>
    <w:rsid w:val="00CB1DE1"/>
    <w:rsid w:val="00CB3080"/>
    <w:rsid w:val="00CB34B3"/>
    <w:rsid w:val="00CB39C1"/>
    <w:rsid w:val="00CB65B6"/>
    <w:rsid w:val="00CB6784"/>
    <w:rsid w:val="00CB7C87"/>
    <w:rsid w:val="00CC06CC"/>
    <w:rsid w:val="00CC280B"/>
    <w:rsid w:val="00CC30BE"/>
    <w:rsid w:val="00CC33C0"/>
    <w:rsid w:val="00CC57CF"/>
    <w:rsid w:val="00CC5BF1"/>
    <w:rsid w:val="00CC7543"/>
    <w:rsid w:val="00CC7EB2"/>
    <w:rsid w:val="00CD3DBE"/>
    <w:rsid w:val="00CD4FF7"/>
    <w:rsid w:val="00CD7F0C"/>
    <w:rsid w:val="00CE13A3"/>
    <w:rsid w:val="00CE213F"/>
    <w:rsid w:val="00CE63DC"/>
    <w:rsid w:val="00CF0BD0"/>
    <w:rsid w:val="00CF0CD1"/>
    <w:rsid w:val="00CF35A6"/>
    <w:rsid w:val="00CF4B72"/>
    <w:rsid w:val="00CF5B31"/>
    <w:rsid w:val="00CF5B6C"/>
    <w:rsid w:val="00CF5F34"/>
    <w:rsid w:val="00CF7DB3"/>
    <w:rsid w:val="00CF7E80"/>
    <w:rsid w:val="00D001BF"/>
    <w:rsid w:val="00D003EA"/>
    <w:rsid w:val="00D00590"/>
    <w:rsid w:val="00D005EE"/>
    <w:rsid w:val="00D009AB"/>
    <w:rsid w:val="00D00BDE"/>
    <w:rsid w:val="00D014AB"/>
    <w:rsid w:val="00D02642"/>
    <w:rsid w:val="00D042E7"/>
    <w:rsid w:val="00D04648"/>
    <w:rsid w:val="00D06294"/>
    <w:rsid w:val="00D06639"/>
    <w:rsid w:val="00D13C78"/>
    <w:rsid w:val="00D13F54"/>
    <w:rsid w:val="00D144D6"/>
    <w:rsid w:val="00D14CDD"/>
    <w:rsid w:val="00D16972"/>
    <w:rsid w:val="00D1731C"/>
    <w:rsid w:val="00D17515"/>
    <w:rsid w:val="00D17C22"/>
    <w:rsid w:val="00D2243A"/>
    <w:rsid w:val="00D24C94"/>
    <w:rsid w:val="00D30EE9"/>
    <w:rsid w:val="00D32463"/>
    <w:rsid w:val="00D338FD"/>
    <w:rsid w:val="00D34878"/>
    <w:rsid w:val="00D35B99"/>
    <w:rsid w:val="00D35C0E"/>
    <w:rsid w:val="00D3636E"/>
    <w:rsid w:val="00D36C3A"/>
    <w:rsid w:val="00D36FD1"/>
    <w:rsid w:val="00D37A18"/>
    <w:rsid w:val="00D40518"/>
    <w:rsid w:val="00D40B72"/>
    <w:rsid w:val="00D4363C"/>
    <w:rsid w:val="00D440E5"/>
    <w:rsid w:val="00D44C37"/>
    <w:rsid w:val="00D456D4"/>
    <w:rsid w:val="00D4607A"/>
    <w:rsid w:val="00D46E1A"/>
    <w:rsid w:val="00D47D13"/>
    <w:rsid w:val="00D505EB"/>
    <w:rsid w:val="00D51384"/>
    <w:rsid w:val="00D536F5"/>
    <w:rsid w:val="00D540A3"/>
    <w:rsid w:val="00D546B4"/>
    <w:rsid w:val="00D54EC8"/>
    <w:rsid w:val="00D55FD7"/>
    <w:rsid w:val="00D61A51"/>
    <w:rsid w:val="00D626F0"/>
    <w:rsid w:val="00D62BCE"/>
    <w:rsid w:val="00D65780"/>
    <w:rsid w:val="00D700CE"/>
    <w:rsid w:val="00D70DBD"/>
    <w:rsid w:val="00D72BD9"/>
    <w:rsid w:val="00D72F4D"/>
    <w:rsid w:val="00D73124"/>
    <w:rsid w:val="00D735D9"/>
    <w:rsid w:val="00D741AB"/>
    <w:rsid w:val="00D76543"/>
    <w:rsid w:val="00D76C0E"/>
    <w:rsid w:val="00D77A5F"/>
    <w:rsid w:val="00D816F6"/>
    <w:rsid w:val="00D81CC1"/>
    <w:rsid w:val="00D83A3E"/>
    <w:rsid w:val="00D853CB"/>
    <w:rsid w:val="00D86693"/>
    <w:rsid w:val="00D90BCB"/>
    <w:rsid w:val="00D93FCF"/>
    <w:rsid w:val="00D944AD"/>
    <w:rsid w:val="00D95DC7"/>
    <w:rsid w:val="00D975AA"/>
    <w:rsid w:val="00DA0273"/>
    <w:rsid w:val="00DA0A14"/>
    <w:rsid w:val="00DA1887"/>
    <w:rsid w:val="00DA4C92"/>
    <w:rsid w:val="00DA62AC"/>
    <w:rsid w:val="00DB0F0C"/>
    <w:rsid w:val="00DB2D58"/>
    <w:rsid w:val="00DB5CF2"/>
    <w:rsid w:val="00DB69E0"/>
    <w:rsid w:val="00DC0A25"/>
    <w:rsid w:val="00DC13A0"/>
    <w:rsid w:val="00DC350B"/>
    <w:rsid w:val="00DC43B1"/>
    <w:rsid w:val="00DC506C"/>
    <w:rsid w:val="00DC5444"/>
    <w:rsid w:val="00DC7AA6"/>
    <w:rsid w:val="00DC7D9A"/>
    <w:rsid w:val="00DD18DF"/>
    <w:rsid w:val="00DD2F00"/>
    <w:rsid w:val="00DD32F2"/>
    <w:rsid w:val="00DD66CB"/>
    <w:rsid w:val="00DD729E"/>
    <w:rsid w:val="00DD7C1C"/>
    <w:rsid w:val="00DD7E3C"/>
    <w:rsid w:val="00DE1BD7"/>
    <w:rsid w:val="00DE2089"/>
    <w:rsid w:val="00DE2D36"/>
    <w:rsid w:val="00DE4216"/>
    <w:rsid w:val="00DE5785"/>
    <w:rsid w:val="00DE60B1"/>
    <w:rsid w:val="00DF2349"/>
    <w:rsid w:val="00DF23B9"/>
    <w:rsid w:val="00DF287A"/>
    <w:rsid w:val="00DF38DA"/>
    <w:rsid w:val="00DF4E37"/>
    <w:rsid w:val="00DF788B"/>
    <w:rsid w:val="00E00169"/>
    <w:rsid w:val="00E00D52"/>
    <w:rsid w:val="00E01271"/>
    <w:rsid w:val="00E034A4"/>
    <w:rsid w:val="00E042A2"/>
    <w:rsid w:val="00E04708"/>
    <w:rsid w:val="00E04E23"/>
    <w:rsid w:val="00E05115"/>
    <w:rsid w:val="00E06244"/>
    <w:rsid w:val="00E067BD"/>
    <w:rsid w:val="00E07B3E"/>
    <w:rsid w:val="00E11C9C"/>
    <w:rsid w:val="00E13DC8"/>
    <w:rsid w:val="00E14C8A"/>
    <w:rsid w:val="00E15132"/>
    <w:rsid w:val="00E1533D"/>
    <w:rsid w:val="00E1727E"/>
    <w:rsid w:val="00E20264"/>
    <w:rsid w:val="00E2094D"/>
    <w:rsid w:val="00E216BD"/>
    <w:rsid w:val="00E221E7"/>
    <w:rsid w:val="00E23DC2"/>
    <w:rsid w:val="00E241B3"/>
    <w:rsid w:val="00E30643"/>
    <w:rsid w:val="00E31ED6"/>
    <w:rsid w:val="00E31FCC"/>
    <w:rsid w:val="00E32024"/>
    <w:rsid w:val="00E322F8"/>
    <w:rsid w:val="00E34573"/>
    <w:rsid w:val="00E34B65"/>
    <w:rsid w:val="00E35051"/>
    <w:rsid w:val="00E353CD"/>
    <w:rsid w:val="00E35502"/>
    <w:rsid w:val="00E373C8"/>
    <w:rsid w:val="00E37BBA"/>
    <w:rsid w:val="00E41216"/>
    <w:rsid w:val="00E41805"/>
    <w:rsid w:val="00E41D14"/>
    <w:rsid w:val="00E42133"/>
    <w:rsid w:val="00E42FF9"/>
    <w:rsid w:val="00E43A50"/>
    <w:rsid w:val="00E44A7F"/>
    <w:rsid w:val="00E459AD"/>
    <w:rsid w:val="00E45E4C"/>
    <w:rsid w:val="00E4747C"/>
    <w:rsid w:val="00E478D9"/>
    <w:rsid w:val="00E47F6E"/>
    <w:rsid w:val="00E509D8"/>
    <w:rsid w:val="00E5114A"/>
    <w:rsid w:val="00E5203E"/>
    <w:rsid w:val="00E53BD8"/>
    <w:rsid w:val="00E54047"/>
    <w:rsid w:val="00E57724"/>
    <w:rsid w:val="00E57E2E"/>
    <w:rsid w:val="00E62293"/>
    <w:rsid w:val="00E6705D"/>
    <w:rsid w:val="00E71B3F"/>
    <w:rsid w:val="00E7206A"/>
    <w:rsid w:val="00E75A2F"/>
    <w:rsid w:val="00E75A7C"/>
    <w:rsid w:val="00E76F9D"/>
    <w:rsid w:val="00E80B9F"/>
    <w:rsid w:val="00E80D2A"/>
    <w:rsid w:val="00E81ECD"/>
    <w:rsid w:val="00E83484"/>
    <w:rsid w:val="00E83B1E"/>
    <w:rsid w:val="00E83F46"/>
    <w:rsid w:val="00E84D9A"/>
    <w:rsid w:val="00E8505A"/>
    <w:rsid w:val="00E85DA2"/>
    <w:rsid w:val="00E86A59"/>
    <w:rsid w:val="00E87753"/>
    <w:rsid w:val="00E879CE"/>
    <w:rsid w:val="00E90912"/>
    <w:rsid w:val="00E91690"/>
    <w:rsid w:val="00E929FD"/>
    <w:rsid w:val="00E92D63"/>
    <w:rsid w:val="00E94C0E"/>
    <w:rsid w:val="00E94FAA"/>
    <w:rsid w:val="00E951BB"/>
    <w:rsid w:val="00E96735"/>
    <w:rsid w:val="00E977EF"/>
    <w:rsid w:val="00EA2E07"/>
    <w:rsid w:val="00EA2E66"/>
    <w:rsid w:val="00EA499D"/>
    <w:rsid w:val="00EA4B74"/>
    <w:rsid w:val="00EA56AF"/>
    <w:rsid w:val="00EA5C10"/>
    <w:rsid w:val="00EA7BC9"/>
    <w:rsid w:val="00EB23A9"/>
    <w:rsid w:val="00EB423C"/>
    <w:rsid w:val="00EB4661"/>
    <w:rsid w:val="00EB522A"/>
    <w:rsid w:val="00EB5AEB"/>
    <w:rsid w:val="00EB7272"/>
    <w:rsid w:val="00EB7B82"/>
    <w:rsid w:val="00EB7F67"/>
    <w:rsid w:val="00EC042A"/>
    <w:rsid w:val="00EC0CD5"/>
    <w:rsid w:val="00EC1696"/>
    <w:rsid w:val="00EC470F"/>
    <w:rsid w:val="00EC484D"/>
    <w:rsid w:val="00EC4DAD"/>
    <w:rsid w:val="00EC61D6"/>
    <w:rsid w:val="00ED0DB2"/>
    <w:rsid w:val="00ED1668"/>
    <w:rsid w:val="00ED221B"/>
    <w:rsid w:val="00ED3D25"/>
    <w:rsid w:val="00ED509E"/>
    <w:rsid w:val="00EE02A1"/>
    <w:rsid w:val="00EE0E72"/>
    <w:rsid w:val="00EE1546"/>
    <w:rsid w:val="00EE1CFF"/>
    <w:rsid w:val="00EE3589"/>
    <w:rsid w:val="00EE5AB9"/>
    <w:rsid w:val="00EE7110"/>
    <w:rsid w:val="00EF0BBB"/>
    <w:rsid w:val="00EF0FF4"/>
    <w:rsid w:val="00EF101E"/>
    <w:rsid w:val="00EF1CF1"/>
    <w:rsid w:val="00EF2C7B"/>
    <w:rsid w:val="00EF2E2E"/>
    <w:rsid w:val="00EF3FD2"/>
    <w:rsid w:val="00EF49AB"/>
    <w:rsid w:val="00EF504C"/>
    <w:rsid w:val="00EF6DB6"/>
    <w:rsid w:val="00EF73BF"/>
    <w:rsid w:val="00EF7406"/>
    <w:rsid w:val="00F011CE"/>
    <w:rsid w:val="00F053F6"/>
    <w:rsid w:val="00F109FE"/>
    <w:rsid w:val="00F12A72"/>
    <w:rsid w:val="00F12E41"/>
    <w:rsid w:val="00F1331B"/>
    <w:rsid w:val="00F14A1B"/>
    <w:rsid w:val="00F151A6"/>
    <w:rsid w:val="00F157AD"/>
    <w:rsid w:val="00F15CE3"/>
    <w:rsid w:val="00F20524"/>
    <w:rsid w:val="00F20A27"/>
    <w:rsid w:val="00F223D2"/>
    <w:rsid w:val="00F23254"/>
    <w:rsid w:val="00F242F6"/>
    <w:rsid w:val="00F24D46"/>
    <w:rsid w:val="00F250E5"/>
    <w:rsid w:val="00F27D3C"/>
    <w:rsid w:val="00F311C9"/>
    <w:rsid w:val="00F3649F"/>
    <w:rsid w:val="00F370CA"/>
    <w:rsid w:val="00F4242A"/>
    <w:rsid w:val="00F43805"/>
    <w:rsid w:val="00F43B24"/>
    <w:rsid w:val="00F44804"/>
    <w:rsid w:val="00F44C89"/>
    <w:rsid w:val="00F45435"/>
    <w:rsid w:val="00F456A8"/>
    <w:rsid w:val="00F45894"/>
    <w:rsid w:val="00F45A4E"/>
    <w:rsid w:val="00F470A5"/>
    <w:rsid w:val="00F50211"/>
    <w:rsid w:val="00F52127"/>
    <w:rsid w:val="00F529B3"/>
    <w:rsid w:val="00F54215"/>
    <w:rsid w:val="00F54E66"/>
    <w:rsid w:val="00F6082E"/>
    <w:rsid w:val="00F617C3"/>
    <w:rsid w:val="00F61950"/>
    <w:rsid w:val="00F61D6D"/>
    <w:rsid w:val="00F620BB"/>
    <w:rsid w:val="00F624F2"/>
    <w:rsid w:val="00F627A6"/>
    <w:rsid w:val="00F633C2"/>
    <w:rsid w:val="00F646C5"/>
    <w:rsid w:val="00F65131"/>
    <w:rsid w:val="00F65266"/>
    <w:rsid w:val="00F65F3B"/>
    <w:rsid w:val="00F66089"/>
    <w:rsid w:val="00F666A4"/>
    <w:rsid w:val="00F66C51"/>
    <w:rsid w:val="00F67782"/>
    <w:rsid w:val="00F67958"/>
    <w:rsid w:val="00F70701"/>
    <w:rsid w:val="00F71568"/>
    <w:rsid w:val="00F74091"/>
    <w:rsid w:val="00F75665"/>
    <w:rsid w:val="00F75F2A"/>
    <w:rsid w:val="00F7711D"/>
    <w:rsid w:val="00F77838"/>
    <w:rsid w:val="00F77AEE"/>
    <w:rsid w:val="00F800A9"/>
    <w:rsid w:val="00F80482"/>
    <w:rsid w:val="00F8216E"/>
    <w:rsid w:val="00F82E51"/>
    <w:rsid w:val="00F84F5F"/>
    <w:rsid w:val="00F851A8"/>
    <w:rsid w:val="00F860D4"/>
    <w:rsid w:val="00F8642B"/>
    <w:rsid w:val="00F86A93"/>
    <w:rsid w:val="00F91391"/>
    <w:rsid w:val="00F91790"/>
    <w:rsid w:val="00F91DBB"/>
    <w:rsid w:val="00F92B3E"/>
    <w:rsid w:val="00F92C0A"/>
    <w:rsid w:val="00F93A94"/>
    <w:rsid w:val="00F93DC9"/>
    <w:rsid w:val="00F9691D"/>
    <w:rsid w:val="00F97741"/>
    <w:rsid w:val="00FA1DE7"/>
    <w:rsid w:val="00FA1EE6"/>
    <w:rsid w:val="00FA2C31"/>
    <w:rsid w:val="00FA3549"/>
    <w:rsid w:val="00FA3DDF"/>
    <w:rsid w:val="00FA4C67"/>
    <w:rsid w:val="00FA611C"/>
    <w:rsid w:val="00FB0293"/>
    <w:rsid w:val="00FB175F"/>
    <w:rsid w:val="00FB25A4"/>
    <w:rsid w:val="00FB30D9"/>
    <w:rsid w:val="00FB4B18"/>
    <w:rsid w:val="00FB6F0B"/>
    <w:rsid w:val="00FB7971"/>
    <w:rsid w:val="00FC0461"/>
    <w:rsid w:val="00FC0D5F"/>
    <w:rsid w:val="00FC113C"/>
    <w:rsid w:val="00FC31DA"/>
    <w:rsid w:val="00FC3D66"/>
    <w:rsid w:val="00FC559E"/>
    <w:rsid w:val="00FC5A32"/>
    <w:rsid w:val="00FC620D"/>
    <w:rsid w:val="00FC627B"/>
    <w:rsid w:val="00FC6703"/>
    <w:rsid w:val="00FC6ADB"/>
    <w:rsid w:val="00FC6ADE"/>
    <w:rsid w:val="00FD0081"/>
    <w:rsid w:val="00FD0DE5"/>
    <w:rsid w:val="00FD0F91"/>
    <w:rsid w:val="00FD2442"/>
    <w:rsid w:val="00FD2BA0"/>
    <w:rsid w:val="00FD4C8A"/>
    <w:rsid w:val="00FE1235"/>
    <w:rsid w:val="00FE239C"/>
    <w:rsid w:val="00FE2D88"/>
    <w:rsid w:val="00FE2DAD"/>
    <w:rsid w:val="00FE4F04"/>
    <w:rsid w:val="00FE5001"/>
    <w:rsid w:val="00FE71DF"/>
    <w:rsid w:val="00FE761B"/>
    <w:rsid w:val="00FE7CE7"/>
    <w:rsid w:val="00FE7D2F"/>
    <w:rsid w:val="00FF132C"/>
    <w:rsid w:val="00FF1F44"/>
    <w:rsid w:val="00FF2620"/>
    <w:rsid w:val="00FF4C6E"/>
    <w:rsid w:val="00FF51A5"/>
    <w:rsid w:val="00FF64EA"/>
    <w:rsid w:val="00FF74FA"/>
    <w:rsid w:val="10A88E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22F2"/>
  <w15:docId w15:val="{97CCB8EE-300B-4119-8D75-AC93A855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16972"/>
    <w:pPr>
      <w:spacing w:before="100" w:beforeAutospacing="1" w:after="100" w:afterAutospacing="1"/>
      <w:jc w:val="both"/>
    </w:pPr>
    <w:rPr>
      <w:rFonts w:ascii="Calibri" w:eastAsiaTheme="minorEastAsia" w:hAnsi="Calibri"/>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6B7924"/>
    <w:pPr>
      <w:keepNext/>
      <w:spacing w:before="100" w:beforeAutospacing="1" w:after="240"/>
      <w:ind w:left="851" w:hanging="851"/>
      <w:outlineLvl w:val="2"/>
    </w:pPr>
    <w:rPr>
      <w:rFonts w:ascii="Calibri" w:eastAsia="Times New Roman" w:hAnsi="Calibri" w:cs="Times New Roman"/>
      <w:b/>
      <w:iCs/>
      <w:sz w:val="24"/>
    </w:rPr>
  </w:style>
  <w:style w:type="paragraph" w:styleId="Heading4">
    <w:name w:val="heading 4"/>
    <w:next w:val="Normal"/>
    <w:link w:val="Heading4Char"/>
    <w:uiPriority w:val="9"/>
    <w:unhideWhenUsed/>
    <w:qFormat/>
    <w:rsid w:val="00B468C8"/>
    <w:pPr>
      <w:keepNext/>
      <w:keepLines/>
      <w:spacing w:before="100" w:beforeAutospacing="1" w:after="100" w:afterAutospacing="1"/>
      <w:contextualSpacing/>
      <w:outlineLvl w:val="3"/>
    </w:pPr>
    <w:rPr>
      <w:rFonts w:ascii="Calibri" w:eastAsiaTheme="majorEastAsia" w:hAnsi="Calibri" w:cstheme="majorBidi"/>
      <w:bCs/>
      <w:sz w:val="24"/>
      <w:u w:val="single"/>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6B7924"/>
    <w:rPr>
      <w:rFonts w:ascii="Calibri" w:eastAsia="Times New Roman" w:hAnsi="Calibri" w:cs="Times New Roman"/>
      <w:b/>
      <w:iCs/>
      <w:sz w:val="24"/>
    </w:rPr>
  </w:style>
  <w:style w:type="character" w:customStyle="1" w:styleId="Heading4Char">
    <w:name w:val="Heading 4 Char"/>
    <w:basedOn w:val="DefaultParagraphFont"/>
    <w:link w:val="Heading4"/>
    <w:uiPriority w:val="9"/>
    <w:rsid w:val="00B468C8"/>
    <w:rPr>
      <w:rFonts w:ascii="Calibri" w:eastAsiaTheme="majorEastAsia" w:hAnsi="Calibri" w:cstheme="majorBidi"/>
      <w:bCs/>
      <w:sz w:val="24"/>
      <w:u w:val="single"/>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4"/>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0"/>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6"/>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rPr>
  </w:style>
  <w:style w:type="character" w:customStyle="1" w:styleId="Bulletlist3Char">
    <w:name w:val="Bullet list 3 Char"/>
    <w:basedOn w:val="Bulletlist2Char"/>
    <w:link w:val="Bulletlist3"/>
    <w:rsid w:val="00EC1696"/>
    <w:rPr>
      <w:rFonts w:ascii="Calibri" w:eastAsiaTheme="minorEastAsia" w:hAnsi="Calibri"/>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val="0"/>
    </w:rPr>
  </w:style>
  <w:style w:type="character" w:customStyle="1" w:styleId="Appendixheading3Char">
    <w:name w:val="Appendix heading 3 Char"/>
    <w:basedOn w:val="Heading3Char"/>
    <w:link w:val="Appendixheading3"/>
    <w:rsid w:val="00047257"/>
    <w:rPr>
      <w:rFonts w:ascii="Calibri" w:eastAsia="Times New Roman" w:hAnsi="Calibri" w:cs="Times New Roman"/>
      <w:b w:val="0"/>
      <w:iCs/>
      <w:sz w:val="24"/>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9"/>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9"/>
      </w:numPr>
    </w:pPr>
  </w:style>
  <w:style w:type="paragraph" w:customStyle="1" w:styleId="Casestudyheading">
    <w:name w:val="Case study heading"/>
    <w:basedOn w:val="Normal"/>
    <w:next w:val="Normal"/>
    <w:link w:val="CasestudyheadingChar"/>
    <w:qFormat/>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Recommendation"/>
    <w:link w:val="CasestudyChar"/>
    <w:qFormat/>
    <w:rsid w:val="009756BE"/>
    <w:pPr>
      <w:numPr>
        <w:numId w:val="0"/>
      </w:numPr>
      <w:ind w:left="851"/>
    </w:pPr>
    <w:rPr>
      <w:b/>
      <w:bCs/>
    </w:rPr>
  </w:style>
  <w:style w:type="character" w:customStyle="1" w:styleId="CasestudyChar">
    <w:name w:val="Case study Char"/>
    <w:basedOn w:val="CasestudyheadingChar"/>
    <w:link w:val="Casestudy"/>
    <w:rsid w:val="009756BE"/>
    <w:rPr>
      <w:rFonts w:ascii="Calibri" w:eastAsiaTheme="minorEastAsia" w:hAnsi="Calibri"/>
      <w:b/>
      <w:bC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bCs/>
      <w:sz w:val="23"/>
      <w:lang w:val="en-US"/>
    </w:rPr>
  </w:style>
  <w:style w:type="numbering" w:customStyle="1" w:styleId="Recommendations">
    <w:name w:val="Recommendations"/>
    <w:uiPriority w:val="99"/>
    <w:rsid w:val="00593975"/>
    <w:pPr>
      <w:numPr>
        <w:numId w:val="20"/>
      </w:numPr>
    </w:pPr>
  </w:style>
  <w:style w:type="character" w:styleId="UnresolvedMention">
    <w:name w:val="Unresolved Mention"/>
    <w:basedOn w:val="DefaultParagraphFont"/>
    <w:uiPriority w:val="99"/>
    <w:semiHidden/>
    <w:unhideWhenUsed/>
    <w:rsid w:val="005378A4"/>
    <w:rPr>
      <w:color w:val="605E5C"/>
      <w:shd w:val="clear" w:color="auto" w:fill="E1DFDD"/>
    </w:rPr>
  </w:style>
  <w:style w:type="paragraph" w:styleId="Revision">
    <w:name w:val="Revision"/>
    <w:hidden/>
    <w:uiPriority w:val="99"/>
    <w:semiHidden/>
    <w:rsid w:val="008825DD"/>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6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56520534">
      <w:bodyDiv w:val="1"/>
      <w:marLeft w:val="0"/>
      <w:marRight w:val="0"/>
      <w:marTop w:val="0"/>
      <w:marBottom w:val="0"/>
      <w:divBdr>
        <w:top w:val="none" w:sz="0" w:space="0" w:color="auto"/>
        <w:left w:val="none" w:sz="0" w:space="0" w:color="auto"/>
        <w:bottom w:val="none" w:sz="0" w:space="0" w:color="auto"/>
        <w:right w:val="none" w:sz="0" w:space="0" w:color="auto"/>
      </w:divBdr>
    </w:div>
    <w:div w:id="305284743">
      <w:bodyDiv w:val="1"/>
      <w:marLeft w:val="0"/>
      <w:marRight w:val="0"/>
      <w:marTop w:val="0"/>
      <w:marBottom w:val="0"/>
      <w:divBdr>
        <w:top w:val="none" w:sz="0" w:space="0" w:color="auto"/>
        <w:left w:val="none" w:sz="0" w:space="0" w:color="auto"/>
        <w:bottom w:val="none" w:sz="0" w:space="0" w:color="auto"/>
        <w:right w:val="none" w:sz="0" w:space="0" w:color="auto"/>
      </w:divBdr>
    </w:div>
    <w:div w:id="322467039">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03339642">
      <w:bodyDiv w:val="1"/>
      <w:marLeft w:val="0"/>
      <w:marRight w:val="0"/>
      <w:marTop w:val="0"/>
      <w:marBottom w:val="0"/>
      <w:divBdr>
        <w:top w:val="none" w:sz="0" w:space="0" w:color="auto"/>
        <w:left w:val="none" w:sz="0" w:space="0" w:color="auto"/>
        <w:bottom w:val="none" w:sz="0" w:space="0" w:color="auto"/>
        <w:right w:val="none" w:sz="0" w:space="0" w:color="auto"/>
      </w:divBdr>
    </w:div>
    <w:div w:id="431171713">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75169341">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73048272">
      <w:bodyDiv w:val="1"/>
      <w:marLeft w:val="0"/>
      <w:marRight w:val="0"/>
      <w:marTop w:val="0"/>
      <w:marBottom w:val="0"/>
      <w:divBdr>
        <w:top w:val="none" w:sz="0" w:space="0" w:color="auto"/>
        <w:left w:val="none" w:sz="0" w:space="0" w:color="auto"/>
        <w:bottom w:val="none" w:sz="0" w:space="0" w:color="auto"/>
        <w:right w:val="none" w:sz="0" w:space="0" w:color="auto"/>
      </w:divBdr>
    </w:div>
    <w:div w:id="1214199768">
      <w:bodyDiv w:val="1"/>
      <w:marLeft w:val="0"/>
      <w:marRight w:val="0"/>
      <w:marTop w:val="0"/>
      <w:marBottom w:val="0"/>
      <w:divBdr>
        <w:top w:val="none" w:sz="0" w:space="0" w:color="auto"/>
        <w:left w:val="none" w:sz="0" w:space="0" w:color="auto"/>
        <w:bottom w:val="none" w:sz="0" w:space="0" w:color="auto"/>
        <w:right w:val="none" w:sz="0" w:space="0" w:color="auto"/>
      </w:divBdr>
    </w:div>
    <w:div w:id="1291322237">
      <w:bodyDiv w:val="1"/>
      <w:marLeft w:val="0"/>
      <w:marRight w:val="0"/>
      <w:marTop w:val="0"/>
      <w:marBottom w:val="0"/>
      <w:divBdr>
        <w:top w:val="none" w:sz="0" w:space="0" w:color="auto"/>
        <w:left w:val="none" w:sz="0" w:space="0" w:color="auto"/>
        <w:bottom w:val="none" w:sz="0" w:space="0" w:color="auto"/>
        <w:right w:val="none" w:sz="0" w:space="0" w:color="auto"/>
      </w:divBdr>
    </w:div>
    <w:div w:id="18249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io.com.au/sites/default/files/2021-11/Defending%20phone%20and%20internet%20accounts%20from%20fraudsters_fa_HiRes%20CLEAN.pdf" TargetMode="External"/><Relationship Id="rId13" Type="http://schemas.openxmlformats.org/officeDocument/2006/relationships/hyperlink" Target="https://www.accc.gov.au/consumers/consumer-rights-guarantees/consumer-guarantees" TargetMode="External"/><Relationship Id="rId18" Type="http://schemas.openxmlformats.org/officeDocument/2006/relationships/hyperlink" Target="https://www.abc.net.au/news/2021-01-23/call-for-better-remote-internet-after-rats-cause-outage/13072896" TargetMode="External"/><Relationship Id="rId3" Type="http://schemas.openxmlformats.org/officeDocument/2006/relationships/hyperlink" Target="https://www.tio.com.au/sites/default/files/2021-09/TIO_AR_Accessible_LR.pdf" TargetMode="External"/><Relationship Id="rId21" Type="http://schemas.openxmlformats.org/officeDocument/2006/relationships/hyperlink" Target="https://accan.org.au/files/Policy%20Positions/PP%202021/Internet%20of%20Things%20Position%20Statement%20short_FINAL.pdf" TargetMode="External"/><Relationship Id="rId7" Type="http://schemas.openxmlformats.org/officeDocument/2006/relationships/hyperlink" Target="https://accan.org.au/files/News%20items/Still%20waiting%20analysis%20report%20v.1.1.pdf" TargetMode="External"/><Relationship Id="rId12" Type="http://schemas.openxmlformats.org/officeDocument/2006/relationships/hyperlink" Target="https://accan.org.au/files/Submissions/Australian%20Consumer%20Law%20Review%20ACCAN%20submission.pdf" TargetMode="External"/><Relationship Id="rId17" Type="http://schemas.openxmlformats.org/officeDocument/2006/relationships/hyperlink" Target="https://www.smh.com.au/national/nsw/the-sydney-suburb-that-s-been-without-proper-internet-since-april-20210715-p589xu.html" TargetMode="External"/><Relationship Id="rId2" Type="http://schemas.openxmlformats.org/officeDocument/2006/relationships/hyperlink" Target="https://treasury.gov.au/sites/default/files/2021-12/c2021-224294-cgsicris_2.pdf" TargetMode="External"/><Relationship Id="rId16" Type="http://schemas.openxmlformats.org/officeDocument/2006/relationships/hyperlink" Target="https://www.acma.gov.au/customer-service-guarantee" TargetMode="External"/><Relationship Id="rId20" Type="http://schemas.openxmlformats.org/officeDocument/2006/relationships/hyperlink" Target="https://www.pc.gov.au/inquiries/completed/repair/report/repair.pdf" TargetMode="External"/><Relationship Id="rId1" Type="http://schemas.openxmlformats.org/officeDocument/2006/relationships/hyperlink" Target="https://cprc.org.au/app/uploads/2020/07/Markets-for-People-Report_2July2020_compressed-1.pdf" TargetMode="External"/><Relationship Id="rId6" Type="http://schemas.openxmlformats.org/officeDocument/2006/relationships/hyperlink" Target="https://www.synergies.com.au/wpcontent/uploads/2019/08/Public-report-Please-hold-costing-telco-customer-wait-times.pdf" TargetMode="External"/><Relationship Id="rId11" Type="http://schemas.openxmlformats.org/officeDocument/2006/relationships/hyperlink" Target="https://cdn.tspace.gov.au/uploads/sites/60/2016/07/Telecommunications_Industry_Ombudsman.pdf" TargetMode="External"/><Relationship Id="rId5" Type="http://schemas.openxmlformats.org/officeDocument/2006/relationships/hyperlink" Target="https://www.roymorgan.com/findings/8746-roy-morgan-risk-monitor-by-industry-july-2021-202107150455" TargetMode="External"/><Relationship Id="rId15" Type="http://schemas.openxmlformats.org/officeDocument/2006/relationships/hyperlink" Target="https://www.nbnco.com.au/content/dam/nbnco2/documents/wba/wba2/SFAA_WBAEthernetServiceLevels_markup_CIRRemediation_20180313.pdf" TargetMode="External"/><Relationship Id="rId10" Type="http://schemas.openxmlformats.org/officeDocument/2006/relationships/hyperlink" Target="https://www.acma.gov.au/nbn-service-rules-telcos" TargetMode="External"/><Relationship Id="rId19" Type="http://schemas.openxmlformats.org/officeDocument/2006/relationships/hyperlink" Target="https://www.finder.com.au/vodafone-outage-australia-april" TargetMode="External"/><Relationship Id="rId4" Type="http://schemas.openxmlformats.org/officeDocument/2006/relationships/hyperlink" Target="https://cprc.org.au/app/uploads/2021/09/Secotor-scorecard-sep21.pdf" TargetMode="External"/><Relationship Id="rId9" Type="http://schemas.openxmlformats.org/officeDocument/2006/relationships/hyperlink" Target="https://www.legislation.gov.au/Details/F2021C00265" TargetMode="External"/><Relationship Id="rId14" Type="http://schemas.openxmlformats.org/officeDocument/2006/relationships/hyperlink" Target="https://www.itnews.com.au/news/telstra-optus-tpg-to-face-court-over-underperforming-fttn-services-568372" TargetMode="External"/><Relationship Id="rId22" Type="http://schemas.openxmlformats.org/officeDocument/2006/relationships/hyperlink" Target="https://www.accc.gov.au/media-release/consumer-law-penalties-set-to-incr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A41A5-DBEE-4DDC-84CE-DBC574EF5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Submission Template</Template>
  <TotalTime>285</TotalTime>
  <Pages>1</Pages>
  <Words>4821</Words>
  <Characters>27482</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32239</CharactersWithSpaces>
  <SharedDoc>false</SharedDoc>
  <HLinks>
    <vt:vector size="252" baseType="variant">
      <vt:variant>
        <vt:i4>1769523</vt:i4>
      </vt:variant>
      <vt:variant>
        <vt:i4>104</vt:i4>
      </vt:variant>
      <vt:variant>
        <vt:i4>0</vt:i4>
      </vt:variant>
      <vt:variant>
        <vt:i4>5</vt:i4>
      </vt:variant>
      <vt:variant>
        <vt:lpwstr/>
      </vt:variant>
      <vt:variant>
        <vt:lpwstr>_Toc95487998</vt:lpwstr>
      </vt:variant>
      <vt:variant>
        <vt:i4>1310771</vt:i4>
      </vt:variant>
      <vt:variant>
        <vt:i4>98</vt:i4>
      </vt:variant>
      <vt:variant>
        <vt:i4>0</vt:i4>
      </vt:variant>
      <vt:variant>
        <vt:i4>5</vt:i4>
      </vt:variant>
      <vt:variant>
        <vt:lpwstr/>
      </vt:variant>
      <vt:variant>
        <vt:lpwstr>_Toc95487997</vt:lpwstr>
      </vt:variant>
      <vt:variant>
        <vt:i4>1376307</vt:i4>
      </vt:variant>
      <vt:variant>
        <vt:i4>92</vt:i4>
      </vt:variant>
      <vt:variant>
        <vt:i4>0</vt:i4>
      </vt:variant>
      <vt:variant>
        <vt:i4>5</vt:i4>
      </vt:variant>
      <vt:variant>
        <vt:lpwstr/>
      </vt:variant>
      <vt:variant>
        <vt:lpwstr>_Toc95487996</vt:lpwstr>
      </vt:variant>
      <vt:variant>
        <vt:i4>1441843</vt:i4>
      </vt:variant>
      <vt:variant>
        <vt:i4>86</vt:i4>
      </vt:variant>
      <vt:variant>
        <vt:i4>0</vt:i4>
      </vt:variant>
      <vt:variant>
        <vt:i4>5</vt:i4>
      </vt:variant>
      <vt:variant>
        <vt:lpwstr/>
      </vt:variant>
      <vt:variant>
        <vt:lpwstr>_Toc95487995</vt:lpwstr>
      </vt:variant>
      <vt:variant>
        <vt:i4>1507379</vt:i4>
      </vt:variant>
      <vt:variant>
        <vt:i4>80</vt:i4>
      </vt:variant>
      <vt:variant>
        <vt:i4>0</vt:i4>
      </vt:variant>
      <vt:variant>
        <vt:i4>5</vt:i4>
      </vt:variant>
      <vt:variant>
        <vt:lpwstr/>
      </vt:variant>
      <vt:variant>
        <vt:lpwstr>_Toc95487994</vt:lpwstr>
      </vt:variant>
      <vt:variant>
        <vt:i4>1048627</vt:i4>
      </vt:variant>
      <vt:variant>
        <vt:i4>74</vt:i4>
      </vt:variant>
      <vt:variant>
        <vt:i4>0</vt:i4>
      </vt:variant>
      <vt:variant>
        <vt:i4>5</vt:i4>
      </vt:variant>
      <vt:variant>
        <vt:lpwstr/>
      </vt:variant>
      <vt:variant>
        <vt:lpwstr>_Toc95487993</vt:lpwstr>
      </vt:variant>
      <vt:variant>
        <vt:i4>1114163</vt:i4>
      </vt:variant>
      <vt:variant>
        <vt:i4>68</vt:i4>
      </vt:variant>
      <vt:variant>
        <vt:i4>0</vt:i4>
      </vt:variant>
      <vt:variant>
        <vt:i4>5</vt:i4>
      </vt:variant>
      <vt:variant>
        <vt:lpwstr/>
      </vt:variant>
      <vt:variant>
        <vt:lpwstr>_Toc95487992</vt:lpwstr>
      </vt:variant>
      <vt:variant>
        <vt:i4>1179699</vt:i4>
      </vt:variant>
      <vt:variant>
        <vt:i4>62</vt:i4>
      </vt:variant>
      <vt:variant>
        <vt:i4>0</vt:i4>
      </vt:variant>
      <vt:variant>
        <vt:i4>5</vt:i4>
      </vt:variant>
      <vt:variant>
        <vt:lpwstr/>
      </vt:variant>
      <vt:variant>
        <vt:lpwstr>_Toc95487991</vt:lpwstr>
      </vt:variant>
      <vt:variant>
        <vt:i4>1245235</vt:i4>
      </vt:variant>
      <vt:variant>
        <vt:i4>56</vt:i4>
      </vt:variant>
      <vt:variant>
        <vt:i4>0</vt:i4>
      </vt:variant>
      <vt:variant>
        <vt:i4>5</vt:i4>
      </vt:variant>
      <vt:variant>
        <vt:lpwstr/>
      </vt:variant>
      <vt:variant>
        <vt:lpwstr>_Toc95487990</vt:lpwstr>
      </vt:variant>
      <vt:variant>
        <vt:i4>1703986</vt:i4>
      </vt:variant>
      <vt:variant>
        <vt:i4>50</vt:i4>
      </vt:variant>
      <vt:variant>
        <vt:i4>0</vt:i4>
      </vt:variant>
      <vt:variant>
        <vt:i4>5</vt:i4>
      </vt:variant>
      <vt:variant>
        <vt:lpwstr/>
      </vt:variant>
      <vt:variant>
        <vt:lpwstr>_Toc95487989</vt:lpwstr>
      </vt:variant>
      <vt:variant>
        <vt:i4>1769522</vt:i4>
      </vt:variant>
      <vt:variant>
        <vt:i4>44</vt:i4>
      </vt:variant>
      <vt:variant>
        <vt:i4>0</vt:i4>
      </vt:variant>
      <vt:variant>
        <vt:i4>5</vt:i4>
      </vt:variant>
      <vt:variant>
        <vt:lpwstr/>
      </vt:variant>
      <vt:variant>
        <vt:lpwstr>_Toc95487988</vt:lpwstr>
      </vt:variant>
      <vt:variant>
        <vt:i4>1310770</vt:i4>
      </vt:variant>
      <vt:variant>
        <vt:i4>38</vt:i4>
      </vt:variant>
      <vt:variant>
        <vt:i4>0</vt:i4>
      </vt:variant>
      <vt:variant>
        <vt:i4>5</vt:i4>
      </vt:variant>
      <vt:variant>
        <vt:lpwstr/>
      </vt:variant>
      <vt:variant>
        <vt:lpwstr>_Toc95487987</vt:lpwstr>
      </vt:variant>
      <vt:variant>
        <vt:i4>1376306</vt:i4>
      </vt:variant>
      <vt:variant>
        <vt:i4>32</vt:i4>
      </vt:variant>
      <vt:variant>
        <vt:i4>0</vt:i4>
      </vt:variant>
      <vt:variant>
        <vt:i4>5</vt:i4>
      </vt:variant>
      <vt:variant>
        <vt:lpwstr/>
      </vt:variant>
      <vt:variant>
        <vt:lpwstr>_Toc95487986</vt:lpwstr>
      </vt:variant>
      <vt:variant>
        <vt:i4>1441842</vt:i4>
      </vt:variant>
      <vt:variant>
        <vt:i4>26</vt:i4>
      </vt:variant>
      <vt:variant>
        <vt:i4>0</vt:i4>
      </vt:variant>
      <vt:variant>
        <vt:i4>5</vt:i4>
      </vt:variant>
      <vt:variant>
        <vt:lpwstr/>
      </vt:variant>
      <vt:variant>
        <vt:lpwstr>_Toc95487985</vt:lpwstr>
      </vt:variant>
      <vt:variant>
        <vt:i4>1507378</vt:i4>
      </vt:variant>
      <vt:variant>
        <vt:i4>20</vt:i4>
      </vt:variant>
      <vt:variant>
        <vt:i4>0</vt:i4>
      </vt:variant>
      <vt:variant>
        <vt:i4>5</vt:i4>
      </vt:variant>
      <vt:variant>
        <vt:lpwstr/>
      </vt:variant>
      <vt:variant>
        <vt:lpwstr>_Toc95487984</vt:lpwstr>
      </vt:variant>
      <vt:variant>
        <vt:i4>1048626</vt:i4>
      </vt:variant>
      <vt:variant>
        <vt:i4>14</vt:i4>
      </vt:variant>
      <vt:variant>
        <vt:i4>0</vt:i4>
      </vt:variant>
      <vt:variant>
        <vt:i4>5</vt:i4>
      </vt:variant>
      <vt:variant>
        <vt:lpwstr/>
      </vt:variant>
      <vt:variant>
        <vt:lpwstr>_Toc95487983</vt:lpwstr>
      </vt:variant>
      <vt:variant>
        <vt:i4>1114162</vt:i4>
      </vt:variant>
      <vt:variant>
        <vt:i4>8</vt:i4>
      </vt:variant>
      <vt:variant>
        <vt:i4>0</vt:i4>
      </vt:variant>
      <vt:variant>
        <vt:i4>5</vt:i4>
      </vt:variant>
      <vt:variant>
        <vt:lpwstr/>
      </vt:variant>
      <vt:variant>
        <vt:lpwstr>_Toc95487982</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6029397</vt:i4>
      </vt:variant>
      <vt:variant>
        <vt:i4>63</vt:i4>
      </vt:variant>
      <vt:variant>
        <vt:i4>0</vt:i4>
      </vt:variant>
      <vt:variant>
        <vt:i4>5</vt:i4>
      </vt:variant>
      <vt:variant>
        <vt:lpwstr>https://www.accc.gov.au/media-release/consumer-law-penalties-set-to-increase</vt:lpwstr>
      </vt:variant>
      <vt:variant>
        <vt:lpwstr/>
      </vt:variant>
      <vt:variant>
        <vt:i4>7602177</vt:i4>
      </vt:variant>
      <vt:variant>
        <vt:i4>60</vt:i4>
      </vt:variant>
      <vt:variant>
        <vt:i4>0</vt:i4>
      </vt:variant>
      <vt:variant>
        <vt:i4>5</vt:i4>
      </vt:variant>
      <vt:variant>
        <vt:lpwstr>https://accan.org.au/files/Policy Positions/PP 2021/Internet of Things Position Statement short_FINAL.pdf</vt:lpwstr>
      </vt:variant>
      <vt:variant>
        <vt:lpwstr/>
      </vt:variant>
      <vt:variant>
        <vt:i4>3014696</vt:i4>
      </vt:variant>
      <vt:variant>
        <vt:i4>57</vt:i4>
      </vt:variant>
      <vt:variant>
        <vt:i4>0</vt:i4>
      </vt:variant>
      <vt:variant>
        <vt:i4>5</vt:i4>
      </vt:variant>
      <vt:variant>
        <vt:lpwstr>https://www.pc.gov.au/inquiries/completed/repair/report/repair.pdf</vt:lpwstr>
      </vt:variant>
      <vt:variant>
        <vt:lpwstr/>
      </vt:variant>
      <vt:variant>
        <vt:i4>2031631</vt:i4>
      </vt:variant>
      <vt:variant>
        <vt:i4>54</vt:i4>
      </vt:variant>
      <vt:variant>
        <vt:i4>0</vt:i4>
      </vt:variant>
      <vt:variant>
        <vt:i4>5</vt:i4>
      </vt:variant>
      <vt:variant>
        <vt:lpwstr>https://www.finder.com.au/vodafone-outage-australia-april</vt:lpwstr>
      </vt:variant>
      <vt:variant>
        <vt:lpwstr/>
      </vt:variant>
      <vt:variant>
        <vt:i4>8323118</vt:i4>
      </vt:variant>
      <vt:variant>
        <vt:i4>51</vt:i4>
      </vt:variant>
      <vt:variant>
        <vt:i4>0</vt:i4>
      </vt:variant>
      <vt:variant>
        <vt:i4>5</vt:i4>
      </vt:variant>
      <vt:variant>
        <vt:lpwstr>https://www.abc.net.au/news/2021-01-23/call-for-better-remote-internet-after-rats-cause-outage/13072896</vt:lpwstr>
      </vt:variant>
      <vt:variant>
        <vt:lpwstr/>
      </vt:variant>
      <vt:variant>
        <vt:i4>6291507</vt:i4>
      </vt:variant>
      <vt:variant>
        <vt:i4>48</vt:i4>
      </vt:variant>
      <vt:variant>
        <vt:i4>0</vt:i4>
      </vt:variant>
      <vt:variant>
        <vt:i4>5</vt:i4>
      </vt:variant>
      <vt:variant>
        <vt:lpwstr>https://www.smh.com.au/national/nsw/the-sydney-suburb-that-s-been-without-proper-internet-since-april-20210715-p589xu.html</vt:lpwstr>
      </vt:variant>
      <vt:variant>
        <vt:lpwstr/>
      </vt:variant>
      <vt:variant>
        <vt:i4>7340080</vt:i4>
      </vt:variant>
      <vt:variant>
        <vt:i4>45</vt:i4>
      </vt:variant>
      <vt:variant>
        <vt:i4>0</vt:i4>
      </vt:variant>
      <vt:variant>
        <vt:i4>5</vt:i4>
      </vt:variant>
      <vt:variant>
        <vt:lpwstr>https://www.acma.gov.au/customer-service-guarantee</vt:lpwstr>
      </vt:variant>
      <vt:variant>
        <vt:lpwstr/>
      </vt:variant>
      <vt:variant>
        <vt:i4>8192109</vt:i4>
      </vt:variant>
      <vt:variant>
        <vt:i4>42</vt:i4>
      </vt:variant>
      <vt:variant>
        <vt:i4>0</vt:i4>
      </vt:variant>
      <vt:variant>
        <vt:i4>5</vt:i4>
      </vt:variant>
      <vt:variant>
        <vt:lpwstr>https://www.nbnco.com.au/content/dam/nbnco2/documents/wba/wba2/SFAA_WBAEthernetServiceLevels_markup_CIRRemediation_20180313.pdf</vt:lpwstr>
      </vt:variant>
      <vt:variant>
        <vt:lpwstr/>
      </vt:variant>
      <vt:variant>
        <vt:i4>5701705</vt:i4>
      </vt:variant>
      <vt:variant>
        <vt:i4>39</vt:i4>
      </vt:variant>
      <vt:variant>
        <vt:i4>0</vt:i4>
      </vt:variant>
      <vt:variant>
        <vt:i4>5</vt:i4>
      </vt:variant>
      <vt:variant>
        <vt:lpwstr>https://www.itnews.com.au/news/telstra-optus-tpg-to-face-court-over-underperforming-fttn-services-568372</vt:lpwstr>
      </vt:variant>
      <vt:variant>
        <vt:lpwstr/>
      </vt:variant>
      <vt:variant>
        <vt:i4>4456536</vt:i4>
      </vt:variant>
      <vt:variant>
        <vt:i4>36</vt:i4>
      </vt:variant>
      <vt:variant>
        <vt:i4>0</vt:i4>
      </vt:variant>
      <vt:variant>
        <vt:i4>5</vt:i4>
      </vt:variant>
      <vt:variant>
        <vt:lpwstr>https://www.accc.gov.au/consumers/consumer-rights-guarantees/consumer-guarantees</vt:lpwstr>
      </vt:variant>
      <vt:variant>
        <vt:lpwstr/>
      </vt:variant>
      <vt:variant>
        <vt:i4>3538984</vt:i4>
      </vt:variant>
      <vt:variant>
        <vt:i4>33</vt:i4>
      </vt:variant>
      <vt:variant>
        <vt:i4>0</vt:i4>
      </vt:variant>
      <vt:variant>
        <vt:i4>5</vt:i4>
      </vt:variant>
      <vt:variant>
        <vt:lpwstr>https://accan.org.au/files/Submissions/Australian Consumer Law Review ACCAN submission.pdf</vt:lpwstr>
      </vt:variant>
      <vt:variant>
        <vt:lpwstr/>
      </vt:variant>
      <vt:variant>
        <vt:i4>7733307</vt:i4>
      </vt:variant>
      <vt:variant>
        <vt:i4>30</vt:i4>
      </vt:variant>
      <vt:variant>
        <vt:i4>0</vt:i4>
      </vt:variant>
      <vt:variant>
        <vt:i4>5</vt:i4>
      </vt:variant>
      <vt:variant>
        <vt:lpwstr>https://cdn.tspace.gov.au/uploads/sites/60/2016/07/Telecommunications_Industry_Ombudsman.pdf</vt:lpwstr>
      </vt:variant>
      <vt:variant>
        <vt:lpwstr/>
      </vt:variant>
      <vt:variant>
        <vt:i4>5177409</vt:i4>
      </vt:variant>
      <vt:variant>
        <vt:i4>27</vt:i4>
      </vt:variant>
      <vt:variant>
        <vt:i4>0</vt:i4>
      </vt:variant>
      <vt:variant>
        <vt:i4>5</vt:i4>
      </vt:variant>
      <vt:variant>
        <vt:lpwstr>https://www.acma.gov.au/nbn-service-rules-telcos</vt:lpwstr>
      </vt:variant>
      <vt:variant>
        <vt:lpwstr/>
      </vt:variant>
      <vt:variant>
        <vt:i4>7536675</vt:i4>
      </vt:variant>
      <vt:variant>
        <vt:i4>24</vt:i4>
      </vt:variant>
      <vt:variant>
        <vt:i4>0</vt:i4>
      </vt:variant>
      <vt:variant>
        <vt:i4>5</vt:i4>
      </vt:variant>
      <vt:variant>
        <vt:lpwstr>https://www.legislation.gov.au/Details/F2021C00265</vt:lpwstr>
      </vt:variant>
      <vt:variant>
        <vt:lpwstr/>
      </vt:variant>
      <vt:variant>
        <vt:i4>1441798</vt:i4>
      </vt:variant>
      <vt:variant>
        <vt:i4>21</vt:i4>
      </vt:variant>
      <vt:variant>
        <vt:i4>0</vt:i4>
      </vt:variant>
      <vt:variant>
        <vt:i4>5</vt:i4>
      </vt:variant>
      <vt:variant>
        <vt:lpwstr>https://www.tio.com.au/sites/default/files/2021-11/Defending phone and internet accounts from fraudsters_fa_HiRes CLEAN.pdf</vt:lpwstr>
      </vt:variant>
      <vt:variant>
        <vt:lpwstr/>
      </vt:variant>
      <vt:variant>
        <vt:i4>1638414</vt:i4>
      </vt:variant>
      <vt:variant>
        <vt:i4>18</vt:i4>
      </vt:variant>
      <vt:variant>
        <vt:i4>0</vt:i4>
      </vt:variant>
      <vt:variant>
        <vt:i4>5</vt:i4>
      </vt:variant>
      <vt:variant>
        <vt:lpwstr>https://accan.org.au/files/News items/Still waiting analysis report v.1.1.pdf</vt:lpwstr>
      </vt:variant>
      <vt:variant>
        <vt:lpwstr/>
      </vt:variant>
      <vt:variant>
        <vt:i4>6750307</vt:i4>
      </vt:variant>
      <vt:variant>
        <vt:i4>15</vt:i4>
      </vt:variant>
      <vt:variant>
        <vt:i4>0</vt:i4>
      </vt:variant>
      <vt:variant>
        <vt:i4>5</vt:i4>
      </vt:variant>
      <vt:variant>
        <vt:lpwstr>https://www.synergies.com.au/wpcontent/uploads/2019/08/Public-report-Please-hold-costing-telco-customer-wait-times.pdf</vt:lpwstr>
      </vt:variant>
      <vt:variant>
        <vt:lpwstr/>
      </vt:variant>
      <vt:variant>
        <vt:i4>3211299</vt:i4>
      </vt:variant>
      <vt:variant>
        <vt:i4>12</vt:i4>
      </vt:variant>
      <vt:variant>
        <vt:i4>0</vt:i4>
      </vt:variant>
      <vt:variant>
        <vt:i4>5</vt:i4>
      </vt:variant>
      <vt:variant>
        <vt:lpwstr>https://www.roymorgan.com/findings/8746-roy-morgan-risk-monitor-by-industry-july-2021-202107150455</vt:lpwstr>
      </vt:variant>
      <vt:variant>
        <vt:lpwstr/>
      </vt:variant>
      <vt:variant>
        <vt:i4>2687090</vt:i4>
      </vt:variant>
      <vt:variant>
        <vt:i4>9</vt:i4>
      </vt:variant>
      <vt:variant>
        <vt:i4>0</vt:i4>
      </vt:variant>
      <vt:variant>
        <vt:i4>5</vt:i4>
      </vt:variant>
      <vt:variant>
        <vt:lpwstr>https://cprc.org.au/app/uploads/2021/09/Secotor-scorecard-sep21.pdf</vt:lpwstr>
      </vt:variant>
      <vt:variant>
        <vt:lpwstr/>
      </vt:variant>
      <vt:variant>
        <vt:i4>5242927</vt:i4>
      </vt:variant>
      <vt:variant>
        <vt:i4>6</vt:i4>
      </vt:variant>
      <vt:variant>
        <vt:i4>0</vt:i4>
      </vt:variant>
      <vt:variant>
        <vt:i4>5</vt:i4>
      </vt:variant>
      <vt:variant>
        <vt:lpwstr>https://www.tio.com.au/sites/default/files/2021-09/TIO_AR_Accessible_LR.pdf</vt:lpwstr>
      </vt:variant>
      <vt:variant>
        <vt:lpwstr/>
      </vt:variant>
      <vt:variant>
        <vt:i4>2031718</vt:i4>
      </vt:variant>
      <vt:variant>
        <vt:i4>3</vt:i4>
      </vt:variant>
      <vt:variant>
        <vt:i4>0</vt:i4>
      </vt:variant>
      <vt:variant>
        <vt:i4>5</vt:i4>
      </vt:variant>
      <vt:variant>
        <vt:lpwstr>https://treasury.gov.au/sites/default/files/2021-12/c2021-224294-cgsicris_2.pdf</vt:lpwstr>
      </vt:variant>
      <vt:variant>
        <vt:lpwstr/>
      </vt:variant>
      <vt:variant>
        <vt:i4>852058</vt:i4>
      </vt:variant>
      <vt:variant>
        <vt:i4>0</vt:i4>
      </vt:variant>
      <vt:variant>
        <vt:i4>0</vt:i4>
      </vt:variant>
      <vt:variant>
        <vt:i4>5</vt:i4>
      </vt:variant>
      <vt:variant>
        <vt:lpwstr>https://cprc.org.au/app/uploads/2020/07/Markets-for-People-Report_2July2020_compressed-1.pdf</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cp:lastModifiedBy>Meredith Lea</cp:lastModifiedBy>
  <cp:revision>159</cp:revision>
  <cp:lastPrinted>2022-02-11T05:08:00Z</cp:lastPrinted>
  <dcterms:created xsi:type="dcterms:W3CDTF">2022-02-08T23:09:00Z</dcterms:created>
  <dcterms:modified xsi:type="dcterms:W3CDTF">2022-02-11T05:08:00Z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