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3AA" w14:textId="1E3B79B4" w:rsidR="007A5D36" w:rsidRPr="00BD42C5" w:rsidRDefault="00ED09EB" w:rsidP="00566EB6">
      <w:pPr>
        <w:spacing w:line="240" w:lineRule="auto"/>
      </w:pPr>
      <w:r>
        <w:t>25</w:t>
      </w:r>
      <w:r w:rsidR="007C1AE7">
        <w:t xml:space="preserve"> </w:t>
      </w:r>
      <w:r w:rsidR="00F459ED">
        <w:t>March</w:t>
      </w:r>
      <w:r w:rsidR="007C1AE7">
        <w:t xml:space="preserve"> </w:t>
      </w:r>
      <w:r w:rsidR="007A68A1">
        <w:t>202</w:t>
      </w:r>
      <w:r w:rsidR="007C1AE7">
        <w:t>2</w:t>
      </w:r>
    </w:p>
    <w:p w14:paraId="53EDCB3C" w14:textId="1A5F4B69" w:rsidR="005A2858" w:rsidRPr="005A2858" w:rsidRDefault="00ED09EB" w:rsidP="005A2858">
      <w:pPr>
        <w:spacing w:line="240" w:lineRule="auto"/>
        <w:rPr>
          <w:b/>
        </w:rPr>
      </w:pPr>
      <w:r>
        <w:t>Vicky Finn</w:t>
      </w:r>
      <w:r w:rsidR="008727B2">
        <w:br/>
        <w:t>Strategy and Regulatory Affairs Lead</w:t>
      </w:r>
      <w:r w:rsidR="008727B2">
        <w:br/>
        <w:t xml:space="preserve">Telecommunications Industry Ombudsman </w:t>
      </w:r>
      <w:r w:rsidR="001B1917">
        <w:br/>
      </w:r>
      <w:r w:rsidR="005A2858" w:rsidRPr="00DA1749">
        <w:rPr>
          <w:bCs/>
        </w:rPr>
        <w:t>By email:</w:t>
      </w:r>
      <w:r w:rsidR="00DA1749">
        <w:rPr>
          <w:b/>
        </w:rPr>
        <w:t xml:space="preserve"> </w:t>
      </w:r>
      <w:hyperlink r:id="rId11" w:history="1">
        <w:r w:rsidR="00DA1749">
          <w:rPr>
            <w:rStyle w:val="Hyperlink"/>
          </w:rPr>
          <w:t>PublicConsultation@tio.com.au</w:t>
        </w:r>
      </w:hyperlink>
    </w:p>
    <w:p w14:paraId="4510AC67" w14:textId="3D7F33AA" w:rsidR="00C47BB2" w:rsidRPr="005A2858" w:rsidRDefault="005A2858" w:rsidP="005A2858">
      <w:pPr>
        <w:spacing w:line="240" w:lineRule="auto"/>
        <w:rPr>
          <w:bCs/>
        </w:rPr>
      </w:pPr>
      <w:r w:rsidRPr="005A2858">
        <w:rPr>
          <w:bCs/>
        </w:rPr>
        <w:t>Dear Vicky,</w:t>
      </w:r>
    </w:p>
    <w:p w14:paraId="2E81F8B3" w14:textId="28106BEE" w:rsidR="005A2858" w:rsidRPr="005E60DD" w:rsidRDefault="005A2858" w:rsidP="006017A6">
      <w:pPr>
        <w:jc w:val="center"/>
        <w:rPr>
          <w:b/>
          <w:bCs/>
        </w:rPr>
      </w:pPr>
      <w:r w:rsidRPr="005E60DD">
        <w:rPr>
          <w:b/>
          <w:bCs/>
        </w:rPr>
        <w:t xml:space="preserve">Re: </w:t>
      </w:r>
      <w:r w:rsidRPr="007D4462">
        <w:rPr>
          <w:b/>
          <w:bCs/>
          <w:i/>
          <w:iCs/>
        </w:rPr>
        <w:t>Complaints About Telecommunications Equipment</w:t>
      </w:r>
      <w:r w:rsidRPr="005E60DD">
        <w:rPr>
          <w:b/>
          <w:bCs/>
        </w:rPr>
        <w:t xml:space="preserve"> Draft Guidance</w:t>
      </w:r>
      <w:r w:rsidR="006319F2">
        <w:rPr>
          <w:b/>
          <w:bCs/>
        </w:rPr>
        <w:t xml:space="preserve"> Note</w:t>
      </w:r>
    </w:p>
    <w:p w14:paraId="54334254" w14:textId="7B77230C" w:rsidR="00774A7C" w:rsidRDefault="005E60DD" w:rsidP="0057235C">
      <w:pPr>
        <w:jc w:val="both"/>
      </w:pPr>
      <w:r>
        <w:t xml:space="preserve">ACCAN thanks the TIO for the opportunity </w:t>
      </w:r>
      <w:r w:rsidR="0088046B">
        <w:t>to provide feedback on</w:t>
      </w:r>
      <w:r w:rsidR="006319F2">
        <w:t xml:space="preserve"> its </w:t>
      </w:r>
      <w:r w:rsidR="00A9660B">
        <w:t xml:space="preserve">draft </w:t>
      </w:r>
      <w:r w:rsidR="00A9660B" w:rsidRPr="00A9660B">
        <w:rPr>
          <w:i/>
          <w:iCs/>
        </w:rPr>
        <w:t>Complaints about telecommunications equipment</w:t>
      </w:r>
      <w:r w:rsidR="00A9660B">
        <w:t xml:space="preserve"> guidance note (hereafter the guidance note). A</w:t>
      </w:r>
      <w:r w:rsidR="000E359E">
        <w:t>CCAN acknowledges</w:t>
      </w:r>
      <w:r w:rsidR="00D147F4">
        <w:t xml:space="preserve"> that</w:t>
      </w:r>
      <w:r w:rsidR="000E359E">
        <w:t xml:space="preserve"> this </w:t>
      </w:r>
      <w:r w:rsidR="00AD288E">
        <w:t>piece of work</w:t>
      </w:r>
      <w:r w:rsidR="0027038A">
        <w:t xml:space="preserve"> </w:t>
      </w:r>
      <w:r w:rsidR="008B45F7">
        <w:t xml:space="preserve">comes at the end of an extensive consultation process as part of the TIO’s </w:t>
      </w:r>
      <w:r w:rsidR="0037035C">
        <w:t xml:space="preserve">Terms of Reference </w:t>
      </w:r>
      <w:r w:rsidR="00017292">
        <w:t>modernisation</w:t>
      </w:r>
      <w:r w:rsidR="00D147F4">
        <w:t>. W</w:t>
      </w:r>
      <w:r w:rsidR="00017292">
        <w:t xml:space="preserve">e </w:t>
      </w:r>
      <w:r w:rsidR="0037035C">
        <w:t>appreciate</w:t>
      </w:r>
      <w:r w:rsidR="00017292">
        <w:t xml:space="preserve"> the TIO</w:t>
      </w:r>
      <w:r w:rsidR="0037035C">
        <w:t>’s</w:t>
      </w:r>
      <w:r w:rsidR="00017292">
        <w:t xml:space="preserve"> ongoing </w:t>
      </w:r>
      <w:r w:rsidR="00F6688B">
        <w:t xml:space="preserve">engagement with consumer groups on this issue. </w:t>
      </w:r>
    </w:p>
    <w:p w14:paraId="64DA7140" w14:textId="364786DD" w:rsidR="00AD288E" w:rsidRDefault="00F6688B" w:rsidP="0057235C">
      <w:pPr>
        <w:jc w:val="both"/>
      </w:pPr>
      <w:r>
        <w:t xml:space="preserve">In line with our previous </w:t>
      </w:r>
      <w:r w:rsidR="00954B17">
        <w:t>comments</w:t>
      </w:r>
      <w:r>
        <w:t>,</w:t>
      </w:r>
      <w:r w:rsidR="00E82AD8">
        <w:rPr>
          <w:rStyle w:val="FootnoteReference"/>
        </w:rPr>
        <w:footnoteReference w:id="2"/>
      </w:r>
      <w:r>
        <w:t xml:space="preserve"> </w:t>
      </w:r>
      <w:r w:rsidR="00AD288E">
        <w:t>ACCAN</w:t>
      </w:r>
      <w:r w:rsidR="00954B17">
        <w:t>’s position is</w:t>
      </w:r>
      <w:r>
        <w:t xml:space="preserve"> that the TIO </w:t>
      </w:r>
      <w:r w:rsidR="00954B17">
        <w:t xml:space="preserve">should </w:t>
      </w:r>
      <w:r>
        <w:t xml:space="preserve">consider all </w:t>
      </w:r>
      <w:r w:rsidR="00022CD5">
        <w:t>complaints regarding devices or equipment sold by a TIO member, regardless of whether the device</w:t>
      </w:r>
      <w:r w:rsidR="00945D98">
        <w:t xml:space="preserve"> or </w:t>
      </w:r>
      <w:r w:rsidR="00022CD5">
        <w:t>equipment is linked to a service, or the nature of the consumer complaint.</w:t>
      </w:r>
      <w:r w:rsidR="00927A13">
        <w:t xml:space="preserve"> It is not </w:t>
      </w:r>
      <w:r w:rsidR="002B633E">
        <w:t xml:space="preserve">in consumers’ interest that there </w:t>
      </w:r>
      <w:r w:rsidR="00927A13">
        <w:t xml:space="preserve">are </w:t>
      </w:r>
      <w:r w:rsidR="001F5898">
        <w:t xml:space="preserve">only </w:t>
      </w:r>
      <w:r w:rsidR="00927A13">
        <w:t>certain</w:t>
      </w:r>
      <w:r w:rsidR="001F5898">
        <w:t xml:space="preserve"> device</w:t>
      </w:r>
      <w:r w:rsidR="00945D98">
        <w:t xml:space="preserve"> or </w:t>
      </w:r>
      <w:r w:rsidR="001F5898">
        <w:t xml:space="preserve">equipment matters </w:t>
      </w:r>
      <w:r w:rsidR="00945D98">
        <w:t xml:space="preserve">that </w:t>
      </w:r>
      <w:r w:rsidR="001F5898">
        <w:t>the TIO can consider,</w:t>
      </w:r>
      <w:r w:rsidR="00627286">
        <w:t xml:space="preserve"> due to the risk of creating consumer confusion</w:t>
      </w:r>
      <w:r w:rsidR="002B633E">
        <w:t>, further inconvenience,</w:t>
      </w:r>
      <w:r w:rsidR="00627286">
        <w:t xml:space="preserve"> and </w:t>
      </w:r>
      <w:r w:rsidR="00E7487C">
        <w:t>delays in</w:t>
      </w:r>
      <w:r w:rsidR="00627286">
        <w:t xml:space="preserve"> </w:t>
      </w:r>
      <w:r w:rsidR="00F475F9">
        <w:t xml:space="preserve">resolving disputes. </w:t>
      </w:r>
      <w:r w:rsidR="00E7487C">
        <w:t xml:space="preserve"> </w:t>
      </w:r>
    </w:p>
    <w:p w14:paraId="28461241" w14:textId="2389DD78" w:rsidR="00927A13" w:rsidRDefault="00E7487C" w:rsidP="0057235C">
      <w:pPr>
        <w:jc w:val="both"/>
      </w:pPr>
      <w:r>
        <w:t xml:space="preserve">ACCAN wishes to provide </w:t>
      </w:r>
      <w:r w:rsidR="0002413C">
        <w:t xml:space="preserve">some </w:t>
      </w:r>
      <w:r>
        <w:t>addition</w:t>
      </w:r>
      <w:r w:rsidR="00945D98">
        <w:t>al</w:t>
      </w:r>
      <w:r>
        <w:t xml:space="preserve"> feedback on </w:t>
      </w:r>
      <w:r w:rsidR="002B633E">
        <w:t xml:space="preserve">the guidance note: </w:t>
      </w:r>
    </w:p>
    <w:p w14:paraId="498571BC" w14:textId="2380E4B6" w:rsidR="00774A7C" w:rsidRPr="0037477C" w:rsidRDefault="00DB7757" w:rsidP="0057235C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Consideration of </w:t>
      </w:r>
      <w:r w:rsidR="002F1649">
        <w:rPr>
          <w:rFonts w:eastAsia="Times New Roman"/>
          <w:b/>
          <w:bCs/>
        </w:rPr>
        <w:t>Australian Consumer Law</w:t>
      </w:r>
      <w:r w:rsidR="002C06B1">
        <w:rPr>
          <w:rFonts w:eastAsia="Times New Roman"/>
          <w:b/>
          <w:bCs/>
        </w:rPr>
        <w:t xml:space="preserve"> (ACL)</w:t>
      </w:r>
      <w:r w:rsidR="002F1649">
        <w:rPr>
          <w:rFonts w:eastAsia="Times New Roman"/>
          <w:b/>
          <w:bCs/>
        </w:rPr>
        <w:t xml:space="preserve"> guarantees</w:t>
      </w:r>
      <w:r w:rsidR="000E359E" w:rsidRPr="000E359E">
        <w:rPr>
          <w:rFonts w:eastAsia="Times New Roman"/>
          <w:b/>
          <w:bCs/>
        </w:rPr>
        <w:t>:</w:t>
      </w:r>
      <w:r w:rsidR="000E359E">
        <w:rPr>
          <w:rFonts w:eastAsia="Times New Roman"/>
        </w:rPr>
        <w:t xml:space="preserve"> </w:t>
      </w:r>
      <w:r w:rsidR="002B633E">
        <w:rPr>
          <w:rFonts w:eastAsia="Times New Roman"/>
        </w:rPr>
        <w:t>The guidance note</w:t>
      </w:r>
      <w:r w:rsidR="00774A7C">
        <w:rPr>
          <w:rFonts w:eastAsia="Times New Roman"/>
        </w:rPr>
        <w:t xml:space="preserve"> should clarif</w:t>
      </w:r>
      <w:r w:rsidR="002B633E">
        <w:rPr>
          <w:rFonts w:eastAsia="Times New Roman"/>
        </w:rPr>
        <w:t>y</w:t>
      </w:r>
      <w:r w:rsidR="00774A7C">
        <w:rPr>
          <w:rFonts w:eastAsia="Times New Roman"/>
        </w:rPr>
        <w:t xml:space="preserve"> how</w:t>
      </w:r>
      <w:r w:rsidR="00E0389A">
        <w:rPr>
          <w:rFonts w:eastAsia="Times New Roman"/>
        </w:rPr>
        <w:t xml:space="preserve"> device and equipment</w:t>
      </w:r>
      <w:r w:rsidR="00774A7C">
        <w:rPr>
          <w:rFonts w:eastAsia="Times New Roman"/>
        </w:rPr>
        <w:t xml:space="preserve"> complaints </w:t>
      </w:r>
      <w:r w:rsidR="002F1649">
        <w:rPr>
          <w:rFonts w:eastAsia="Times New Roman"/>
        </w:rPr>
        <w:t xml:space="preserve">related to consumer </w:t>
      </w:r>
      <w:r w:rsidR="00E0389A">
        <w:rPr>
          <w:rFonts w:eastAsia="Times New Roman"/>
        </w:rPr>
        <w:t>guarantees</w:t>
      </w:r>
      <w:r w:rsidR="00246E00">
        <w:rPr>
          <w:rStyle w:val="FootnoteReference"/>
          <w:rFonts w:eastAsia="Times New Roman"/>
        </w:rPr>
        <w:footnoteReference w:id="3"/>
      </w:r>
      <w:r w:rsidR="002F1649">
        <w:rPr>
          <w:rFonts w:eastAsia="Times New Roman"/>
        </w:rPr>
        <w:t xml:space="preserve"> </w:t>
      </w:r>
      <w:r w:rsidR="00774A7C">
        <w:rPr>
          <w:rFonts w:eastAsia="Times New Roman"/>
        </w:rPr>
        <w:t xml:space="preserve">will be considered by the TIO, particularly where the </w:t>
      </w:r>
      <w:r w:rsidR="00F133EA">
        <w:rPr>
          <w:rFonts w:eastAsia="Times New Roman"/>
        </w:rPr>
        <w:t xml:space="preserve">device or </w:t>
      </w:r>
      <w:r w:rsidR="00774A7C">
        <w:rPr>
          <w:rFonts w:eastAsia="Times New Roman"/>
        </w:rPr>
        <w:t>equipment sold ends up being inaccessible for a consumer with disability.</w:t>
      </w:r>
      <w:r w:rsidR="00DB6116">
        <w:rPr>
          <w:rFonts w:eastAsia="Times New Roman"/>
        </w:rPr>
        <w:t xml:space="preserve"> </w:t>
      </w:r>
      <w:r w:rsidR="007C79F3">
        <w:rPr>
          <w:rFonts w:eastAsia="Times New Roman"/>
        </w:rPr>
        <w:t>For example, i</w:t>
      </w:r>
      <w:r w:rsidR="00DB6116">
        <w:rPr>
          <w:rFonts w:eastAsia="Times New Roman"/>
        </w:rPr>
        <w:t>f the TIO member sells device</w:t>
      </w:r>
      <w:r w:rsidR="00DC0295">
        <w:rPr>
          <w:rFonts w:eastAsia="Times New Roman"/>
        </w:rPr>
        <w:t xml:space="preserve">s or </w:t>
      </w:r>
      <w:r w:rsidR="00DB6116">
        <w:rPr>
          <w:rFonts w:eastAsia="Times New Roman"/>
        </w:rPr>
        <w:t xml:space="preserve">equipment </w:t>
      </w:r>
      <w:r w:rsidR="00DC0295">
        <w:rPr>
          <w:rFonts w:eastAsia="Times New Roman"/>
        </w:rPr>
        <w:t xml:space="preserve">that </w:t>
      </w:r>
      <w:r w:rsidR="00FE0F66">
        <w:rPr>
          <w:rFonts w:eastAsia="Times New Roman"/>
        </w:rPr>
        <w:t>are</w:t>
      </w:r>
      <w:r w:rsidR="00DB6116">
        <w:rPr>
          <w:rFonts w:eastAsia="Times New Roman"/>
        </w:rPr>
        <w:t xml:space="preserve"> not fit for purpose for a consumer, </w:t>
      </w:r>
      <w:r w:rsidR="00874AEB">
        <w:rPr>
          <w:rFonts w:eastAsia="Times New Roman"/>
        </w:rPr>
        <w:t>the TIO should</w:t>
      </w:r>
      <w:r w:rsidR="0037477C">
        <w:rPr>
          <w:rFonts w:eastAsia="Times New Roman"/>
        </w:rPr>
        <w:t xml:space="preserve"> be able to consider a complaint about this</w:t>
      </w:r>
      <w:r w:rsidR="004F5045">
        <w:rPr>
          <w:rFonts w:eastAsia="Times New Roman"/>
        </w:rPr>
        <w:t>, because fitness for purpose can impact a consumers’ access to their telecommunications service</w:t>
      </w:r>
      <w:r w:rsidR="00475A57">
        <w:rPr>
          <w:rFonts w:eastAsia="Times New Roman"/>
        </w:rPr>
        <w:t>, regardless of which TIO member provides this service</w:t>
      </w:r>
      <w:r w:rsidR="0037477C">
        <w:rPr>
          <w:rFonts w:eastAsia="Times New Roman"/>
        </w:rPr>
        <w:t>.</w:t>
      </w:r>
      <w:r w:rsidR="00874AEB">
        <w:rPr>
          <w:rFonts w:eastAsia="Times New Roman"/>
        </w:rPr>
        <w:t xml:space="preserve"> </w:t>
      </w:r>
      <w:r w:rsidR="00DB6116" w:rsidRPr="0037477C">
        <w:rPr>
          <w:rFonts w:eastAsia="Times New Roman"/>
        </w:rPr>
        <w:t>This is a common issue experienced by consumers with disability, who may</w:t>
      </w:r>
      <w:r w:rsidR="008003B7">
        <w:rPr>
          <w:rFonts w:eastAsia="Times New Roman"/>
        </w:rPr>
        <w:t xml:space="preserve"> only</w:t>
      </w:r>
      <w:r w:rsidR="00DB6116" w:rsidRPr="0037477C">
        <w:rPr>
          <w:rFonts w:eastAsia="Times New Roman"/>
        </w:rPr>
        <w:t xml:space="preserve"> find out after the fact that a piece of equipment is not</w:t>
      </w:r>
      <w:r w:rsidR="007C79F3">
        <w:rPr>
          <w:rFonts w:eastAsia="Times New Roman"/>
        </w:rPr>
        <w:t xml:space="preserve"> </w:t>
      </w:r>
      <w:r w:rsidR="00DB6116" w:rsidRPr="0037477C">
        <w:rPr>
          <w:rFonts w:eastAsia="Times New Roman"/>
        </w:rPr>
        <w:t xml:space="preserve">accessible. </w:t>
      </w:r>
    </w:p>
    <w:p w14:paraId="684C588F" w14:textId="6E8F4048" w:rsidR="009B2B7C" w:rsidRDefault="00D10FE2" w:rsidP="0057235C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What the TIO expects from</w:t>
      </w:r>
      <w:r w:rsidR="000E359E" w:rsidRPr="000E359E">
        <w:rPr>
          <w:rFonts w:eastAsia="Times New Roman"/>
          <w:b/>
          <w:bCs/>
        </w:rPr>
        <w:t xml:space="preserve"> TIO members:</w:t>
      </w:r>
      <w:r w:rsidR="000E359E">
        <w:rPr>
          <w:rFonts w:eastAsia="Times New Roman"/>
        </w:rPr>
        <w:t xml:space="preserve"> </w:t>
      </w:r>
      <w:r w:rsidR="00774A7C">
        <w:rPr>
          <w:rFonts w:eastAsia="Times New Roman"/>
        </w:rPr>
        <w:t>The guid</w:t>
      </w:r>
      <w:r w:rsidR="009B2B7C">
        <w:rPr>
          <w:rFonts w:eastAsia="Times New Roman"/>
        </w:rPr>
        <w:t xml:space="preserve">ance note outlines </w:t>
      </w:r>
      <w:r>
        <w:rPr>
          <w:rFonts w:eastAsia="Times New Roman"/>
        </w:rPr>
        <w:t xml:space="preserve">the TIO’s expectations </w:t>
      </w:r>
      <w:r w:rsidR="009B2B7C">
        <w:rPr>
          <w:rFonts w:eastAsia="Times New Roman"/>
        </w:rPr>
        <w:t xml:space="preserve">for consumers </w:t>
      </w:r>
      <w:r w:rsidR="002144B4">
        <w:rPr>
          <w:rFonts w:eastAsia="Times New Roman"/>
        </w:rPr>
        <w:t xml:space="preserve">in the dispute resolution </w:t>
      </w:r>
      <w:r w:rsidR="0001603E">
        <w:rPr>
          <w:rFonts w:eastAsia="Times New Roman"/>
        </w:rPr>
        <w:t>process. I</w:t>
      </w:r>
      <w:r w:rsidR="002144B4">
        <w:rPr>
          <w:rFonts w:eastAsia="Times New Roman"/>
        </w:rPr>
        <w:t xml:space="preserve">t would be beneficial for the guidance note to </w:t>
      </w:r>
      <w:r w:rsidR="0001603E">
        <w:rPr>
          <w:rFonts w:eastAsia="Times New Roman"/>
        </w:rPr>
        <w:t xml:space="preserve">also </w:t>
      </w:r>
      <w:r w:rsidR="002144B4">
        <w:rPr>
          <w:rFonts w:eastAsia="Times New Roman"/>
        </w:rPr>
        <w:t xml:space="preserve">outline </w:t>
      </w:r>
      <w:r w:rsidR="000B179B">
        <w:rPr>
          <w:rFonts w:eastAsia="Times New Roman"/>
        </w:rPr>
        <w:t xml:space="preserve">the TIO’s expectations for its members when responding to </w:t>
      </w:r>
      <w:r w:rsidR="0059123C">
        <w:rPr>
          <w:rFonts w:eastAsia="Times New Roman"/>
        </w:rPr>
        <w:t>device</w:t>
      </w:r>
      <w:r w:rsidR="002E4CE3">
        <w:rPr>
          <w:rFonts w:eastAsia="Times New Roman"/>
        </w:rPr>
        <w:t xml:space="preserve"> or </w:t>
      </w:r>
      <w:r w:rsidR="0059123C">
        <w:rPr>
          <w:rFonts w:eastAsia="Times New Roman"/>
        </w:rPr>
        <w:t xml:space="preserve">equipment complaints. </w:t>
      </w:r>
      <w:r w:rsidR="009D2542">
        <w:rPr>
          <w:rFonts w:eastAsia="Times New Roman"/>
        </w:rPr>
        <w:t>This could include, f</w:t>
      </w:r>
      <w:r w:rsidR="0059123C">
        <w:rPr>
          <w:rFonts w:eastAsia="Times New Roman"/>
        </w:rPr>
        <w:t xml:space="preserve">or example, </w:t>
      </w:r>
      <w:r w:rsidR="002E4CE3">
        <w:rPr>
          <w:rFonts w:eastAsia="Times New Roman"/>
        </w:rPr>
        <w:t xml:space="preserve">the expectation </w:t>
      </w:r>
      <w:r w:rsidR="0059123C">
        <w:rPr>
          <w:rFonts w:eastAsia="Times New Roman"/>
        </w:rPr>
        <w:t>that a provider should not take an unreasonable amount of time to assess the device</w:t>
      </w:r>
      <w:r w:rsidR="002E4CE3">
        <w:rPr>
          <w:rFonts w:eastAsia="Times New Roman"/>
        </w:rPr>
        <w:t xml:space="preserve"> or piece of </w:t>
      </w:r>
      <w:r w:rsidR="0059123C">
        <w:rPr>
          <w:rFonts w:eastAsia="Times New Roman"/>
        </w:rPr>
        <w:t xml:space="preserve">equipment. This would </w:t>
      </w:r>
      <w:r w:rsidR="002E4CE3">
        <w:rPr>
          <w:rFonts w:eastAsia="Times New Roman"/>
        </w:rPr>
        <w:t>help guide</w:t>
      </w:r>
      <w:r w:rsidR="0059123C">
        <w:rPr>
          <w:rFonts w:eastAsia="Times New Roman"/>
        </w:rPr>
        <w:t xml:space="preserve"> consumers’ expectations </w:t>
      </w:r>
      <w:r w:rsidR="0001603E">
        <w:rPr>
          <w:rFonts w:eastAsia="Times New Roman"/>
        </w:rPr>
        <w:t xml:space="preserve">and allow them to compare their provider’s conduct with </w:t>
      </w:r>
      <w:r w:rsidR="00932B2E">
        <w:rPr>
          <w:rFonts w:eastAsia="Times New Roman"/>
        </w:rPr>
        <w:t xml:space="preserve">the TIO’s guidance. </w:t>
      </w:r>
    </w:p>
    <w:p w14:paraId="1BAB876D" w14:textId="4C8C0242" w:rsidR="00774A7C" w:rsidRDefault="00AF3560" w:rsidP="79D931A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 w:rsidRPr="00932B2E">
        <w:rPr>
          <w:rFonts w:eastAsia="Times New Roman"/>
          <w:b/>
          <w:bCs/>
        </w:rPr>
        <w:lastRenderedPageBreak/>
        <w:t>Requirement to return equipment</w:t>
      </w:r>
      <w:r>
        <w:rPr>
          <w:rFonts w:eastAsia="Times New Roman"/>
        </w:rPr>
        <w:t xml:space="preserve">: </w:t>
      </w:r>
      <w:r w:rsidR="00774A7C">
        <w:rPr>
          <w:rFonts w:eastAsia="Times New Roman"/>
        </w:rPr>
        <w:t>The guid</w:t>
      </w:r>
      <w:r w:rsidR="009D2542">
        <w:rPr>
          <w:rFonts w:eastAsia="Times New Roman"/>
        </w:rPr>
        <w:t>anc</w:t>
      </w:r>
      <w:r w:rsidR="00774A7C">
        <w:rPr>
          <w:rFonts w:eastAsia="Times New Roman"/>
        </w:rPr>
        <w:t>e</w:t>
      </w:r>
      <w:r w:rsidR="009D2542">
        <w:rPr>
          <w:rFonts w:eastAsia="Times New Roman"/>
        </w:rPr>
        <w:t xml:space="preserve"> note</w:t>
      </w:r>
      <w:r w:rsidR="00774A7C">
        <w:rPr>
          <w:rFonts w:eastAsia="Times New Roman"/>
        </w:rPr>
        <w:t xml:space="preserve"> should outline that a consumer should only be required to send equipment back for assessment where </w:t>
      </w:r>
      <w:r w:rsidR="009B6C5D">
        <w:rPr>
          <w:rFonts w:eastAsia="Times New Roman"/>
        </w:rPr>
        <w:t xml:space="preserve">this is </w:t>
      </w:r>
      <w:r w:rsidR="00774A7C">
        <w:rPr>
          <w:rFonts w:eastAsia="Times New Roman"/>
        </w:rPr>
        <w:t>reasonable and practicable</w:t>
      </w:r>
      <w:r w:rsidR="003C7BDD">
        <w:rPr>
          <w:rFonts w:eastAsia="Times New Roman"/>
        </w:rPr>
        <w:t>, and</w:t>
      </w:r>
      <w:r w:rsidR="0064428F">
        <w:rPr>
          <w:rFonts w:eastAsia="Times New Roman"/>
        </w:rPr>
        <w:t xml:space="preserve"> the</w:t>
      </w:r>
      <w:r w:rsidR="003C7BDD">
        <w:rPr>
          <w:rFonts w:eastAsia="Times New Roman"/>
        </w:rPr>
        <w:t xml:space="preserve"> cost</w:t>
      </w:r>
      <w:r w:rsidR="0064428F">
        <w:rPr>
          <w:rFonts w:eastAsia="Times New Roman"/>
        </w:rPr>
        <w:t xml:space="preserve"> of return</w:t>
      </w:r>
      <w:r w:rsidR="00121B51">
        <w:rPr>
          <w:rFonts w:eastAsia="Times New Roman"/>
        </w:rPr>
        <w:t xml:space="preserve"> should </w:t>
      </w:r>
      <w:r w:rsidR="00171766">
        <w:rPr>
          <w:rFonts w:eastAsia="Times New Roman"/>
        </w:rPr>
        <w:t>not be borne by the consumer</w:t>
      </w:r>
      <w:r w:rsidR="006F7934">
        <w:rPr>
          <w:rFonts w:eastAsia="Times New Roman"/>
        </w:rPr>
        <w:t xml:space="preserve"> as</w:t>
      </w:r>
      <w:r w:rsidR="004F3B8A">
        <w:rPr>
          <w:rFonts w:eastAsia="Times New Roman"/>
        </w:rPr>
        <w:t xml:space="preserve"> </w:t>
      </w:r>
      <w:r w:rsidR="0064428F">
        <w:rPr>
          <w:rFonts w:eastAsia="Times New Roman"/>
        </w:rPr>
        <w:t>considered</w:t>
      </w:r>
      <w:r w:rsidR="004F3B8A">
        <w:rPr>
          <w:rFonts w:eastAsia="Times New Roman"/>
        </w:rPr>
        <w:t xml:space="preserve"> </w:t>
      </w:r>
      <w:r w:rsidR="002C06B1">
        <w:rPr>
          <w:rFonts w:eastAsia="Times New Roman"/>
        </w:rPr>
        <w:t>under the ACL</w:t>
      </w:r>
      <w:r w:rsidR="00774A7C">
        <w:rPr>
          <w:rFonts w:eastAsia="Times New Roman"/>
        </w:rPr>
        <w:t>.</w:t>
      </w:r>
      <w:r w:rsidR="002C06B1">
        <w:rPr>
          <w:rStyle w:val="FootnoteReference"/>
          <w:rFonts w:eastAsia="Times New Roman"/>
        </w:rPr>
        <w:footnoteReference w:id="4"/>
      </w:r>
      <w:r w:rsidR="00932B2E">
        <w:rPr>
          <w:rFonts w:eastAsia="Times New Roman"/>
        </w:rPr>
        <w:t xml:space="preserve"> For example, </w:t>
      </w:r>
      <w:r w:rsidR="005E2220">
        <w:rPr>
          <w:rFonts w:eastAsia="Times New Roman"/>
        </w:rPr>
        <w:t xml:space="preserve">in the EDR process, </w:t>
      </w:r>
      <w:r w:rsidR="002F23AB">
        <w:rPr>
          <w:rFonts w:eastAsia="Times New Roman"/>
        </w:rPr>
        <w:t>a consumer in a very remote area should not be required to return a device</w:t>
      </w:r>
      <w:r w:rsidR="005E2220">
        <w:rPr>
          <w:rFonts w:eastAsia="Times New Roman"/>
        </w:rPr>
        <w:t xml:space="preserve"> </w:t>
      </w:r>
      <w:r w:rsidR="002F23AB">
        <w:rPr>
          <w:rFonts w:eastAsia="Times New Roman"/>
        </w:rPr>
        <w:t xml:space="preserve">that is </w:t>
      </w:r>
      <w:r w:rsidR="005E2220">
        <w:rPr>
          <w:rFonts w:eastAsia="Times New Roman"/>
        </w:rPr>
        <w:t>evidently</w:t>
      </w:r>
      <w:r w:rsidR="002F23AB">
        <w:rPr>
          <w:rFonts w:eastAsia="Times New Roman"/>
        </w:rPr>
        <w:t xml:space="preserve"> </w:t>
      </w:r>
      <w:r w:rsidR="005E2220">
        <w:rPr>
          <w:rFonts w:eastAsia="Times New Roman"/>
        </w:rPr>
        <w:t xml:space="preserve">unusable if they do not have the means to do so. </w:t>
      </w:r>
    </w:p>
    <w:p w14:paraId="6613F92C" w14:textId="1477C329" w:rsidR="0057235C" w:rsidRPr="00FE736F" w:rsidRDefault="002F23AB" w:rsidP="0057235C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2F23AB">
        <w:rPr>
          <w:rFonts w:eastAsia="Times New Roman"/>
          <w:b/>
          <w:bCs/>
        </w:rPr>
        <w:t>M</w:t>
      </w:r>
      <w:r w:rsidR="00AF3560" w:rsidRPr="002F23AB">
        <w:rPr>
          <w:rFonts w:eastAsia="Times New Roman"/>
          <w:b/>
          <w:bCs/>
        </w:rPr>
        <w:t>is-selling</w:t>
      </w:r>
      <w:r w:rsidR="00AF3560">
        <w:rPr>
          <w:rFonts w:eastAsia="Times New Roman"/>
        </w:rPr>
        <w:t xml:space="preserve">: </w:t>
      </w:r>
      <w:r w:rsidR="009D719B">
        <w:rPr>
          <w:rFonts w:eastAsia="Times New Roman"/>
        </w:rPr>
        <w:t>In instances where consumers were misled</w:t>
      </w:r>
      <w:r w:rsidR="007B5C30">
        <w:rPr>
          <w:rFonts w:eastAsia="Times New Roman"/>
        </w:rPr>
        <w:t xml:space="preserve"> or didn’t get what they were promised</w:t>
      </w:r>
      <w:r w:rsidR="009D719B">
        <w:rPr>
          <w:rFonts w:eastAsia="Times New Roman"/>
        </w:rPr>
        <w:t>, t</w:t>
      </w:r>
      <w:r w:rsidR="00AF3560">
        <w:rPr>
          <w:rFonts w:eastAsia="Times New Roman"/>
        </w:rPr>
        <w:t xml:space="preserve">he guidance note </w:t>
      </w:r>
      <w:r>
        <w:rPr>
          <w:rFonts w:eastAsia="Times New Roman"/>
        </w:rPr>
        <w:t>states that the TIO</w:t>
      </w:r>
      <w:r>
        <w:t xml:space="preserve"> may consider complaints about devices</w:t>
      </w:r>
      <w:r w:rsidR="002B4683">
        <w:t xml:space="preserve"> or </w:t>
      </w:r>
      <w:r>
        <w:t>equipment</w:t>
      </w:r>
      <w:r w:rsidR="00604742">
        <w:t>,</w:t>
      </w:r>
      <w:r>
        <w:t xml:space="preserve"> where that device</w:t>
      </w:r>
      <w:r w:rsidR="002B4683">
        <w:t xml:space="preserve"> or piece of </w:t>
      </w:r>
      <w:r>
        <w:t>equipment was sold with a service.</w:t>
      </w:r>
      <w:r w:rsidR="00475A57">
        <w:t xml:space="preserve"> Giv</w:t>
      </w:r>
      <w:r w:rsidR="007B5C30">
        <w:t>en</w:t>
      </w:r>
      <w:r w:rsidR="00475A57">
        <w:t xml:space="preserve"> the </w:t>
      </w:r>
      <w:r w:rsidR="00DD5EF9">
        <w:t>risk of consumer harm due to mis-selling, and the fact that mis-selling can often extend to device</w:t>
      </w:r>
      <w:r w:rsidR="00C42A8A">
        <w:t xml:space="preserve"> or </w:t>
      </w:r>
      <w:r w:rsidR="0057235C">
        <w:t>equipment add-ons like smart home devices and accessories, the TIO must consider complaints related to a member’s mis-selling of devices</w:t>
      </w:r>
      <w:r w:rsidR="00C42A8A">
        <w:t xml:space="preserve"> or </w:t>
      </w:r>
      <w:r w:rsidR="0057235C">
        <w:t xml:space="preserve">equipment regardless of whether these are linked to a service. </w:t>
      </w:r>
    </w:p>
    <w:p w14:paraId="52AF80BE" w14:textId="2B89360D" w:rsidR="00FE736F" w:rsidRPr="0057235C" w:rsidRDefault="00485F8A" w:rsidP="0057235C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Complaints relating</w:t>
      </w:r>
      <w:r w:rsidR="00397223">
        <w:rPr>
          <w:rFonts w:eastAsia="Times New Roman"/>
          <w:b/>
          <w:bCs/>
        </w:rPr>
        <w:t xml:space="preserve"> to</w:t>
      </w:r>
      <w:r w:rsidR="00B3327F">
        <w:rPr>
          <w:rFonts w:eastAsia="Times New Roman"/>
          <w:b/>
          <w:bCs/>
        </w:rPr>
        <w:t xml:space="preserve"> remedies under the</w:t>
      </w:r>
      <w:r w:rsidR="00397223" w:rsidRPr="00397223">
        <w:rPr>
          <w:rFonts w:eastAsia="Times New Roman"/>
          <w:b/>
          <w:bCs/>
        </w:rPr>
        <w:t xml:space="preserve"> </w:t>
      </w:r>
      <w:r w:rsidR="00397223">
        <w:rPr>
          <w:rFonts w:eastAsia="Times New Roman"/>
          <w:b/>
          <w:bCs/>
        </w:rPr>
        <w:t>ACL</w:t>
      </w:r>
      <w:r w:rsidR="00B3327F">
        <w:rPr>
          <w:rFonts w:eastAsia="Times New Roman"/>
          <w:b/>
          <w:bCs/>
        </w:rPr>
        <w:t xml:space="preserve">: </w:t>
      </w:r>
      <w:r w:rsidR="000F4A31">
        <w:rPr>
          <w:rFonts w:eastAsia="Times New Roman"/>
        </w:rPr>
        <w:t>R</w:t>
      </w:r>
      <w:r w:rsidR="00B3327F">
        <w:rPr>
          <w:rFonts w:eastAsia="Times New Roman"/>
        </w:rPr>
        <w:t xml:space="preserve">ecognising </w:t>
      </w:r>
      <w:r w:rsidR="00C6303B">
        <w:rPr>
          <w:rFonts w:eastAsia="Times New Roman"/>
        </w:rPr>
        <w:t xml:space="preserve">that </w:t>
      </w:r>
      <w:r w:rsidR="00B3327F">
        <w:rPr>
          <w:rFonts w:eastAsia="Times New Roman"/>
        </w:rPr>
        <w:t xml:space="preserve">the remedies for </w:t>
      </w:r>
      <w:r w:rsidR="00937C1C">
        <w:rPr>
          <w:rFonts w:eastAsia="Times New Roman"/>
        </w:rPr>
        <w:t xml:space="preserve">the </w:t>
      </w:r>
      <w:r w:rsidR="00B3327F">
        <w:rPr>
          <w:rFonts w:eastAsia="Times New Roman"/>
        </w:rPr>
        <w:t xml:space="preserve">breach of </w:t>
      </w:r>
      <w:r w:rsidR="003A0DF0">
        <w:rPr>
          <w:rFonts w:eastAsia="Times New Roman"/>
        </w:rPr>
        <w:t>consumer guarantees relating to goods are complex</w:t>
      </w:r>
      <w:r w:rsidR="007161AE">
        <w:rPr>
          <w:rFonts w:eastAsia="Times New Roman"/>
        </w:rPr>
        <w:t>,</w:t>
      </w:r>
      <w:r w:rsidR="009D4AF2">
        <w:rPr>
          <w:rStyle w:val="FootnoteReference"/>
          <w:rFonts w:eastAsia="Times New Roman"/>
        </w:rPr>
        <w:footnoteReference w:id="5"/>
      </w:r>
      <w:r w:rsidR="007161AE">
        <w:rPr>
          <w:rFonts w:eastAsia="Times New Roman"/>
        </w:rPr>
        <w:t xml:space="preserve"> </w:t>
      </w:r>
      <w:r w:rsidR="00987FEB">
        <w:rPr>
          <w:rFonts w:eastAsia="Times New Roman"/>
        </w:rPr>
        <w:t>the guidance</w:t>
      </w:r>
      <w:r w:rsidR="00A305B8">
        <w:rPr>
          <w:rFonts w:eastAsia="Times New Roman"/>
        </w:rPr>
        <w:t xml:space="preserve"> note</w:t>
      </w:r>
      <w:r w:rsidR="00987FEB">
        <w:rPr>
          <w:rFonts w:eastAsia="Times New Roman"/>
        </w:rPr>
        <w:t xml:space="preserve"> </w:t>
      </w:r>
      <w:r w:rsidR="00937C1C">
        <w:rPr>
          <w:rFonts w:eastAsia="Times New Roman"/>
        </w:rPr>
        <w:t xml:space="preserve">should clearly </w:t>
      </w:r>
      <w:r w:rsidR="00987FEB">
        <w:rPr>
          <w:rFonts w:eastAsia="Times New Roman"/>
        </w:rPr>
        <w:t xml:space="preserve">reference </w:t>
      </w:r>
      <w:r w:rsidR="00832B8F">
        <w:rPr>
          <w:rFonts w:eastAsia="Times New Roman"/>
        </w:rPr>
        <w:t xml:space="preserve">how </w:t>
      </w:r>
      <w:r w:rsidR="00937C1C">
        <w:rPr>
          <w:rFonts w:eastAsia="Times New Roman"/>
        </w:rPr>
        <w:t xml:space="preserve">the TIO will consider </w:t>
      </w:r>
      <w:r w:rsidR="00832B8F">
        <w:rPr>
          <w:rFonts w:eastAsia="Times New Roman"/>
        </w:rPr>
        <w:t>these provisions in relation to common complaints</w:t>
      </w:r>
      <w:r w:rsidR="008C3D82">
        <w:rPr>
          <w:rFonts w:eastAsia="Times New Roman"/>
        </w:rPr>
        <w:t xml:space="preserve">. </w:t>
      </w:r>
      <w:r w:rsidR="00D63021">
        <w:rPr>
          <w:rFonts w:eastAsia="Times New Roman"/>
        </w:rPr>
        <w:t>This could include, f</w:t>
      </w:r>
      <w:r w:rsidR="008C3D82">
        <w:rPr>
          <w:rFonts w:eastAsia="Times New Roman"/>
        </w:rPr>
        <w:t>or example,</w:t>
      </w:r>
      <w:r w:rsidR="00D63021">
        <w:rPr>
          <w:rFonts w:eastAsia="Times New Roman"/>
        </w:rPr>
        <w:t xml:space="preserve"> how </w:t>
      </w:r>
      <w:r w:rsidR="00A70405">
        <w:rPr>
          <w:rFonts w:eastAsia="Times New Roman"/>
        </w:rPr>
        <w:t xml:space="preserve">the provisions will be considered where </w:t>
      </w:r>
      <w:r w:rsidR="00C334DD">
        <w:rPr>
          <w:rFonts w:eastAsia="Times New Roman"/>
        </w:rPr>
        <w:t>there has been a major failure; whether there are remedies for consequ</w:t>
      </w:r>
      <w:r w:rsidR="00541491">
        <w:rPr>
          <w:rFonts w:eastAsia="Times New Roman"/>
        </w:rPr>
        <w:t xml:space="preserve">ent loss; </w:t>
      </w:r>
      <w:r w:rsidR="008C3D82">
        <w:rPr>
          <w:rFonts w:eastAsia="Times New Roman"/>
        </w:rPr>
        <w:t>and</w:t>
      </w:r>
      <w:r w:rsidR="00E46D98">
        <w:rPr>
          <w:rFonts w:eastAsia="Times New Roman"/>
        </w:rPr>
        <w:t xml:space="preserve"> the</w:t>
      </w:r>
      <w:r w:rsidR="008C3D82">
        <w:rPr>
          <w:rFonts w:eastAsia="Times New Roman"/>
        </w:rPr>
        <w:t xml:space="preserve"> </w:t>
      </w:r>
      <w:r w:rsidR="00506803">
        <w:rPr>
          <w:rFonts w:eastAsia="Times New Roman"/>
        </w:rPr>
        <w:t>implications of rejecting goods</w:t>
      </w:r>
      <w:r w:rsidR="0074000D">
        <w:rPr>
          <w:rFonts w:eastAsia="Times New Roman"/>
        </w:rPr>
        <w:t xml:space="preserve"> and cost of collection</w:t>
      </w:r>
      <w:r w:rsidR="00A170DF">
        <w:rPr>
          <w:rFonts w:eastAsia="Times New Roman"/>
        </w:rPr>
        <w:t>.</w:t>
      </w:r>
      <w:r w:rsidR="004B381A">
        <w:rPr>
          <w:rFonts w:eastAsia="Times New Roman"/>
        </w:rPr>
        <w:t xml:space="preserve"> Examples would help to explain </w:t>
      </w:r>
      <w:r w:rsidR="00F079D6">
        <w:rPr>
          <w:rFonts w:eastAsia="Times New Roman"/>
        </w:rPr>
        <w:t xml:space="preserve">how the TIO will handle </w:t>
      </w:r>
      <w:r w:rsidR="004B381A">
        <w:rPr>
          <w:rFonts w:eastAsia="Times New Roman"/>
        </w:rPr>
        <w:t>the application of remedies.</w:t>
      </w:r>
      <w:r w:rsidR="00A170DF">
        <w:rPr>
          <w:rFonts w:eastAsia="Times New Roman"/>
        </w:rPr>
        <w:t xml:space="preserve"> </w:t>
      </w:r>
      <w:r w:rsidR="006402BC">
        <w:rPr>
          <w:rFonts w:eastAsia="Times New Roman"/>
        </w:rPr>
        <w:t xml:space="preserve">The right of recovery under </w:t>
      </w:r>
      <w:r w:rsidR="00DB6E10">
        <w:rPr>
          <w:rFonts w:eastAsia="Times New Roman"/>
        </w:rPr>
        <w:t>S</w:t>
      </w:r>
      <w:r w:rsidR="006402BC">
        <w:rPr>
          <w:rFonts w:eastAsia="Times New Roman"/>
        </w:rPr>
        <w:t xml:space="preserve">ection 265(3) of the ACL is particularly important </w:t>
      </w:r>
      <w:r w:rsidR="00C6303B">
        <w:rPr>
          <w:rFonts w:eastAsia="Times New Roman"/>
        </w:rPr>
        <w:t>for the TIO to</w:t>
      </w:r>
      <w:r w:rsidR="006402BC">
        <w:rPr>
          <w:rFonts w:eastAsia="Times New Roman"/>
        </w:rPr>
        <w:t xml:space="preserve"> explain</w:t>
      </w:r>
      <w:r w:rsidR="000F4A31">
        <w:rPr>
          <w:rFonts w:eastAsia="Times New Roman"/>
        </w:rPr>
        <w:t>,</w:t>
      </w:r>
      <w:r w:rsidR="006402BC">
        <w:rPr>
          <w:rFonts w:eastAsia="Times New Roman"/>
        </w:rPr>
        <w:t xml:space="preserve"> given it relates to the termination of contracts for the supply of services that </w:t>
      </w:r>
      <w:proofErr w:type="gramStart"/>
      <w:r w:rsidR="006402BC">
        <w:rPr>
          <w:rFonts w:eastAsia="Times New Roman"/>
        </w:rPr>
        <w:t>are connected with</w:t>
      </w:r>
      <w:proofErr w:type="gramEnd"/>
      <w:r w:rsidR="006402BC">
        <w:rPr>
          <w:rFonts w:eastAsia="Times New Roman"/>
        </w:rPr>
        <w:t xml:space="preserve"> rejected goods. </w:t>
      </w:r>
    </w:p>
    <w:p w14:paraId="11AC0A0F" w14:textId="77777777" w:rsidR="0057235C" w:rsidRDefault="0057235C" w:rsidP="0057235C">
      <w:pPr>
        <w:spacing w:after="0" w:line="240" w:lineRule="auto"/>
        <w:jc w:val="both"/>
      </w:pPr>
    </w:p>
    <w:p w14:paraId="5346D072" w14:textId="77777777" w:rsidR="00A866BA" w:rsidRDefault="0057235C" w:rsidP="00A866BA">
      <w:pPr>
        <w:spacing w:after="0" w:line="240" w:lineRule="auto"/>
        <w:jc w:val="both"/>
        <w:rPr>
          <w:rFonts w:eastAsia="Times New Roman"/>
        </w:rPr>
      </w:pPr>
      <w:r>
        <w:t xml:space="preserve">Please do not hesitate to get in touch if you wish to discuss our feedback further. </w:t>
      </w:r>
    </w:p>
    <w:p w14:paraId="4426096B" w14:textId="77777777" w:rsidR="00A866BA" w:rsidRDefault="00A866BA" w:rsidP="00A866BA">
      <w:pPr>
        <w:spacing w:after="0" w:line="240" w:lineRule="auto"/>
        <w:jc w:val="both"/>
        <w:rPr>
          <w:rFonts w:eastAsia="Times New Roman"/>
        </w:rPr>
      </w:pPr>
    </w:p>
    <w:p w14:paraId="48162B4B" w14:textId="5EB796EE" w:rsidR="00846726" w:rsidRPr="00A866BA" w:rsidRDefault="0069548A" w:rsidP="00A866BA">
      <w:pPr>
        <w:spacing w:after="0" w:line="240" w:lineRule="auto"/>
        <w:jc w:val="both"/>
        <w:rPr>
          <w:rFonts w:eastAsia="Times New Roman"/>
        </w:rPr>
      </w:pPr>
      <w:r>
        <w:t>Yours s</w:t>
      </w:r>
      <w:r w:rsidR="001D5C22">
        <w:t>incerely,</w:t>
      </w:r>
    </w:p>
    <w:p w14:paraId="3EC87D27" w14:textId="5AD599FB" w:rsidR="00C92A7B" w:rsidRDefault="001D6F9E" w:rsidP="00846726">
      <w:r>
        <w:br/>
      </w:r>
      <w:r w:rsidR="005A2858">
        <w:t>Rebekah Sarkoezy</w:t>
      </w:r>
      <w:r w:rsidRPr="00BD42C5">
        <w:br/>
      </w:r>
      <w:r>
        <w:t xml:space="preserve">Policy </w:t>
      </w:r>
      <w:r w:rsidR="005A2858">
        <w:t>Advisor</w:t>
      </w:r>
    </w:p>
    <w:p w14:paraId="4D81C0DB" w14:textId="77777777" w:rsidR="00A161AA" w:rsidRDefault="00A161AA" w:rsidP="00846726"/>
    <w:p w14:paraId="26AF657F" w14:textId="77777777" w:rsidR="00A161AA" w:rsidRDefault="00A161AA" w:rsidP="00846726"/>
    <w:p w14:paraId="6864542C" w14:textId="77777777" w:rsidR="00827F56" w:rsidRDefault="00827F56" w:rsidP="00846726"/>
    <w:p w14:paraId="0E6C9089" w14:textId="204FB422" w:rsidR="00827F56" w:rsidRDefault="00827F56" w:rsidP="00846726">
      <w:r>
        <w:t>ACCAN’s submission is endorsed by:</w:t>
      </w:r>
    </w:p>
    <w:p w14:paraId="3A2A5332" w14:textId="77777777" w:rsidR="00A161AA" w:rsidRDefault="00A161AA" w:rsidP="00846726"/>
    <w:p w14:paraId="0C26F383" w14:textId="77777777" w:rsidR="00A161AA" w:rsidRDefault="00A161AA" w:rsidP="00D515C8">
      <w:r>
        <w:rPr>
          <w:noProof/>
        </w:rPr>
        <w:drawing>
          <wp:anchor distT="0" distB="0" distL="114300" distR="114300" simplePos="0" relativeHeight="251658240" behindDoc="0" locked="0" layoutInCell="1" allowOverlap="1" wp14:anchorId="2EC9809A" wp14:editId="0260679C">
            <wp:simplePos x="0" y="0"/>
            <wp:positionH relativeFrom="column">
              <wp:posOffset>2970005</wp:posOffset>
            </wp:positionH>
            <wp:positionV relativeFrom="paragraph">
              <wp:posOffset>204663</wp:posOffset>
            </wp:positionV>
            <wp:extent cx="2979420" cy="661670"/>
            <wp:effectExtent l="0" t="0" r="0" b="508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5C8">
        <w:rPr>
          <w:noProof/>
        </w:rPr>
        <w:drawing>
          <wp:anchor distT="0" distB="0" distL="114300" distR="114300" simplePos="0" relativeHeight="251659264" behindDoc="0" locked="0" layoutInCell="1" allowOverlap="1" wp14:anchorId="7CEA8390" wp14:editId="47738B49">
            <wp:simplePos x="0" y="0"/>
            <wp:positionH relativeFrom="column">
              <wp:posOffset>0</wp:posOffset>
            </wp:positionH>
            <wp:positionV relativeFrom="paragraph">
              <wp:posOffset>-1629</wp:posOffset>
            </wp:positionV>
            <wp:extent cx="2830775" cy="978966"/>
            <wp:effectExtent l="0" t="0" r="8255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75" cy="9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1AA">
        <w:rPr>
          <w:noProof/>
        </w:rPr>
        <w:t xml:space="preserve"> </w:t>
      </w:r>
    </w:p>
    <w:p w14:paraId="5C791D8F" w14:textId="77777777" w:rsidR="00A161AA" w:rsidRDefault="00A161AA" w:rsidP="00D515C8"/>
    <w:p w14:paraId="0B8C3D79" w14:textId="0E9AC5A7" w:rsidR="00827F56" w:rsidRPr="006017A6" w:rsidRDefault="00827F56" w:rsidP="00594EFB">
      <w:pPr>
        <w:ind w:firstLine="720"/>
        <w:rPr>
          <w:b/>
          <w:bCs/>
        </w:rPr>
      </w:pPr>
      <w:r w:rsidRPr="006017A6">
        <w:rPr>
          <w:b/>
          <w:bCs/>
        </w:rPr>
        <w:t>Consumer Action Law Centre</w:t>
      </w:r>
      <w:r w:rsidR="00D515C8" w:rsidRPr="006017A6">
        <w:rPr>
          <w:b/>
          <w:bCs/>
        </w:rPr>
        <w:tab/>
      </w:r>
      <w:r w:rsidR="00D515C8" w:rsidRPr="006017A6">
        <w:rPr>
          <w:b/>
          <w:bCs/>
        </w:rPr>
        <w:tab/>
      </w:r>
      <w:r w:rsidR="00D515C8" w:rsidRPr="006017A6">
        <w:rPr>
          <w:b/>
          <w:bCs/>
        </w:rPr>
        <w:tab/>
      </w:r>
      <w:r w:rsidR="00D515C8" w:rsidRPr="006017A6">
        <w:rPr>
          <w:b/>
          <w:bCs/>
        </w:rPr>
        <w:tab/>
      </w:r>
      <w:r w:rsidR="00D515C8" w:rsidRPr="006017A6">
        <w:rPr>
          <w:b/>
          <w:bCs/>
        </w:rPr>
        <w:tab/>
      </w:r>
      <w:proofErr w:type="spellStart"/>
      <w:r w:rsidR="00D515C8" w:rsidRPr="006017A6">
        <w:rPr>
          <w:b/>
          <w:bCs/>
        </w:rPr>
        <w:t>WEstjustice</w:t>
      </w:r>
      <w:proofErr w:type="spellEnd"/>
    </w:p>
    <w:sectPr w:rsidR="00827F56" w:rsidRPr="006017A6" w:rsidSect="007A5D3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A70E" w14:textId="77777777" w:rsidR="00A351EE" w:rsidRDefault="00A351EE">
      <w:pPr>
        <w:spacing w:after="0" w:line="240" w:lineRule="auto"/>
      </w:pPr>
      <w:r>
        <w:separator/>
      </w:r>
    </w:p>
  </w:endnote>
  <w:endnote w:type="continuationSeparator" w:id="0">
    <w:p w14:paraId="26D86B21" w14:textId="77777777" w:rsidR="00A351EE" w:rsidRDefault="00A351EE">
      <w:pPr>
        <w:spacing w:after="0" w:line="240" w:lineRule="auto"/>
      </w:pPr>
      <w:r>
        <w:continuationSeparator/>
      </w:r>
    </w:p>
  </w:endnote>
  <w:endnote w:type="continuationNotice" w:id="1">
    <w:p w14:paraId="2FBC1AAF" w14:textId="77777777" w:rsidR="00A351EE" w:rsidRDefault="00A35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2BA" w14:textId="77777777" w:rsidR="00200982" w:rsidRPr="0082329E" w:rsidRDefault="00F0681B" w:rsidP="00200982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A3380">
      <w:rPr>
        <w:noProof/>
      </w:rPr>
      <w:t>6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C2" w14:textId="77777777" w:rsidR="00200982" w:rsidRPr="00026E5B" w:rsidRDefault="00F0681B" w:rsidP="00200982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75FBA5D6" w14:textId="77777777" w:rsidR="00200982" w:rsidRPr="00026E5B" w:rsidRDefault="00F0681B" w:rsidP="00200982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52160125" w14:textId="77777777" w:rsidR="00200982" w:rsidRPr="00026E5B" w:rsidRDefault="00F0681B" w:rsidP="00200982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CA12A0" wp14:editId="6F14B6FC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adec="http://schemas.microsoft.com/office/drawing/2017/decorative">
          <w:pict w14:anchorId="08837D24">
            <v:line id="Straight Connector 1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23b0e6" strokeweight="3pt" from="-33.95pt,7.1pt" to="484.1pt,7.1pt" w14:anchorId="23F76C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"/>
          </w:pict>
        </mc:Fallback>
      </mc:AlternateContent>
    </w:r>
  </w:p>
  <w:p w14:paraId="3FFECF35" w14:textId="77777777" w:rsidR="008547DB" w:rsidRDefault="008547DB" w:rsidP="008547DB">
    <w:pPr>
      <w:pStyle w:val="Footerpage1"/>
    </w:pPr>
    <w:r>
      <w:t xml:space="preserve">  PO Box A1158, Sydney South NSW 1235</w:t>
    </w:r>
  </w:p>
  <w:p w14:paraId="19B11E7F" w14:textId="77777777" w:rsidR="008547DB" w:rsidRDefault="008547DB" w:rsidP="008547DB">
    <w:pPr>
      <w:pStyle w:val="Footerpage1"/>
    </w:pPr>
    <w:r>
      <w:t xml:space="preserve">  Tel: (02) 9288 4000 </w:t>
    </w:r>
  </w:p>
  <w:p w14:paraId="077D3F5B" w14:textId="43226608" w:rsidR="00200982" w:rsidRPr="004D706D" w:rsidRDefault="00F0681B" w:rsidP="008547DB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AF4339D" w14:textId="77777777" w:rsidR="00200982" w:rsidRDefault="0020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38B0" w14:textId="77777777" w:rsidR="00A351EE" w:rsidRDefault="00A351EE">
      <w:pPr>
        <w:spacing w:after="0" w:line="240" w:lineRule="auto"/>
      </w:pPr>
      <w:r>
        <w:separator/>
      </w:r>
    </w:p>
  </w:footnote>
  <w:footnote w:type="continuationSeparator" w:id="0">
    <w:p w14:paraId="291CAE5D" w14:textId="77777777" w:rsidR="00A351EE" w:rsidRDefault="00A351EE">
      <w:pPr>
        <w:spacing w:after="0" w:line="240" w:lineRule="auto"/>
      </w:pPr>
      <w:r>
        <w:continuationSeparator/>
      </w:r>
    </w:p>
  </w:footnote>
  <w:footnote w:type="continuationNotice" w:id="1">
    <w:p w14:paraId="31C4E4EA" w14:textId="77777777" w:rsidR="00A351EE" w:rsidRDefault="00A351EE">
      <w:pPr>
        <w:spacing w:after="0" w:line="240" w:lineRule="auto"/>
      </w:pPr>
    </w:p>
  </w:footnote>
  <w:footnote w:id="2">
    <w:p w14:paraId="7C65CAE7" w14:textId="6D0AD33D" w:rsidR="00E82AD8" w:rsidRPr="00686D92" w:rsidRDefault="00E82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6D92">
        <w:t xml:space="preserve">ACCAN 2020, </w:t>
      </w:r>
      <w:r w:rsidR="00686D92">
        <w:rPr>
          <w:i/>
          <w:iCs/>
        </w:rPr>
        <w:t xml:space="preserve">Consultation on Modernising the Telecommunications Industry Ombudsman Terms of Reference July 2020, V 1.1, </w:t>
      </w:r>
      <w:r w:rsidR="00686D92">
        <w:t xml:space="preserve">available: </w:t>
      </w:r>
      <w:r w:rsidR="001C5E11" w:rsidRPr="001C5E11">
        <w:t>https://accan.org.au/our-work/submissions/1797-tio-tor-2020</w:t>
      </w:r>
      <w:r w:rsidR="001C5E11">
        <w:t xml:space="preserve"> </w:t>
      </w:r>
    </w:p>
  </w:footnote>
  <w:footnote w:id="3">
    <w:p w14:paraId="7BACFD08" w14:textId="2328136C" w:rsidR="00246E00" w:rsidRPr="006017A6" w:rsidRDefault="00246E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ACCC, </w:t>
      </w:r>
      <w:r w:rsidRPr="00246E00">
        <w:rPr>
          <w:i/>
          <w:iCs/>
        </w:rPr>
        <w:t>Consumer guarantees</w:t>
      </w:r>
      <w:r>
        <w:t xml:space="preserve">, </w:t>
      </w:r>
      <w:r w:rsidRPr="00246E00">
        <w:t>https://www.accc.gov.au/consumers/consumer-rights-guarantees/consumer-guarantees</w:t>
      </w:r>
    </w:p>
  </w:footnote>
  <w:footnote w:id="4">
    <w:p w14:paraId="70D2ACD8" w14:textId="480AE0DB" w:rsidR="002C06B1" w:rsidRPr="006017A6" w:rsidRDefault="002C06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F6DC3">
        <w:t>Australian Consumer Law</w:t>
      </w:r>
      <w:r w:rsidR="006644EA">
        <w:t xml:space="preserve"> (</w:t>
      </w:r>
      <w:proofErr w:type="spellStart"/>
      <w:r w:rsidR="006644EA">
        <w:t>Cth</w:t>
      </w:r>
      <w:proofErr w:type="spellEnd"/>
      <w:r w:rsidR="006644EA">
        <w:t>)</w:t>
      </w:r>
      <w:r w:rsidR="006644EA" w:rsidRPr="006644EA">
        <w:t xml:space="preserve"> </w:t>
      </w:r>
      <w:r w:rsidR="00915FF0">
        <w:rPr>
          <w:lang w:val="en-US"/>
        </w:rPr>
        <w:t>263</w:t>
      </w:r>
      <w:r w:rsidR="000F6DC3">
        <w:rPr>
          <w:lang w:val="en-US"/>
        </w:rPr>
        <w:t>(</w:t>
      </w:r>
      <w:r w:rsidR="00915FF0">
        <w:rPr>
          <w:lang w:val="en-US"/>
        </w:rPr>
        <w:t>2</w:t>
      </w:r>
      <w:r w:rsidR="000F6DC3">
        <w:rPr>
          <w:lang w:val="en-US"/>
        </w:rPr>
        <w:t>)(</w:t>
      </w:r>
      <w:r w:rsidR="00915FF0">
        <w:rPr>
          <w:lang w:val="en-US"/>
        </w:rPr>
        <w:t>b</w:t>
      </w:r>
      <w:r w:rsidR="000F6DC3">
        <w:rPr>
          <w:lang w:val="en-US"/>
        </w:rPr>
        <w:t>)</w:t>
      </w:r>
      <w:r w:rsidR="00D515C8" w:rsidRPr="00D515C8">
        <w:rPr>
          <w:noProof/>
        </w:rPr>
        <w:t xml:space="preserve"> </w:t>
      </w:r>
    </w:p>
  </w:footnote>
  <w:footnote w:id="5">
    <w:p w14:paraId="0BBCB664" w14:textId="03AF7F53" w:rsidR="009D4AF2" w:rsidRPr="006017A6" w:rsidRDefault="009D4AF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F6DC3">
        <w:t>Australian Consumer Law</w:t>
      </w:r>
      <w:r w:rsidR="006F56AB">
        <w:t xml:space="preserve"> (</w:t>
      </w:r>
      <w:proofErr w:type="spellStart"/>
      <w:r w:rsidR="006F56AB">
        <w:t>Cth</w:t>
      </w:r>
      <w:proofErr w:type="spellEnd"/>
      <w:r w:rsidR="006F56AB">
        <w:t>)</w:t>
      </w:r>
      <w:r w:rsidRPr="006644EA">
        <w:t xml:space="preserve"> </w:t>
      </w:r>
      <w:r>
        <w:rPr>
          <w:lang w:val="en-US"/>
        </w:rPr>
        <w:t>Parts 4 and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C9E" w14:textId="77777777" w:rsidR="00200982" w:rsidRDefault="00F0681B" w:rsidP="00200982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8322" wp14:editId="7EC42B4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862" w14:textId="77777777" w:rsidR="00200982" w:rsidRDefault="00F068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17F6E" wp14:editId="46BD8143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7gVevus5TJ9Gl" id="KcnCIc8v"/>
    <int:WordHash hashCode="kraECM7cnNVyf5" id="lZylPqo1"/>
  </int:Manifest>
  <int:Observations>
    <int:Content id="KcnCIc8v">
      <int:Rejection type="AugLoop_Text_Critique"/>
    </int:Content>
    <int:Content id="lZylPqo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57"/>
    <w:multiLevelType w:val="hybridMultilevel"/>
    <w:tmpl w:val="A7A2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4ED"/>
    <w:multiLevelType w:val="hybridMultilevel"/>
    <w:tmpl w:val="D444E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C70"/>
    <w:multiLevelType w:val="hybridMultilevel"/>
    <w:tmpl w:val="B6BA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73F1"/>
    <w:multiLevelType w:val="hybridMultilevel"/>
    <w:tmpl w:val="68D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1586"/>
    <w:multiLevelType w:val="hybridMultilevel"/>
    <w:tmpl w:val="F676B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B61A9"/>
    <w:multiLevelType w:val="hybridMultilevel"/>
    <w:tmpl w:val="9AF4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104C"/>
    <w:multiLevelType w:val="hybridMultilevel"/>
    <w:tmpl w:val="D1148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6F09"/>
    <w:multiLevelType w:val="hybridMultilevel"/>
    <w:tmpl w:val="E2766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17668"/>
    <w:multiLevelType w:val="hybridMultilevel"/>
    <w:tmpl w:val="9DC8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3AFD"/>
    <w:multiLevelType w:val="hybridMultilevel"/>
    <w:tmpl w:val="7C0C42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64709A3"/>
    <w:multiLevelType w:val="hybridMultilevel"/>
    <w:tmpl w:val="A0F4584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DCA3F08"/>
    <w:multiLevelType w:val="hybridMultilevel"/>
    <w:tmpl w:val="C72C62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7273"/>
    <w:multiLevelType w:val="hybridMultilevel"/>
    <w:tmpl w:val="E7A41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72970"/>
    <w:multiLevelType w:val="hybridMultilevel"/>
    <w:tmpl w:val="F0E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356FB"/>
    <w:multiLevelType w:val="hybridMultilevel"/>
    <w:tmpl w:val="69F6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725A1"/>
    <w:multiLevelType w:val="hybridMultilevel"/>
    <w:tmpl w:val="B5D0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A6FFA"/>
    <w:multiLevelType w:val="hybridMultilevel"/>
    <w:tmpl w:val="6954256C"/>
    <w:lvl w:ilvl="0" w:tplc="8832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90838"/>
    <w:multiLevelType w:val="hybridMultilevel"/>
    <w:tmpl w:val="061A6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E82CAA"/>
    <w:multiLevelType w:val="hybridMultilevel"/>
    <w:tmpl w:val="5906A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85F0D"/>
    <w:multiLevelType w:val="hybridMultilevel"/>
    <w:tmpl w:val="7C9E5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411E9"/>
    <w:multiLevelType w:val="hybridMultilevel"/>
    <w:tmpl w:val="F042AC26"/>
    <w:lvl w:ilvl="0" w:tplc="B6CC4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21178"/>
    <w:multiLevelType w:val="hybridMultilevel"/>
    <w:tmpl w:val="C038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C0B34"/>
    <w:multiLevelType w:val="hybridMultilevel"/>
    <w:tmpl w:val="945AB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02D2B"/>
    <w:multiLevelType w:val="hybridMultilevel"/>
    <w:tmpl w:val="330E1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52CB"/>
    <w:multiLevelType w:val="hybridMultilevel"/>
    <w:tmpl w:val="E436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02C3C"/>
    <w:multiLevelType w:val="hybridMultilevel"/>
    <w:tmpl w:val="7DD8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E0A63"/>
    <w:multiLevelType w:val="hybridMultilevel"/>
    <w:tmpl w:val="63202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F60C4"/>
    <w:multiLevelType w:val="hybridMultilevel"/>
    <w:tmpl w:val="186684D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E4C05EC"/>
    <w:multiLevelType w:val="hybridMultilevel"/>
    <w:tmpl w:val="C256F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26"/>
  </w:num>
  <w:num w:numId="7">
    <w:abstractNumId w:val="3"/>
  </w:num>
  <w:num w:numId="8">
    <w:abstractNumId w:val="19"/>
  </w:num>
  <w:num w:numId="9">
    <w:abstractNumId w:val="24"/>
  </w:num>
  <w:num w:numId="10">
    <w:abstractNumId w:val="7"/>
  </w:num>
  <w:num w:numId="11">
    <w:abstractNumId w:val="28"/>
  </w:num>
  <w:num w:numId="12">
    <w:abstractNumId w:val="9"/>
  </w:num>
  <w:num w:numId="13">
    <w:abstractNumId w:val="22"/>
  </w:num>
  <w:num w:numId="14">
    <w:abstractNumId w:val="25"/>
  </w:num>
  <w:num w:numId="15">
    <w:abstractNumId w:val="17"/>
  </w:num>
  <w:num w:numId="16">
    <w:abstractNumId w:val="13"/>
  </w:num>
  <w:num w:numId="17">
    <w:abstractNumId w:val="11"/>
  </w:num>
  <w:num w:numId="18">
    <w:abstractNumId w:val="20"/>
  </w:num>
  <w:num w:numId="19">
    <w:abstractNumId w:val="15"/>
  </w:num>
  <w:num w:numId="20">
    <w:abstractNumId w:val="12"/>
  </w:num>
  <w:num w:numId="21">
    <w:abstractNumId w:val="30"/>
  </w:num>
  <w:num w:numId="22">
    <w:abstractNumId w:val="27"/>
  </w:num>
  <w:num w:numId="23">
    <w:abstractNumId w:val="23"/>
  </w:num>
  <w:num w:numId="24">
    <w:abstractNumId w:val="18"/>
  </w:num>
  <w:num w:numId="25">
    <w:abstractNumId w:val="4"/>
  </w:num>
  <w:num w:numId="26">
    <w:abstractNumId w:val="6"/>
  </w:num>
  <w:num w:numId="27">
    <w:abstractNumId w:val="5"/>
  </w:num>
  <w:num w:numId="28">
    <w:abstractNumId w:val="16"/>
  </w:num>
  <w:num w:numId="29">
    <w:abstractNumId w:val="1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6"/>
    <w:rsid w:val="00001510"/>
    <w:rsid w:val="00002592"/>
    <w:rsid w:val="00002A84"/>
    <w:rsid w:val="000038D0"/>
    <w:rsid w:val="000039D9"/>
    <w:rsid w:val="00006849"/>
    <w:rsid w:val="00006C00"/>
    <w:rsid w:val="00007908"/>
    <w:rsid w:val="000130E1"/>
    <w:rsid w:val="00014E08"/>
    <w:rsid w:val="0001603E"/>
    <w:rsid w:val="00017292"/>
    <w:rsid w:val="0001751C"/>
    <w:rsid w:val="00017FF5"/>
    <w:rsid w:val="00020140"/>
    <w:rsid w:val="0002144A"/>
    <w:rsid w:val="0002178D"/>
    <w:rsid w:val="00021EEE"/>
    <w:rsid w:val="00022392"/>
    <w:rsid w:val="00022CD5"/>
    <w:rsid w:val="00022D35"/>
    <w:rsid w:val="0002413C"/>
    <w:rsid w:val="00024E5A"/>
    <w:rsid w:val="00025032"/>
    <w:rsid w:val="00025FC3"/>
    <w:rsid w:val="000300C9"/>
    <w:rsid w:val="00031DE1"/>
    <w:rsid w:val="00032441"/>
    <w:rsid w:val="000341DA"/>
    <w:rsid w:val="000345B4"/>
    <w:rsid w:val="000362DE"/>
    <w:rsid w:val="00044434"/>
    <w:rsid w:val="00046362"/>
    <w:rsid w:val="00052737"/>
    <w:rsid w:val="000530BA"/>
    <w:rsid w:val="00056D71"/>
    <w:rsid w:val="000576D9"/>
    <w:rsid w:val="00057A92"/>
    <w:rsid w:val="00061D64"/>
    <w:rsid w:val="00062A46"/>
    <w:rsid w:val="00063DD0"/>
    <w:rsid w:val="00066C39"/>
    <w:rsid w:val="00066CD4"/>
    <w:rsid w:val="00072C5D"/>
    <w:rsid w:val="00074521"/>
    <w:rsid w:val="00075C32"/>
    <w:rsid w:val="00077240"/>
    <w:rsid w:val="0008068C"/>
    <w:rsid w:val="00083A48"/>
    <w:rsid w:val="000840C2"/>
    <w:rsid w:val="00086136"/>
    <w:rsid w:val="00086378"/>
    <w:rsid w:val="00090606"/>
    <w:rsid w:val="00091DED"/>
    <w:rsid w:val="0009245D"/>
    <w:rsid w:val="00097C56"/>
    <w:rsid w:val="000A0DE3"/>
    <w:rsid w:val="000A3806"/>
    <w:rsid w:val="000A3DD5"/>
    <w:rsid w:val="000A3FBC"/>
    <w:rsid w:val="000A41A1"/>
    <w:rsid w:val="000A4520"/>
    <w:rsid w:val="000A7BAA"/>
    <w:rsid w:val="000B11EF"/>
    <w:rsid w:val="000B179B"/>
    <w:rsid w:val="000B2023"/>
    <w:rsid w:val="000B2C45"/>
    <w:rsid w:val="000B3A26"/>
    <w:rsid w:val="000B7682"/>
    <w:rsid w:val="000B7A1A"/>
    <w:rsid w:val="000C110D"/>
    <w:rsid w:val="000C231C"/>
    <w:rsid w:val="000C463F"/>
    <w:rsid w:val="000C5BAA"/>
    <w:rsid w:val="000C7431"/>
    <w:rsid w:val="000D050C"/>
    <w:rsid w:val="000D17E4"/>
    <w:rsid w:val="000D18A2"/>
    <w:rsid w:val="000D3F85"/>
    <w:rsid w:val="000D6C9F"/>
    <w:rsid w:val="000E0A5E"/>
    <w:rsid w:val="000E1593"/>
    <w:rsid w:val="000E2A17"/>
    <w:rsid w:val="000E359E"/>
    <w:rsid w:val="000E5CAE"/>
    <w:rsid w:val="000E624D"/>
    <w:rsid w:val="000F0991"/>
    <w:rsid w:val="000F21D4"/>
    <w:rsid w:val="000F3856"/>
    <w:rsid w:val="000F4A31"/>
    <w:rsid w:val="000F6388"/>
    <w:rsid w:val="000F6C95"/>
    <w:rsid w:val="000F6DC3"/>
    <w:rsid w:val="000F764C"/>
    <w:rsid w:val="00103999"/>
    <w:rsid w:val="00103DAC"/>
    <w:rsid w:val="00104DAD"/>
    <w:rsid w:val="00106AEC"/>
    <w:rsid w:val="00111F02"/>
    <w:rsid w:val="00113465"/>
    <w:rsid w:val="00113AE0"/>
    <w:rsid w:val="001217E2"/>
    <w:rsid w:val="001217FD"/>
    <w:rsid w:val="00121B51"/>
    <w:rsid w:val="00121D47"/>
    <w:rsid w:val="00122DD1"/>
    <w:rsid w:val="00124514"/>
    <w:rsid w:val="00125060"/>
    <w:rsid w:val="00126183"/>
    <w:rsid w:val="0012636E"/>
    <w:rsid w:val="0012663D"/>
    <w:rsid w:val="001270D6"/>
    <w:rsid w:val="001275E7"/>
    <w:rsid w:val="00130E70"/>
    <w:rsid w:val="00132365"/>
    <w:rsid w:val="00134BAC"/>
    <w:rsid w:val="00135C01"/>
    <w:rsid w:val="00136E66"/>
    <w:rsid w:val="00137C51"/>
    <w:rsid w:val="00145394"/>
    <w:rsid w:val="00150873"/>
    <w:rsid w:val="0015159F"/>
    <w:rsid w:val="00151EAB"/>
    <w:rsid w:val="00152DBA"/>
    <w:rsid w:val="001537A7"/>
    <w:rsid w:val="001605C9"/>
    <w:rsid w:val="00161A1C"/>
    <w:rsid w:val="00161B2B"/>
    <w:rsid w:val="001623E5"/>
    <w:rsid w:val="00163200"/>
    <w:rsid w:val="00163B56"/>
    <w:rsid w:val="001670C8"/>
    <w:rsid w:val="00167714"/>
    <w:rsid w:val="00167E4D"/>
    <w:rsid w:val="0017083D"/>
    <w:rsid w:val="00171766"/>
    <w:rsid w:val="00171821"/>
    <w:rsid w:val="001730E0"/>
    <w:rsid w:val="00173CB6"/>
    <w:rsid w:val="00174218"/>
    <w:rsid w:val="001754ED"/>
    <w:rsid w:val="001766A1"/>
    <w:rsid w:val="001828D8"/>
    <w:rsid w:val="00185442"/>
    <w:rsid w:val="0019340F"/>
    <w:rsid w:val="00193DB9"/>
    <w:rsid w:val="0019461C"/>
    <w:rsid w:val="0019567C"/>
    <w:rsid w:val="00196FE2"/>
    <w:rsid w:val="001A0171"/>
    <w:rsid w:val="001A2736"/>
    <w:rsid w:val="001A2BA5"/>
    <w:rsid w:val="001A3380"/>
    <w:rsid w:val="001A5738"/>
    <w:rsid w:val="001A60E4"/>
    <w:rsid w:val="001A772D"/>
    <w:rsid w:val="001B0DED"/>
    <w:rsid w:val="001B1917"/>
    <w:rsid w:val="001B4F92"/>
    <w:rsid w:val="001B5856"/>
    <w:rsid w:val="001B5FB2"/>
    <w:rsid w:val="001B63DD"/>
    <w:rsid w:val="001B6438"/>
    <w:rsid w:val="001C40D8"/>
    <w:rsid w:val="001C4264"/>
    <w:rsid w:val="001C5E11"/>
    <w:rsid w:val="001C672F"/>
    <w:rsid w:val="001D2405"/>
    <w:rsid w:val="001D4393"/>
    <w:rsid w:val="001D5C22"/>
    <w:rsid w:val="001D6F9E"/>
    <w:rsid w:val="001D7A1B"/>
    <w:rsid w:val="001E1AE7"/>
    <w:rsid w:val="001E3CC3"/>
    <w:rsid w:val="001E7889"/>
    <w:rsid w:val="001F013B"/>
    <w:rsid w:val="001F3911"/>
    <w:rsid w:val="001F5898"/>
    <w:rsid w:val="001F7374"/>
    <w:rsid w:val="001F77F6"/>
    <w:rsid w:val="00200982"/>
    <w:rsid w:val="00207BED"/>
    <w:rsid w:val="00207EC8"/>
    <w:rsid w:val="00211174"/>
    <w:rsid w:val="002118F3"/>
    <w:rsid w:val="002140FC"/>
    <w:rsid w:val="002144B4"/>
    <w:rsid w:val="00214DD4"/>
    <w:rsid w:val="0021558D"/>
    <w:rsid w:val="0023236A"/>
    <w:rsid w:val="002366E4"/>
    <w:rsid w:val="00241523"/>
    <w:rsid w:val="002446C4"/>
    <w:rsid w:val="00244FE0"/>
    <w:rsid w:val="00245265"/>
    <w:rsid w:val="00246E00"/>
    <w:rsid w:val="00251782"/>
    <w:rsid w:val="00252148"/>
    <w:rsid w:val="00253792"/>
    <w:rsid w:val="002567BC"/>
    <w:rsid w:val="0026030A"/>
    <w:rsid w:val="00260397"/>
    <w:rsid w:val="00261BA9"/>
    <w:rsid w:val="0026420E"/>
    <w:rsid w:val="0026652F"/>
    <w:rsid w:val="0027038A"/>
    <w:rsid w:val="0027168A"/>
    <w:rsid w:val="002718A5"/>
    <w:rsid w:val="00272512"/>
    <w:rsid w:val="00274126"/>
    <w:rsid w:val="00274E04"/>
    <w:rsid w:val="002767A3"/>
    <w:rsid w:val="00276F66"/>
    <w:rsid w:val="00277BA3"/>
    <w:rsid w:val="002801B4"/>
    <w:rsid w:val="00280451"/>
    <w:rsid w:val="00281129"/>
    <w:rsid w:val="00281259"/>
    <w:rsid w:val="00281CE2"/>
    <w:rsid w:val="00281FF9"/>
    <w:rsid w:val="0028351A"/>
    <w:rsid w:val="00296FA3"/>
    <w:rsid w:val="002A1728"/>
    <w:rsid w:val="002A6483"/>
    <w:rsid w:val="002B0920"/>
    <w:rsid w:val="002B429F"/>
    <w:rsid w:val="002B4683"/>
    <w:rsid w:val="002B633E"/>
    <w:rsid w:val="002C06B1"/>
    <w:rsid w:val="002C21D2"/>
    <w:rsid w:val="002C30D3"/>
    <w:rsid w:val="002C58B8"/>
    <w:rsid w:val="002C758D"/>
    <w:rsid w:val="002C7F9B"/>
    <w:rsid w:val="002D0309"/>
    <w:rsid w:val="002D0E21"/>
    <w:rsid w:val="002D1707"/>
    <w:rsid w:val="002D18C5"/>
    <w:rsid w:val="002E225B"/>
    <w:rsid w:val="002E4CE3"/>
    <w:rsid w:val="002E5AFB"/>
    <w:rsid w:val="002F1649"/>
    <w:rsid w:val="002F1EFA"/>
    <w:rsid w:val="002F23AB"/>
    <w:rsid w:val="002F292E"/>
    <w:rsid w:val="002F2ADF"/>
    <w:rsid w:val="002F48F3"/>
    <w:rsid w:val="00301A71"/>
    <w:rsid w:val="00301D3A"/>
    <w:rsid w:val="003025AF"/>
    <w:rsid w:val="00302D3C"/>
    <w:rsid w:val="003065DD"/>
    <w:rsid w:val="00306E75"/>
    <w:rsid w:val="00310CBD"/>
    <w:rsid w:val="003134D9"/>
    <w:rsid w:val="0031654A"/>
    <w:rsid w:val="00317E1B"/>
    <w:rsid w:val="0032136A"/>
    <w:rsid w:val="00326A73"/>
    <w:rsid w:val="00331ECF"/>
    <w:rsid w:val="003367F5"/>
    <w:rsid w:val="00336BC3"/>
    <w:rsid w:val="00336F1E"/>
    <w:rsid w:val="003403FD"/>
    <w:rsid w:val="003437B0"/>
    <w:rsid w:val="00343CDD"/>
    <w:rsid w:val="003444A4"/>
    <w:rsid w:val="00347E10"/>
    <w:rsid w:val="00351C15"/>
    <w:rsid w:val="003521C8"/>
    <w:rsid w:val="003532F3"/>
    <w:rsid w:val="00360559"/>
    <w:rsid w:val="00360987"/>
    <w:rsid w:val="00364A72"/>
    <w:rsid w:val="0037035C"/>
    <w:rsid w:val="00370BF8"/>
    <w:rsid w:val="00372F65"/>
    <w:rsid w:val="003742A1"/>
    <w:rsid w:val="0037477C"/>
    <w:rsid w:val="0037479F"/>
    <w:rsid w:val="003753FF"/>
    <w:rsid w:val="00381C48"/>
    <w:rsid w:val="00383369"/>
    <w:rsid w:val="00386C98"/>
    <w:rsid w:val="0039416E"/>
    <w:rsid w:val="003950BB"/>
    <w:rsid w:val="00397223"/>
    <w:rsid w:val="003A0471"/>
    <w:rsid w:val="003A0DF0"/>
    <w:rsid w:val="003A2485"/>
    <w:rsid w:val="003A504A"/>
    <w:rsid w:val="003B0198"/>
    <w:rsid w:val="003B4F26"/>
    <w:rsid w:val="003B4F60"/>
    <w:rsid w:val="003B78BB"/>
    <w:rsid w:val="003C1118"/>
    <w:rsid w:val="003C3084"/>
    <w:rsid w:val="003C3577"/>
    <w:rsid w:val="003C6711"/>
    <w:rsid w:val="003C79B1"/>
    <w:rsid w:val="003C7BDD"/>
    <w:rsid w:val="003D5727"/>
    <w:rsid w:val="003D7C36"/>
    <w:rsid w:val="003D7DCC"/>
    <w:rsid w:val="003E2DAA"/>
    <w:rsid w:val="003E3D2C"/>
    <w:rsid w:val="003E57DE"/>
    <w:rsid w:val="003F0FC3"/>
    <w:rsid w:val="003F3FBD"/>
    <w:rsid w:val="003F74E3"/>
    <w:rsid w:val="00401C2C"/>
    <w:rsid w:val="0040204B"/>
    <w:rsid w:val="00403105"/>
    <w:rsid w:val="00405151"/>
    <w:rsid w:val="0040553A"/>
    <w:rsid w:val="004112F5"/>
    <w:rsid w:val="004205D1"/>
    <w:rsid w:val="00423AA7"/>
    <w:rsid w:val="00423F36"/>
    <w:rsid w:val="00426E45"/>
    <w:rsid w:val="00431DB3"/>
    <w:rsid w:val="0043310D"/>
    <w:rsid w:val="00434C0C"/>
    <w:rsid w:val="004405D5"/>
    <w:rsid w:val="004431B1"/>
    <w:rsid w:val="00443750"/>
    <w:rsid w:val="00443D19"/>
    <w:rsid w:val="004459D2"/>
    <w:rsid w:val="00445BB7"/>
    <w:rsid w:val="00445D76"/>
    <w:rsid w:val="004528C4"/>
    <w:rsid w:val="00453DC0"/>
    <w:rsid w:val="00455428"/>
    <w:rsid w:val="00456C63"/>
    <w:rsid w:val="00456C80"/>
    <w:rsid w:val="004572B8"/>
    <w:rsid w:val="00457A53"/>
    <w:rsid w:val="00460AB8"/>
    <w:rsid w:val="0046135D"/>
    <w:rsid w:val="00461876"/>
    <w:rsid w:val="00461AA6"/>
    <w:rsid w:val="004673E3"/>
    <w:rsid w:val="00470338"/>
    <w:rsid w:val="00470B4F"/>
    <w:rsid w:val="00475A57"/>
    <w:rsid w:val="0048163E"/>
    <w:rsid w:val="00484120"/>
    <w:rsid w:val="00485540"/>
    <w:rsid w:val="00485F8A"/>
    <w:rsid w:val="00487E7D"/>
    <w:rsid w:val="00487EC4"/>
    <w:rsid w:val="00491F05"/>
    <w:rsid w:val="00492DA2"/>
    <w:rsid w:val="00493666"/>
    <w:rsid w:val="0049502E"/>
    <w:rsid w:val="00497F47"/>
    <w:rsid w:val="004A3908"/>
    <w:rsid w:val="004A5421"/>
    <w:rsid w:val="004A5E82"/>
    <w:rsid w:val="004A631E"/>
    <w:rsid w:val="004A6815"/>
    <w:rsid w:val="004A6866"/>
    <w:rsid w:val="004A6F23"/>
    <w:rsid w:val="004A792B"/>
    <w:rsid w:val="004B00CB"/>
    <w:rsid w:val="004B0BBF"/>
    <w:rsid w:val="004B2773"/>
    <w:rsid w:val="004B381A"/>
    <w:rsid w:val="004B7A5E"/>
    <w:rsid w:val="004C04CB"/>
    <w:rsid w:val="004C09B2"/>
    <w:rsid w:val="004C175A"/>
    <w:rsid w:val="004C49E2"/>
    <w:rsid w:val="004C6001"/>
    <w:rsid w:val="004C644B"/>
    <w:rsid w:val="004C6EDC"/>
    <w:rsid w:val="004D01B3"/>
    <w:rsid w:val="004D1EC9"/>
    <w:rsid w:val="004D34AA"/>
    <w:rsid w:val="004D39C5"/>
    <w:rsid w:val="004D4D1C"/>
    <w:rsid w:val="004D4D32"/>
    <w:rsid w:val="004D4D8A"/>
    <w:rsid w:val="004E144C"/>
    <w:rsid w:val="004E2FD7"/>
    <w:rsid w:val="004E5143"/>
    <w:rsid w:val="004E54E8"/>
    <w:rsid w:val="004F0512"/>
    <w:rsid w:val="004F16E4"/>
    <w:rsid w:val="004F3B8A"/>
    <w:rsid w:val="004F4BCB"/>
    <w:rsid w:val="004F4E15"/>
    <w:rsid w:val="004F5045"/>
    <w:rsid w:val="004F53E8"/>
    <w:rsid w:val="004F541B"/>
    <w:rsid w:val="004F757D"/>
    <w:rsid w:val="00500C39"/>
    <w:rsid w:val="005026CE"/>
    <w:rsid w:val="0050401D"/>
    <w:rsid w:val="00506803"/>
    <w:rsid w:val="00507159"/>
    <w:rsid w:val="00510D4B"/>
    <w:rsid w:val="00511465"/>
    <w:rsid w:val="005117C3"/>
    <w:rsid w:val="0051223B"/>
    <w:rsid w:val="0051227E"/>
    <w:rsid w:val="00512C16"/>
    <w:rsid w:val="0051315D"/>
    <w:rsid w:val="005172A4"/>
    <w:rsid w:val="00523A77"/>
    <w:rsid w:val="00525A77"/>
    <w:rsid w:val="00530305"/>
    <w:rsid w:val="00531161"/>
    <w:rsid w:val="00533CCD"/>
    <w:rsid w:val="00535276"/>
    <w:rsid w:val="005401FE"/>
    <w:rsid w:val="00540A91"/>
    <w:rsid w:val="00541491"/>
    <w:rsid w:val="005415AD"/>
    <w:rsid w:val="005424F9"/>
    <w:rsid w:val="005428CD"/>
    <w:rsid w:val="00544CE4"/>
    <w:rsid w:val="0054584B"/>
    <w:rsid w:val="00552B60"/>
    <w:rsid w:val="0055369D"/>
    <w:rsid w:val="00554E89"/>
    <w:rsid w:val="00554F62"/>
    <w:rsid w:val="005559F4"/>
    <w:rsid w:val="00557D9A"/>
    <w:rsid w:val="0056134B"/>
    <w:rsid w:val="0056161A"/>
    <w:rsid w:val="005623FF"/>
    <w:rsid w:val="00565E28"/>
    <w:rsid w:val="00566EB6"/>
    <w:rsid w:val="00567464"/>
    <w:rsid w:val="005677C4"/>
    <w:rsid w:val="00570D8D"/>
    <w:rsid w:val="00571665"/>
    <w:rsid w:val="00571A94"/>
    <w:rsid w:val="0057235C"/>
    <w:rsid w:val="00574AFF"/>
    <w:rsid w:val="005770BF"/>
    <w:rsid w:val="0058019C"/>
    <w:rsid w:val="00587E39"/>
    <w:rsid w:val="0059123C"/>
    <w:rsid w:val="00593AF7"/>
    <w:rsid w:val="005946B9"/>
    <w:rsid w:val="005948E8"/>
    <w:rsid w:val="00594C44"/>
    <w:rsid w:val="00594EFB"/>
    <w:rsid w:val="005A23CC"/>
    <w:rsid w:val="005A25FC"/>
    <w:rsid w:val="005A2642"/>
    <w:rsid w:val="005A2858"/>
    <w:rsid w:val="005A7E55"/>
    <w:rsid w:val="005B091B"/>
    <w:rsid w:val="005B0A64"/>
    <w:rsid w:val="005B3823"/>
    <w:rsid w:val="005B3D95"/>
    <w:rsid w:val="005B7A51"/>
    <w:rsid w:val="005B7B2B"/>
    <w:rsid w:val="005C087B"/>
    <w:rsid w:val="005C3340"/>
    <w:rsid w:val="005C44CB"/>
    <w:rsid w:val="005C52A1"/>
    <w:rsid w:val="005C6417"/>
    <w:rsid w:val="005C6875"/>
    <w:rsid w:val="005D0532"/>
    <w:rsid w:val="005D3A52"/>
    <w:rsid w:val="005E0929"/>
    <w:rsid w:val="005E1D01"/>
    <w:rsid w:val="005E2220"/>
    <w:rsid w:val="005E4728"/>
    <w:rsid w:val="005E4D3C"/>
    <w:rsid w:val="005E57B7"/>
    <w:rsid w:val="005E60DD"/>
    <w:rsid w:val="005F2892"/>
    <w:rsid w:val="005F7953"/>
    <w:rsid w:val="005F7DF4"/>
    <w:rsid w:val="0060129D"/>
    <w:rsid w:val="006017A6"/>
    <w:rsid w:val="00604233"/>
    <w:rsid w:val="00604742"/>
    <w:rsid w:val="006059A8"/>
    <w:rsid w:val="00605E1C"/>
    <w:rsid w:val="0060609A"/>
    <w:rsid w:val="006104FE"/>
    <w:rsid w:val="00610888"/>
    <w:rsid w:val="006116A6"/>
    <w:rsid w:val="00612473"/>
    <w:rsid w:val="00612652"/>
    <w:rsid w:val="0061685B"/>
    <w:rsid w:val="00616D29"/>
    <w:rsid w:val="00616D2F"/>
    <w:rsid w:val="006213E7"/>
    <w:rsid w:val="00626BB2"/>
    <w:rsid w:val="00627286"/>
    <w:rsid w:val="0062761A"/>
    <w:rsid w:val="00630172"/>
    <w:rsid w:val="006319F2"/>
    <w:rsid w:val="00632577"/>
    <w:rsid w:val="006331D4"/>
    <w:rsid w:val="0063541B"/>
    <w:rsid w:val="00636CB2"/>
    <w:rsid w:val="0063714D"/>
    <w:rsid w:val="00637267"/>
    <w:rsid w:val="006402BC"/>
    <w:rsid w:val="0064170A"/>
    <w:rsid w:val="006417CE"/>
    <w:rsid w:val="006422C6"/>
    <w:rsid w:val="0064428D"/>
    <w:rsid w:val="0064428F"/>
    <w:rsid w:val="0064568C"/>
    <w:rsid w:val="00646957"/>
    <w:rsid w:val="006501BE"/>
    <w:rsid w:val="0065393B"/>
    <w:rsid w:val="006545DD"/>
    <w:rsid w:val="00654DC5"/>
    <w:rsid w:val="00655941"/>
    <w:rsid w:val="006608AE"/>
    <w:rsid w:val="00662263"/>
    <w:rsid w:val="006628BD"/>
    <w:rsid w:val="006644EA"/>
    <w:rsid w:val="00665366"/>
    <w:rsid w:val="0066764F"/>
    <w:rsid w:val="006702C9"/>
    <w:rsid w:val="00671DFD"/>
    <w:rsid w:val="00672B90"/>
    <w:rsid w:val="006747FE"/>
    <w:rsid w:val="00683AE9"/>
    <w:rsid w:val="00685EB1"/>
    <w:rsid w:val="0068607D"/>
    <w:rsid w:val="006860F1"/>
    <w:rsid w:val="00686D92"/>
    <w:rsid w:val="00691F58"/>
    <w:rsid w:val="00692275"/>
    <w:rsid w:val="00693CC5"/>
    <w:rsid w:val="0069548A"/>
    <w:rsid w:val="00696D38"/>
    <w:rsid w:val="0069798D"/>
    <w:rsid w:val="006A1876"/>
    <w:rsid w:val="006A1E4D"/>
    <w:rsid w:val="006A2265"/>
    <w:rsid w:val="006A46CD"/>
    <w:rsid w:val="006A4B35"/>
    <w:rsid w:val="006A4D2B"/>
    <w:rsid w:val="006A4ED5"/>
    <w:rsid w:val="006A5C89"/>
    <w:rsid w:val="006A64C5"/>
    <w:rsid w:val="006A7027"/>
    <w:rsid w:val="006B06E9"/>
    <w:rsid w:val="006B1AE9"/>
    <w:rsid w:val="006B1AEB"/>
    <w:rsid w:val="006B514F"/>
    <w:rsid w:val="006B6387"/>
    <w:rsid w:val="006B7377"/>
    <w:rsid w:val="006C0196"/>
    <w:rsid w:val="006C5BBE"/>
    <w:rsid w:val="006C74DF"/>
    <w:rsid w:val="006D6A6A"/>
    <w:rsid w:val="006D6F63"/>
    <w:rsid w:val="006D75E8"/>
    <w:rsid w:val="006E0712"/>
    <w:rsid w:val="006E08E3"/>
    <w:rsid w:val="006E23C6"/>
    <w:rsid w:val="006E27F5"/>
    <w:rsid w:val="006E2DE3"/>
    <w:rsid w:val="006E5C2B"/>
    <w:rsid w:val="006F26D3"/>
    <w:rsid w:val="006F27D4"/>
    <w:rsid w:val="006F56AB"/>
    <w:rsid w:val="006F7934"/>
    <w:rsid w:val="007039D9"/>
    <w:rsid w:val="00704288"/>
    <w:rsid w:val="00705139"/>
    <w:rsid w:val="007122C9"/>
    <w:rsid w:val="0071501B"/>
    <w:rsid w:val="007161AE"/>
    <w:rsid w:val="007170D3"/>
    <w:rsid w:val="00717B54"/>
    <w:rsid w:val="00717E2E"/>
    <w:rsid w:val="0072184D"/>
    <w:rsid w:val="007318C0"/>
    <w:rsid w:val="00735194"/>
    <w:rsid w:val="00735EB8"/>
    <w:rsid w:val="00736FBA"/>
    <w:rsid w:val="007370F4"/>
    <w:rsid w:val="0074000D"/>
    <w:rsid w:val="00741E8F"/>
    <w:rsid w:val="00743E4F"/>
    <w:rsid w:val="0074488D"/>
    <w:rsid w:val="0074570E"/>
    <w:rsid w:val="0074602B"/>
    <w:rsid w:val="00746385"/>
    <w:rsid w:val="0075042F"/>
    <w:rsid w:val="00753C18"/>
    <w:rsid w:val="00756D28"/>
    <w:rsid w:val="007578EA"/>
    <w:rsid w:val="0076013E"/>
    <w:rsid w:val="007613E7"/>
    <w:rsid w:val="0076578C"/>
    <w:rsid w:val="0076790A"/>
    <w:rsid w:val="0077074E"/>
    <w:rsid w:val="00773DEE"/>
    <w:rsid w:val="00773FC4"/>
    <w:rsid w:val="00774248"/>
    <w:rsid w:val="00774A7C"/>
    <w:rsid w:val="00774BCF"/>
    <w:rsid w:val="00775154"/>
    <w:rsid w:val="00775B87"/>
    <w:rsid w:val="007766CF"/>
    <w:rsid w:val="0078296B"/>
    <w:rsid w:val="0078393C"/>
    <w:rsid w:val="00783EB8"/>
    <w:rsid w:val="00785A4C"/>
    <w:rsid w:val="007879CC"/>
    <w:rsid w:val="007908C5"/>
    <w:rsid w:val="007908C9"/>
    <w:rsid w:val="00792D73"/>
    <w:rsid w:val="00793530"/>
    <w:rsid w:val="007944BC"/>
    <w:rsid w:val="007A009C"/>
    <w:rsid w:val="007A061F"/>
    <w:rsid w:val="007A1BEB"/>
    <w:rsid w:val="007A1C9E"/>
    <w:rsid w:val="007A2591"/>
    <w:rsid w:val="007A32A1"/>
    <w:rsid w:val="007A4B52"/>
    <w:rsid w:val="007A5D36"/>
    <w:rsid w:val="007A68A1"/>
    <w:rsid w:val="007A77F8"/>
    <w:rsid w:val="007B33BA"/>
    <w:rsid w:val="007B3B7B"/>
    <w:rsid w:val="007B538B"/>
    <w:rsid w:val="007B5C30"/>
    <w:rsid w:val="007B66E2"/>
    <w:rsid w:val="007C1AE7"/>
    <w:rsid w:val="007C1BB5"/>
    <w:rsid w:val="007C4901"/>
    <w:rsid w:val="007C6C91"/>
    <w:rsid w:val="007C79F3"/>
    <w:rsid w:val="007C7B9D"/>
    <w:rsid w:val="007C7E27"/>
    <w:rsid w:val="007D4462"/>
    <w:rsid w:val="007D4CC8"/>
    <w:rsid w:val="007D5DEF"/>
    <w:rsid w:val="007D608B"/>
    <w:rsid w:val="007E015B"/>
    <w:rsid w:val="007E0E9D"/>
    <w:rsid w:val="007E1C06"/>
    <w:rsid w:val="007E24B6"/>
    <w:rsid w:val="007E4A9C"/>
    <w:rsid w:val="007E52CD"/>
    <w:rsid w:val="007E56E3"/>
    <w:rsid w:val="007E63FD"/>
    <w:rsid w:val="007F18B3"/>
    <w:rsid w:val="007F2DE0"/>
    <w:rsid w:val="007F4E7A"/>
    <w:rsid w:val="008003B7"/>
    <w:rsid w:val="00802234"/>
    <w:rsid w:val="0080352B"/>
    <w:rsid w:val="008052C7"/>
    <w:rsid w:val="008101F0"/>
    <w:rsid w:val="00810E6A"/>
    <w:rsid w:val="00812754"/>
    <w:rsid w:val="00814BC9"/>
    <w:rsid w:val="0081707B"/>
    <w:rsid w:val="00821209"/>
    <w:rsid w:val="008227D4"/>
    <w:rsid w:val="00824D07"/>
    <w:rsid w:val="008264FA"/>
    <w:rsid w:val="00826E14"/>
    <w:rsid w:val="00827F56"/>
    <w:rsid w:val="008303C1"/>
    <w:rsid w:val="008303F2"/>
    <w:rsid w:val="00832250"/>
    <w:rsid w:val="00832B8F"/>
    <w:rsid w:val="00832E35"/>
    <w:rsid w:val="00833ECB"/>
    <w:rsid w:val="00834584"/>
    <w:rsid w:val="00834A8D"/>
    <w:rsid w:val="00836216"/>
    <w:rsid w:val="008375E6"/>
    <w:rsid w:val="00840080"/>
    <w:rsid w:val="00840BDC"/>
    <w:rsid w:val="00846726"/>
    <w:rsid w:val="00851529"/>
    <w:rsid w:val="008515B6"/>
    <w:rsid w:val="00853438"/>
    <w:rsid w:val="00853DCF"/>
    <w:rsid w:val="00853F98"/>
    <w:rsid w:val="008547DB"/>
    <w:rsid w:val="00855F03"/>
    <w:rsid w:val="00856867"/>
    <w:rsid w:val="00856F7D"/>
    <w:rsid w:val="00861923"/>
    <w:rsid w:val="0086232B"/>
    <w:rsid w:val="00862505"/>
    <w:rsid w:val="00862C0A"/>
    <w:rsid w:val="008633A2"/>
    <w:rsid w:val="00863DA8"/>
    <w:rsid w:val="0086493C"/>
    <w:rsid w:val="00865249"/>
    <w:rsid w:val="0086638F"/>
    <w:rsid w:val="008667DF"/>
    <w:rsid w:val="008727B2"/>
    <w:rsid w:val="00874291"/>
    <w:rsid w:val="00874AEB"/>
    <w:rsid w:val="00874C05"/>
    <w:rsid w:val="00876875"/>
    <w:rsid w:val="00876AD1"/>
    <w:rsid w:val="00877DE4"/>
    <w:rsid w:val="0088046B"/>
    <w:rsid w:val="00880915"/>
    <w:rsid w:val="008821AD"/>
    <w:rsid w:val="008822D6"/>
    <w:rsid w:val="00882492"/>
    <w:rsid w:val="00882A26"/>
    <w:rsid w:val="00883444"/>
    <w:rsid w:val="0088458A"/>
    <w:rsid w:val="00884979"/>
    <w:rsid w:val="00886F38"/>
    <w:rsid w:val="00890F30"/>
    <w:rsid w:val="008946E8"/>
    <w:rsid w:val="008952EF"/>
    <w:rsid w:val="00897497"/>
    <w:rsid w:val="0089767D"/>
    <w:rsid w:val="008A01A8"/>
    <w:rsid w:val="008A0B1C"/>
    <w:rsid w:val="008A2443"/>
    <w:rsid w:val="008A32D2"/>
    <w:rsid w:val="008A7DB4"/>
    <w:rsid w:val="008B0D8F"/>
    <w:rsid w:val="008B11E4"/>
    <w:rsid w:val="008B1C8C"/>
    <w:rsid w:val="008B2703"/>
    <w:rsid w:val="008B2C9A"/>
    <w:rsid w:val="008B45F7"/>
    <w:rsid w:val="008B6761"/>
    <w:rsid w:val="008B6CB0"/>
    <w:rsid w:val="008C3D82"/>
    <w:rsid w:val="008C538E"/>
    <w:rsid w:val="008C6600"/>
    <w:rsid w:val="008D28EA"/>
    <w:rsid w:val="008D3059"/>
    <w:rsid w:val="008D3281"/>
    <w:rsid w:val="008D3323"/>
    <w:rsid w:val="008D4538"/>
    <w:rsid w:val="008D5FFE"/>
    <w:rsid w:val="008D6210"/>
    <w:rsid w:val="008E1EBD"/>
    <w:rsid w:val="008E6279"/>
    <w:rsid w:val="008E77D0"/>
    <w:rsid w:val="008F05C4"/>
    <w:rsid w:val="008F13EC"/>
    <w:rsid w:val="008F56F4"/>
    <w:rsid w:val="008F5B22"/>
    <w:rsid w:val="008F7808"/>
    <w:rsid w:val="008F78DC"/>
    <w:rsid w:val="00902659"/>
    <w:rsid w:val="00905305"/>
    <w:rsid w:val="009107B6"/>
    <w:rsid w:val="00912373"/>
    <w:rsid w:val="00915FF0"/>
    <w:rsid w:val="00916AA4"/>
    <w:rsid w:val="00916BAD"/>
    <w:rsid w:val="00921CCF"/>
    <w:rsid w:val="00923CA6"/>
    <w:rsid w:val="00923CC1"/>
    <w:rsid w:val="00924089"/>
    <w:rsid w:val="009249BD"/>
    <w:rsid w:val="00924C5F"/>
    <w:rsid w:val="00927A13"/>
    <w:rsid w:val="009311E3"/>
    <w:rsid w:val="0093282D"/>
    <w:rsid w:val="00932B2E"/>
    <w:rsid w:val="0093361E"/>
    <w:rsid w:val="0093372D"/>
    <w:rsid w:val="00933B22"/>
    <w:rsid w:val="00934D3C"/>
    <w:rsid w:val="00937C1C"/>
    <w:rsid w:val="00940C92"/>
    <w:rsid w:val="00940E15"/>
    <w:rsid w:val="00944218"/>
    <w:rsid w:val="00945D98"/>
    <w:rsid w:val="009467BD"/>
    <w:rsid w:val="00947F30"/>
    <w:rsid w:val="00951DFC"/>
    <w:rsid w:val="00952FAD"/>
    <w:rsid w:val="00953837"/>
    <w:rsid w:val="00953E57"/>
    <w:rsid w:val="00954B17"/>
    <w:rsid w:val="00955677"/>
    <w:rsid w:val="00957A90"/>
    <w:rsid w:val="0096083B"/>
    <w:rsid w:val="009630B3"/>
    <w:rsid w:val="00964685"/>
    <w:rsid w:val="009666BB"/>
    <w:rsid w:val="0096714F"/>
    <w:rsid w:val="00970429"/>
    <w:rsid w:val="009762A1"/>
    <w:rsid w:val="00976CF0"/>
    <w:rsid w:val="009774D0"/>
    <w:rsid w:val="00977753"/>
    <w:rsid w:val="00981566"/>
    <w:rsid w:val="009819B7"/>
    <w:rsid w:val="00981F3D"/>
    <w:rsid w:val="00983D15"/>
    <w:rsid w:val="00985CFE"/>
    <w:rsid w:val="00987FEB"/>
    <w:rsid w:val="00991452"/>
    <w:rsid w:val="0099331F"/>
    <w:rsid w:val="00995B6D"/>
    <w:rsid w:val="00997D9E"/>
    <w:rsid w:val="009A358D"/>
    <w:rsid w:val="009A466E"/>
    <w:rsid w:val="009A54BB"/>
    <w:rsid w:val="009A7891"/>
    <w:rsid w:val="009B0CD4"/>
    <w:rsid w:val="009B2B7C"/>
    <w:rsid w:val="009B2B83"/>
    <w:rsid w:val="009B4C71"/>
    <w:rsid w:val="009B6C5D"/>
    <w:rsid w:val="009C094B"/>
    <w:rsid w:val="009C0C6D"/>
    <w:rsid w:val="009C16ED"/>
    <w:rsid w:val="009C385D"/>
    <w:rsid w:val="009C3F77"/>
    <w:rsid w:val="009C6CCE"/>
    <w:rsid w:val="009D1AE9"/>
    <w:rsid w:val="009D2542"/>
    <w:rsid w:val="009D3283"/>
    <w:rsid w:val="009D3634"/>
    <w:rsid w:val="009D4AF2"/>
    <w:rsid w:val="009D719B"/>
    <w:rsid w:val="009E22EE"/>
    <w:rsid w:val="009E2F5F"/>
    <w:rsid w:val="009E6BC3"/>
    <w:rsid w:val="009F07D0"/>
    <w:rsid w:val="009F111A"/>
    <w:rsid w:val="009F396B"/>
    <w:rsid w:val="009F4086"/>
    <w:rsid w:val="009F524B"/>
    <w:rsid w:val="009F5E7B"/>
    <w:rsid w:val="009F6DB4"/>
    <w:rsid w:val="00A03B0E"/>
    <w:rsid w:val="00A04187"/>
    <w:rsid w:val="00A06463"/>
    <w:rsid w:val="00A0796F"/>
    <w:rsid w:val="00A10851"/>
    <w:rsid w:val="00A10C55"/>
    <w:rsid w:val="00A13212"/>
    <w:rsid w:val="00A13884"/>
    <w:rsid w:val="00A161AA"/>
    <w:rsid w:val="00A166FF"/>
    <w:rsid w:val="00A170DF"/>
    <w:rsid w:val="00A2058A"/>
    <w:rsid w:val="00A21014"/>
    <w:rsid w:val="00A25492"/>
    <w:rsid w:val="00A268B1"/>
    <w:rsid w:val="00A278B5"/>
    <w:rsid w:val="00A305B8"/>
    <w:rsid w:val="00A30BF5"/>
    <w:rsid w:val="00A31931"/>
    <w:rsid w:val="00A323BF"/>
    <w:rsid w:val="00A33D37"/>
    <w:rsid w:val="00A351EE"/>
    <w:rsid w:val="00A369C3"/>
    <w:rsid w:val="00A36CF4"/>
    <w:rsid w:val="00A376FC"/>
    <w:rsid w:val="00A4056F"/>
    <w:rsid w:val="00A42142"/>
    <w:rsid w:val="00A43E3D"/>
    <w:rsid w:val="00A47F9C"/>
    <w:rsid w:val="00A506AA"/>
    <w:rsid w:val="00A53835"/>
    <w:rsid w:val="00A54B6A"/>
    <w:rsid w:val="00A564A7"/>
    <w:rsid w:val="00A57BD9"/>
    <w:rsid w:val="00A61753"/>
    <w:rsid w:val="00A62CEC"/>
    <w:rsid w:val="00A62E89"/>
    <w:rsid w:val="00A63027"/>
    <w:rsid w:val="00A64D8D"/>
    <w:rsid w:val="00A70405"/>
    <w:rsid w:val="00A73092"/>
    <w:rsid w:val="00A73C9E"/>
    <w:rsid w:val="00A74E71"/>
    <w:rsid w:val="00A753EA"/>
    <w:rsid w:val="00A8138B"/>
    <w:rsid w:val="00A83589"/>
    <w:rsid w:val="00A8659F"/>
    <w:rsid w:val="00A866BA"/>
    <w:rsid w:val="00A91F46"/>
    <w:rsid w:val="00A933F2"/>
    <w:rsid w:val="00A95CC8"/>
    <w:rsid w:val="00A9660B"/>
    <w:rsid w:val="00A97440"/>
    <w:rsid w:val="00AA1622"/>
    <w:rsid w:val="00AA321A"/>
    <w:rsid w:val="00AA778F"/>
    <w:rsid w:val="00AA7A8D"/>
    <w:rsid w:val="00AA7C6D"/>
    <w:rsid w:val="00AB0507"/>
    <w:rsid w:val="00AB2331"/>
    <w:rsid w:val="00AB2EB2"/>
    <w:rsid w:val="00AC1C2D"/>
    <w:rsid w:val="00AC4548"/>
    <w:rsid w:val="00AC601E"/>
    <w:rsid w:val="00AC7448"/>
    <w:rsid w:val="00AD0CD9"/>
    <w:rsid w:val="00AD1349"/>
    <w:rsid w:val="00AD288E"/>
    <w:rsid w:val="00AD2DC0"/>
    <w:rsid w:val="00AD38B7"/>
    <w:rsid w:val="00AD7546"/>
    <w:rsid w:val="00AE02B9"/>
    <w:rsid w:val="00AE24A6"/>
    <w:rsid w:val="00AE3A9B"/>
    <w:rsid w:val="00AE466D"/>
    <w:rsid w:val="00AE4F32"/>
    <w:rsid w:val="00AE6859"/>
    <w:rsid w:val="00AE75D5"/>
    <w:rsid w:val="00AF24BE"/>
    <w:rsid w:val="00AF2E24"/>
    <w:rsid w:val="00AF3560"/>
    <w:rsid w:val="00AF49BE"/>
    <w:rsid w:val="00AF53F1"/>
    <w:rsid w:val="00AF675C"/>
    <w:rsid w:val="00B003CF"/>
    <w:rsid w:val="00B03442"/>
    <w:rsid w:val="00B042CB"/>
    <w:rsid w:val="00B04EBB"/>
    <w:rsid w:val="00B05CAC"/>
    <w:rsid w:val="00B0759E"/>
    <w:rsid w:val="00B11940"/>
    <w:rsid w:val="00B1389A"/>
    <w:rsid w:val="00B2146E"/>
    <w:rsid w:val="00B21FC8"/>
    <w:rsid w:val="00B2547C"/>
    <w:rsid w:val="00B30C5E"/>
    <w:rsid w:val="00B31ABF"/>
    <w:rsid w:val="00B3271C"/>
    <w:rsid w:val="00B3327F"/>
    <w:rsid w:val="00B356F6"/>
    <w:rsid w:val="00B36188"/>
    <w:rsid w:val="00B4329B"/>
    <w:rsid w:val="00B45BE3"/>
    <w:rsid w:val="00B46C24"/>
    <w:rsid w:val="00B47D72"/>
    <w:rsid w:val="00B503BF"/>
    <w:rsid w:val="00B516F8"/>
    <w:rsid w:val="00B520F1"/>
    <w:rsid w:val="00B5545E"/>
    <w:rsid w:val="00B610A5"/>
    <w:rsid w:val="00B62A2A"/>
    <w:rsid w:val="00B633E6"/>
    <w:rsid w:val="00B640FC"/>
    <w:rsid w:val="00B64A95"/>
    <w:rsid w:val="00B65ADE"/>
    <w:rsid w:val="00B65EAE"/>
    <w:rsid w:val="00B67B32"/>
    <w:rsid w:val="00B7088A"/>
    <w:rsid w:val="00B73C34"/>
    <w:rsid w:val="00B73EF4"/>
    <w:rsid w:val="00B756A9"/>
    <w:rsid w:val="00B76659"/>
    <w:rsid w:val="00B773F7"/>
    <w:rsid w:val="00B777AA"/>
    <w:rsid w:val="00B822E5"/>
    <w:rsid w:val="00B828ED"/>
    <w:rsid w:val="00B84A76"/>
    <w:rsid w:val="00B86830"/>
    <w:rsid w:val="00B9041F"/>
    <w:rsid w:val="00B9178F"/>
    <w:rsid w:val="00B91FBC"/>
    <w:rsid w:val="00B954ED"/>
    <w:rsid w:val="00BA35C0"/>
    <w:rsid w:val="00BB08BA"/>
    <w:rsid w:val="00BB1641"/>
    <w:rsid w:val="00BB2A36"/>
    <w:rsid w:val="00BC1E7F"/>
    <w:rsid w:val="00BC253D"/>
    <w:rsid w:val="00BC38F7"/>
    <w:rsid w:val="00BC5BEE"/>
    <w:rsid w:val="00BC5E7A"/>
    <w:rsid w:val="00BC66EF"/>
    <w:rsid w:val="00BC765B"/>
    <w:rsid w:val="00BC7CB3"/>
    <w:rsid w:val="00BD15C1"/>
    <w:rsid w:val="00BD345F"/>
    <w:rsid w:val="00BD42C5"/>
    <w:rsid w:val="00BD4329"/>
    <w:rsid w:val="00BD52C8"/>
    <w:rsid w:val="00BD6678"/>
    <w:rsid w:val="00BD71A1"/>
    <w:rsid w:val="00BE0ED3"/>
    <w:rsid w:val="00BE109F"/>
    <w:rsid w:val="00BE1D4A"/>
    <w:rsid w:val="00BE2D70"/>
    <w:rsid w:val="00BE4682"/>
    <w:rsid w:val="00BE4AA1"/>
    <w:rsid w:val="00BE57BB"/>
    <w:rsid w:val="00BE5C1A"/>
    <w:rsid w:val="00BE5EF2"/>
    <w:rsid w:val="00BF1DD0"/>
    <w:rsid w:val="00BF6213"/>
    <w:rsid w:val="00BF7077"/>
    <w:rsid w:val="00BF79E2"/>
    <w:rsid w:val="00C041A3"/>
    <w:rsid w:val="00C078EA"/>
    <w:rsid w:val="00C10481"/>
    <w:rsid w:val="00C11EE6"/>
    <w:rsid w:val="00C1217A"/>
    <w:rsid w:val="00C12544"/>
    <w:rsid w:val="00C14CA4"/>
    <w:rsid w:val="00C14CE3"/>
    <w:rsid w:val="00C14EDF"/>
    <w:rsid w:val="00C155FA"/>
    <w:rsid w:val="00C15720"/>
    <w:rsid w:val="00C15FE0"/>
    <w:rsid w:val="00C169E4"/>
    <w:rsid w:val="00C179C9"/>
    <w:rsid w:val="00C216CB"/>
    <w:rsid w:val="00C22CAE"/>
    <w:rsid w:val="00C23144"/>
    <w:rsid w:val="00C23D5A"/>
    <w:rsid w:val="00C24A8E"/>
    <w:rsid w:val="00C24F4F"/>
    <w:rsid w:val="00C267B8"/>
    <w:rsid w:val="00C30B67"/>
    <w:rsid w:val="00C33115"/>
    <w:rsid w:val="00C334DD"/>
    <w:rsid w:val="00C41CCA"/>
    <w:rsid w:val="00C42A8A"/>
    <w:rsid w:val="00C4427A"/>
    <w:rsid w:val="00C47BB2"/>
    <w:rsid w:val="00C513C2"/>
    <w:rsid w:val="00C51C1A"/>
    <w:rsid w:val="00C52CDF"/>
    <w:rsid w:val="00C54340"/>
    <w:rsid w:val="00C609FE"/>
    <w:rsid w:val="00C61DE3"/>
    <w:rsid w:val="00C6303B"/>
    <w:rsid w:val="00C63510"/>
    <w:rsid w:val="00C64C9B"/>
    <w:rsid w:val="00C668A5"/>
    <w:rsid w:val="00C66DE2"/>
    <w:rsid w:val="00C71AFA"/>
    <w:rsid w:val="00C73ADC"/>
    <w:rsid w:val="00C7435F"/>
    <w:rsid w:val="00C74D4D"/>
    <w:rsid w:val="00C90987"/>
    <w:rsid w:val="00C920F1"/>
    <w:rsid w:val="00C92155"/>
    <w:rsid w:val="00C923D4"/>
    <w:rsid w:val="00C92A7B"/>
    <w:rsid w:val="00C9358A"/>
    <w:rsid w:val="00C94D36"/>
    <w:rsid w:val="00C965A4"/>
    <w:rsid w:val="00C967DE"/>
    <w:rsid w:val="00CA4583"/>
    <w:rsid w:val="00CA6773"/>
    <w:rsid w:val="00CA7BEF"/>
    <w:rsid w:val="00CB04D9"/>
    <w:rsid w:val="00CB0C3A"/>
    <w:rsid w:val="00CB1342"/>
    <w:rsid w:val="00CB1EDF"/>
    <w:rsid w:val="00CB2FCD"/>
    <w:rsid w:val="00CB529E"/>
    <w:rsid w:val="00CB6F86"/>
    <w:rsid w:val="00CB7C02"/>
    <w:rsid w:val="00CC01BC"/>
    <w:rsid w:val="00CC05CE"/>
    <w:rsid w:val="00CC283B"/>
    <w:rsid w:val="00CC3862"/>
    <w:rsid w:val="00CC5390"/>
    <w:rsid w:val="00CC73A0"/>
    <w:rsid w:val="00CC7F94"/>
    <w:rsid w:val="00CD034D"/>
    <w:rsid w:val="00CD56D3"/>
    <w:rsid w:val="00CD6D13"/>
    <w:rsid w:val="00CE0303"/>
    <w:rsid w:val="00CE06FA"/>
    <w:rsid w:val="00CE20A7"/>
    <w:rsid w:val="00CE4EF2"/>
    <w:rsid w:val="00CE644F"/>
    <w:rsid w:val="00CF1822"/>
    <w:rsid w:val="00CF6428"/>
    <w:rsid w:val="00CF6E51"/>
    <w:rsid w:val="00CF7985"/>
    <w:rsid w:val="00D02EBC"/>
    <w:rsid w:val="00D0323E"/>
    <w:rsid w:val="00D0588B"/>
    <w:rsid w:val="00D06041"/>
    <w:rsid w:val="00D10FE2"/>
    <w:rsid w:val="00D1125C"/>
    <w:rsid w:val="00D128D1"/>
    <w:rsid w:val="00D13843"/>
    <w:rsid w:val="00D147F4"/>
    <w:rsid w:val="00D15B26"/>
    <w:rsid w:val="00D15F20"/>
    <w:rsid w:val="00D20603"/>
    <w:rsid w:val="00D2295D"/>
    <w:rsid w:val="00D23195"/>
    <w:rsid w:val="00D31E02"/>
    <w:rsid w:val="00D328E5"/>
    <w:rsid w:val="00D3584B"/>
    <w:rsid w:val="00D377AC"/>
    <w:rsid w:val="00D40603"/>
    <w:rsid w:val="00D4079C"/>
    <w:rsid w:val="00D418F0"/>
    <w:rsid w:val="00D449CF"/>
    <w:rsid w:val="00D46488"/>
    <w:rsid w:val="00D466ED"/>
    <w:rsid w:val="00D50777"/>
    <w:rsid w:val="00D515C8"/>
    <w:rsid w:val="00D5651E"/>
    <w:rsid w:val="00D57128"/>
    <w:rsid w:val="00D611C0"/>
    <w:rsid w:val="00D61427"/>
    <w:rsid w:val="00D63021"/>
    <w:rsid w:val="00D632FE"/>
    <w:rsid w:val="00D65181"/>
    <w:rsid w:val="00D72AD7"/>
    <w:rsid w:val="00D747CD"/>
    <w:rsid w:val="00D74943"/>
    <w:rsid w:val="00D80B77"/>
    <w:rsid w:val="00D81165"/>
    <w:rsid w:val="00D81F95"/>
    <w:rsid w:val="00D85024"/>
    <w:rsid w:val="00D870AE"/>
    <w:rsid w:val="00D876D2"/>
    <w:rsid w:val="00D87742"/>
    <w:rsid w:val="00D90774"/>
    <w:rsid w:val="00D90CDB"/>
    <w:rsid w:val="00D9136A"/>
    <w:rsid w:val="00D93A19"/>
    <w:rsid w:val="00D951B6"/>
    <w:rsid w:val="00D95B0C"/>
    <w:rsid w:val="00D96114"/>
    <w:rsid w:val="00D97344"/>
    <w:rsid w:val="00DA02B6"/>
    <w:rsid w:val="00DA0352"/>
    <w:rsid w:val="00DA1129"/>
    <w:rsid w:val="00DA1749"/>
    <w:rsid w:val="00DA23F0"/>
    <w:rsid w:val="00DA2614"/>
    <w:rsid w:val="00DA7FA9"/>
    <w:rsid w:val="00DB4F7A"/>
    <w:rsid w:val="00DB6116"/>
    <w:rsid w:val="00DB6E10"/>
    <w:rsid w:val="00DB7757"/>
    <w:rsid w:val="00DB7E65"/>
    <w:rsid w:val="00DC0295"/>
    <w:rsid w:val="00DC0E05"/>
    <w:rsid w:val="00DC27A8"/>
    <w:rsid w:val="00DC33DC"/>
    <w:rsid w:val="00DC5330"/>
    <w:rsid w:val="00DC775D"/>
    <w:rsid w:val="00DC7933"/>
    <w:rsid w:val="00DC7A00"/>
    <w:rsid w:val="00DD316E"/>
    <w:rsid w:val="00DD33C5"/>
    <w:rsid w:val="00DD3656"/>
    <w:rsid w:val="00DD3E93"/>
    <w:rsid w:val="00DD4E1A"/>
    <w:rsid w:val="00DD5568"/>
    <w:rsid w:val="00DD5A58"/>
    <w:rsid w:val="00DD5EF9"/>
    <w:rsid w:val="00DD6989"/>
    <w:rsid w:val="00DE1615"/>
    <w:rsid w:val="00DE3D95"/>
    <w:rsid w:val="00DE4C7C"/>
    <w:rsid w:val="00DF0C56"/>
    <w:rsid w:val="00DF26C5"/>
    <w:rsid w:val="00DF4638"/>
    <w:rsid w:val="00DF553B"/>
    <w:rsid w:val="00DF6AFE"/>
    <w:rsid w:val="00DF704C"/>
    <w:rsid w:val="00DF70EB"/>
    <w:rsid w:val="00DF7833"/>
    <w:rsid w:val="00E005ED"/>
    <w:rsid w:val="00E022A6"/>
    <w:rsid w:val="00E02B15"/>
    <w:rsid w:val="00E0389A"/>
    <w:rsid w:val="00E0457B"/>
    <w:rsid w:val="00E05439"/>
    <w:rsid w:val="00E071C0"/>
    <w:rsid w:val="00E10291"/>
    <w:rsid w:val="00E12419"/>
    <w:rsid w:val="00E146A8"/>
    <w:rsid w:val="00E17DAA"/>
    <w:rsid w:val="00E217A3"/>
    <w:rsid w:val="00E21CE0"/>
    <w:rsid w:val="00E25A9C"/>
    <w:rsid w:val="00E261B9"/>
    <w:rsid w:val="00E312DB"/>
    <w:rsid w:val="00E31D87"/>
    <w:rsid w:val="00E329B1"/>
    <w:rsid w:val="00E32D59"/>
    <w:rsid w:val="00E35BA2"/>
    <w:rsid w:val="00E40C2C"/>
    <w:rsid w:val="00E413C8"/>
    <w:rsid w:val="00E46C64"/>
    <w:rsid w:val="00E46D98"/>
    <w:rsid w:val="00E53F99"/>
    <w:rsid w:val="00E546A4"/>
    <w:rsid w:val="00E55AF0"/>
    <w:rsid w:val="00E56259"/>
    <w:rsid w:val="00E56349"/>
    <w:rsid w:val="00E5719C"/>
    <w:rsid w:val="00E62487"/>
    <w:rsid w:val="00E62DFF"/>
    <w:rsid w:val="00E63612"/>
    <w:rsid w:val="00E6503C"/>
    <w:rsid w:val="00E65DC5"/>
    <w:rsid w:val="00E67985"/>
    <w:rsid w:val="00E70AEE"/>
    <w:rsid w:val="00E71183"/>
    <w:rsid w:val="00E7255A"/>
    <w:rsid w:val="00E7487C"/>
    <w:rsid w:val="00E762D0"/>
    <w:rsid w:val="00E81349"/>
    <w:rsid w:val="00E82AD8"/>
    <w:rsid w:val="00E84042"/>
    <w:rsid w:val="00E84BEE"/>
    <w:rsid w:val="00E84FF3"/>
    <w:rsid w:val="00E8765E"/>
    <w:rsid w:val="00E9075C"/>
    <w:rsid w:val="00E91CBC"/>
    <w:rsid w:val="00E92252"/>
    <w:rsid w:val="00E934F8"/>
    <w:rsid w:val="00E944A1"/>
    <w:rsid w:val="00EA2979"/>
    <w:rsid w:val="00EA3214"/>
    <w:rsid w:val="00EA3A0D"/>
    <w:rsid w:val="00EA4297"/>
    <w:rsid w:val="00EA691A"/>
    <w:rsid w:val="00EA7DA1"/>
    <w:rsid w:val="00EB0736"/>
    <w:rsid w:val="00EB0B3D"/>
    <w:rsid w:val="00EB0FB9"/>
    <w:rsid w:val="00EB32C1"/>
    <w:rsid w:val="00EB344B"/>
    <w:rsid w:val="00EB6D04"/>
    <w:rsid w:val="00EB7C7A"/>
    <w:rsid w:val="00EC34BC"/>
    <w:rsid w:val="00EC450B"/>
    <w:rsid w:val="00EC4CC7"/>
    <w:rsid w:val="00EC7219"/>
    <w:rsid w:val="00EC7AD7"/>
    <w:rsid w:val="00ED03E7"/>
    <w:rsid w:val="00ED09EB"/>
    <w:rsid w:val="00ED607C"/>
    <w:rsid w:val="00ED7F0F"/>
    <w:rsid w:val="00EE1941"/>
    <w:rsid w:val="00EE233B"/>
    <w:rsid w:val="00EE28B1"/>
    <w:rsid w:val="00EE2AC2"/>
    <w:rsid w:val="00EE37D7"/>
    <w:rsid w:val="00EE4130"/>
    <w:rsid w:val="00EE4A7F"/>
    <w:rsid w:val="00EE709B"/>
    <w:rsid w:val="00EF038F"/>
    <w:rsid w:val="00EF0392"/>
    <w:rsid w:val="00EF1554"/>
    <w:rsid w:val="00EF1E11"/>
    <w:rsid w:val="00EF2B1E"/>
    <w:rsid w:val="00EF3A6D"/>
    <w:rsid w:val="00EF3EE7"/>
    <w:rsid w:val="00EF54D8"/>
    <w:rsid w:val="00EF57AC"/>
    <w:rsid w:val="00EF5BCF"/>
    <w:rsid w:val="00EF6F1E"/>
    <w:rsid w:val="00EF7A5E"/>
    <w:rsid w:val="00EF7B2A"/>
    <w:rsid w:val="00F0681B"/>
    <w:rsid w:val="00F06869"/>
    <w:rsid w:val="00F079D6"/>
    <w:rsid w:val="00F133EA"/>
    <w:rsid w:val="00F13CEA"/>
    <w:rsid w:val="00F155C9"/>
    <w:rsid w:val="00F17485"/>
    <w:rsid w:val="00F17A6A"/>
    <w:rsid w:val="00F20AE5"/>
    <w:rsid w:val="00F20D1C"/>
    <w:rsid w:val="00F2110A"/>
    <w:rsid w:val="00F22D09"/>
    <w:rsid w:val="00F230DD"/>
    <w:rsid w:val="00F23629"/>
    <w:rsid w:val="00F27564"/>
    <w:rsid w:val="00F319BF"/>
    <w:rsid w:val="00F322F0"/>
    <w:rsid w:val="00F3257F"/>
    <w:rsid w:val="00F32E57"/>
    <w:rsid w:val="00F33331"/>
    <w:rsid w:val="00F42AEB"/>
    <w:rsid w:val="00F42ED7"/>
    <w:rsid w:val="00F42FC4"/>
    <w:rsid w:val="00F437C8"/>
    <w:rsid w:val="00F441BE"/>
    <w:rsid w:val="00F459ED"/>
    <w:rsid w:val="00F475F9"/>
    <w:rsid w:val="00F47A31"/>
    <w:rsid w:val="00F530A9"/>
    <w:rsid w:val="00F60693"/>
    <w:rsid w:val="00F64C59"/>
    <w:rsid w:val="00F6688B"/>
    <w:rsid w:val="00F71ADB"/>
    <w:rsid w:val="00F71C7C"/>
    <w:rsid w:val="00F72F58"/>
    <w:rsid w:val="00F73E9B"/>
    <w:rsid w:val="00F80474"/>
    <w:rsid w:val="00F8307D"/>
    <w:rsid w:val="00F84BFF"/>
    <w:rsid w:val="00F84D57"/>
    <w:rsid w:val="00F85534"/>
    <w:rsid w:val="00F86B82"/>
    <w:rsid w:val="00F9170F"/>
    <w:rsid w:val="00F9507F"/>
    <w:rsid w:val="00FA17B2"/>
    <w:rsid w:val="00FA57C4"/>
    <w:rsid w:val="00FA5A0F"/>
    <w:rsid w:val="00FA5CF6"/>
    <w:rsid w:val="00FA686F"/>
    <w:rsid w:val="00FB3FB5"/>
    <w:rsid w:val="00FB5A5C"/>
    <w:rsid w:val="00FB61EF"/>
    <w:rsid w:val="00FB6FA8"/>
    <w:rsid w:val="00FC255F"/>
    <w:rsid w:val="00FC2678"/>
    <w:rsid w:val="00FC501F"/>
    <w:rsid w:val="00FC6EE1"/>
    <w:rsid w:val="00FD18B2"/>
    <w:rsid w:val="00FD3AF2"/>
    <w:rsid w:val="00FD77EA"/>
    <w:rsid w:val="00FD7D0C"/>
    <w:rsid w:val="00FE0F66"/>
    <w:rsid w:val="00FE2A3B"/>
    <w:rsid w:val="00FE2BB4"/>
    <w:rsid w:val="00FE2F7F"/>
    <w:rsid w:val="00FE3CC6"/>
    <w:rsid w:val="00FE5691"/>
    <w:rsid w:val="00FE736F"/>
    <w:rsid w:val="00FF1FD4"/>
    <w:rsid w:val="00FF2A83"/>
    <w:rsid w:val="00FF5DD5"/>
    <w:rsid w:val="00FF688C"/>
    <w:rsid w:val="00FF7819"/>
    <w:rsid w:val="00FF7EE4"/>
    <w:rsid w:val="01FDD292"/>
    <w:rsid w:val="03343D49"/>
    <w:rsid w:val="03ABFBC1"/>
    <w:rsid w:val="03FB6761"/>
    <w:rsid w:val="04A842DD"/>
    <w:rsid w:val="07A5CA34"/>
    <w:rsid w:val="0879D5AE"/>
    <w:rsid w:val="08C96EF0"/>
    <w:rsid w:val="0B20F9A4"/>
    <w:rsid w:val="0CD6C8E2"/>
    <w:rsid w:val="0D1B25FC"/>
    <w:rsid w:val="0D458C1C"/>
    <w:rsid w:val="0E0CDA7D"/>
    <w:rsid w:val="0EF774F8"/>
    <w:rsid w:val="10B9CCE1"/>
    <w:rsid w:val="118E25D2"/>
    <w:rsid w:val="14A07324"/>
    <w:rsid w:val="14B88DC5"/>
    <w:rsid w:val="153FD142"/>
    <w:rsid w:val="16400262"/>
    <w:rsid w:val="168BB1CA"/>
    <w:rsid w:val="16DD5E9A"/>
    <w:rsid w:val="190D0892"/>
    <w:rsid w:val="1985E77A"/>
    <w:rsid w:val="1A9E3202"/>
    <w:rsid w:val="1D415E47"/>
    <w:rsid w:val="1D9EDDA9"/>
    <w:rsid w:val="1F86CAFA"/>
    <w:rsid w:val="205514DF"/>
    <w:rsid w:val="213753D5"/>
    <w:rsid w:val="214B9DC9"/>
    <w:rsid w:val="2302CB33"/>
    <w:rsid w:val="23F21527"/>
    <w:rsid w:val="240ED094"/>
    <w:rsid w:val="246FF141"/>
    <w:rsid w:val="258DE588"/>
    <w:rsid w:val="26A87E29"/>
    <w:rsid w:val="270BE237"/>
    <w:rsid w:val="289D53CC"/>
    <w:rsid w:val="292F0F01"/>
    <w:rsid w:val="292FF2D7"/>
    <w:rsid w:val="299E2144"/>
    <w:rsid w:val="2A81308F"/>
    <w:rsid w:val="2AE38681"/>
    <w:rsid w:val="2B081428"/>
    <w:rsid w:val="2B3B09B8"/>
    <w:rsid w:val="2B9EEE33"/>
    <w:rsid w:val="2BFBABBE"/>
    <w:rsid w:val="2CF1DEE6"/>
    <w:rsid w:val="2CF63441"/>
    <w:rsid w:val="2D960BA9"/>
    <w:rsid w:val="300921B9"/>
    <w:rsid w:val="3014E9D1"/>
    <w:rsid w:val="30DC9912"/>
    <w:rsid w:val="3152AA26"/>
    <w:rsid w:val="31987144"/>
    <w:rsid w:val="320C096E"/>
    <w:rsid w:val="32413A92"/>
    <w:rsid w:val="3345A429"/>
    <w:rsid w:val="3365DF7D"/>
    <w:rsid w:val="338AD733"/>
    <w:rsid w:val="348624F1"/>
    <w:rsid w:val="369DDED0"/>
    <w:rsid w:val="371064C4"/>
    <w:rsid w:val="39788F36"/>
    <w:rsid w:val="3B82B1A1"/>
    <w:rsid w:val="3BEFD102"/>
    <w:rsid w:val="3D31C50C"/>
    <w:rsid w:val="3F661A25"/>
    <w:rsid w:val="3FA8EAA7"/>
    <w:rsid w:val="4060A748"/>
    <w:rsid w:val="40B91A68"/>
    <w:rsid w:val="40FA4FF1"/>
    <w:rsid w:val="42349295"/>
    <w:rsid w:val="42A044BE"/>
    <w:rsid w:val="42E39FD1"/>
    <w:rsid w:val="43FBFF56"/>
    <w:rsid w:val="43FFB094"/>
    <w:rsid w:val="44A4249E"/>
    <w:rsid w:val="45101BF9"/>
    <w:rsid w:val="464B9401"/>
    <w:rsid w:val="4B065146"/>
    <w:rsid w:val="4C0BD328"/>
    <w:rsid w:val="4CC560BF"/>
    <w:rsid w:val="4D04151A"/>
    <w:rsid w:val="4D54D746"/>
    <w:rsid w:val="4E0EF0D1"/>
    <w:rsid w:val="4E412C67"/>
    <w:rsid w:val="4F4DC1C5"/>
    <w:rsid w:val="4F5D6062"/>
    <w:rsid w:val="4FF5D099"/>
    <w:rsid w:val="50C076EE"/>
    <w:rsid w:val="5348577F"/>
    <w:rsid w:val="5441D815"/>
    <w:rsid w:val="575579AB"/>
    <w:rsid w:val="58679F10"/>
    <w:rsid w:val="59C908CE"/>
    <w:rsid w:val="5B6B783E"/>
    <w:rsid w:val="5BCA9AF6"/>
    <w:rsid w:val="5DDEE69A"/>
    <w:rsid w:val="5EE16208"/>
    <w:rsid w:val="5FB826F7"/>
    <w:rsid w:val="601A1D0B"/>
    <w:rsid w:val="63232560"/>
    <w:rsid w:val="6339AB16"/>
    <w:rsid w:val="63F757F1"/>
    <w:rsid w:val="64551E2C"/>
    <w:rsid w:val="6495636B"/>
    <w:rsid w:val="679146BB"/>
    <w:rsid w:val="67CA3BF0"/>
    <w:rsid w:val="686C4CBA"/>
    <w:rsid w:val="6A310B7F"/>
    <w:rsid w:val="6A5C6F67"/>
    <w:rsid w:val="6A61E10E"/>
    <w:rsid w:val="6AFE3235"/>
    <w:rsid w:val="6C9DD8CB"/>
    <w:rsid w:val="6CB88AED"/>
    <w:rsid w:val="6D249D3F"/>
    <w:rsid w:val="6DA3E2E9"/>
    <w:rsid w:val="6E9F620F"/>
    <w:rsid w:val="6F99D76B"/>
    <w:rsid w:val="7001F6E5"/>
    <w:rsid w:val="703110F8"/>
    <w:rsid w:val="70DB41FD"/>
    <w:rsid w:val="70DE2D26"/>
    <w:rsid w:val="712F303C"/>
    <w:rsid w:val="71644E7B"/>
    <w:rsid w:val="72B7E760"/>
    <w:rsid w:val="73AD4C73"/>
    <w:rsid w:val="73D500BE"/>
    <w:rsid w:val="73DAC2B2"/>
    <w:rsid w:val="7601EEAE"/>
    <w:rsid w:val="7633D172"/>
    <w:rsid w:val="775121DD"/>
    <w:rsid w:val="77FD9B55"/>
    <w:rsid w:val="79C8B336"/>
    <w:rsid w:val="79D4427B"/>
    <w:rsid w:val="79D931A3"/>
    <w:rsid w:val="7BD595DF"/>
    <w:rsid w:val="7D2F853A"/>
    <w:rsid w:val="7E4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9C92C"/>
  <w15:docId w15:val="{7B91FDB7-4CC8-4E99-9BCF-DFE24693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F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DB"/>
    <w:pPr>
      <w:keepNext/>
      <w:keepLines/>
      <w:spacing w:before="12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15"/>
    <w:pPr>
      <w:keepNext/>
      <w:keepLines/>
      <w:spacing w:before="200" w:after="100" w:afterAutospacing="1"/>
      <w:outlineLvl w:val="1"/>
    </w:pPr>
    <w:rPr>
      <w:rFonts w:eastAsiaTheme="majorEastAsia" w:cstheme="minorHAns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51"/>
    <w:pPr>
      <w:spacing w:before="100" w:beforeAutospacing="1"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312DB"/>
    <w:rPr>
      <w:rFonts w:eastAsiaTheme="majorEastAsia" w:cstheme="minorHAns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32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1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1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1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eastAsiaTheme="majorEastAsia" w:cstheme="minorHAnsi"/>
      <w:bCs/>
      <w:i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851"/>
    <w:rPr>
      <w:rFonts w:eastAsiaTheme="minorEastAsia"/>
      <w:b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96F"/>
    <w:rPr>
      <w:color w:val="605E5C"/>
      <w:shd w:val="clear" w:color="auto" w:fill="E1DFDD"/>
    </w:rPr>
  </w:style>
  <w:style w:type="paragraph" w:customStyle="1" w:styleId="BodyText1">
    <w:name w:val="Body Text1"/>
    <w:basedOn w:val="Normal"/>
    <w:qFormat/>
    <w:rsid w:val="00940C92"/>
    <w:rPr>
      <w:rFonts w:ascii="Arial" w:eastAsia="Calibri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6E6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65181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b8826d5053ee4fc5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Consultation@tio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Rebekah Sarkoezy</DisplayName>
        <AccountId>16</AccountId>
        <AccountType/>
      </UserInfo>
      <UserInfo>
        <DisplayName>Meredith Lea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0EADF-B74E-4262-8D85-D9588AD9F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21FB9-1321-4B4B-A22E-45DA56E9F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4F94-1AF4-4521-991E-7AE5BA2A5212}">
  <ds:schemaRefs>
    <ds:schemaRef ds:uri="http://schemas.microsoft.com/office/2006/metadata/properties"/>
    <ds:schemaRef ds:uri="http://schemas.microsoft.com/office/infopath/2007/PartnerControls"/>
    <ds:schemaRef ds:uri="2afa1a33-c191-48ee-b288-192490d33fec"/>
  </ds:schemaRefs>
</ds:datastoreItem>
</file>

<file path=customXml/itemProps4.xml><?xml version="1.0" encoding="utf-8"?>
<ds:datastoreItem xmlns:ds="http://schemas.openxmlformats.org/officeDocument/2006/customXml" ds:itemID="{6951A666-5A32-436E-BAA7-85CE70A7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mailto:PublicConsultation@tio.com.au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Kininmonth</dc:creator>
  <cp:keywords/>
  <cp:lastModifiedBy>Rebekah Sarkoezy</cp:lastModifiedBy>
  <cp:revision>73</cp:revision>
  <cp:lastPrinted>2021-08-23T07:33:00Z</cp:lastPrinted>
  <dcterms:created xsi:type="dcterms:W3CDTF">2022-03-24T00:54:00Z</dcterms:created>
  <dcterms:modified xsi:type="dcterms:W3CDTF">2022-03-30T23:28:00Z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