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30D3B2" w14:textId="77777777" w:rsidR="006252C6" w:rsidRDefault="006252C6" w:rsidP="00B14DFB">
      <w:pPr>
        <w:pStyle w:val="Subtitle"/>
        <w:rPr>
          <w:rFonts w:eastAsiaTheme="majorEastAsia" w:cstheme="majorBidi"/>
          <w:b/>
          <w:spacing w:val="5"/>
          <w:kern w:val="28"/>
          <w:sz w:val="52"/>
          <w:szCs w:val="52"/>
        </w:rPr>
      </w:pPr>
      <w:r w:rsidRPr="006252C6">
        <w:rPr>
          <w:rFonts w:eastAsiaTheme="majorEastAsia" w:cstheme="majorBidi"/>
          <w:b/>
          <w:spacing w:val="5"/>
          <w:kern w:val="28"/>
          <w:sz w:val="52"/>
          <w:szCs w:val="52"/>
        </w:rPr>
        <w:t xml:space="preserve">Privacy Act Review Issues Paper </w:t>
      </w:r>
    </w:p>
    <w:p w14:paraId="28C1DE25" w14:textId="06BB76CE" w:rsidR="009F4B9D" w:rsidRPr="003441E5" w:rsidRDefault="009F4B9D" w:rsidP="00B14DFB">
      <w:pPr>
        <w:pStyle w:val="Subtitle"/>
      </w:pPr>
      <w:r w:rsidRPr="003441E5">
        <w:t xml:space="preserve">Submission by the Australian Communications Consumer Action Network to the </w:t>
      </w:r>
      <w:r w:rsidR="006252C6">
        <w:t>Attorney General’s Department</w:t>
      </w:r>
    </w:p>
    <w:p w14:paraId="3073FADF" w14:textId="1674B3FE" w:rsidR="009F4B9D" w:rsidRPr="003441E5" w:rsidRDefault="0039636F" w:rsidP="00B14DFB">
      <w:pPr>
        <w:pStyle w:val="Subtitle"/>
      </w:pPr>
      <w:r>
        <w:t>1</w:t>
      </w:r>
      <w:r w:rsidR="00686827">
        <w:t>8</w:t>
      </w:r>
      <w:r>
        <w:t xml:space="preserve"> December 2020</w:t>
      </w:r>
    </w:p>
    <w:p w14:paraId="6C6C1726" w14:textId="77777777" w:rsidR="009F4B9D" w:rsidRPr="003441E5" w:rsidRDefault="009F4B9D" w:rsidP="00A13B92">
      <w:pPr>
        <w:rPr>
          <w:lang w:eastAsia="en-US"/>
        </w:rPr>
      </w:pPr>
      <w:r w:rsidRPr="003441E5">
        <w:rPr>
          <w:lang w:eastAsia="en-US"/>
        </w:rPr>
        <w:br w:type="page"/>
      </w:r>
    </w:p>
    <w:p w14:paraId="09C0FA5A" w14:textId="77777777" w:rsidR="009F4B9D" w:rsidRPr="003441E5" w:rsidRDefault="009F4B9D" w:rsidP="00B14DFB">
      <w:pPr>
        <w:pStyle w:val="About"/>
      </w:pPr>
      <w:r w:rsidRPr="003441E5">
        <w:lastRenderedPageBreak/>
        <w:t xml:space="preserve">About ACCAN </w:t>
      </w:r>
    </w:p>
    <w:p w14:paraId="4B5117C0" w14:textId="77777777" w:rsidR="009F4B9D" w:rsidRPr="003441E5" w:rsidRDefault="009F4B9D" w:rsidP="00B14DFB">
      <w:r w:rsidRPr="003441E5">
        <w:t xml:space="preserve">The Australian Communications Consumer Action Network (ACCAN) is the peak body that represents all consumers on communications issues including telecommunications, broadband and emerging new services. ACCAN provides a strong unified voice to industry and government as consumers work towards communications services </w:t>
      </w:r>
      <w:r w:rsidR="00542DEB">
        <w:t>that are trusted, inclusive and available for all</w:t>
      </w:r>
      <w:r w:rsidRPr="003441E5">
        <w:t>.</w:t>
      </w:r>
    </w:p>
    <w:p w14:paraId="0108FE6A" w14:textId="77777777" w:rsidR="00A615CC" w:rsidRPr="003441E5" w:rsidRDefault="00A615CC" w:rsidP="00A615CC">
      <w:r w:rsidRPr="003441E5">
        <w:t xml:space="preserve">Consumers need ACCAN to promote better consumer protection outcomes ensuring speedy responses to complaints and issues. ACCAN aims to empower consumers so that they are well informed and can make good choices about products and services. As a peak body, ACCAN will </w:t>
      </w:r>
      <w:r>
        <w:t>represent the views of</w:t>
      </w:r>
      <w:r w:rsidRPr="003441E5">
        <w:t xml:space="preserve"> its broad and diverse membership base to </w:t>
      </w:r>
      <w:r>
        <w:t>policy makers, government and industry</w:t>
      </w:r>
      <w:r w:rsidRPr="003441E5">
        <w:t xml:space="preserve"> to get better </w:t>
      </w:r>
      <w:r>
        <w:t xml:space="preserve">outcomes </w:t>
      </w:r>
      <w:r w:rsidRPr="003441E5">
        <w:t>for all communications consumers. </w:t>
      </w:r>
    </w:p>
    <w:p w14:paraId="7089921E" w14:textId="77777777" w:rsidR="00606DE8" w:rsidRDefault="00606DE8" w:rsidP="00BF754D">
      <w:pPr>
        <w:spacing w:after="0" w:afterAutospacing="0"/>
      </w:pPr>
    </w:p>
    <w:p w14:paraId="25C91E5B" w14:textId="654DB0EE" w:rsidR="00BF754D" w:rsidRDefault="00BF754D" w:rsidP="00BF754D">
      <w:pPr>
        <w:spacing w:after="0" w:afterAutospacing="0"/>
      </w:pPr>
      <w:r>
        <w:t>PO Box 639,</w:t>
      </w:r>
    </w:p>
    <w:p w14:paraId="2F9E5902" w14:textId="77777777" w:rsidR="00BF754D" w:rsidRDefault="00BF754D" w:rsidP="00BF754D">
      <w:pPr>
        <w:spacing w:before="0" w:beforeAutospacing="0"/>
      </w:pPr>
      <w:r>
        <w:t>Broadway</w:t>
      </w:r>
      <w:r w:rsidR="009F4B9D" w:rsidRPr="003441E5">
        <w:t xml:space="preserve"> NSW, 2007</w:t>
      </w:r>
      <w:r w:rsidR="009F4B9D" w:rsidRPr="003441E5">
        <w:br/>
        <w:t xml:space="preserve">Email: </w:t>
      </w:r>
      <w:hyperlink r:id="rId8" w:history="1">
        <w:r w:rsidR="009F4B9D" w:rsidRPr="003441E5">
          <w:rPr>
            <w:rStyle w:val="Hyperlink"/>
          </w:rPr>
          <w:t>info@accan.org.au</w:t>
        </w:r>
      </w:hyperlink>
      <w:r w:rsidR="009F4B9D" w:rsidRPr="003441E5">
        <w:rPr>
          <w:rStyle w:val="Hyperlink"/>
        </w:rPr>
        <w:br/>
      </w:r>
      <w:r w:rsidR="009F4B9D" w:rsidRPr="003441E5">
        <w:t>Phone: (02) 9288 4000</w:t>
      </w:r>
      <w:r w:rsidR="009F4B9D" w:rsidRPr="003441E5">
        <w:br/>
        <w:t>Fax: (02) 9288 4019</w:t>
      </w:r>
      <w:r w:rsidR="009F4B9D" w:rsidRPr="003441E5">
        <w:br/>
      </w:r>
      <w:r>
        <w:t xml:space="preserve">Contact us through the </w:t>
      </w:r>
      <w:hyperlink r:id="rId9" w:history="1">
        <w:r w:rsidRPr="00FE6EAF">
          <w:rPr>
            <w:rStyle w:val="Hyperlink"/>
          </w:rPr>
          <w:t>National Relay Service</w:t>
        </w:r>
      </w:hyperlink>
    </w:p>
    <w:p w14:paraId="68C9744C" w14:textId="77777777" w:rsidR="009F4B9D" w:rsidRPr="003441E5" w:rsidRDefault="009F4B9D" w:rsidP="00BF754D">
      <w:pPr>
        <w:spacing w:before="0" w:beforeAutospacing="0"/>
      </w:pPr>
    </w:p>
    <w:sdt>
      <w:sdtPr>
        <w:rPr>
          <w:rFonts w:eastAsiaTheme="minorEastAsia" w:cstheme="minorBidi"/>
          <w:bCs w:val="0"/>
          <w:sz w:val="23"/>
          <w:szCs w:val="22"/>
          <w:lang w:eastAsia="en-AU"/>
        </w:rPr>
        <w:id w:val="-39521029"/>
        <w:docPartObj>
          <w:docPartGallery w:val="Table of Contents"/>
          <w:docPartUnique/>
        </w:docPartObj>
      </w:sdtPr>
      <w:sdtEndPr>
        <w:rPr>
          <w:b/>
          <w:noProof/>
          <w:sz w:val="22"/>
        </w:rPr>
      </w:sdtEndPr>
      <w:sdtContent>
        <w:p w14:paraId="137F67E5" w14:textId="77777777" w:rsidR="00EC1696" w:rsidRPr="003441E5" w:rsidRDefault="00EC1696">
          <w:pPr>
            <w:pStyle w:val="TOCHeading"/>
          </w:pPr>
          <w:r w:rsidRPr="003441E5">
            <w:t>Contents</w:t>
          </w:r>
        </w:p>
        <w:p w14:paraId="1AEE55AE" w14:textId="6357F033" w:rsidR="00D70CC0" w:rsidRDefault="00EC1696">
          <w:pPr>
            <w:pStyle w:val="TOC1"/>
            <w:rPr>
              <w:rFonts w:asciiTheme="minorHAnsi" w:hAnsiTheme="minorHAnsi"/>
              <w:noProof/>
            </w:rPr>
          </w:pPr>
          <w:r w:rsidRPr="003441E5">
            <w:fldChar w:fldCharType="begin"/>
          </w:r>
          <w:r w:rsidRPr="003441E5">
            <w:instrText xml:space="preserve"> TOC \o "1-3" \h \z \u </w:instrText>
          </w:r>
          <w:r w:rsidRPr="003441E5">
            <w:fldChar w:fldCharType="separate"/>
          </w:r>
          <w:hyperlink w:anchor="_Toc58970228" w:history="1">
            <w:r w:rsidR="00D70CC0" w:rsidRPr="0028421A">
              <w:rPr>
                <w:rStyle w:val="Hyperlink"/>
                <w:b/>
                <w:noProof/>
              </w:rPr>
              <w:t>Executive Summary</w:t>
            </w:r>
            <w:r w:rsidR="00D70CC0">
              <w:rPr>
                <w:noProof/>
                <w:webHidden/>
              </w:rPr>
              <w:tab/>
            </w:r>
            <w:r w:rsidR="00D70CC0">
              <w:rPr>
                <w:noProof/>
                <w:webHidden/>
              </w:rPr>
              <w:fldChar w:fldCharType="begin"/>
            </w:r>
            <w:r w:rsidR="00D70CC0">
              <w:rPr>
                <w:noProof/>
                <w:webHidden/>
              </w:rPr>
              <w:instrText xml:space="preserve"> PAGEREF _Toc58970228 \h </w:instrText>
            </w:r>
            <w:r w:rsidR="00D70CC0">
              <w:rPr>
                <w:noProof/>
                <w:webHidden/>
              </w:rPr>
            </w:r>
            <w:r w:rsidR="00D70CC0">
              <w:rPr>
                <w:noProof/>
                <w:webHidden/>
              </w:rPr>
              <w:fldChar w:fldCharType="separate"/>
            </w:r>
            <w:r w:rsidR="00D05108">
              <w:rPr>
                <w:noProof/>
                <w:webHidden/>
              </w:rPr>
              <w:t>4</w:t>
            </w:r>
            <w:r w:rsidR="00D70CC0">
              <w:rPr>
                <w:noProof/>
                <w:webHidden/>
              </w:rPr>
              <w:fldChar w:fldCharType="end"/>
            </w:r>
          </w:hyperlink>
        </w:p>
        <w:p w14:paraId="4459C3C9" w14:textId="72D510A2" w:rsidR="00D70CC0" w:rsidRDefault="00D05108">
          <w:pPr>
            <w:pStyle w:val="TOC2"/>
            <w:rPr>
              <w:rFonts w:asciiTheme="minorHAnsi" w:hAnsiTheme="minorHAnsi"/>
            </w:rPr>
          </w:pPr>
          <w:hyperlink w:anchor="_Toc58970229" w:history="1">
            <w:r w:rsidR="00D70CC0" w:rsidRPr="0028421A">
              <w:rPr>
                <w:rStyle w:val="Hyperlink"/>
                <w:b/>
              </w:rPr>
              <w:t>List of recommendations</w:t>
            </w:r>
            <w:r w:rsidR="00D70CC0">
              <w:rPr>
                <w:webHidden/>
              </w:rPr>
              <w:tab/>
            </w:r>
            <w:r w:rsidR="00D70CC0">
              <w:rPr>
                <w:webHidden/>
              </w:rPr>
              <w:fldChar w:fldCharType="begin"/>
            </w:r>
            <w:r w:rsidR="00D70CC0">
              <w:rPr>
                <w:webHidden/>
              </w:rPr>
              <w:instrText xml:space="preserve"> PAGEREF _Toc58970229 \h </w:instrText>
            </w:r>
            <w:r w:rsidR="00D70CC0">
              <w:rPr>
                <w:webHidden/>
              </w:rPr>
            </w:r>
            <w:r w:rsidR="00D70CC0">
              <w:rPr>
                <w:webHidden/>
              </w:rPr>
              <w:fldChar w:fldCharType="separate"/>
            </w:r>
            <w:r>
              <w:rPr>
                <w:webHidden/>
              </w:rPr>
              <w:t>5</w:t>
            </w:r>
            <w:r w:rsidR="00D70CC0">
              <w:rPr>
                <w:webHidden/>
              </w:rPr>
              <w:fldChar w:fldCharType="end"/>
            </w:r>
          </w:hyperlink>
        </w:p>
        <w:p w14:paraId="42B8CC1D" w14:textId="66F81D59" w:rsidR="00D70CC0" w:rsidRDefault="00D05108">
          <w:pPr>
            <w:pStyle w:val="TOC2"/>
            <w:rPr>
              <w:rFonts w:asciiTheme="minorHAnsi" w:hAnsiTheme="minorHAnsi"/>
            </w:rPr>
          </w:pPr>
          <w:hyperlink w:anchor="_Toc58970230" w:history="1">
            <w:r w:rsidR="00D70CC0" w:rsidRPr="0028421A">
              <w:rPr>
                <w:rStyle w:val="Hyperlink"/>
                <w:b/>
              </w:rPr>
              <w:t>Objectives of the Privacy Act</w:t>
            </w:r>
            <w:r w:rsidR="00D70CC0">
              <w:rPr>
                <w:webHidden/>
              </w:rPr>
              <w:tab/>
            </w:r>
            <w:r w:rsidR="00D70CC0">
              <w:rPr>
                <w:webHidden/>
              </w:rPr>
              <w:fldChar w:fldCharType="begin"/>
            </w:r>
            <w:r w:rsidR="00D70CC0">
              <w:rPr>
                <w:webHidden/>
              </w:rPr>
              <w:instrText xml:space="preserve"> PAGEREF _Toc58970230 \h </w:instrText>
            </w:r>
            <w:r w:rsidR="00D70CC0">
              <w:rPr>
                <w:webHidden/>
              </w:rPr>
            </w:r>
            <w:r w:rsidR="00D70CC0">
              <w:rPr>
                <w:webHidden/>
              </w:rPr>
              <w:fldChar w:fldCharType="separate"/>
            </w:r>
            <w:r>
              <w:rPr>
                <w:webHidden/>
              </w:rPr>
              <w:t>6</w:t>
            </w:r>
            <w:r w:rsidR="00D70CC0">
              <w:rPr>
                <w:webHidden/>
              </w:rPr>
              <w:fldChar w:fldCharType="end"/>
            </w:r>
          </w:hyperlink>
        </w:p>
        <w:p w14:paraId="467B430F" w14:textId="05B9DBEE" w:rsidR="00D70CC0" w:rsidRDefault="00D05108">
          <w:pPr>
            <w:pStyle w:val="TOC2"/>
            <w:rPr>
              <w:rFonts w:asciiTheme="minorHAnsi" w:hAnsiTheme="minorHAnsi"/>
            </w:rPr>
          </w:pPr>
          <w:hyperlink w:anchor="_Toc58970231" w:history="1">
            <w:r w:rsidR="00D70CC0" w:rsidRPr="0028421A">
              <w:rPr>
                <w:rStyle w:val="Hyperlink"/>
                <w:b/>
              </w:rPr>
              <w:t>Personal information</w:t>
            </w:r>
            <w:r w:rsidR="00D70CC0">
              <w:rPr>
                <w:webHidden/>
              </w:rPr>
              <w:tab/>
            </w:r>
            <w:r w:rsidR="00D70CC0">
              <w:rPr>
                <w:webHidden/>
              </w:rPr>
              <w:fldChar w:fldCharType="begin"/>
            </w:r>
            <w:r w:rsidR="00D70CC0">
              <w:rPr>
                <w:webHidden/>
              </w:rPr>
              <w:instrText xml:space="preserve"> PAGEREF _Toc58970231 \h </w:instrText>
            </w:r>
            <w:r w:rsidR="00D70CC0">
              <w:rPr>
                <w:webHidden/>
              </w:rPr>
            </w:r>
            <w:r w:rsidR="00D70CC0">
              <w:rPr>
                <w:webHidden/>
              </w:rPr>
              <w:fldChar w:fldCharType="separate"/>
            </w:r>
            <w:r>
              <w:rPr>
                <w:webHidden/>
              </w:rPr>
              <w:t>7</w:t>
            </w:r>
            <w:r w:rsidR="00D70CC0">
              <w:rPr>
                <w:webHidden/>
              </w:rPr>
              <w:fldChar w:fldCharType="end"/>
            </w:r>
          </w:hyperlink>
        </w:p>
        <w:p w14:paraId="01C87E14" w14:textId="41A2E216" w:rsidR="00D70CC0" w:rsidRDefault="00D05108">
          <w:pPr>
            <w:pStyle w:val="TOC3"/>
            <w:rPr>
              <w:rFonts w:asciiTheme="minorHAnsi" w:hAnsiTheme="minorHAnsi"/>
            </w:rPr>
          </w:pPr>
          <w:hyperlink w:anchor="_Toc58970232" w:history="1">
            <w:r w:rsidR="00D70CC0" w:rsidRPr="0028421A">
              <w:rPr>
                <w:rStyle w:val="Hyperlink"/>
                <w:b/>
              </w:rPr>
              <w:t>Definition of ‘Personal Information’</w:t>
            </w:r>
            <w:r w:rsidR="00D70CC0">
              <w:rPr>
                <w:webHidden/>
              </w:rPr>
              <w:tab/>
            </w:r>
            <w:r w:rsidR="00D70CC0">
              <w:rPr>
                <w:webHidden/>
              </w:rPr>
              <w:fldChar w:fldCharType="begin"/>
            </w:r>
            <w:r w:rsidR="00D70CC0">
              <w:rPr>
                <w:webHidden/>
              </w:rPr>
              <w:instrText xml:space="preserve"> PAGEREF _Toc58970232 \h </w:instrText>
            </w:r>
            <w:r w:rsidR="00D70CC0">
              <w:rPr>
                <w:webHidden/>
              </w:rPr>
            </w:r>
            <w:r w:rsidR="00D70CC0">
              <w:rPr>
                <w:webHidden/>
              </w:rPr>
              <w:fldChar w:fldCharType="separate"/>
            </w:r>
            <w:r>
              <w:rPr>
                <w:webHidden/>
              </w:rPr>
              <w:t>7</w:t>
            </w:r>
            <w:r w:rsidR="00D70CC0">
              <w:rPr>
                <w:webHidden/>
              </w:rPr>
              <w:fldChar w:fldCharType="end"/>
            </w:r>
          </w:hyperlink>
        </w:p>
        <w:p w14:paraId="039980C3" w14:textId="3ECC8E76" w:rsidR="00D70CC0" w:rsidRDefault="00D05108">
          <w:pPr>
            <w:pStyle w:val="TOC3"/>
            <w:rPr>
              <w:rFonts w:asciiTheme="minorHAnsi" w:hAnsiTheme="minorHAnsi"/>
            </w:rPr>
          </w:pPr>
          <w:hyperlink w:anchor="_Toc58970233" w:history="1">
            <w:r w:rsidR="00D70CC0" w:rsidRPr="0028421A">
              <w:rPr>
                <w:rStyle w:val="Hyperlink"/>
                <w:b/>
              </w:rPr>
              <w:t>Inferred personal information</w:t>
            </w:r>
            <w:r w:rsidR="00D70CC0">
              <w:rPr>
                <w:webHidden/>
              </w:rPr>
              <w:tab/>
            </w:r>
            <w:r w:rsidR="00D70CC0">
              <w:rPr>
                <w:webHidden/>
              </w:rPr>
              <w:fldChar w:fldCharType="begin"/>
            </w:r>
            <w:r w:rsidR="00D70CC0">
              <w:rPr>
                <w:webHidden/>
              </w:rPr>
              <w:instrText xml:space="preserve"> PAGEREF _Toc58970233 \h </w:instrText>
            </w:r>
            <w:r w:rsidR="00D70CC0">
              <w:rPr>
                <w:webHidden/>
              </w:rPr>
            </w:r>
            <w:r w:rsidR="00D70CC0">
              <w:rPr>
                <w:webHidden/>
              </w:rPr>
              <w:fldChar w:fldCharType="separate"/>
            </w:r>
            <w:r>
              <w:rPr>
                <w:webHidden/>
              </w:rPr>
              <w:t>7</w:t>
            </w:r>
            <w:r w:rsidR="00D70CC0">
              <w:rPr>
                <w:webHidden/>
              </w:rPr>
              <w:fldChar w:fldCharType="end"/>
            </w:r>
          </w:hyperlink>
        </w:p>
        <w:p w14:paraId="32ED74DC" w14:textId="450E7E56" w:rsidR="00D70CC0" w:rsidRDefault="00D05108">
          <w:pPr>
            <w:pStyle w:val="TOC3"/>
            <w:rPr>
              <w:rFonts w:asciiTheme="minorHAnsi" w:hAnsiTheme="minorHAnsi"/>
            </w:rPr>
          </w:pPr>
          <w:hyperlink w:anchor="_Toc58970234" w:history="1">
            <w:r w:rsidR="00D70CC0" w:rsidRPr="0028421A">
              <w:rPr>
                <w:rStyle w:val="Hyperlink"/>
                <w:b/>
              </w:rPr>
              <w:t>De-identified information</w:t>
            </w:r>
            <w:r w:rsidR="00D70CC0">
              <w:rPr>
                <w:webHidden/>
              </w:rPr>
              <w:tab/>
            </w:r>
            <w:r w:rsidR="00D70CC0">
              <w:rPr>
                <w:webHidden/>
              </w:rPr>
              <w:fldChar w:fldCharType="begin"/>
            </w:r>
            <w:r w:rsidR="00D70CC0">
              <w:rPr>
                <w:webHidden/>
              </w:rPr>
              <w:instrText xml:space="preserve"> PAGEREF _Toc58970234 \h </w:instrText>
            </w:r>
            <w:r w:rsidR="00D70CC0">
              <w:rPr>
                <w:webHidden/>
              </w:rPr>
            </w:r>
            <w:r w:rsidR="00D70CC0">
              <w:rPr>
                <w:webHidden/>
              </w:rPr>
              <w:fldChar w:fldCharType="separate"/>
            </w:r>
            <w:r>
              <w:rPr>
                <w:webHidden/>
              </w:rPr>
              <w:t>7</w:t>
            </w:r>
            <w:r w:rsidR="00D70CC0">
              <w:rPr>
                <w:webHidden/>
              </w:rPr>
              <w:fldChar w:fldCharType="end"/>
            </w:r>
          </w:hyperlink>
        </w:p>
        <w:p w14:paraId="5AA8F959" w14:textId="33B90479" w:rsidR="00D70CC0" w:rsidRDefault="00D05108">
          <w:pPr>
            <w:pStyle w:val="TOC3"/>
            <w:rPr>
              <w:rFonts w:asciiTheme="minorHAnsi" w:hAnsiTheme="minorHAnsi"/>
            </w:rPr>
          </w:pPr>
          <w:hyperlink w:anchor="_Toc58970235" w:history="1">
            <w:r w:rsidR="00D70CC0" w:rsidRPr="0028421A">
              <w:rPr>
                <w:rStyle w:val="Hyperlink"/>
                <w:b/>
              </w:rPr>
              <w:t>Technical information</w:t>
            </w:r>
            <w:r w:rsidR="00D70CC0">
              <w:rPr>
                <w:webHidden/>
              </w:rPr>
              <w:tab/>
            </w:r>
            <w:r w:rsidR="00D70CC0">
              <w:rPr>
                <w:webHidden/>
              </w:rPr>
              <w:fldChar w:fldCharType="begin"/>
            </w:r>
            <w:r w:rsidR="00D70CC0">
              <w:rPr>
                <w:webHidden/>
              </w:rPr>
              <w:instrText xml:space="preserve"> PAGEREF _Toc58970235 \h </w:instrText>
            </w:r>
            <w:r w:rsidR="00D70CC0">
              <w:rPr>
                <w:webHidden/>
              </w:rPr>
            </w:r>
            <w:r w:rsidR="00D70CC0">
              <w:rPr>
                <w:webHidden/>
              </w:rPr>
              <w:fldChar w:fldCharType="separate"/>
            </w:r>
            <w:r>
              <w:rPr>
                <w:webHidden/>
              </w:rPr>
              <w:t>8</w:t>
            </w:r>
            <w:r w:rsidR="00D70CC0">
              <w:rPr>
                <w:webHidden/>
              </w:rPr>
              <w:fldChar w:fldCharType="end"/>
            </w:r>
          </w:hyperlink>
        </w:p>
        <w:p w14:paraId="1F72A955" w14:textId="3DE4026C" w:rsidR="00D70CC0" w:rsidRDefault="00D05108">
          <w:pPr>
            <w:pStyle w:val="TOC3"/>
            <w:rPr>
              <w:rFonts w:asciiTheme="minorHAnsi" w:hAnsiTheme="minorHAnsi"/>
            </w:rPr>
          </w:pPr>
          <w:hyperlink w:anchor="_Toc58970236" w:history="1">
            <w:r w:rsidR="00D70CC0" w:rsidRPr="0028421A">
              <w:rPr>
                <w:rStyle w:val="Hyperlink"/>
                <w:b/>
              </w:rPr>
              <w:t>Pseudonymised information</w:t>
            </w:r>
            <w:r w:rsidR="00D70CC0">
              <w:rPr>
                <w:webHidden/>
              </w:rPr>
              <w:tab/>
            </w:r>
            <w:r w:rsidR="00D70CC0">
              <w:rPr>
                <w:webHidden/>
              </w:rPr>
              <w:fldChar w:fldCharType="begin"/>
            </w:r>
            <w:r w:rsidR="00D70CC0">
              <w:rPr>
                <w:webHidden/>
              </w:rPr>
              <w:instrText xml:space="preserve"> PAGEREF _Toc58970236 \h </w:instrText>
            </w:r>
            <w:r w:rsidR="00D70CC0">
              <w:rPr>
                <w:webHidden/>
              </w:rPr>
            </w:r>
            <w:r w:rsidR="00D70CC0">
              <w:rPr>
                <w:webHidden/>
              </w:rPr>
              <w:fldChar w:fldCharType="separate"/>
            </w:r>
            <w:r>
              <w:rPr>
                <w:webHidden/>
              </w:rPr>
              <w:t>8</w:t>
            </w:r>
            <w:r w:rsidR="00D70CC0">
              <w:rPr>
                <w:webHidden/>
              </w:rPr>
              <w:fldChar w:fldCharType="end"/>
            </w:r>
          </w:hyperlink>
        </w:p>
        <w:p w14:paraId="0CD6E385" w14:textId="2D779856" w:rsidR="00D70CC0" w:rsidRDefault="00D05108">
          <w:pPr>
            <w:pStyle w:val="TOC3"/>
            <w:rPr>
              <w:rFonts w:asciiTheme="minorHAnsi" w:hAnsiTheme="minorHAnsi"/>
            </w:rPr>
          </w:pPr>
          <w:hyperlink w:anchor="_Toc58970237" w:history="1">
            <w:r w:rsidR="00D70CC0" w:rsidRPr="0028421A">
              <w:rPr>
                <w:rStyle w:val="Hyperlink"/>
                <w:b/>
              </w:rPr>
              <w:t>Anonymous information</w:t>
            </w:r>
            <w:r w:rsidR="00D70CC0">
              <w:rPr>
                <w:webHidden/>
              </w:rPr>
              <w:tab/>
            </w:r>
            <w:r w:rsidR="00D70CC0">
              <w:rPr>
                <w:webHidden/>
              </w:rPr>
              <w:fldChar w:fldCharType="begin"/>
            </w:r>
            <w:r w:rsidR="00D70CC0">
              <w:rPr>
                <w:webHidden/>
              </w:rPr>
              <w:instrText xml:space="preserve"> PAGEREF _Toc58970237 \h </w:instrText>
            </w:r>
            <w:r w:rsidR="00D70CC0">
              <w:rPr>
                <w:webHidden/>
              </w:rPr>
            </w:r>
            <w:r w:rsidR="00D70CC0">
              <w:rPr>
                <w:webHidden/>
              </w:rPr>
              <w:fldChar w:fldCharType="separate"/>
            </w:r>
            <w:r>
              <w:rPr>
                <w:webHidden/>
              </w:rPr>
              <w:t>8</w:t>
            </w:r>
            <w:r w:rsidR="00D70CC0">
              <w:rPr>
                <w:webHidden/>
              </w:rPr>
              <w:fldChar w:fldCharType="end"/>
            </w:r>
          </w:hyperlink>
        </w:p>
        <w:p w14:paraId="2AE31D4A" w14:textId="2B007F07" w:rsidR="00D70CC0" w:rsidRDefault="00D05108">
          <w:pPr>
            <w:pStyle w:val="TOC2"/>
            <w:rPr>
              <w:rFonts w:asciiTheme="minorHAnsi" w:hAnsiTheme="minorHAnsi"/>
            </w:rPr>
          </w:pPr>
          <w:hyperlink w:anchor="_Toc58970238" w:history="1">
            <w:r w:rsidR="00D70CC0" w:rsidRPr="0028421A">
              <w:rPr>
                <w:rStyle w:val="Hyperlink"/>
                <w:b/>
              </w:rPr>
              <w:t>Exemptions</w:t>
            </w:r>
            <w:r w:rsidR="00D70CC0">
              <w:rPr>
                <w:webHidden/>
              </w:rPr>
              <w:tab/>
            </w:r>
            <w:r w:rsidR="00D70CC0">
              <w:rPr>
                <w:webHidden/>
              </w:rPr>
              <w:fldChar w:fldCharType="begin"/>
            </w:r>
            <w:r w:rsidR="00D70CC0">
              <w:rPr>
                <w:webHidden/>
              </w:rPr>
              <w:instrText xml:space="preserve"> PAGEREF _Toc58970238 \h </w:instrText>
            </w:r>
            <w:r w:rsidR="00D70CC0">
              <w:rPr>
                <w:webHidden/>
              </w:rPr>
            </w:r>
            <w:r w:rsidR="00D70CC0">
              <w:rPr>
                <w:webHidden/>
              </w:rPr>
              <w:fldChar w:fldCharType="separate"/>
            </w:r>
            <w:r>
              <w:rPr>
                <w:webHidden/>
              </w:rPr>
              <w:t>9</w:t>
            </w:r>
            <w:r w:rsidR="00D70CC0">
              <w:rPr>
                <w:webHidden/>
              </w:rPr>
              <w:fldChar w:fldCharType="end"/>
            </w:r>
          </w:hyperlink>
        </w:p>
        <w:p w14:paraId="65E76DA8" w14:textId="5F002277" w:rsidR="00D70CC0" w:rsidRDefault="00D05108">
          <w:pPr>
            <w:pStyle w:val="TOC3"/>
            <w:rPr>
              <w:rFonts w:asciiTheme="minorHAnsi" w:hAnsiTheme="minorHAnsi"/>
            </w:rPr>
          </w:pPr>
          <w:hyperlink w:anchor="_Toc58970239" w:history="1">
            <w:r w:rsidR="00D70CC0" w:rsidRPr="0028421A">
              <w:rPr>
                <w:rStyle w:val="Hyperlink"/>
                <w:b/>
              </w:rPr>
              <w:t>Small business exemption</w:t>
            </w:r>
            <w:r w:rsidR="00D70CC0">
              <w:rPr>
                <w:webHidden/>
              </w:rPr>
              <w:tab/>
            </w:r>
            <w:r w:rsidR="00D70CC0">
              <w:rPr>
                <w:webHidden/>
              </w:rPr>
              <w:fldChar w:fldCharType="begin"/>
            </w:r>
            <w:r w:rsidR="00D70CC0">
              <w:rPr>
                <w:webHidden/>
              </w:rPr>
              <w:instrText xml:space="preserve"> PAGEREF _Toc58970239 \h </w:instrText>
            </w:r>
            <w:r w:rsidR="00D70CC0">
              <w:rPr>
                <w:webHidden/>
              </w:rPr>
            </w:r>
            <w:r w:rsidR="00D70CC0">
              <w:rPr>
                <w:webHidden/>
              </w:rPr>
              <w:fldChar w:fldCharType="separate"/>
            </w:r>
            <w:r>
              <w:rPr>
                <w:webHidden/>
              </w:rPr>
              <w:t>9</w:t>
            </w:r>
            <w:r w:rsidR="00D70CC0">
              <w:rPr>
                <w:webHidden/>
              </w:rPr>
              <w:fldChar w:fldCharType="end"/>
            </w:r>
          </w:hyperlink>
        </w:p>
        <w:p w14:paraId="7A66B4B2" w14:textId="13B9AE50" w:rsidR="00D70CC0" w:rsidRDefault="00D05108">
          <w:pPr>
            <w:pStyle w:val="TOC3"/>
            <w:rPr>
              <w:rFonts w:asciiTheme="minorHAnsi" w:hAnsiTheme="minorHAnsi"/>
            </w:rPr>
          </w:pPr>
          <w:hyperlink w:anchor="_Toc58970240" w:history="1">
            <w:r w:rsidR="00D70CC0" w:rsidRPr="0028421A">
              <w:rPr>
                <w:rStyle w:val="Hyperlink"/>
                <w:b/>
              </w:rPr>
              <w:t>Employee records exemption</w:t>
            </w:r>
            <w:r w:rsidR="00D70CC0">
              <w:rPr>
                <w:webHidden/>
              </w:rPr>
              <w:tab/>
            </w:r>
            <w:r w:rsidR="00D70CC0">
              <w:rPr>
                <w:webHidden/>
              </w:rPr>
              <w:fldChar w:fldCharType="begin"/>
            </w:r>
            <w:r w:rsidR="00D70CC0">
              <w:rPr>
                <w:webHidden/>
              </w:rPr>
              <w:instrText xml:space="preserve"> PAGEREF _Toc58970240 \h </w:instrText>
            </w:r>
            <w:r w:rsidR="00D70CC0">
              <w:rPr>
                <w:webHidden/>
              </w:rPr>
            </w:r>
            <w:r w:rsidR="00D70CC0">
              <w:rPr>
                <w:webHidden/>
              </w:rPr>
              <w:fldChar w:fldCharType="separate"/>
            </w:r>
            <w:r>
              <w:rPr>
                <w:webHidden/>
              </w:rPr>
              <w:t>9</w:t>
            </w:r>
            <w:r w:rsidR="00D70CC0">
              <w:rPr>
                <w:webHidden/>
              </w:rPr>
              <w:fldChar w:fldCharType="end"/>
            </w:r>
          </w:hyperlink>
        </w:p>
        <w:p w14:paraId="512F1BBB" w14:textId="052DA322" w:rsidR="00D70CC0" w:rsidRDefault="00D05108">
          <w:pPr>
            <w:pStyle w:val="TOC3"/>
            <w:rPr>
              <w:rFonts w:asciiTheme="minorHAnsi" w:hAnsiTheme="minorHAnsi"/>
            </w:rPr>
          </w:pPr>
          <w:hyperlink w:anchor="_Toc58970241" w:history="1">
            <w:r w:rsidR="00D70CC0" w:rsidRPr="0028421A">
              <w:rPr>
                <w:rStyle w:val="Hyperlink"/>
                <w:b/>
              </w:rPr>
              <w:t>Political parties’ exemption</w:t>
            </w:r>
            <w:r w:rsidR="00D70CC0">
              <w:rPr>
                <w:webHidden/>
              </w:rPr>
              <w:tab/>
            </w:r>
            <w:r w:rsidR="00D70CC0">
              <w:rPr>
                <w:webHidden/>
              </w:rPr>
              <w:fldChar w:fldCharType="begin"/>
            </w:r>
            <w:r w:rsidR="00D70CC0">
              <w:rPr>
                <w:webHidden/>
              </w:rPr>
              <w:instrText xml:space="preserve"> PAGEREF _Toc58970241 \h </w:instrText>
            </w:r>
            <w:r w:rsidR="00D70CC0">
              <w:rPr>
                <w:webHidden/>
              </w:rPr>
            </w:r>
            <w:r w:rsidR="00D70CC0">
              <w:rPr>
                <w:webHidden/>
              </w:rPr>
              <w:fldChar w:fldCharType="separate"/>
            </w:r>
            <w:r>
              <w:rPr>
                <w:webHidden/>
              </w:rPr>
              <w:t>10</w:t>
            </w:r>
            <w:r w:rsidR="00D70CC0">
              <w:rPr>
                <w:webHidden/>
              </w:rPr>
              <w:fldChar w:fldCharType="end"/>
            </w:r>
          </w:hyperlink>
        </w:p>
        <w:p w14:paraId="1747B392" w14:textId="714AEF35" w:rsidR="00D70CC0" w:rsidRDefault="00D05108">
          <w:pPr>
            <w:pStyle w:val="TOC2"/>
            <w:rPr>
              <w:rFonts w:asciiTheme="minorHAnsi" w:hAnsiTheme="minorHAnsi"/>
            </w:rPr>
          </w:pPr>
          <w:hyperlink w:anchor="_Toc58970242" w:history="1">
            <w:r w:rsidR="00D70CC0" w:rsidRPr="0028421A">
              <w:rPr>
                <w:rStyle w:val="Hyperlink"/>
                <w:b/>
              </w:rPr>
              <w:t>Notice and consent</w:t>
            </w:r>
            <w:r w:rsidR="00D70CC0">
              <w:rPr>
                <w:webHidden/>
              </w:rPr>
              <w:tab/>
            </w:r>
            <w:r w:rsidR="00D70CC0">
              <w:rPr>
                <w:webHidden/>
              </w:rPr>
              <w:fldChar w:fldCharType="begin"/>
            </w:r>
            <w:r w:rsidR="00D70CC0">
              <w:rPr>
                <w:webHidden/>
              </w:rPr>
              <w:instrText xml:space="preserve"> PAGEREF _Toc58970242 \h </w:instrText>
            </w:r>
            <w:r w:rsidR="00D70CC0">
              <w:rPr>
                <w:webHidden/>
              </w:rPr>
            </w:r>
            <w:r w:rsidR="00D70CC0">
              <w:rPr>
                <w:webHidden/>
              </w:rPr>
              <w:fldChar w:fldCharType="separate"/>
            </w:r>
            <w:r>
              <w:rPr>
                <w:webHidden/>
              </w:rPr>
              <w:t>10</w:t>
            </w:r>
            <w:r w:rsidR="00D70CC0">
              <w:rPr>
                <w:webHidden/>
              </w:rPr>
              <w:fldChar w:fldCharType="end"/>
            </w:r>
          </w:hyperlink>
        </w:p>
        <w:p w14:paraId="34C0AB53" w14:textId="20FCF9F7" w:rsidR="00D70CC0" w:rsidRDefault="00D05108">
          <w:pPr>
            <w:pStyle w:val="TOC3"/>
            <w:rPr>
              <w:rFonts w:asciiTheme="minorHAnsi" w:hAnsiTheme="minorHAnsi"/>
            </w:rPr>
          </w:pPr>
          <w:hyperlink w:anchor="_Toc58970243" w:history="1">
            <w:r w:rsidR="00D70CC0" w:rsidRPr="0028421A">
              <w:rPr>
                <w:rStyle w:val="Hyperlink"/>
                <w:b/>
              </w:rPr>
              <w:t>Notice of collection</w:t>
            </w:r>
            <w:r w:rsidR="00D70CC0">
              <w:rPr>
                <w:webHidden/>
              </w:rPr>
              <w:tab/>
            </w:r>
            <w:r w:rsidR="00D70CC0">
              <w:rPr>
                <w:webHidden/>
              </w:rPr>
              <w:fldChar w:fldCharType="begin"/>
            </w:r>
            <w:r w:rsidR="00D70CC0">
              <w:rPr>
                <w:webHidden/>
              </w:rPr>
              <w:instrText xml:space="preserve"> PAGEREF _Toc58970243 \h </w:instrText>
            </w:r>
            <w:r w:rsidR="00D70CC0">
              <w:rPr>
                <w:webHidden/>
              </w:rPr>
            </w:r>
            <w:r w:rsidR="00D70CC0">
              <w:rPr>
                <w:webHidden/>
              </w:rPr>
              <w:fldChar w:fldCharType="separate"/>
            </w:r>
            <w:r>
              <w:rPr>
                <w:webHidden/>
              </w:rPr>
              <w:t>10</w:t>
            </w:r>
            <w:r w:rsidR="00D70CC0">
              <w:rPr>
                <w:webHidden/>
              </w:rPr>
              <w:fldChar w:fldCharType="end"/>
            </w:r>
          </w:hyperlink>
        </w:p>
        <w:p w14:paraId="5E796D56" w14:textId="5182FF3D" w:rsidR="00D70CC0" w:rsidRDefault="00D05108">
          <w:pPr>
            <w:pStyle w:val="TOC3"/>
            <w:rPr>
              <w:rFonts w:asciiTheme="minorHAnsi" w:hAnsiTheme="minorHAnsi"/>
            </w:rPr>
          </w:pPr>
          <w:hyperlink w:anchor="_Toc58970244" w:history="1">
            <w:r w:rsidR="00D70CC0" w:rsidRPr="0028421A">
              <w:rPr>
                <w:rStyle w:val="Hyperlink"/>
                <w:b/>
              </w:rPr>
              <w:t>Limiting information burden</w:t>
            </w:r>
            <w:r w:rsidR="00D70CC0">
              <w:rPr>
                <w:webHidden/>
              </w:rPr>
              <w:tab/>
            </w:r>
            <w:r w:rsidR="00D70CC0">
              <w:rPr>
                <w:webHidden/>
              </w:rPr>
              <w:fldChar w:fldCharType="begin"/>
            </w:r>
            <w:r w:rsidR="00D70CC0">
              <w:rPr>
                <w:webHidden/>
              </w:rPr>
              <w:instrText xml:space="preserve"> PAGEREF _Toc58970244 \h </w:instrText>
            </w:r>
            <w:r w:rsidR="00D70CC0">
              <w:rPr>
                <w:webHidden/>
              </w:rPr>
            </w:r>
            <w:r w:rsidR="00D70CC0">
              <w:rPr>
                <w:webHidden/>
              </w:rPr>
              <w:fldChar w:fldCharType="separate"/>
            </w:r>
            <w:r>
              <w:rPr>
                <w:webHidden/>
              </w:rPr>
              <w:t>11</w:t>
            </w:r>
            <w:r w:rsidR="00D70CC0">
              <w:rPr>
                <w:webHidden/>
              </w:rPr>
              <w:fldChar w:fldCharType="end"/>
            </w:r>
          </w:hyperlink>
        </w:p>
        <w:p w14:paraId="73646271" w14:textId="30B54250" w:rsidR="00D70CC0" w:rsidRDefault="00D05108">
          <w:pPr>
            <w:pStyle w:val="TOC3"/>
            <w:rPr>
              <w:rFonts w:asciiTheme="minorHAnsi" w:hAnsiTheme="minorHAnsi"/>
            </w:rPr>
          </w:pPr>
          <w:hyperlink w:anchor="_Toc58970245" w:history="1">
            <w:r w:rsidR="00D70CC0" w:rsidRPr="0028421A">
              <w:rPr>
                <w:rStyle w:val="Hyperlink"/>
                <w:b/>
              </w:rPr>
              <w:t>Pro-consumer defaults</w:t>
            </w:r>
            <w:r w:rsidR="00D70CC0">
              <w:rPr>
                <w:webHidden/>
              </w:rPr>
              <w:tab/>
            </w:r>
            <w:r w:rsidR="00D70CC0">
              <w:rPr>
                <w:webHidden/>
              </w:rPr>
              <w:fldChar w:fldCharType="begin"/>
            </w:r>
            <w:r w:rsidR="00D70CC0">
              <w:rPr>
                <w:webHidden/>
              </w:rPr>
              <w:instrText xml:space="preserve"> PAGEREF _Toc58970245 \h </w:instrText>
            </w:r>
            <w:r w:rsidR="00D70CC0">
              <w:rPr>
                <w:webHidden/>
              </w:rPr>
            </w:r>
            <w:r w:rsidR="00D70CC0">
              <w:rPr>
                <w:webHidden/>
              </w:rPr>
              <w:fldChar w:fldCharType="separate"/>
            </w:r>
            <w:r>
              <w:rPr>
                <w:webHidden/>
              </w:rPr>
              <w:t>12</w:t>
            </w:r>
            <w:r w:rsidR="00D70CC0">
              <w:rPr>
                <w:webHidden/>
              </w:rPr>
              <w:fldChar w:fldCharType="end"/>
            </w:r>
          </w:hyperlink>
        </w:p>
        <w:p w14:paraId="6D217FF6" w14:textId="71D5D625" w:rsidR="00D70CC0" w:rsidRDefault="00D05108">
          <w:pPr>
            <w:pStyle w:val="TOC3"/>
            <w:rPr>
              <w:rFonts w:asciiTheme="minorHAnsi" w:hAnsiTheme="minorHAnsi"/>
            </w:rPr>
          </w:pPr>
          <w:hyperlink w:anchor="_Toc58970246" w:history="1">
            <w:r w:rsidR="00D70CC0" w:rsidRPr="0028421A">
              <w:rPr>
                <w:rStyle w:val="Hyperlink"/>
                <w:b/>
              </w:rPr>
              <w:t>Obtaining consent from children</w:t>
            </w:r>
            <w:r w:rsidR="00D70CC0">
              <w:rPr>
                <w:webHidden/>
              </w:rPr>
              <w:tab/>
            </w:r>
            <w:r w:rsidR="00D70CC0">
              <w:rPr>
                <w:webHidden/>
              </w:rPr>
              <w:fldChar w:fldCharType="begin"/>
            </w:r>
            <w:r w:rsidR="00D70CC0">
              <w:rPr>
                <w:webHidden/>
              </w:rPr>
              <w:instrText xml:space="preserve"> PAGEREF _Toc58970246 \h </w:instrText>
            </w:r>
            <w:r w:rsidR="00D70CC0">
              <w:rPr>
                <w:webHidden/>
              </w:rPr>
            </w:r>
            <w:r w:rsidR="00D70CC0">
              <w:rPr>
                <w:webHidden/>
              </w:rPr>
              <w:fldChar w:fldCharType="separate"/>
            </w:r>
            <w:r>
              <w:rPr>
                <w:webHidden/>
              </w:rPr>
              <w:t>12</w:t>
            </w:r>
            <w:r w:rsidR="00D70CC0">
              <w:rPr>
                <w:webHidden/>
              </w:rPr>
              <w:fldChar w:fldCharType="end"/>
            </w:r>
          </w:hyperlink>
        </w:p>
        <w:p w14:paraId="3936E466" w14:textId="1C3EA711" w:rsidR="00D70CC0" w:rsidRDefault="00D05108">
          <w:pPr>
            <w:pStyle w:val="TOC3"/>
            <w:rPr>
              <w:rFonts w:asciiTheme="minorHAnsi" w:hAnsiTheme="minorHAnsi"/>
            </w:rPr>
          </w:pPr>
          <w:hyperlink w:anchor="_Toc58970247" w:history="1">
            <w:r w:rsidR="00D70CC0" w:rsidRPr="0028421A">
              <w:rPr>
                <w:rStyle w:val="Hyperlink"/>
                <w:b/>
              </w:rPr>
              <w:t>IoT devices and emerging technologies</w:t>
            </w:r>
            <w:r w:rsidR="00D70CC0">
              <w:rPr>
                <w:webHidden/>
              </w:rPr>
              <w:tab/>
            </w:r>
            <w:r w:rsidR="00D70CC0">
              <w:rPr>
                <w:webHidden/>
              </w:rPr>
              <w:fldChar w:fldCharType="begin"/>
            </w:r>
            <w:r w:rsidR="00D70CC0">
              <w:rPr>
                <w:webHidden/>
              </w:rPr>
              <w:instrText xml:space="preserve"> PAGEREF _Toc58970247 \h </w:instrText>
            </w:r>
            <w:r w:rsidR="00D70CC0">
              <w:rPr>
                <w:webHidden/>
              </w:rPr>
            </w:r>
            <w:r w:rsidR="00D70CC0">
              <w:rPr>
                <w:webHidden/>
              </w:rPr>
              <w:fldChar w:fldCharType="separate"/>
            </w:r>
            <w:r>
              <w:rPr>
                <w:webHidden/>
              </w:rPr>
              <w:t>14</w:t>
            </w:r>
            <w:r w:rsidR="00D70CC0">
              <w:rPr>
                <w:webHidden/>
              </w:rPr>
              <w:fldChar w:fldCharType="end"/>
            </w:r>
          </w:hyperlink>
        </w:p>
        <w:p w14:paraId="09E4E36A" w14:textId="3C37E6D0" w:rsidR="00D70CC0" w:rsidRDefault="00D05108">
          <w:pPr>
            <w:pStyle w:val="TOC3"/>
            <w:rPr>
              <w:rFonts w:asciiTheme="minorHAnsi" w:hAnsiTheme="minorHAnsi"/>
            </w:rPr>
          </w:pPr>
          <w:hyperlink w:anchor="_Toc58970248" w:history="1">
            <w:r w:rsidR="00D70CC0" w:rsidRPr="0028421A">
              <w:rPr>
                <w:rStyle w:val="Hyperlink"/>
                <w:b/>
              </w:rPr>
              <w:t>Direct marketing</w:t>
            </w:r>
            <w:r w:rsidR="00D70CC0">
              <w:rPr>
                <w:webHidden/>
              </w:rPr>
              <w:tab/>
            </w:r>
            <w:r w:rsidR="00D70CC0">
              <w:rPr>
                <w:webHidden/>
              </w:rPr>
              <w:fldChar w:fldCharType="begin"/>
            </w:r>
            <w:r w:rsidR="00D70CC0">
              <w:rPr>
                <w:webHidden/>
              </w:rPr>
              <w:instrText xml:space="preserve"> PAGEREF _Toc58970248 \h </w:instrText>
            </w:r>
            <w:r w:rsidR="00D70CC0">
              <w:rPr>
                <w:webHidden/>
              </w:rPr>
            </w:r>
            <w:r w:rsidR="00D70CC0">
              <w:rPr>
                <w:webHidden/>
              </w:rPr>
              <w:fldChar w:fldCharType="separate"/>
            </w:r>
            <w:r>
              <w:rPr>
                <w:webHidden/>
              </w:rPr>
              <w:t>14</w:t>
            </w:r>
            <w:r w:rsidR="00D70CC0">
              <w:rPr>
                <w:webHidden/>
              </w:rPr>
              <w:fldChar w:fldCharType="end"/>
            </w:r>
          </w:hyperlink>
        </w:p>
        <w:p w14:paraId="2CF5227D" w14:textId="2833977B" w:rsidR="00D70CC0" w:rsidRDefault="00D05108">
          <w:pPr>
            <w:pStyle w:val="TOC3"/>
            <w:rPr>
              <w:rFonts w:asciiTheme="minorHAnsi" w:hAnsiTheme="minorHAnsi"/>
            </w:rPr>
          </w:pPr>
          <w:hyperlink w:anchor="_Toc58970249" w:history="1">
            <w:r w:rsidR="00D70CC0" w:rsidRPr="0028421A">
              <w:rPr>
                <w:rStyle w:val="Hyperlink"/>
                <w:b/>
              </w:rPr>
              <w:t>Withdrawal of consent</w:t>
            </w:r>
            <w:r w:rsidR="00D70CC0">
              <w:rPr>
                <w:webHidden/>
              </w:rPr>
              <w:tab/>
            </w:r>
            <w:r w:rsidR="00D70CC0">
              <w:rPr>
                <w:webHidden/>
              </w:rPr>
              <w:fldChar w:fldCharType="begin"/>
            </w:r>
            <w:r w:rsidR="00D70CC0">
              <w:rPr>
                <w:webHidden/>
              </w:rPr>
              <w:instrText xml:space="preserve"> PAGEREF _Toc58970249 \h </w:instrText>
            </w:r>
            <w:r w:rsidR="00D70CC0">
              <w:rPr>
                <w:webHidden/>
              </w:rPr>
            </w:r>
            <w:r w:rsidR="00D70CC0">
              <w:rPr>
                <w:webHidden/>
              </w:rPr>
              <w:fldChar w:fldCharType="separate"/>
            </w:r>
            <w:r>
              <w:rPr>
                <w:webHidden/>
              </w:rPr>
              <w:t>15</w:t>
            </w:r>
            <w:r w:rsidR="00D70CC0">
              <w:rPr>
                <w:webHidden/>
              </w:rPr>
              <w:fldChar w:fldCharType="end"/>
            </w:r>
          </w:hyperlink>
        </w:p>
        <w:p w14:paraId="5338EC1A" w14:textId="68DA4C7B" w:rsidR="00D70CC0" w:rsidRDefault="00D05108">
          <w:pPr>
            <w:pStyle w:val="TOC2"/>
            <w:rPr>
              <w:rFonts w:asciiTheme="minorHAnsi" w:hAnsiTheme="minorHAnsi"/>
            </w:rPr>
          </w:pPr>
          <w:hyperlink w:anchor="_Toc58970250" w:history="1">
            <w:r w:rsidR="00D70CC0" w:rsidRPr="0028421A">
              <w:rPr>
                <w:rStyle w:val="Hyperlink"/>
                <w:b/>
              </w:rPr>
              <w:t>Right to erasure</w:t>
            </w:r>
            <w:r w:rsidR="00D70CC0">
              <w:rPr>
                <w:webHidden/>
              </w:rPr>
              <w:tab/>
            </w:r>
            <w:r w:rsidR="00D70CC0">
              <w:rPr>
                <w:webHidden/>
              </w:rPr>
              <w:fldChar w:fldCharType="begin"/>
            </w:r>
            <w:r w:rsidR="00D70CC0">
              <w:rPr>
                <w:webHidden/>
              </w:rPr>
              <w:instrText xml:space="preserve"> PAGEREF _Toc58970250 \h </w:instrText>
            </w:r>
            <w:r w:rsidR="00D70CC0">
              <w:rPr>
                <w:webHidden/>
              </w:rPr>
            </w:r>
            <w:r w:rsidR="00D70CC0">
              <w:rPr>
                <w:webHidden/>
              </w:rPr>
              <w:fldChar w:fldCharType="separate"/>
            </w:r>
            <w:r>
              <w:rPr>
                <w:webHidden/>
              </w:rPr>
              <w:t>16</w:t>
            </w:r>
            <w:r w:rsidR="00D70CC0">
              <w:rPr>
                <w:webHidden/>
              </w:rPr>
              <w:fldChar w:fldCharType="end"/>
            </w:r>
          </w:hyperlink>
        </w:p>
        <w:p w14:paraId="49C6815A" w14:textId="4EE2F57E" w:rsidR="00D70CC0" w:rsidRDefault="00D05108">
          <w:pPr>
            <w:pStyle w:val="TOC2"/>
            <w:rPr>
              <w:rFonts w:asciiTheme="minorHAnsi" w:hAnsiTheme="minorHAnsi"/>
            </w:rPr>
          </w:pPr>
          <w:hyperlink w:anchor="_Toc58970251" w:history="1">
            <w:r w:rsidR="00D70CC0" w:rsidRPr="0028421A">
              <w:rPr>
                <w:rStyle w:val="Hyperlink"/>
                <w:b/>
              </w:rPr>
              <w:t>Enforcement powers under the Privacy Act and role of the OAIC</w:t>
            </w:r>
            <w:r w:rsidR="00D70CC0">
              <w:rPr>
                <w:webHidden/>
              </w:rPr>
              <w:tab/>
            </w:r>
            <w:r w:rsidR="00D70CC0">
              <w:rPr>
                <w:webHidden/>
              </w:rPr>
              <w:fldChar w:fldCharType="begin"/>
            </w:r>
            <w:r w:rsidR="00D70CC0">
              <w:rPr>
                <w:webHidden/>
              </w:rPr>
              <w:instrText xml:space="preserve"> PAGEREF _Toc58970251 \h </w:instrText>
            </w:r>
            <w:r w:rsidR="00D70CC0">
              <w:rPr>
                <w:webHidden/>
              </w:rPr>
            </w:r>
            <w:r w:rsidR="00D70CC0">
              <w:rPr>
                <w:webHidden/>
              </w:rPr>
              <w:fldChar w:fldCharType="separate"/>
            </w:r>
            <w:r>
              <w:rPr>
                <w:webHidden/>
              </w:rPr>
              <w:t>17</w:t>
            </w:r>
            <w:r w:rsidR="00D70CC0">
              <w:rPr>
                <w:webHidden/>
              </w:rPr>
              <w:fldChar w:fldCharType="end"/>
            </w:r>
          </w:hyperlink>
        </w:p>
        <w:p w14:paraId="5F5D46B7" w14:textId="77A5AC01" w:rsidR="00D70CC0" w:rsidRDefault="00D05108">
          <w:pPr>
            <w:pStyle w:val="TOC2"/>
            <w:rPr>
              <w:rFonts w:asciiTheme="minorHAnsi" w:hAnsiTheme="minorHAnsi"/>
            </w:rPr>
          </w:pPr>
          <w:hyperlink w:anchor="_Toc58970252" w:history="1">
            <w:r w:rsidR="00D70CC0" w:rsidRPr="0028421A">
              <w:rPr>
                <w:rStyle w:val="Hyperlink"/>
                <w:b/>
              </w:rPr>
              <w:t>Direct right of action</w:t>
            </w:r>
            <w:r w:rsidR="00D70CC0">
              <w:rPr>
                <w:webHidden/>
              </w:rPr>
              <w:tab/>
            </w:r>
            <w:r w:rsidR="00D70CC0">
              <w:rPr>
                <w:webHidden/>
              </w:rPr>
              <w:fldChar w:fldCharType="begin"/>
            </w:r>
            <w:r w:rsidR="00D70CC0">
              <w:rPr>
                <w:webHidden/>
              </w:rPr>
              <w:instrText xml:space="preserve"> PAGEREF _Toc58970252 \h </w:instrText>
            </w:r>
            <w:r w:rsidR="00D70CC0">
              <w:rPr>
                <w:webHidden/>
              </w:rPr>
            </w:r>
            <w:r w:rsidR="00D70CC0">
              <w:rPr>
                <w:webHidden/>
              </w:rPr>
              <w:fldChar w:fldCharType="separate"/>
            </w:r>
            <w:r>
              <w:rPr>
                <w:webHidden/>
              </w:rPr>
              <w:t>17</w:t>
            </w:r>
            <w:r w:rsidR="00D70CC0">
              <w:rPr>
                <w:webHidden/>
              </w:rPr>
              <w:fldChar w:fldCharType="end"/>
            </w:r>
          </w:hyperlink>
        </w:p>
        <w:p w14:paraId="186EBF56" w14:textId="74954956" w:rsidR="00D70CC0" w:rsidRDefault="00D05108">
          <w:pPr>
            <w:pStyle w:val="TOC2"/>
            <w:rPr>
              <w:rFonts w:asciiTheme="minorHAnsi" w:hAnsiTheme="minorHAnsi"/>
            </w:rPr>
          </w:pPr>
          <w:hyperlink w:anchor="_Toc58970253" w:history="1">
            <w:r w:rsidR="00D70CC0" w:rsidRPr="0028421A">
              <w:rPr>
                <w:rStyle w:val="Hyperlink"/>
                <w:b/>
              </w:rPr>
              <w:t>Statutory tort</w:t>
            </w:r>
            <w:r w:rsidR="00D70CC0">
              <w:rPr>
                <w:webHidden/>
              </w:rPr>
              <w:tab/>
            </w:r>
            <w:r w:rsidR="00D70CC0">
              <w:rPr>
                <w:webHidden/>
              </w:rPr>
              <w:fldChar w:fldCharType="begin"/>
            </w:r>
            <w:r w:rsidR="00D70CC0">
              <w:rPr>
                <w:webHidden/>
              </w:rPr>
              <w:instrText xml:space="preserve"> PAGEREF _Toc58970253 \h </w:instrText>
            </w:r>
            <w:r w:rsidR="00D70CC0">
              <w:rPr>
                <w:webHidden/>
              </w:rPr>
            </w:r>
            <w:r w:rsidR="00D70CC0">
              <w:rPr>
                <w:webHidden/>
              </w:rPr>
              <w:fldChar w:fldCharType="separate"/>
            </w:r>
            <w:r>
              <w:rPr>
                <w:webHidden/>
              </w:rPr>
              <w:t>18</w:t>
            </w:r>
            <w:r w:rsidR="00D70CC0">
              <w:rPr>
                <w:webHidden/>
              </w:rPr>
              <w:fldChar w:fldCharType="end"/>
            </w:r>
          </w:hyperlink>
        </w:p>
        <w:p w14:paraId="6BAF0C73" w14:textId="03528394" w:rsidR="00D70CC0" w:rsidRDefault="00D05108">
          <w:pPr>
            <w:pStyle w:val="TOC2"/>
            <w:rPr>
              <w:rFonts w:asciiTheme="minorHAnsi" w:hAnsiTheme="minorHAnsi"/>
            </w:rPr>
          </w:pPr>
          <w:hyperlink w:anchor="_Toc58970254" w:history="1">
            <w:r w:rsidR="00D70CC0" w:rsidRPr="0028421A">
              <w:rPr>
                <w:rStyle w:val="Hyperlink"/>
                <w:b/>
              </w:rPr>
              <w:t>Interaction between the Act and other regulatory schemes</w:t>
            </w:r>
            <w:r w:rsidR="00D70CC0">
              <w:rPr>
                <w:webHidden/>
              </w:rPr>
              <w:tab/>
            </w:r>
            <w:r w:rsidR="00D70CC0">
              <w:rPr>
                <w:webHidden/>
              </w:rPr>
              <w:fldChar w:fldCharType="begin"/>
            </w:r>
            <w:r w:rsidR="00D70CC0">
              <w:rPr>
                <w:webHidden/>
              </w:rPr>
              <w:instrText xml:space="preserve"> PAGEREF _Toc58970254 \h </w:instrText>
            </w:r>
            <w:r w:rsidR="00D70CC0">
              <w:rPr>
                <w:webHidden/>
              </w:rPr>
            </w:r>
            <w:r w:rsidR="00D70CC0">
              <w:rPr>
                <w:webHidden/>
              </w:rPr>
              <w:fldChar w:fldCharType="separate"/>
            </w:r>
            <w:r>
              <w:rPr>
                <w:webHidden/>
              </w:rPr>
              <w:t>18</w:t>
            </w:r>
            <w:r w:rsidR="00D70CC0">
              <w:rPr>
                <w:webHidden/>
              </w:rPr>
              <w:fldChar w:fldCharType="end"/>
            </w:r>
          </w:hyperlink>
        </w:p>
        <w:p w14:paraId="357D792F" w14:textId="6A1D37DF" w:rsidR="00D70CC0" w:rsidRDefault="00D05108">
          <w:pPr>
            <w:pStyle w:val="TOC3"/>
            <w:rPr>
              <w:rFonts w:asciiTheme="minorHAnsi" w:hAnsiTheme="minorHAnsi"/>
            </w:rPr>
          </w:pPr>
          <w:hyperlink w:anchor="_Toc58970255" w:history="1">
            <w:r w:rsidR="00D70CC0" w:rsidRPr="0028421A">
              <w:rPr>
                <w:rStyle w:val="Hyperlink"/>
                <w:b/>
              </w:rPr>
              <w:t>Consumer Data Right</w:t>
            </w:r>
            <w:r w:rsidR="00D70CC0">
              <w:rPr>
                <w:webHidden/>
              </w:rPr>
              <w:tab/>
            </w:r>
            <w:r w:rsidR="00D70CC0">
              <w:rPr>
                <w:webHidden/>
              </w:rPr>
              <w:fldChar w:fldCharType="begin"/>
            </w:r>
            <w:r w:rsidR="00D70CC0">
              <w:rPr>
                <w:webHidden/>
              </w:rPr>
              <w:instrText xml:space="preserve"> PAGEREF _Toc58970255 \h </w:instrText>
            </w:r>
            <w:r w:rsidR="00D70CC0">
              <w:rPr>
                <w:webHidden/>
              </w:rPr>
            </w:r>
            <w:r w:rsidR="00D70CC0">
              <w:rPr>
                <w:webHidden/>
              </w:rPr>
              <w:fldChar w:fldCharType="separate"/>
            </w:r>
            <w:r>
              <w:rPr>
                <w:webHidden/>
              </w:rPr>
              <w:t>18</w:t>
            </w:r>
            <w:r w:rsidR="00D70CC0">
              <w:rPr>
                <w:webHidden/>
              </w:rPr>
              <w:fldChar w:fldCharType="end"/>
            </w:r>
          </w:hyperlink>
        </w:p>
        <w:p w14:paraId="299EDF03" w14:textId="4ABB1983" w:rsidR="00D70CC0" w:rsidRDefault="00D05108">
          <w:pPr>
            <w:pStyle w:val="TOC3"/>
            <w:rPr>
              <w:rFonts w:asciiTheme="minorHAnsi" w:hAnsiTheme="minorHAnsi"/>
            </w:rPr>
          </w:pPr>
          <w:hyperlink w:anchor="_Toc58970256" w:history="1">
            <w:r w:rsidR="00D70CC0" w:rsidRPr="0028421A">
              <w:rPr>
                <w:rStyle w:val="Hyperlink"/>
                <w:b/>
              </w:rPr>
              <w:t>Telecommunications Act</w:t>
            </w:r>
            <w:r w:rsidR="00D70CC0">
              <w:rPr>
                <w:webHidden/>
              </w:rPr>
              <w:tab/>
            </w:r>
            <w:r w:rsidR="00D70CC0">
              <w:rPr>
                <w:webHidden/>
              </w:rPr>
              <w:fldChar w:fldCharType="begin"/>
            </w:r>
            <w:r w:rsidR="00D70CC0">
              <w:rPr>
                <w:webHidden/>
              </w:rPr>
              <w:instrText xml:space="preserve"> PAGEREF _Toc58970256 \h </w:instrText>
            </w:r>
            <w:r w:rsidR="00D70CC0">
              <w:rPr>
                <w:webHidden/>
              </w:rPr>
            </w:r>
            <w:r w:rsidR="00D70CC0">
              <w:rPr>
                <w:webHidden/>
              </w:rPr>
              <w:fldChar w:fldCharType="separate"/>
            </w:r>
            <w:r>
              <w:rPr>
                <w:webHidden/>
              </w:rPr>
              <w:t>18</w:t>
            </w:r>
            <w:r w:rsidR="00D70CC0">
              <w:rPr>
                <w:webHidden/>
              </w:rPr>
              <w:fldChar w:fldCharType="end"/>
            </w:r>
          </w:hyperlink>
        </w:p>
        <w:p w14:paraId="4234E2B7" w14:textId="4EDE2EE3" w:rsidR="00EC1696" w:rsidRPr="003441E5" w:rsidRDefault="00EC1696">
          <w:r w:rsidRPr="003441E5">
            <w:rPr>
              <w:b/>
              <w:bCs/>
              <w:noProof/>
            </w:rPr>
            <w:fldChar w:fldCharType="end"/>
          </w:r>
        </w:p>
      </w:sdtContent>
    </w:sdt>
    <w:p w14:paraId="01EA5289" w14:textId="77777777" w:rsidR="00AD032B" w:rsidRPr="003441E5" w:rsidRDefault="00AD032B" w:rsidP="00EC1696"/>
    <w:p w14:paraId="14889B61" w14:textId="77777777" w:rsidR="00027253" w:rsidRPr="00D307A4" w:rsidRDefault="004B7462" w:rsidP="008361E8">
      <w:pPr>
        <w:pStyle w:val="Heading1"/>
        <w:numPr>
          <w:ilvl w:val="0"/>
          <w:numId w:val="0"/>
        </w:numPr>
        <w:rPr>
          <w:b/>
          <w:bCs w:val="0"/>
        </w:rPr>
      </w:pPr>
      <w:bookmarkStart w:id="0" w:name="_Toc351382481"/>
      <w:bookmarkStart w:id="1" w:name="_Toc58970228"/>
      <w:r w:rsidRPr="00D307A4">
        <w:rPr>
          <w:b/>
          <w:bCs w:val="0"/>
        </w:rPr>
        <w:lastRenderedPageBreak/>
        <w:t>Executive S</w:t>
      </w:r>
      <w:r w:rsidR="00A022BC" w:rsidRPr="00D307A4">
        <w:rPr>
          <w:b/>
          <w:bCs w:val="0"/>
        </w:rPr>
        <w:t>ummary</w:t>
      </w:r>
      <w:bookmarkEnd w:id="0"/>
      <w:bookmarkEnd w:id="1"/>
    </w:p>
    <w:p w14:paraId="6EE06895" w14:textId="77777777" w:rsidR="007F77A5" w:rsidRDefault="00F62046" w:rsidP="0017025B">
      <w:pPr>
        <w:rPr>
          <w:lang w:eastAsia="en-US"/>
        </w:rPr>
      </w:pPr>
      <w:r>
        <w:rPr>
          <w:lang w:eastAsia="en-US"/>
        </w:rPr>
        <w:t xml:space="preserve">ACCAN welcomes this review of the </w:t>
      </w:r>
      <w:r w:rsidRPr="00F62046">
        <w:rPr>
          <w:i/>
          <w:iCs/>
          <w:lang w:eastAsia="en-US"/>
        </w:rPr>
        <w:t>Privacy Act</w:t>
      </w:r>
      <w:r>
        <w:rPr>
          <w:lang w:eastAsia="en-US"/>
        </w:rPr>
        <w:t xml:space="preserve"> </w:t>
      </w:r>
      <w:r w:rsidRPr="00F62046">
        <w:rPr>
          <w:i/>
          <w:iCs/>
          <w:lang w:eastAsia="en-US"/>
        </w:rPr>
        <w:t>198</w:t>
      </w:r>
      <w:r w:rsidR="00A1525C">
        <w:rPr>
          <w:i/>
          <w:iCs/>
          <w:lang w:eastAsia="en-US"/>
        </w:rPr>
        <w:t>9</w:t>
      </w:r>
      <w:r w:rsidRPr="00F62046">
        <w:rPr>
          <w:i/>
          <w:iCs/>
          <w:lang w:eastAsia="en-US"/>
        </w:rPr>
        <w:t xml:space="preserve"> </w:t>
      </w:r>
      <w:r w:rsidRPr="00F62046">
        <w:rPr>
          <w:lang w:eastAsia="en-US"/>
        </w:rPr>
        <w:t>t</w:t>
      </w:r>
      <w:r>
        <w:rPr>
          <w:lang w:eastAsia="en-US"/>
        </w:rPr>
        <w:t>o ensure the</w:t>
      </w:r>
      <w:r w:rsidRPr="00F62046">
        <w:rPr>
          <w:lang w:eastAsia="en-US"/>
        </w:rPr>
        <w:t xml:space="preserve"> objectives </w:t>
      </w:r>
      <w:r>
        <w:rPr>
          <w:lang w:eastAsia="en-US"/>
        </w:rPr>
        <w:t>of the Act and</w:t>
      </w:r>
      <w:r w:rsidRPr="00F62046">
        <w:rPr>
          <w:lang w:eastAsia="en-US"/>
        </w:rPr>
        <w:t xml:space="preserve"> the OAIC’s core purpose — to promote and uphold privacy and information access rights — </w:t>
      </w:r>
      <w:r>
        <w:rPr>
          <w:lang w:eastAsia="en-US"/>
        </w:rPr>
        <w:t xml:space="preserve">is suited to the modern global digital economy. </w:t>
      </w:r>
    </w:p>
    <w:p w14:paraId="0FC51A7E" w14:textId="77777777" w:rsidR="008E02E6" w:rsidRDefault="00F62046" w:rsidP="0017025B">
      <w:pPr>
        <w:rPr>
          <w:lang w:eastAsia="en-US"/>
        </w:rPr>
      </w:pPr>
      <w:r>
        <w:rPr>
          <w:lang w:eastAsia="en-US"/>
        </w:rPr>
        <w:t>Currently, t</w:t>
      </w:r>
      <w:r w:rsidRPr="00F62046">
        <w:rPr>
          <w:lang w:eastAsia="en-US"/>
        </w:rPr>
        <w:t>he information and power asymmetries between consumers and digital platforms can make it challenging for individuals to make informed decisions about how our personal information is handled online.</w:t>
      </w:r>
      <w:r>
        <w:rPr>
          <w:rStyle w:val="FootnoteReference"/>
          <w:lang w:eastAsia="en-US"/>
        </w:rPr>
        <w:footnoteReference w:id="1"/>
      </w:r>
      <w:bookmarkStart w:id="2" w:name="_Toc351382482"/>
    </w:p>
    <w:p w14:paraId="1C02867D" w14:textId="64C90B58" w:rsidR="008E02E6" w:rsidRDefault="0017025B" w:rsidP="0017025B">
      <w:pPr>
        <w:rPr>
          <w:lang w:eastAsia="en-US"/>
        </w:rPr>
      </w:pPr>
      <w:r>
        <w:rPr>
          <w:lang w:eastAsia="en-US"/>
        </w:rPr>
        <w:t xml:space="preserve">ACCAN supports the proposals of the ACCC’s Digital Platforms Inquiry report, which </w:t>
      </w:r>
      <w:r w:rsidR="00A301D4">
        <w:rPr>
          <w:lang w:eastAsia="en-US"/>
        </w:rPr>
        <w:t>aim to r</w:t>
      </w:r>
      <w:r>
        <w:rPr>
          <w:lang w:eastAsia="en-US"/>
        </w:rPr>
        <w:t xml:space="preserve">edress this imbalance and increase transparency, choice and control in </w:t>
      </w:r>
      <w:r w:rsidR="00A301D4">
        <w:rPr>
          <w:lang w:eastAsia="en-US"/>
        </w:rPr>
        <w:t xml:space="preserve">consumer’s </w:t>
      </w:r>
      <w:r>
        <w:rPr>
          <w:lang w:eastAsia="en-US"/>
        </w:rPr>
        <w:t>data collection and processing practices</w:t>
      </w:r>
      <w:r w:rsidR="008E02E6">
        <w:rPr>
          <w:lang w:eastAsia="en-US"/>
        </w:rPr>
        <w:t xml:space="preserve"> including:</w:t>
      </w:r>
    </w:p>
    <w:p w14:paraId="70C77D19" w14:textId="7563E898" w:rsidR="008E02E6" w:rsidRDefault="008E02E6" w:rsidP="008E02E6">
      <w:pPr>
        <w:pStyle w:val="ListParagraph"/>
        <w:numPr>
          <w:ilvl w:val="0"/>
          <w:numId w:val="29"/>
        </w:numPr>
      </w:pPr>
      <w:r>
        <w:t>S</w:t>
      </w:r>
      <w:r w:rsidR="0017025B">
        <w:t>trengthened notice and consent requirements</w:t>
      </w:r>
      <w:r>
        <w:t>;</w:t>
      </w:r>
      <w:r w:rsidR="0017025B">
        <w:t xml:space="preserve"> </w:t>
      </w:r>
    </w:p>
    <w:p w14:paraId="4305147D" w14:textId="77777777" w:rsidR="008E02E6" w:rsidRDefault="008E02E6" w:rsidP="008E02E6">
      <w:pPr>
        <w:pStyle w:val="ListParagraph"/>
        <w:numPr>
          <w:ilvl w:val="0"/>
          <w:numId w:val="29"/>
        </w:numPr>
      </w:pPr>
      <w:r>
        <w:t>I</w:t>
      </w:r>
      <w:r w:rsidR="0017025B">
        <w:t>ntroduction of an enforceable privacy code for designated digital platforms</w:t>
      </w:r>
      <w:r>
        <w:t>;</w:t>
      </w:r>
      <w:r w:rsidR="0017025B">
        <w:t xml:space="preserve"> and </w:t>
      </w:r>
    </w:p>
    <w:p w14:paraId="03C06FE9" w14:textId="3BCD0351" w:rsidR="007F77A5" w:rsidRDefault="008E02E6" w:rsidP="008E02E6">
      <w:pPr>
        <w:pStyle w:val="ListParagraph"/>
        <w:numPr>
          <w:ilvl w:val="0"/>
          <w:numId w:val="29"/>
        </w:numPr>
      </w:pPr>
      <w:r>
        <w:t>H</w:t>
      </w:r>
      <w:r w:rsidR="0017025B">
        <w:t>igher penalties for privacy infringements.</w:t>
      </w:r>
    </w:p>
    <w:p w14:paraId="1B370513" w14:textId="49D60D75" w:rsidR="007F77A5" w:rsidRDefault="007F77A5" w:rsidP="0017025B">
      <w:pPr>
        <w:rPr>
          <w:lang w:eastAsia="en-US"/>
        </w:rPr>
      </w:pPr>
      <w:r>
        <w:rPr>
          <w:lang w:eastAsia="en-US"/>
        </w:rPr>
        <w:t xml:space="preserve">ACCAN also agrees with the OAIC’s position that </w:t>
      </w:r>
      <w:r w:rsidR="008E02E6">
        <w:rPr>
          <w:lang w:eastAsia="en-US"/>
        </w:rPr>
        <w:t>while an</w:t>
      </w:r>
      <w:r>
        <w:rPr>
          <w:lang w:eastAsia="en-US"/>
        </w:rPr>
        <w:t xml:space="preserve"> individual</w:t>
      </w:r>
      <w:r w:rsidR="008E02E6">
        <w:rPr>
          <w:lang w:eastAsia="en-US"/>
        </w:rPr>
        <w:t xml:space="preserve"> should have the </w:t>
      </w:r>
      <w:r>
        <w:rPr>
          <w:lang w:eastAsia="en-US"/>
        </w:rPr>
        <w:t xml:space="preserve">ability to self-manage their privacy through enhanced notice and consent requirements, the entities entrusted with consumer data must be accountable for any handling – or mishandling – of this data. </w:t>
      </w:r>
    </w:p>
    <w:p w14:paraId="429CD219" w14:textId="77777777" w:rsidR="008E02E6" w:rsidRDefault="007F77A5" w:rsidP="0017025B">
      <w:pPr>
        <w:rPr>
          <w:lang w:eastAsia="en-US"/>
        </w:rPr>
      </w:pPr>
      <w:r>
        <w:rPr>
          <w:lang w:eastAsia="en-US"/>
        </w:rPr>
        <w:t xml:space="preserve">ACCAN’s submission to the </w:t>
      </w:r>
      <w:r w:rsidRPr="008E02E6">
        <w:rPr>
          <w:i/>
          <w:iCs/>
          <w:lang w:eastAsia="en-US"/>
        </w:rPr>
        <w:t>Privacy Act Review</w:t>
      </w:r>
      <w:r>
        <w:rPr>
          <w:lang w:eastAsia="en-US"/>
        </w:rPr>
        <w:t xml:space="preserve"> contains proposals which are intended to provide greater protection or consumers</w:t>
      </w:r>
      <w:r w:rsidR="008E02E6">
        <w:rPr>
          <w:lang w:eastAsia="en-US"/>
        </w:rPr>
        <w:t>:</w:t>
      </w:r>
    </w:p>
    <w:p w14:paraId="69708DF4" w14:textId="69AA904C" w:rsidR="00590DE1" w:rsidRDefault="00590DE1" w:rsidP="008E02E6">
      <w:pPr>
        <w:pStyle w:val="ListParagraph"/>
        <w:numPr>
          <w:ilvl w:val="0"/>
          <w:numId w:val="28"/>
        </w:numPr>
      </w:pPr>
      <w:r>
        <w:t>broadening the definition of ‘Personal Information’;</w:t>
      </w:r>
    </w:p>
    <w:p w14:paraId="0F19E2AB" w14:textId="40BB386D" w:rsidR="008E02E6" w:rsidRDefault="007F77A5" w:rsidP="008E02E6">
      <w:pPr>
        <w:pStyle w:val="ListParagraph"/>
        <w:numPr>
          <w:ilvl w:val="0"/>
          <w:numId w:val="28"/>
        </w:numPr>
      </w:pPr>
      <w:r>
        <w:t>increased penalties for privacy breaches</w:t>
      </w:r>
      <w:r w:rsidR="008E02E6">
        <w:t>;</w:t>
      </w:r>
    </w:p>
    <w:p w14:paraId="1204AD04" w14:textId="452A4ACD" w:rsidR="008E02E6" w:rsidRDefault="007F77A5" w:rsidP="008E02E6">
      <w:pPr>
        <w:pStyle w:val="ListParagraph"/>
        <w:numPr>
          <w:ilvl w:val="0"/>
          <w:numId w:val="28"/>
        </w:numPr>
      </w:pPr>
      <w:r>
        <w:t>greater transparency and clarity in obtaining consumer consent to data collection</w:t>
      </w:r>
      <w:r w:rsidR="008E02E6">
        <w:t>;</w:t>
      </w:r>
    </w:p>
    <w:p w14:paraId="0230C87E" w14:textId="77777777" w:rsidR="00590DE1" w:rsidRDefault="008E02E6" w:rsidP="008E02E6">
      <w:pPr>
        <w:pStyle w:val="ListParagraph"/>
        <w:numPr>
          <w:ilvl w:val="0"/>
          <w:numId w:val="28"/>
        </w:numPr>
      </w:pPr>
      <w:r>
        <w:t xml:space="preserve">reform of the exemptions for small business with a turnover of less than $3 million; </w:t>
      </w:r>
    </w:p>
    <w:p w14:paraId="03F7A3FD" w14:textId="77777777" w:rsidR="00590DE1" w:rsidRDefault="00590DE1" w:rsidP="008E02E6">
      <w:pPr>
        <w:pStyle w:val="ListParagraph"/>
        <w:numPr>
          <w:ilvl w:val="0"/>
          <w:numId w:val="28"/>
        </w:numPr>
      </w:pPr>
      <w:r>
        <w:t>more stringent regulation of digital marketing practices;</w:t>
      </w:r>
    </w:p>
    <w:p w14:paraId="54339B2A" w14:textId="7413897A" w:rsidR="008E02E6" w:rsidRDefault="00590DE1" w:rsidP="008E02E6">
      <w:pPr>
        <w:pStyle w:val="ListParagraph"/>
        <w:numPr>
          <w:ilvl w:val="0"/>
          <w:numId w:val="28"/>
        </w:numPr>
      </w:pPr>
      <w:r>
        <w:t xml:space="preserve">introduction of a direct right of action </w:t>
      </w:r>
      <w:r w:rsidR="008E02E6">
        <w:t>and</w:t>
      </w:r>
      <w:r>
        <w:t xml:space="preserve"> statutory tort;</w:t>
      </w:r>
    </w:p>
    <w:p w14:paraId="665BB0B6" w14:textId="0F91FD2F" w:rsidR="007F77A5" w:rsidRDefault="008E02E6" w:rsidP="008E02E6">
      <w:pPr>
        <w:pStyle w:val="ListParagraph"/>
        <w:numPr>
          <w:ilvl w:val="0"/>
          <w:numId w:val="28"/>
        </w:numPr>
      </w:pPr>
      <w:r>
        <w:t xml:space="preserve">introduction of </w:t>
      </w:r>
      <w:r w:rsidR="007F77A5">
        <w:t xml:space="preserve">rules to protect Australia’s vulnerable groups such as children. </w:t>
      </w:r>
    </w:p>
    <w:p w14:paraId="509027E6" w14:textId="1C48985E" w:rsidR="008E02E6" w:rsidRDefault="007F77A5" w:rsidP="0017025B">
      <w:pPr>
        <w:rPr>
          <w:lang w:eastAsia="en-US"/>
        </w:rPr>
      </w:pPr>
      <w:r>
        <w:rPr>
          <w:lang w:eastAsia="en-US"/>
        </w:rPr>
        <w:t xml:space="preserve">Developments in privacy regulation internationally are an important guideline </w:t>
      </w:r>
      <w:r w:rsidR="008E02E6">
        <w:rPr>
          <w:lang w:eastAsia="en-US"/>
        </w:rPr>
        <w:t>f</w:t>
      </w:r>
      <w:r>
        <w:rPr>
          <w:lang w:eastAsia="en-US"/>
        </w:rPr>
        <w:t xml:space="preserve">or the evolution of </w:t>
      </w:r>
      <w:r w:rsidR="008E02E6">
        <w:rPr>
          <w:lang w:eastAsia="en-US"/>
        </w:rPr>
        <w:t>Australia’s</w:t>
      </w:r>
      <w:r>
        <w:rPr>
          <w:lang w:eastAsia="en-US"/>
        </w:rPr>
        <w:t xml:space="preserve"> data regime, and our </w:t>
      </w:r>
      <w:r w:rsidR="008E02E6">
        <w:rPr>
          <w:lang w:eastAsia="en-US"/>
        </w:rPr>
        <w:t>responses frequently</w:t>
      </w:r>
      <w:r>
        <w:rPr>
          <w:lang w:eastAsia="en-US"/>
        </w:rPr>
        <w:t xml:space="preserve"> </w:t>
      </w:r>
      <w:r w:rsidR="008E02E6">
        <w:rPr>
          <w:lang w:eastAsia="en-US"/>
        </w:rPr>
        <w:t>refer</w:t>
      </w:r>
      <w:r>
        <w:rPr>
          <w:lang w:eastAsia="en-US"/>
        </w:rPr>
        <w:t xml:space="preserve"> t</w:t>
      </w:r>
      <w:r w:rsidR="008E02E6">
        <w:rPr>
          <w:lang w:eastAsia="en-US"/>
        </w:rPr>
        <w:t>o the EU’s General Da</w:t>
      </w:r>
      <w:r w:rsidR="00294201">
        <w:rPr>
          <w:lang w:eastAsia="en-US"/>
        </w:rPr>
        <w:t>t</w:t>
      </w:r>
      <w:bookmarkStart w:id="3" w:name="_GoBack"/>
      <w:bookmarkEnd w:id="3"/>
      <w:r w:rsidR="008E02E6">
        <w:rPr>
          <w:lang w:eastAsia="en-US"/>
        </w:rPr>
        <w:t>a Protection Regulation (GDPR).</w:t>
      </w:r>
    </w:p>
    <w:p w14:paraId="5B2AD855" w14:textId="77777777" w:rsidR="004920E4" w:rsidRDefault="008E02E6" w:rsidP="0017025B">
      <w:pPr>
        <w:rPr>
          <w:lang w:eastAsia="en-US"/>
        </w:rPr>
      </w:pPr>
      <w:r>
        <w:rPr>
          <w:lang w:eastAsia="en-US"/>
        </w:rPr>
        <w:t xml:space="preserve">In addition, it is also important to consider reform of the </w:t>
      </w:r>
      <w:r w:rsidRPr="008E02E6">
        <w:rPr>
          <w:i/>
          <w:iCs/>
          <w:lang w:eastAsia="en-US"/>
        </w:rPr>
        <w:t>Privacy Act</w:t>
      </w:r>
      <w:r>
        <w:rPr>
          <w:lang w:eastAsia="en-US"/>
        </w:rPr>
        <w:t xml:space="preserve"> cohesively with other regimes, including the </w:t>
      </w:r>
      <w:r w:rsidRPr="008E02E6">
        <w:rPr>
          <w:i/>
          <w:iCs/>
          <w:lang w:eastAsia="en-US"/>
        </w:rPr>
        <w:t>Consumer Data Right</w:t>
      </w:r>
      <w:r>
        <w:rPr>
          <w:lang w:eastAsia="en-US"/>
        </w:rPr>
        <w:t xml:space="preserve"> and the </w:t>
      </w:r>
      <w:r w:rsidRPr="008E02E6">
        <w:rPr>
          <w:i/>
          <w:iCs/>
          <w:lang w:eastAsia="en-US"/>
        </w:rPr>
        <w:t>Telecommunications Act</w:t>
      </w:r>
      <w:r>
        <w:rPr>
          <w:lang w:eastAsia="en-US"/>
        </w:rPr>
        <w:t xml:space="preserve">. </w:t>
      </w:r>
    </w:p>
    <w:p w14:paraId="20BAE9D4" w14:textId="0F8E24EA" w:rsidR="006C475F" w:rsidRPr="0017025B" w:rsidRDefault="006C475F" w:rsidP="0017025B">
      <w:pPr>
        <w:rPr>
          <w:lang w:eastAsia="en-US"/>
        </w:rPr>
      </w:pPr>
      <w:r>
        <w:rPr>
          <w:b/>
          <w:bCs/>
        </w:rPr>
        <w:br w:type="page"/>
      </w:r>
    </w:p>
    <w:p w14:paraId="20859C0C" w14:textId="5CCF88AB" w:rsidR="00886444" w:rsidRPr="00D307A4" w:rsidRDefault="008E1CC4" w:rsidP="006C475F">
      <w:pPr>
        <w:pStyle w:val="Heading2"/>
        <w:numPr>
          <w:ilvl w:val="0"/>
          <w:numId w:val="0"/>
        </w:numPr>
        <w:rPr>
          <w:b/>
          <w:bCs w:val="0"/>
        </w:rPr>
      </w:pPr>
      <w:bookmarkStart w:id="4" w:name="_Toc58970229"/>
      <w:r w:rsidRPr="00D307A4">
        <w:rPr>
          <w:b/>
          <w:bCs w:val="0"/>
        </w:rPr>
        <w:lastRenderedPageBreak/>
        <w:t>List of recommendations</w:t>
      </w:r>
      <w:bookmarkEnd w:id="2"/>
      <w:bookmarkEnd w:id="4"/>
    </w:p>
    <w:p w14:paraId="2055C4FC" w14:textId="6B4604F2" w:rsidR="00995D26" w:rsidRDefault="00A524EF" w:rsidP="006C475F">
      <w:pPr>
        <w:pStyle w:val="Recommendation"/>
        <w:spacing w:before="0" w:beforeAutospacing="0" w:after="120" w:afterAutospacing="0"/>
        <w:rPr>
          <w:sz w:val="24"/>
          <w:szCs w:val="24"/>
        </w:rPr>
      </w:pPr>
      <w:r>
        <w:rPr>
          <w:sz w:val="24"/>
          <w:szCs w:val="24"/>
        </w:rPr>
        <w:t xml:space="preserve"> </w:t>
      </w:r>
      <w:r w:rsidR="00995D26" w:rsidRPr="00243E50">
        <w:rPr>
          <w:sz w:val="24"/>
          <w:szCs w:val="24"/>
        </w:rPr>
        <w:t>The definition of ‘Personal Information’ needs to be expanded to adequately regulate modern data collection practices and analytic capabilities.</w:t>
      </w:r>
    </w:p>
    <w:p w14:paraId="2FD12544" w14:textId="358AE303" w:rsidR="00995D26" w:rsidRDefault="00A524EF" w:rsidP="006C475F">
      <w:pPr>
        <w:pStyle w:val="Recommendation"/>
        <w:spacing w:before="0" w:beforeAutospacing="0" w:after="120" w:afterAutospacing="0"/>
        <w:rPr>
          <w:sz w:val="24"/>
          <w:szCs w:val="24"/>
        </w:rPr>
      </w:pPr>
      <w:r>
        <w:rPr>
          <w:sz w:val="24"/>
          <w:szCs w:val="24"/>
        </w:rPr>
        <w:t xml:space="preserve"> </w:t>
      </w:r>
      <w:r w:rsidR="00995D26" w:rsidRPr="00243E50">
        <w:rPr>
          <w:sz w:val="24"/>
          <w:szCs w:val="24"/>
        </w:rPr>
        <w:t>The various exemptions in the Act need revision as a matter of priority.</w:t>
      </w:r>
    </w:p>
    <w:p w14:paraId="36274F0D" w14:textId="77777777" w:rsidR="0042677A" w:rsidRDefault="0042677A" w:rsidP="00686827">
      <w:pPr>
        <w:pStyle w:val="Recommendation"/>
        <w:numPr>
          <w:ilvl w:val="0"/>
          <w:numId w:val="0"/>
        </w:numPr>
        <w:spacing w:before="0" w:beforeAutospacing="0" w:after="120" w:afterAutospacing="0"/>
        <w:ind w:left="709"/>
        <w:rPr>
          <w:rFonts w:asciiTheme="minorHAnsi" w:hAnsiTheme="minorHAnsi"/>
          <w:sz w:val="24"/>
          <w:szCs w:val="24"/>
        </w:rPr>
      </w:pPr>
      <w:r w:rsidRPr="0042677A">
        <w:rPr>
          <w:b/>
          <w:bCs/>
          <w:sz w:val="24"/>
          <w:szCs w:val="24"/>
        </w:rPr>
        <w:t>Recommendation 3:</w:t>
      </w:r>
      <w:r w:rsidR="0025056C">
        <w:rPr>
          <w:sz w:val="24"/>
          <w:szCs w:val="24"/>
        </w:rPr>
        <w:t xml:space="preserve"> </w:t>
      </w:r>
      <w:r w:rsidRPr="00A51F55">
        <w:rPr>
          <w:rFonts w:asciiTheme="minorHAnsi" w:hAnsiTheme="minorHAnsi"/>
          <w:sz w:val="24"/>
          <w:szCs w:val="24"/>
        </w:rPr>
        <w:t xml:space="preserve">Organisations should provide </w:t>
      </w:r>
      <w:r>
        <w:rPr>
          <w:rFonts w:asciiTheme="minorHAnsi" w:hAnsiTheme="minorHAnsi"/>
          <w:sz w:val="24"/>
          <w:szCs w:val="24"/>
        </w:rPr>
        <w:t xml:space="preserve">consumers with </w:t>
      </w:r>
      <w:r w:rsidRPr="00A51F55">
        <w:rPr>
          <w:rFonts w:asciiTheme="minorHAnsi" w:hAnsiTheme="minorHAnsi"/>
          <w:sz w:val="24"/>
          <w:szCs w:val="24"/>
        </w:rPr>
        <w:t>brief and easily understandable privacy notices when requesting consent to data collection.</w:t>
      </w:r>
    </w:p>
    <w:p w14:paraId="2CFBD8AE" w14:textId="77777777" w:rsidR="0042677A" w:rsidRDefault="0042677A" w:rsidP="00686827">
      <w:pPr>
        <w:pStyle w:val="Recommendation"/>
        <w:numPr>
          <w:ilvl w:val="0"/>
          <w:numId w:val="0"/>
        </w:numPr>
        <w:spacing w:before="0" w:beforeAutospacing="0" w:after="120" w:afterAutospacing="0"/>
        <w:ind w:left="709"/>
        <w:rPr>
          <w:rFonts w:asciiTheme="minorHAnsi" w:hAnsiTheme="minorHAnsi"/>
          <w:sz w:val="24"/>
          <w:szCs w:val="24"/>
        </w:rPr>
      </w:pPr>
      <w:r>
        <w:rPr>
          <w:b/>
          <w:bCs/>
          <w:sz w:val="24"/>
          <w:szCs w:val="24"/>
        </w:rPr>
        <w:t>Recommendation 4:</w:t>
      </w:r>
      <w:r>
        <w:rPr>
          <w:sz w:val="24"/>
          <w:szCs w:val="24"/>
          <w:lang w:eastAsia="en-AU"/>
        </w:rPr>
        <w:t xml:space="preserve"> </w:t>
      </w:r>
      <w:r w:rsidR="00A524EF">
        <w:rPr>
          <w:sz w:val="24"/>
          <w:szCs w:val="24"/>
          <w:lang w:eastAsia="en-AU"/>
        </w:rPr>
        <w:t>C</w:t>
      </w:r>
      <w:r w:rsidR="0025056C">
        <w:rPr>
          <w:sz w:val="24"/>
          <w:szCs w:val="24"/>
          <w:lang w:eastAsia="en-AU"/>
        </w:rPr>
        <w:t>hildren under</w:t>
      </w:r>
      <w:r w:rsidR="00A524EF">
        <w:rPr>
          <w:sz w:val="24"/>
          <w:szCs w:val="24"/>
          <w:lang w:eastAsia="en-AU"/>
        </w:rPr>
        <w:t xml:space="preserve"> the age of</w:t>
      </w:r>
      <w:r w:rsidR="0025056C">
        <w:rPr>
          <w:sz w:val="24"/>
          <w:szCs w:val="24"/>
          <w:lang w:eastAsia="en-AU"/>
        </w:rPr>
        <w:t xml:space="preserve"> 16 </w:t>
      </w:r>
      <w:r w:rsidR="00A524EF">
        <w:rPr>
          <w:sz w:val="24"/>
          <w:szCs w:val="24"/>
          <w:lang w:eastAsia="en-AU"/>
        </w:rPr>
        <w:t>may only have their personal information processed with the express consent of a responsible adult.</w:t>
      </w:r>
    </w:p>
    <w:p w14:paraId="61ECAA1D" w14:textId="08024793" w:rsidR="00AF3EC2" w:rsidRPr="0042677A" w:rsidRDefault="0042677A" w:rsidP="00686827">
      <w:pPr>
        <w:pStyle w:val="Recommendation"/>
        <w:numPr>
          <w:ilvl w:val="0"/>
          <w:numId w:val="0"/>
        </w:numPr>
        <w:spacing w:before="0" w:beforeAutospacing="0" w:after="120" w:afterAutospacing="0"/>
        <w:ind w:left="709"/>
        <w:rPr>
          <w:rFonts w:asciiTheme="minorHAnsi" w:hAnsiTheme="minorHAnsi"/>
          <w:sz w:val="24"/>
          <w:szCs w:val="24"/>
        </w:rPr>
      </w:pPr>
      <w:r>
        <w:rPr>
          <w:b/>
          <w:bCs/>
          <w:sz w:val="24"/>
          <w:szCs w:val="24"/>
        </w:rPr>
        <w:t>Recommendation 5:</w:t>
      </w:r>
      <w:r w:rsidR="00A524EF">
        <w:rPr>
          <w:sz w:val="24"/>
          <w:szCs w:val="24"/>
        </w:rPr>
        <w:t xml:space="preserve"> </w:t>
      </w:r>
      <w:r w:rsidR="00AF3EC2" w:rsidRPr="00243E50">
        <w:rPr>
          <w:sz w:val="24"/>
          <w:szCs w:val="24"/>
        </w:rPr>
        <w:t>Regulations should be introduced to mandate privacy by design in IoT devices to protect consumers.</w:t>
      </w:r>
    </w:p>
    <w:p w14:paraId="71D84059" w14:textId="77777777" w:rsidR="00B3560A" w:rsidRDefault="0042677A" w:rsidP="00686827">
      <w:pPr>
        <w:pStyle w:val="Recommendation"/>
        <w:numPr>
          <w:ilvl w:val="0"/>
          <w:numId w:val="0"/>
        </w:numPr>
        <w:spacing w:before="0" w:beforeAutospacing="0" w:after="120" w:afterAutospacing="0"/>
        <w:ind w:left="709"/>
        <w:rPr>
          <w:rFonts w:asciiTheme="minorHAnsi" w:hAnsiTheme="minorHAnsi"/>
          <w:sz w:val="24"/>
          <w:szCs w:val="24"/>
        </w:rPr>
      </w:pPr>
      <w:r w:rsidRPr="0042677A">
        <w:rPr>
          <w:rFonts w:asciiTheme="minorHAnsi" w:hAnsiTheme="minorHAnsi"/>
          <w:b/>
          <w:bCs/>
          <w:sz w:val="24"/>
          <w:szCs w:val="24"/>
        </w:rPr>
        <w:t>Recommendation 6:</w:t>
      </w:r>
      <w:r w:rsidRPr="0042677A">
        <w:rPr>
          <w:rFonts w:asciiTheme="minorHAnsi" w:hAnsiTheme="minorHAnsi"/>
          <w:sz w:val="24"/>
          <w:szCs w:val="24"/>
        </w:rPr>
        <w:t xml:space="preserve"> Consent to the use of IoT devices used by more than one person should be ‘unbundled’ to facilitate genuine consent by </w:t>
      </w:r>
      <w:proofErr w:type="gramStart"/>
      <w:r w:rsidRPr="0042677A">
        <w:rPr>
          <w:rFonts w:asciiTheme="minorHAnsi" w:hAnsiTheme="minorHAnsi"/>
          <w:sz w:val="24"/>
          <w:szCs w:val="24"/>
        </w:rPr>
        <w:t>each individual</w:t>
      </w:r>
      <w:proofErr w:type="gramEnd"/>
      <w:r w:rsidRPr="0042677A">
        <w:rPr>
          <w:rFonts w:asciiTheme="minorHAnsi" w:hAnsiTheme="minorHAnsi"/>
          <w:sz w:val="24"/>
          <w:szCs w:val="24"/>
        </w:rPr>
        <w:t>.</w:t>
      </w:r>
    </w:p>
    <w:p w14:paraId="74D1317D" w14:textId="77777777" w:rsidR="00B3560A" w:rsidRDefault="00B3560A" w:rsidP="00686827">
      <w:pPr>
        <w:pStyle w:val="Recommendation"/>
        <w:numPr>
          <w:ilvl w:val="0"/>
          <w:numId w:val="0"/>
        </w:numPr>
        <w:spacing w:before="0" w:beforeAutospacing="0" w:after="120" w:afterAutospacing="0"/>
        <w:ind w:left="709"/>
        <w:rPr>
          <w:rFonts w:asciiTheme="minorHAnsi" w:hAnsiTheme="minorHAnsi"/>
          <w:sz w:val="24"/>
          <w:szCs w:val="24"/>
        </w:rPr>
      </w:pPr>
      <w:r>
        <w:rPr>
          <w:rFonts w:asciiTheme="minorHAnsi" w:hAnsiTheme="minorHAnsi"/>
          <w:b/>
          <w:bCs/>
          <w:sz w:val="24"/>
          <w:szCs w:val="24"/>
        </w:rPr>
        <w:t>Recommendation 7:</w:t>
      </w:r>
      <w:r>
        <w:rPr>
          <w:rFonts w:asciiTheme="minorHAnsi" w:hAnsiTheme="minorHAnsi"/>
          <w:sz w:val="24"/>
          <w:szCs w:val="24"/>
        </w:rPr>
        <w:t xml:space="preserve"> The Act should impose more stringent regulation on the use of personal information for digital marketing purposes. </w:t>
      </w:r>
    </w:p>
    <w:p w14:paraId="21F87456" w14:textId="77777777" w:rsidR="0055635C" w:rsidRDefault="00B3560A" w:rsidP="00686827">
      <w:pPr>
        <w:pStyle w:val="Recommendation"/>
        <w:numPr>
          <w:ilvl w:val="0"/>
          <w:numId w:val="0"/>
        </w:numPr>
        <w:spacing w:before="0" w:beforeAutospacing="0" w:after="120" w:afterAutospacing="0"/>
        <w:ind w:left="709"/>
        <w:rPr>
          <w:rFonts w:asciiTheme="minorHAnsi" w:hAnsiTheme="minorHAnsi"/>
          <w:sz w:val="24"/>
          <w:szCs w:val="24"/>
        </w:rPr>
      </w:pPr>
      <w:r>
        <w:rPr>
          <w:rFonts w:asciiTheme="minorHAnsi" w:hAnsiTheme="minorHAnsi"/>
          <w:b/>
          <w:bCs/>
          <w:sz w:val="24"/>
          <w:szCs w:val="24"/>
        </w:rPr>
        <w:t>Recommendation 8:</w:t>
      </w:r>
      <w:r>
        <w:rPr>
          <w:rFonts w:asciiTheme="minorHAnsi" w:hAnsiTheme="minorHAnsi"/>
          <w:sz w:val="24"/>
          <w:szCs w:val="24"/>
        </w:rPr>
        <w:t xml:space="preserve"> Access to a product or service should not be conditional on an individual’s consent to their personal information being collected, used or disclosed by an entity. </w:t>
      </w:r>
    </w:p>
    <w:p w14:paraId="222A16FE" w14:textId="5D4E0E2B" w:rsidR="00DA1E4D" w:rsidRDefault="0055635C" w:rsidP="00686827">
      <w:pPr>
        <w:pStyle w:val="Recommendation"/>
        <w:numPr>
          <w:ilvl w:val="0"/>
          <w:numId w:val="0"/>
        </w:numPr>
        <w:spacing w:before="0" w:beforeAutospacing="0" w:after="120" w:afterAutospacing="0"/>
        <w:ind w:left="709"/>
        <w:rPr>
          <w:rFonts w:asciiTheme="minorHAnsi" w:hAnsiTheme="minorHAnsi"/>
          <w:sz w:val="24"/>
          <w:szCs w:val="24"/>
        </w:rPr>
      </w:pPr>
      <w:r>
        <w:rPr>
          <w:rFonts w:asciiTheme="minorHAnsi" w:hAnsiTheme="minorHAnsi"/>
          <w:b/>
          <w:bCs/>
          <w:sz w:val="24"/>
          <w:szCs w:val="24"/>
        </w:rPr>
        <w:t>Recommendation 9:</w:t>
      </w:r>
      <w:r>
        <w:rPr>
          <w:rFonts w:asciiTheme="minorHAnsi" w:hAnsiTheme="minorHAnsi"/>
          <w:sz w:val="24"/>
          <w:szCs w:val="24"/>
        </w:rPr>
        <w:t xml:space="preserve"> Individuals must have the right to have their data erased under certain circumstances. </w:t>
      </w:r>
    </w:p>
    <w:p w14:paraId="6F8FFBA7" w14:textId="77777777" w:rsidR="00DA1E4D" w:rsidRDefault="00DA1E4D" w:rsidP="00686827">
      <w:pPr>
        <w:pStyle w:val="Recommendation"/>
        <w:numPr>
          <w:ilvl w:val="0"/>
          <w:numId w:val="0"/>
        </w:numPr>
        <w:spacing w:before="0" w:beforeAutospacing="0" w:after="120" w:afterAutospacing="0"/>
        <w:ind w:left="709"/>
        <w:rPr>
          <w:rFonts w:asciiTheme="minorHAnsi" w:hAnsiTheme="minorHAnsi"/>
          <w:sz w:val="24"/>
          <w:szCs w:val="24"/>
        </w:rPr>
      </w:pPr>
      <w:r>
        <w:rPr>
          <w:rFonts w:asciiTheme="minorHAnsi" w:hAnsiTheme="minorHAnsi"/>
          <w:b/>
          <w:bCs/>
          <w:sz w:val="24"/>
          <w:szCs w:val="24"/>
        </w:rPr>
        <w:t>Recommendation 10:</w:t>
      </w:r>
      <w:r>
        <w:rPr>
          <w:rFonts w:asciiTheme="minorHAnsi" w:hAnsiTheme="minorHAnsi"/>
          <w:sz w:val="24"/>
          <w:szCs w:val="24"/>
        </w:rPr>
        <w:t xml:space="preserve"> A stronger enforcement framework and penalties, and a well-resourced regulatory body, are needed to ensure compliance with a strengthened privacy regime.</w:t>
      </w:r>
    </w:p>
    <w:p w14:paraId="07071C1A" w14:textId="27BBA784" w:rsidR="00DA1E4D" w:rsidRDefault="00DA1E4D" w:rsidP="00686827">
      <w:pPr>
        <w:pStyle w:val="Recommendation"/>
        <w:numPr>
          <w:ilvl w:val="0"/>
          <w:numId w:val="0"/>
        </w:numPr>
        <w:spacing w:before="0" w:beforeAutospacing="0" w:after="120" w:afterAutospacing="0"/>
        <w:ind w:left="709"/>
        <w:rPr>
          <w:rFonts w:asciiTheme="minorHAnsi" w:hAnsiTheme="minorHAnsi"/>
          <w:sz w:val="24"/>
          <w:szCs w:val="24"/>
        </w:rPr>
      </w:pPr>
      <w:r>
        <w:rPr>
          <w:rFonts w:asciiTheme="minorHAnsi" w:hAnsiTheme="minorHAnsi"/>
          <w:b/>
          <w:bCs/>
          <w:sz w:val="24"/>
          <w:szCs w:val="24"/>
        </w:rPr>
        <w:t>Recommendation 11:</w:t>
      </w:r>
      <w:r>
        <w:rPr>
          <w:rFonts w:asciiTheme="minorHAnsi" w:hAnsiTheme="minorHAnsi"/>
          <w:sz w:val="24"/>
          <w:szCs w:val="24"/>
        </w:rPr>
        <w:t xml:space="preserve"> There is a need for a more affordable avenue of appeal for consumers disputing a decision by the Privacy Commissioner.</w:t>
      </w:r>
    </w:p>
    <w:p w14:paraId="39CEAA44" w14:textId="2372FA95" w:rsidR="0055635C" w:rsidRDefault="0055635C" w:rsidP="00686827">
      <w:pPr>
        <w:pStyle w:val="Recommendation"/>
        <w:numPr>
          <w:ilvl w:val="0"/>
          <w:numId w:val="0"/>
        </w:numPr>
        <w:spacing w:before="0" w:beforeAutospacing="0" w:after="120" w:afterAutospacing="0"/>
        <w:ind w:left="709"/>
        <w:rPr>
          <w:color w:val="000000" w:themeColor="text1"/>
          <w:sz w:val="24"/>
          <w:szCs w:val="24"/>
        </w:rPr>
      </w:pPr>
      <w:r w:rsidRPr="00961020">
        <w:rPr>
          <w:b/>
          <w:bCs/>
          <w:sz w:val="24"/>
          <w:szCs w:val="24"/>
        </w:rPr>
        <w:t>Recommendation 1</w:t>
      </w:r>
      <w:r w:rsidR="00DA1E4D">
        <w:rPr>
          <w:b/>
          <w:bCs/>
          <w:sz w:val="24"/>
          <w:szCs w:val="24"/>
        </w:rPr>
        <w:t>2</w:t>
      </w:r>
      <w:r w:rsidRPr="00961020">
        <w:rPr>
          <w:b/>
          <w:bCs/>
          <w:sz w:val="24"/>
          <w:szCs w:val="24"/>
        </w:rPr>
        <w:t>:</w:t>
      </w:r>
      <w:r w:rsidRPr="00961020">
        <w:rPr>
          <w:sz w:val="24"/>
          <w:szCs w:val="24"/>
        </w:rPr>
        <w:t xml:space="preserve"> </w:t>
      </w:r>
      <w:r w:rsidRPr="00961020">
        <w:rPr>
          <w:color w:val="000000" w:themeColor="text1"/>
          <w:sz w:val="24"/>
          <w:szCs w:val="24"/>
        </w:rPr>
        <w:t xml:space="preserve">A direct right of action, via a straightforward, easy to access and cheap tribunal should be introduced to provide consumers with </w:t>
      </w:r>
      <w:r>
        <w:rPr>
          <w:color w:val="000000" w:themeColor="text1"/>
          <w:sz w:val="24"/>
          <w:szCs w:val="24"/>
        </w:rPr>
        <w:t xml:space="preserve">equitable </w:t>
      </w:r>
      <w:r w:rsidRPr="00961020">
        <w:rPr>
          <w:color w:val="000000" w:themeColor="text1"/>
          <w:sz w:val="24"/>
          <w:szCs w:val="24"/>
        </w:rPr>
        <w:t>access to justice.</w:t>
      </w:r>
    </w:p>
    <w:p w14:paraId="2C23B375" w14:textId="269372FE" w:rsidR="0055635C" w:rsidRPr="003F3259" w:rsidRDefault="0055635C" w:rsidP="00686827">
      <w:pPr>
        <w:pStyle w:val="Recommendation"/>
        <w:numPr>
          <w:ilvl w:val="0"/>
          <w:numId w:val="0"/>
        </w:numPr>
        <w:spacing w:before="0" w:beforeAutospacing="0" w:after="120" w:afterAutospacing="0"/>
        <w:ind w:left="709"/>
        <w:rPr>
          <w:rFonts w:asciiTheme="minorHAnsi" w:hAnsiTheme="minorHAnsi"/>
          <w:sz w:val="24"/>
          <w:szCs w:val="24"/>
        </w:rPr>
      </w:pPr>
      <w:r w:rsidRPr="003F3259">
        <w:rPr>
          <w:rFonts w:asciiTheme="minorHAnsi" w:hAnsiTheme="minorHAnsi"/>
          <w:b/>
          <w:bCs/>
          <w:sz w:val="24"/>
          <w:szCs w:val="24"/>
        </w:rPr>
        <w:t>Recommendation 1</w:t>
      </w:r>
      <w:r w:rsidR="00DA1E4D" w:rsidRPr="003F3259">
        <w:rPr>
          <w:rFonts w:asciiTheme="minorHAnsi" w:hAnsiTheme="minorHAnsi"/>
          <w:b/>
          <w:bCs/>
          <w:sz w:val="24"/>
          <w:szCs w:val="24"/>
        </w:rPr>
        <w:t>3</w:t>
      </w:r>
      <w:r w:rsidRPr="003F3259">
        <w:rPr>
          <w:rFonts w:asciiTheme="minorHAnsi" w:hAnsiTheme="minorHAnsi"/>
          <w:b/>
          <w:bCs/>
          <w:sz w:val="24"/>
          <w:szCs w:val="24"/>
        </w:rPr>
        <w:t>:</w:t>
      </w:r>
      <w:r w:rsidRPr="003F3259">
        <w:rPr>
          <w:rFonts w:asciiTheme="minorHAnsi" w:hAnsiTheme="minorHAnsi"/>
          <w:sz w:val="24"/>
          <w:szCs w:val="24"/>
        </w:rPr>
        <w:t xml:space="preserve"> A Federal statutory tort is needed to address the gaps in the existing framework of Federal, State and Territory privacy legislation.</w:t>
      </w:r>
    </w:p>
    <w:p w14:paraId="44C708BB" w14:textId="52509571" w:rsidR="00542267" w:rsidRPr="003F3259" w:rsidRDefault="0055635C" w:rsidP="00686827">
      <w:pPr>
        <w:pStyle w:val="Recommendation"/>
        <w:numPr>
          <w:ilvl w:val="0"/>
          <w:numId w:val="0"/>
        </w:numPr>
        <w:spacing w:before="0" w:beforeAutospacing="0" w:after="120" w:afterAutospacing="0"/>
        <w:ind w:left="709"/>
        <w:rPr>
          <w:rFonts w:asciiTheme="minorHAnsi" w:hAnsiTheme="minorHAnsi"/>
          <w:sz w:val="24"/>
          <w:szCs w:val="24"/>
        </w:rPr>
      </w:pPr>
      <w:r w:rsidRPr="003F3259">
        <w:rPr>
          <w:rFonts w:asciiTheme="minorHAnsi" w:hAnsiTheme="minorHAnsi"/>
          <w:b/>
          <w:bCs/>
          <w:sz w:val="24"/>
          <w:szCs w:val="24"/>
        </w:rPr>
        <w:t>Recommendation 1</w:t>
      </w:r>
      <w:r w:rsidR="00686827">
        <w:rPr>
          <w:rFonts w:asciiTheme="minorHAnsi" w:hAnsiTheme="minorHAnsi"/>
          <w:b/>
          <w:bCs/>
          <w:sz w:val="24"/>
          <w:szCs w:val="24"/>
        </w:rPr>
        <w:t>4</w:t>
      </w:r>
      <w:r w:rsidRPr="003F3259">
        <w:rPr>
          <w:rFonts w:asciiTheme="minorHAnsi" w:hAnsiTheme="minorHAnsi"/>
          <w:b/>
          <w:bCs/>
          <w:sz w:val="24"/>
          <w:szCs w:val="24"/>
        </w:rPr>
        <w:t>:</w:t>
      </w:r>
      <w:r w:rsidRPr="003F3259">
        <w:rPr>
          <w:rFonts w:asciiTheme="minorHAnsi" w:hAnsiTheme="minorHAnsi"/>
          <w:sz w:val="24"/>
          <w:szCs w:val="24"/>
        </w:rPr>
        <w:t xml:space="preserve"> </w:t>
      </w:r>
      <w:r w:rsidR="00125975" w:rsidRPr="003F3259">
        <w:rPr>
          <w:rFonts w:asciiTheme="minorHAnsi" w:hAnsiTheme="minorHAnsi"/>
          <w:sz w:val="24"/>
          <w:szCs w:val="24"/>
        </w:rPr>
        <w:t>The Telecommunications Act and the Privacy Act should both be reviewed to ensure contradictions, overlaps and duplication are resolved.</w:t>
      </w:r>
    </w:p>
    <w:p w14:paraId="1557C749" w14:textId="77777777" w:rsidR="00A74E29" w:rsidRPr="002275D7" w:rsidRDefault="00A74E29" w:rsidP="00A74E29">
      <w:pPr>
        <w:pStyle w:val="Heading1"/>
        <w:numPr>
          <w:ilvl w:val="0"/>
          <w:numId w:val="0"/>
        </w:numPr>
        <w:ind w:left="851" w:hanging="851"/>
        <w:rPr>
          <w:sz w:val="20"/>
          <w:szCs w:val="20"/>
        </w:rPr>
      </w:pPr>
      <w:bookmarkStart w:id="5" w:name="_Toc343010198"/>
      <w:bookmarkStart w:id="6" w:name="_Toc351382483"/>
    </w:p>
    <w:p w14:paraId="6EF2225A" w14:textId="77777777" w:rsidR="00A74E29" w:rsidRPr="00B84167" w:rsidRDefault="00A74E29" w:rsidP="00A74E29">
      <w:pPr>
        <w:pStyle w:val="BodyText1"/>
        <w:spacing w:after="120" w:line="240" w:lineRule="auto"/>
        <w:jc w:val="both"/>
        <w:rPr>
          <w:sz w:val="24"/>
          <w:szCs w:val="24"/>
        </w:rPr>
      </w:pPr>
      <w:r w:rsidRPr="00B84167">
        <w:rPr>
          <w:sz w:val="24"/>
          <w:szCs w:val="24"/>
        </w:rPr>
        <w:t xml:space="preserve">The Australian Communications Consumer Action Network (ACCAN) thanks the Attorney-General’s Department for the opportunity to contribute to its review of the </w:t>
      </w:r>
      <w:r w:rsidRPr="00B84167">
        <w:rPr>
          <w:i/>
          <w:iCs/>
          <w:sz w:val="24"/>
          <w:szCs w:val="24"/>
        </w:rPr>
        <w:t>Privacy Act 1988</w:t>
      </w:r>
      <w:r w:rsidRPr="00B84167">
        <w:rPr>
          <w:sz w:val="24"/>
          <w:szCs w:val="24"/>
        </w:rPr>
        <w:t xml:space="preserve"> (</w:t>
      </w:r>
      <w:proofErr w:type="spellStart"/>
      <w:r w:rsidRPr="00B84167">
        <w:rPr>
          <w:sz w:val="24"/>
          <w:szCs w:val="24"/>
        </w:rPr>
        <w:t>Cth</w:t>
      </w:r>
      <w:proofErr w:type="spellEnd"/>
      <w:r w:rsidRPr="00B84167">
        <w:rPr>
          <w:sz w:val="24"/>
          <w:szCs w:val="24"/>
        </w:rPr>
        <w:t>).</w:t>
      </w:r>
    </w:p>
    <w:p w14:paraId="5A1CC6C9" w14:textId="77777777" w:rsidR="00A74E29" w:rsidRPr="00B84167" w:rsidRDefault="00A74E29" w:rsidP="00A74E29">
      <w:pPr>
        <w:pStyle w:val="BodyText1"/>
        <w:spacing w:after="120" w:line="240" w:lineRule="auto"/>
        <w:jc w:val="both"/>
        <w:rPr>
          <w:rFonts w:eastAsiaTheme="minorEastAsia"/>
          <w:color w:val="auto"/>
          <w:sz w:val="24"/>
          <w:szCs w:val="24"/>
          <w:lang w:eastAsia="en-AU"/>
        </w:rPr>
      </w:pPr>
      <w:r w:rsidRPr="00B84167">
        <w:rPr>
          <w:sz w:val="24"/>
          <w:szCs w:val="24"/>
        </w:rPr>
        <w:t xml:space="preserve">ACCAN is the peak body that represents all consumers on communications issues including telecommunications, broadband and emerging new services. </w:t>
      </w:r>
      <w:r w:rsidRPr="00B84167">
        <w:rPr>
          <w:rFonts w:eastAsiaTheme="minorEastAsia"/>
          <w:color w:val="auto"/>
          <w:sz w:val="24"/>
          <w:szCs w:val="24"/>
          <w:lang w:eastAsia="en-AU"/>
        </w:rPr>
        <w:t xml:space="preserve">ACCAN provides a strong, unified voice to industry and government as consumers work towards communications services that are trusted, inclusive and available for all. </w:t>
      </w:r>
    </w:p>
    <w:p w14:paraId="1D030309" w14:textId="77777777" w:rsidR="00A74E29" w:rsidRPr="00B84167" w:rsidRDefault="00A74E29" w:rsidP="00A74E29">
      <w:pPr>
        <w:pStyle w:val="BodyText1"/>
        <w:spacing w:after="120" w:line="240" w:lineRule="auto"/>
        <w:jc w:val="both"/>
        <w:rPr>
          <w:rFonts w:eastAsiaTheme="minorEastAsia"/>
          <w:color w:val="auto"/>
          <w:sz w:val="24"/>
          <w:szCs w:val="24"/>
          <w:lang w:eastAsia="en-AU"/>
        </w:rPr>
      </w:pPr>
      <w:r w:rsidRPr="00B84167">
        <w:rPr>
          <w:rFonts w:eastAsiaTheme="minorEastAsia"/>
          <w:color w:val="auto"/>
          <w:sz w:val="24"/>
          <w:szCs w:val="24"/>
          <w:lang w:eastAsia="en-AU"/>
        </w:rPr>
        <w:t xml:space="preserve">Consumers often have concerns about their privacy and the security of their personal information online, and telecommunications is a particularly sensitive area. Consumers can feel disempowered by the lack of transparency around their personal information, and indeed some consumers don’t fully understand how their personal information is gathered, stored or used online. ACCAN firmly believes that privacy protections are essential for communications consumers in Australia, and that these protections must adequately protect consumer information.  </w:t>
      </w:r>
    </w:p>
    <w:p w14:paraId="179826F8" w14:textId="77777777" w:rsidR="00A74E29" w:rsidRPr="00B84167" w:rsidRDefault="00A74E29" w:rsidP="00A74E29">
      <w:pPr>
        <w:pStyle w:val="BodyText1"/>
        <w:spacing w:after="0" w:line="240" w:lineRule="auto"/>
        <w:jc w:val="both"/>
        <w:rPr>
          <w:rFonts w:eastAsiaTheme="minorEastAsia"/>
          <w:color w:val="auto"/>
          <w:sz w:val="24"/>
          <w:szCs w:val="24"/>
          <w:lang w:eastAsia="en-AU"/>
        </w:rPr>
      </w:pPr>
      <w:r w:rsidRPr="00B84167">
        <w:rPr>
          <w:rFonts w:eastAsiaTheme="minorEastAsia"/>
          <w:color w:val="auto"/>
          <w:sz w:val="24"/>
          <w:szCs w:val="24"/>
          <w:lang w:eastAsia="en-AU"/>
        </w:rPr>
        <w:t xml:space="preserve">In our below response we offer feedback on some of the key themes identified in the Issues Paper. We would welcome further opportunities for consultation based on any of the issues we raise in our response. </w:t>
      </w:r>
    </w:p>
    <w:p w14:paraId="431BC27F" w14:textId="77777777" w:rsidR="00A74E29" w:rsidRPr="0081468E" w:rsidRDefault="00A74E29" w:rsidP="00A74E29">
      <w:pPr>
        <w:pStyle w:val="BodyText1"/>
        <w:spacing w:after="0" w:line="240" w:lineRule="auto"/>
        <w:jc w:val="both"/>
        <w:rPr>
          <w:color w:val="000000" w:themeColor="text1"/>
        </w:rPr>
      </w:pPr>
    </w:p>
    <w:p w14:paraId="1B016A24" w14:textId="77777777" w:rsidR="00A74E29" w:rsidRPr="00B84167" w:rsidRDefault="00A74E29" w:rsidP="00A74E29">
      <w:pPr>
        <w:pStyle w:val="Heading2"/>
        <w:numPr>
          <w:ilvl w:val="0"/>
          <w:numId w:val="0"/>
        </w:numPr>
        <w:rPr>
          <w:b/>
          <w:bCs w:val="0"/>
        </w:rPr>
      </w:pPr>
      <w:bookmarkStart w:id="7" w:name="_Toc58970230"/>
      <w:r w:rsidRPr="00B84167">
        <w:rPr>
          <w:b/>
          <w:bCs w:val="0"/>
        </w:rPr>
        <w:t>Objectives of the Privacy Act</w:t>
      </w:r>
      <w:bookmarkEnd w:id="7"/>
    </w:p>
    <w:p w14:paraId="20519F0D" w14:textId="77777777" w:rsidR="00A74E29" w:rsidRPr="00AA0DF6" w:rsidRDefault="00A74E29" w:rsidP="00B84167">
      <w:pPr>
        <w:pStyle w:val="BodyText1"/>
        <w:spacing w:line="240" w:lineRule="auto"/>
        <w:jc w:val="both"/>
        <w:rPr>
          <w:b/>
          <w:bCs/>
          <w:color w:val="000000" w:themeColor="text1"/>
          <w:sz w:val="24"/>
          <w:szCs w:val="24"/>
        </w:rPr>
      </w:pPr>
      <w:r w:rsidRPr="00AA0DF6">
        <w:rPr>
          <w:b/>
          <w:bCs/>
          <w:color w:val="000000" w:themeColor="text1"/>
          <w:sz w:val="24"/>
          <w:szCs w:val="24"/>
        </w:rPr>
        <w:t>Section 2A</w:t>
      </w:r>
    </w:p>
    <w:p w14:paraId="764F837F" w14:textId="77777777" w:rsidR="00A74E29" w:rsidRPr="00AA0DF6" w:rsidRDefault="00A74E29" w:rsidP="00B84167">
      <w:pPr>
        <w:pStyle w:val="BodyText1"/>
        <w:rPr>
          <w:sz w:val="24"/>
          <w:szCs w:val="24"/>
        </w:rPr>
      </w:pPr>
      <w:r w:rsidRPr="00AA0DF6">
        <w:rPr>
          <w:sz w:val="24"/>
          <w:szCs w:val="24"/>
        </w:rPr>
        <w:t>Although Section 2A(a) identifies one of the objectives of the Privacy Act 1988 (</w:t>
      </w:r>
      <w:proofErr w:type="spellStart"/>
      <w:r w:rsidRPr="00AA0DF6">
        <w:rPr>
          <w:sz w:val="24"/>
          <w:szCs w:val="24"/>
        </w:rPr>
        <w:t>Cth</w:t>
      </w:r>
      <w:proofErr w:type="spellEnd"/>
      <w:r w:rsidRPr="00AA0DF6">
        <w:rPr>
          <w:sz w:val="24"/>
          <w:szCs w:val="24"/>
        </w:rPr>
        <w:t>) (the Act) as “to promote the protection of the privacy of individuals”, in practice the Act fails to achieve this goal. For example:</w:t>
      </w:r>
    </w:p>
    <w:p w14:paraId="63748DCE" w14:textId="77777777" w:rsidR="00A74E29" w:rsidRPr="00AA0DF6" w:rsidRDefault="00A74E29" w:rsidP="00AB27F0">
      <w:pPr>
        <w:pStyle w:val="BodyText1"/>
        <w:numPr>
          <w:ilvl w:val="0"/>
          <w:numId w:val="16"/>
        </w:numPr>
        <w:rPr>
          <w:sz w:val="24"/>
          <w:szCs w:val="24"/>
        </w:rPr>
      </w:pPr>
      <w:r w:rsidRPr="00AA0DF6">
        <w:rPr>
          <w:sz w:val="24"/>
          <w:szCs w:val="24"/>
        </w:rPr>
        <w:t>Section 2A(b) aims to balance the “interests of entities in carrying out their functions or activities” with “the protection of the privacy of individuals”. Despite this, the increasing volume of personal data collected and used by organisations for direct marketing purposes means that the interests of business are often prioritised over the protection of personal information.</w:t>
      </w:r>
    </w:p>
    <w:p w14:paraId="0970FC9E" w14:textId="77777777" w:rsidR="00A74E29" w:rsidRPr="00AA0DF6" w:rsidRDefault="00A74E29" w:rsidP="00AB27F0">
      <w:pPr>
        <w:pStyle w:val="BodyText1"/>
        <w:numPr>
          <w:ilvl w:val="0"/>
          <w:numId w:val="16"/>
        </w:numPr>
        <w:rPr>
          <w:sz w:val="24"/>
          <w:szCs w:val="24"/>
        </w:rPr>
      </w:pPr>
      <w:r w:rsidRPr="00AA0DF6">
        <w:rPr>
          <w:sz w:val="24"/>
          <w:szCs w:val="24"/>
        </w:rPr>
        <w:t xml:space="preserve">The objective of section 2A(d) in facilitating “responsible and transparent handling of information by entities” is not adequately fulfilled by the method of consumer notice and consent adopted by </w:t>
      </w:r>
      <w:proofErr w:type="gramStart"/>
      <w:r w:rsidRPr="00AA0DF6">
        <w:rPr>
          <w:sz w:val="24"/>
          <w:szCs w:val="24"/>
        </w:rPr>
        <w:t>the majority of</w:t>
      </w:r>
      <w:proofErr w:type="gramEnd"/>
      <w:r w:rsidRPr="00AA0DF6">
        <w:rPr>
          <w:sz w:val="24"/>
          <w:szCs w:val="24"/>
        </w:rPr>
        <w:t xml:space="preserve"> organisations. </w:t>
      </w:r>
    </w:p>
    <w:p w14:paraId="4E97F8A3" w14:textId="77777777" w:rsidR="00A74E29" w:rsidRPr="00AA0DF6" w:rsidRDefault="00A74E29" w:rsidP="00AB27F0">
      <w:pPr>
        <w:pStyle w:val="BodyText1"/>
        <w:numPr>
          <w:ilvl w:val="0"/>
          <w:numId w:val="16"/>
        </w:numPr>
        <w:rPr>
          <w:sz w:val="24"/>
          <w:szCs w:val="24"/>
        </w:rPr>
      </w:pPr>
      <w:r w:rsidRPr="00AA0DF6">
        <w:rPr>
          <w:sz w:val="24"/>
          <w:szCs w:val="24"/>
        </w:rPr>
        <w:t xml:space="preserve">The objective of section 2A(c), to “provide the basis for nationally consistent regulation of privacy and the handling of personal information”, is not achieved by the Act. The complex system of privacy laws between levels of government, states and territories and the numerous exclusions means “there are instances where </w:t>
      </w:r>
      <w:r w:rsidRPr="00AA0DF6">
        <w:rPr>
          <w:sz w:val="24"/>
          <w:szCs w:val="24"/>
        </w:rPr>
        <w:lastRenderedPageBreak/>
        <w:t>entities are exempt from the Act but are not bound by State or Territory privacy laws, in effect making them completely unregulated for certain practices.”</w:t>
      </w:r>
      <w:r w:rsidRPr="001F2AD3">
        <w:rPr>
          <w:rStyle w:val="FootnoteReference"/>
          <w:sz w:val="24"/>
          <w:szCs w:val="24"/>
        </w:rPr>
        <w:footnoteReference w:id="2"/>
      </w:r>
    </w:p>
    <w:p w14:paraId="1F989718" w14:textId="7C1E8162" w:rsidR="00B84167" w:rsidRPr="00B84167" w:rsidRDefault="00A74E29" w:rsidP="001F2AD3">
      <w:pPr>
        <w:pStyle w:val="BodyText1"/>
        <w:spacing w:after="120" w:line="240" w:lineRule="auto"/>
        <w:jc w:val="both"/>
        <w:rPr>
          <w:sz w:val="24"/>
          <w:szCs w:val="24"/>
        </w:rPr>
      </w:pPr>
      <w:r w:rsidRPr="001F2AD3">
        <w:rPr>
          <w:rFonts w:eastAsiaTheme="minorEastAsia"/>
          <w:color w:val="auto"/>
          <w:sz w:val="24"/>
          <w:szCs w:val="24"/>
          <w:lang w:eastAsia="en-AU"/>
        </w:rPr>
        <w:t>In revising the objectives of the Act, it is essential that these objectives are adequately buttressed by provisions which enable these objectives to be met.</w:t>
      </w:r>
      <w:r w:rsidR="00000370">
        <w:rPr>
          <w:rFonts w:eastAsiaTheme="minorEastAsia"/>
          <w:color w:val="auto"/>
          <w:sz w:val="24"/>
          <w:szCs w:val="24"/>
          <w:lang w:eastAsia="en-AU"/>
        </w:rPr>
        <w:t xml:space="preserve"> </w:t>
      </w:r>
      <w:r w:rsidRPr="001F2AD3">
        <w:rPr>
          <w:rFonts w:eastAsiaTheme="minorEastAsia"/>
          <w:color w:val="auto"/>
          <w:sz w:val="24"/>
          <w:szCs w:val="24"/>
          <w:lang w:eastAsia="en-AU"/>
        </w:rPr>
        <w:t>The privacy framework for the Consumer Data Right (CDR) in its current form</w:t>
      </w:r>
      <w:r w:rsidRPr="00AA0DF6">
        <w:rPr>
          <w:sz w:val="24"/>
          <w:szCs w:val="24"/>
        </w:rPr>
        <w:t xml:space="preserve"> (not including the draft changes to the </w:t>
      </w:r>
      <w:r w:rsidRPr="00AA0DF6">
        <w:rPr>
          <w:i/>
          <w:iCs/>
          <w:sz w:val="24"/>
          <w:szCs w:val="24"/>
        </w:rPr>
        <w:t>Competition and Consumer (Consumer Data Right) Rules 2020</w:t>
      </w:r>
      <w:r w:rsidRPr="00AA0DF6">
        <w:rPr>
          <w:sz w:val="24"/>
          <w:szCs w:val="24"/>
        </w:rPr>
        <w:t>)</w:t>
      </w:r>
      <w:r w:rsidRPr="00AA0DF6">
        <w:rPr>
          <w:rStyle w:val="FootnoteReference"/>
          <w:sz w:val="24"/>
          <w:szCs w:val="24"/>
        </w:rPr>
        <w:footnoteReference w:id="3"/>
      </w:r>
      <w:r w:rsidRPr="00AA0DF6">
        <w:rPr>
          <w:sz w:val="24"/>
          <w:szCs w:val="24"/>
        </w:rPr>
        <w:t xml:space="preserve"> provides the standard of consumer protection ACCAN would like to see as a benchmark for</w:t>
      </w:r>
      <w:r w:rsidRPr="00B84167">
        <w:rPr>
          <w:sz w:val="24"/>
          <w:szCs w:val="24"/>
        </w:rPr>
        <w:t xml:space="preserve"> privacy protection.</w:t>
      </w:r>
      <w:r w:rsidRPr="00B84167">
        <w:rPr>
          <w:rStyle w:val="FootnoteReference"/>
          <w:sz w:val="24"/>
          <w:szCs w:val="24"/>
        </w:rPr>
        <w:footnoteReference w:id="4"/>
      </w:r>
    </w:p>
    <w:p w14:paraId="437F6C43" w14:textId="633988F1" w:rsidR="00A74E29" w:rsidRPr="00B84167" w:rsidRDefault="00A74E29" w:rsidP="00B84167">
      <w:pPr>
        <w:pStyle w:val="Heading2"/>
        <w:numPr>
          <w:ilvl w:val="0"/>
          <w:numId w:val="0"/>
        </w:numPr>
        <w:rPr>
          <w:b/>
          <w:bCs w:val="0"/>
        </w:rPr>
      </w:pPr>
      <w:bookmarkStart w:id="8" w:name="_Toc58970231"/>
      <w:r w:rsidRPr="00B84167">
        <w:rPr>
          <w:b/>
          <w:bCs w:val="0"/>
        </w:rPr>
        <w:t>Personal information</w:t>
      </w:r>
      <w:bookmarkEnd w:id="8"/>
    </w:p>
    <w:p w14:paraId="26B72E9B" w14:textId="78E40B7B" w:rsidR="00A74E29" w:rsidRPr="009E20A3" w:rsidRDefault="00A74E29" w:rsidP="009E20A3">
      <w:pPr>
        <w:pStyle w:val="Heading3"/>
        <w:numPr>
          <w:ilvl w:val="0"/>
          <w:numId w:val="0"/>
        </w:numPr>
        <w:ind w:left="851" w:hanging="851"/>
        <w:rPr>
          <w:b/>
          <w:bCs w:val="0"/>
        </w:rPr>
      </w:pPr>
      <w:bookmarkStart w:id="9" w:name="_Toc58970232"/>
      <w:r w:rsidRPr="009E20A3">
        <w:rPr>
          <w:b/>
          <w:bCs w:val="0"/>
        </w:rPr>
        <w:t>Definition of ‘Personal Information’</w:t>
      </w:r>
      <w:bookmarkEnd w:id="9"/>
    </w:p>
    <w:p w14:paraId="0A6918FD" w14:textId="77777777" w:rsidR="00A74E29" w:rsidRPr="00B84167" w:rsidRDefault="00A74E29" w:rsidP="00A74E29">
      <w:pPr>
        <w:pStyle w:val="BodyText1"/>
        <w:spacing w:after="120" w:line="240" w:lineRule="auto"/>
        <w:jc w:val="both"/>
        <w:rPr>
          <w:sz w:val="24"/>
          <w:szCs w:val="24"/>
        </w:rPr>
      </w:pPr>
      <w:r w:rsidRPr="00B84167">
        <w:rPr>
          <w:sz w:val="24"/>
          <w:szCs w:val="24"/>
        </w:rPr>
        <w:t>The definition of ‘personal information’ in the Act should be amended to include:</w:t>
      </w:r>
    </w:p>
    <w:p w14:paraId="7CF062CB" w14:textId="77777777" w:rsidR="00A74E29" w:rsidRPr="00B84167" w:rsidRDefault="00A74E29" w:rsidP="00AB27F0">
      <w:pPr>
        <w:pStyle w:val="BodyText1"/>
        <w:numPr>
          <w:ilvl w:val="0"/>
          <w:numId w:val="11"/>
        </w:numPr>
        <w:spacing w:after="120" w:line="240" w:lineRule="auto"/>
        <w:ind w:left="714" w:hanging="357"/>
        <w:jc w:val="both"/>
        <w:rPr>
          <w:sz w:val="24"/>
          <w:szCs w:val="24"/>
        </w:rPr>
      </w:pPr>
      <w:r w:rsidRPr="00B84167">
        <w:rPr>
          <w:sz w:val="24"/>
          <w:szCs w:val="24"/>
        </w:rPr>
        <w:t>Inferred personal information;</w:t>
      </w:r>
    </w:p>
    <w:p w14:paraId="2D0B117D" w14:textId="77777777" w:rsidR="00A74E29" w:rsidRPr="00B84167" w:rsidRDefault="00A74E29" w:rsidP="00AB27F0">
      <w:pPr>
        <w:pStyle w:val="BodyText1"/>
        <w:numPr>
          <w:ilvl w:val="0"/>
          <w:numId w:val="11"/>
        </w:numPr>
        <w:spacing w:after="120" w:line="240" w:lineRule="auto"/>
        <w:ind w:left="714" w:hanging="357"/>
        <w:jc w:val="both"/>
        <w:rPr>
          <w:sz w:val="24"/>
          <w:szCs w:val="24"/>
        </w:rPr>
      </w:pPr>
      <w:r w:rsidRPr="00B84167">
        <w:rPr>
          <w:sz w:val="24"/>
          <w:szCs w:val="24"/>
        </w:rPr>
        <w:t>De-identified information;</w:t>
      </w:r>
    </w:p>
    <w:p w14:paraId="1CAAB91C" w14:textId="77777777" w:rsidR="00A74E29" w:rsidRPr="00B84167" w:rsidRDefault="00A74E29" w:rsidP="00AB27F0">
      <w:pPr>
        <w:pStyle w:val="BodyText1"/>
        <w:numPr>
          <w:ilvl w:val="0"/>
          <w:numId w:val="11"/>
        </w:numPr>
        <w:spacing w:after="120" w:line="240" w:lineRule="auto"/>
        <w:ind w:left="714" w:hanging="357"/>
        <w:jc w:val="both"/>
        <w:rPr>
          <w:sz w:val="24"/>
          <w:szCs w:val="24"/>
        </w:rPr>
      </w:pPr>
      <w:r w:rsidRPr="00B84167">
        <w:rPr>
          <w:sz w:val="24"/>
          <w:szCs w:val="24"/>
        </w:rPr>
        <w:t>Technical information;</w:t>
      </w:r>
    </w:p>
    <w:p w14:paraId="5C8C32B3" w14:textId="77777777" w:rsidR="00A74E29" w:rsidRPr="00B84167" w:rsidRDefault="00A74E29" w:rsidP="00AB27F0">
      <w:pPr>
        <w:pStyle w:val="BodyText1"/>
        <w:numPr>
          <w:ilvl w:val="0"/>
          <w:numId w:val="11"/>
        </w:numPr>
        <w:spacing w:after="120" w:line="240" w:lineRule="auto"/>
        <w:ind w:left="714" w:hanging="357"/>
        <w:jc w:val="both"/>
        <w:rPr>
          <w:sz w:val="24"/>
          <w:szCs w:val="24"/>
        </w:rPr>
      </w:pPr>
      <w:r w:rsidRPr="00B84167">
        <w:rPr>
          <w:sz w:val="24"/>
          <w:szCs w:val="24"/>
        </w:rPr>
        <w:t>Pseudonymised information; and</w:t>
      </w:r>
    </w:p>
    <w:p w14:paraId="79B06DA6" w14:textId="4E58D4A1" w:rsidR="00A74E29" w:rsidRPr="009E20A3" w:rsidRDefault="00A74E29" w:rsidP="00AB27F0">
      <w:pPr>
        <w:pStyle w:val="BodyText1"/>
        <w:numPr>
          <w:ilvl w:val="0"/>
          <w:numId w:val="11"/>
        </w:numPr>
        <w:spacing w:after="120" w:line="240" w:lineRule="auto"/>
        <w:ind w:left="714" w:hanging="357"/>
        <w:jc w:val="both"/>
        <w:rPr>
          <w:sz w:val="24"/>
          <w:szCs w:val="24"/>
        </w:rPr>
      </w:pPr>
      <w:r w:rsidRPr="00B84167">
        <w:rPr>
          <w:sz w:val="24"/>
          <w:szCs w:val="24"/>
        </w:rPr>
        <w:t>Anonymous information</w:t>
      </w:r>
    </w:p>
    <w:p w14:paraId="006B740B" w14:textId="77777777" w:rsidR="00A74E29" w:rsidRPr="009E20A3" w:rsidRDefault="00A74E29" w:rsidP="009E20A3">
      <w:pPr>
        <w:pStyle w:val="Heading3"/>
        <w:numPr>
          <w:ilvl w:val="0"/>
          <w:numId w:val="0"/>
        </w:numPr>
        <w:ind w:left="851" w:hanging="851"/>
        <w:rPr>
          <w:b/>
          <w:bCs w:val="0"/>
        </w:rPr>
      </w:pPr>
      <w:bookmarkStart w:id="10" w:name="_Toc58970233"/>
      <w:r w:rsidRPr="009E20A3">
        <w:rPr>
          <w:b/>
          <w:bCs w:val="0"/>
        </w:rPr>
        <w:t>Inferred personal information</w:t>
      </w:r>
      <w:bookmarkEnd w:id="10"/>
    </w:p>
    <w:p w14:paraId="354F6B7D" w14:textId="77777777" w:rsidR="00A74E29" w:rsidRPr="00B84167" w:rsidRDefault="00A74E29" w:rsidP="00A74E29">
      <w:pPr>
        <w:pStyle w:val="BodyText1"/>
        <w:spacing w:after="120" w:line="240" w:lineRule="auto"/>
        <w:jc w:val="both"/>
        <w:rPr>
          <w:sz w:val="24"/>
          <w:szCs w:val="24"/>
        </w:rPr>
      </w:pPr>
      <w:r w:rsidRPr="00B84167">
        <w:rPr>
          <w:sz w:val="24"/>
          <w:szCs w:val="24"/>
        </w:rPr>
        <w:t>Data analytics activities can collate data from a wide variety of different sources, including from third parties, to generate new information about an individual’s information through ‘collection via creation’. These new data insights can be used for a range of different purposes, including new purposes that may not have been anticipated.</w:t>
      </w:r>
      <w:r w:rsidRPr="00B84167">
        <w:rPr>
          <w:rStyle w:val="FootnoteReference"/>
          <w:sz w:val="24"/>
          <w:szCs w:val="24"/>
        </w:rPr>
        <w:footnoteReference w:id="5"/>
      </w:r>
    </w:p>
    <w:p w14:paraId="5A7F0902" w14:textId="085335A9" w:rsidR="00A74E29" w:rsidRPr="00B84167" w:rsidRDefault="00A74E29" w:rsidP="00A74E29">
      <w:pPr>
        <w:spacing w:after="120"/>
        <w:jc w:val="both"/>
        <w:rPr>
          <w:sz w:val="24"/>
          <w:szCs w:val="24"/>
        </w:rPr>
      </w:pPr>
      <w:r w:rsidRPr="00B84167">
        <w:rPr>
          <w:sz w:val="24"/>
          <w:szCs w:val="24"/>
        </w:rPr>
        <w:t>For consumers to be adequately protected by the Act, such inferred data needs to be included in the definition of ‘personal information’ and ‘sensitive information’. The definition of data ‘collection’ must also be amended to include the creation of new data, including sensitive data, by generating new inferences about an individual from existing data.</w:t>
      </w:r>
    </w:p>
    <w:p w14:paraId="79242B9E" w14:textId="77777777" w:rsidR="00A74E29" w:rsidRPr="00D307A4" w:rsidRDefault="00A74E29" w:rsidP="00D307A4">
      <w:pPr>
        <w:pStyle w:val="Heading3"/>
        <w:numPr>
          <w:ilvl w:val="0"/>
          <w:numId w:val="0"/>
        </w:numPr>
        <w:ind w:left="851" w:hanging="851"/>
        <w:rPr>
          <w:b/>
          <w:bCs w:val="0"/>
        </w:rPr>
      </w:pPr>
      <w:bookmarkStart w:id="11" w:name="_Toc58970234"/>
      <w:r w:rsidRPr="00D307A4">
        <w:rPr>
          <w:b/>
          <w:bCs w:val="0"/>
        </w:rPr>
        <w:t>De-identified information</w:t>
      </w:r>
      <w:bookmarkEnd w:id="11"/>
    </w:p>
    <w:p w14:paraId="207D160D" w14:textId="7F9A57F4" w:rsidR="00A74E29" w:rsidRPr="00B84167" w:rsidRDefault="00A74E29" w:rsidP="00A74E29">
      <w:pPr>
        <w:pStyle w:val="BodyText1"/>
        <w:spacing w:after="120" w:line="240" w:lineRule="auto"/>
        <w:jc w:val="both"/>
        <w:rPr>
          <w:sz w:val="24"/>
          <w:szCs w:val="24"/>
        </w:rPr>
      </w:pPr>
      <w:r w:rsidRPr="00B84167">
        <w:rPr>
          <w:sz w:val="24"/>
          <w:szCs w:val="24"/>
        </w:rPr>
        <w:t>Under the Act, information that has “undergone an appropriate and robust de-identification process” is not personal information and is not protected.</w:t>
      </w:r>
      <w:r w:rsidRPr="00B84167">
        <w:rPr>
          <w:rStyle w:val="FootnoteReference"/>
          <w:sz w:val="24"/>
          <w:szCs w:val="24"/>
        </w:rPr>
        <w:footnoteReference w:id="6"/>
      </w:r>
      <w:r w:rsidRPr="00B84167">
        <w:rPr>
          <w:rStyle w:val="FootnoteReference"/>
          <w:sz w:val="24"/>
          <w:szCs w:val="24"/>
        </w:rPr>
        <w:t xml:space="preserve"> </w:t>
      </w:r>
      <w:r w:rsidRPr="00B84167">
        <w:rPr>
          <w:sz w:val="24"/>
          <w:szCs w:val="24"/>
        </w:rPr>
        <w:t xml:space="preserve">ACCAN believes that de-identified data must also be protected under the Act. The Australian Competition and Consumer </w:t>
      </w:r>
      <w:r w:rsidRPr="00B84167">
        <w:rPr>
          <w:sz w:val="24"/>
          <w:szCs w:val="24"/>
        </w:rPr>
        <w:lastRenderedPageBreak/>
        <w:t>Commission (ACCC) has identified problems with current de-identification practices, citing that many businesses aim to distinguish, profile and interact with individual consumers by using “de-identified” data using “unique identifiers.”</w:t>
      </w:r>
      <w:r w:rsidRPr="00B84167">
        <w:rPr>
          <w:rStyle w:val="FootnoteReference"/>
          <w:sz w:val="24"/>
          <w:szCs w:val="24"/>
        </w:rPr>
        <w:footnoteReference w:id="7"/>
      </w:r>
      <w:r w:rsidRPr="00B84167">
        <w:rPr>
          <w:sz w:val="24"/>
          <w:szCs w:val="24"/>
        </w:rPr>
        <w:t xml:space="preserve"> </w:t>
      </w:r>
    </w:p>
    <w:p w14:paraId="4DC57313" w14:textId="77777777" w:rsidR="00A74E29" w:rsidRPr="00D307A4" w:rsidRDefault="00A74E29" w:rsidP="00D307A4">
      <w:pPr>
        <w:pStyle w:val="Heading3"/>
        <w:numPr>
          <w:ilvl w:val="0"/>
          <w:numId w:val="0"/>
        </w:numPr>
        <w:ind w:left="851" w:hanging="851"/>
        <w:rPr>
          <w:b/>
          <w:bCs w:val="0"/>
        </w:rPr>
      </w:pPr>
      <w:bookmarkStart w:id="12" w:name="_Toc58970235"/>
      <w:r w:rsidRPr="00D307A4">
        <w:rPr>
          <w:b/>
          <w:bCs w:val="0"/>
        </w:rPr>
        <w:t>Technical information</w:t>
      </w:r>
      <w:bookmarkEnd w:id="12"/>
    </w:p>
    <w:p w14:paraId="2ADC8CA0" w14:textId="77777777" w:rsidR="00A74E29" w:rsidRPr="00B84167" w:rsidRDefault="00A74E29" w:rsidP="00A74E29">
      <w:pPr>
        <w:pStyle w:val="BodyText1"/>
        <w:spacing w:after="120" w:line="240" w:lineRule="auto"/>
        <w:jc w:val="both"/>
        <w:rPr>
          <w:sz w:val="24"/>
          <w:szCs w:val="24"/>
        </w:rPr>
      </w:pPr>
      <w:r w:rsidRPr="00B84167">
        <w:rPr>
          <w:sz w:val="24"/>
          <w:szCs w:val="24"/>
        </w:rPr>
        <w:t>Because de-identification of data can be reversed using unique identifiers, the definition of ‘personal information’ must be expanded to include technical data such as IP addresses, location data, device identifiers and any other online identifiers. As the Issues Paper has noted, the current definition of personal information does not adequately capture technical information and should be revised to reflect the General Data Protection Regulation (GDPR) definition.</w:t>
      </w:r>
    </w:p>
    <w:p w14:paraId="6A0B9F1A" w14:textId="77777777" w:rsidR="00A74E29" w:rsidRPr="00D307A4" w:rsidRDefault="00A74E29" w:rsidP="00D307A4">
      <w:pPr>
        <w:pStyle w:val="Heading3"/>
        <w:numPr>
          <w:ilvl w:val="0"/>
          <w:numId w:val="0"/>
        </w:numPr>
        <w:ind w:left="851" w:hanging="851"/>
        <w:rPr>
          <w:b/>
          <w:bCs w:val="0"/>
        </w:rPr>
      </w:pPr>
      <w:bookmarkStart w:id="13" w:name="_Toc58970236"/>
      <w:r w:rsidRPr="00D307A4">
        <w:rPr>
          <w:b/>
          <w:bCs w:val="0"/>
        </w:rPr>
        <w:t>Pseudonymised information</w:t>
      </w:r>
      <w:bookmarkEnd w:id="13"/>
    </w:p>
    <w:p w14:paraId="5AE3A580" w14:textId="77777777" w:rsidR="00A74E29" w:rsidRPr="00B84167" w:rsidRDefault="00A74E29" w:rsidP="00A74E29">
      <w:pPr>
        <w:pStyle w:val="BodyText1"/>
        <w:spacing w:after="120" w:line="240" w:lineRule="auto"/>
        <w:jc w:val="both"/>
        <w:rPr>
          <w:sz w:val="24"/>
          <w:szCs w:val="24"/>
        </w:rPr>
      </w:pPr>
      <w:r w:rsidRPr="00B84167">
        <w:rPr>
          <w:sz w:val="24"/>
          <w:szCs w:val="24"/>
        </w:rPr>
        <w:t>Pseudonymised information must be explicitly protected under the Act, in line with Recital 26 of the GDPR. Pseudonymisation is a reversible process, that de-identifies data but allows reidentification if necessary.</w:t>
      </w:r>
      <w:r w:rsidRPr="00B84167">
        <w:rPr>
          <w:rStyle w:val="FootnoteReference"/>
          <w:sz w:val="24"/>
          <w:szCs w:val="24"/>
        </w:rPr>
        <w:footnoteReference w:id="8"/>
      </w:r>
      <w:r w:rsidRPr="00B84167">
        <w:rPr>
          <w:sz w:val="24"/>
          <w:szCs w:val="24"/>
        </w:rPr>
        <w:t xml:space="preserve"> Because the de-identification process is reversible, pseudonymised information must be included in the definition of ‘personal information’.</w:t>
      </w:r>
    </w:p>
    <w:p w14:paraId="6A50FF68" w14:textId="77777777" w:rsidR="00A74E29" w:rsidRPr="00D307A4" w:rsidRDefault="00A74E29" w:rsidP="00D307A4">
      <w:pPr>
        <w:pStyle w:val="Heading3"/>
        <w:numPr>
          <w:ilvl w:val="0"/>
          <w:numId w:val="0"/>
        </w:numPr>
        <w:ind w:left="851" w:hanging="851"/>
        <w:rPr>
          <w:b/>
          <w:bCs w:val="0"/>
        </w:rPr>
      </w:pPr>
      <w:bookmarkStart w:id="14" w:name="_Toc58970237"/>
      <w:r w:rsidRPr="00D307A4">
        <w:rPr>
          <w:b/>
          <w:bCs w:val="0"/>
        </w:rPr>
        <w:t>Anonymous information</w:t>
      </w:r>
      <w:bookmarkEnd w:id="14"/>
    </w:p>
    <w:p w14:paraId="5E1EC204" w14:textId="77777777" w:rsidR="00B35E3F" w:rsidRDefault="00A74E29" w:rsidP="00A74E29">
      <w:pPr>
        <w:pStyle w:val="BodyText1"/>
        <w:spacing w:after="120" w:line="240" w:lineRule="auto"/>
        <w:jc w:val="both"/>
        <w:rPr>
          <w:sz w:val="24"/>
          <w:szCs w:val="24"/>
        </w:rPr>
      </w:pPr>
      <w:r w:rsidRPr="00B84167">
        <w:rPr>
          <w:sz w:val="24"/>
          <w:szCs w:val="24"/>
        </w:rPr>
        <w:t xml:space="preserve">Despite that fact that the GDPR excludes ‘anonymous information’ from the principles of data protection (Recital 26), ACCAN submits that anonymous information must be included in the definition of ‘personal information’. This is because Recital 26 of the GDPR </w:t>
      </w:r>
      <w:proofErr w:type="gramStart"/>
      <w:r w:rsidRPr="00B84167">
        <w:rPr>
          <w:sz w:val="24"/>
          <w:szCs w:val="24"/>
        </w:rPr>
        <w:t>is based on the assumption</w:t>
      </w:r>
      <w:proofErr w:type="gramEnd"/>
      <w:r w:rsidRPr="00B84167">
        <w:rPr>
          <w:sz w:val="24"/>
          <w:szCs w:val="24"/>
        </w:rPr>
        <w:t xml:space="preserve"> that it is impossible to re-identify anonymous information.</w:t>
      </w:r>
      <w:r w:rsidRPr="00B84167">
        <w:rPr>
          <w:rStyle w:val="FootnoteReference"/>
          <w:sz w:val="24"/>
          <w:szCs w:val="24"/>
        </w:rPr>
        <w:footnoteReference w:id="9"/>
      </w:r>
    </w:p>
    <w:p w14:paraId="406325CD" w14:textId="2D0619F6" w:rsidR="00A74E29" w:rsidRPr="00B84167" w:rsidRDefault="00A74E29" w:rsidP="00A74E29">
      <w:pPr>
        <w:pStyle w:val="BodyText1"/>
        <w:spacing w:after="120" w:line="240" w:lineRule="auto"/>
        <w:jc w:val="both"/>
        <w:rPr>
          <w:rFonts w:eastAsia="Times New Roman"/>
          <w:sz w:val="24"/>
          <w:szCs w:val="24"/>
        </w:rPr>
      </w:pPr>
      <w:r w:rsidRPr="00B84167">
        <w:rPr>
          <w:sz w:val="24"/>
          <w:szCs w:val="24"/>
        </w:rPr>
        <w:t>However, research suggests that information is rarely irreversibly anonymised. Researchers from two universities in Europe have published a method they say is able to correctly re-identify 99.98% of individuals in anonymised data sets with just 15 demographic attributes</w:t>
      </w:r>
      <w:r w:rsidRPr="00B84167">
        <w:rPr>
          <w:rFonts w:eastAsia="Times New Roman"/>
          <w:sz w:val="24"/>
          <w:szCs w:val="24"/>
        </w:rPr>
        <w:t>.</w:t>
      </w:r>
      <w:r w:rsidRPr="00B84167">
        <w:rPr>
          <w:rStyle w:val="FootnoteReference"/>
          <w:rFonts w:eastAsia="Times New Roman"/>
          <w:sz w:val="24"/>
          <w:szCs w:val="24"/>
        </w:rPr>
        <w:footnoteReference w:id="10"/>
      </w:r>
      <w:r w:rsidRPr="00B84167">
        <w:rPr>
          <w:rFonts w:eastAsia="Times New Roman"/>
          <w:sz w:val="24"/>
          <w:szCs w:val="24"/>
        </w:rPr>
        <w:t xml:space="preserve"> </w:t>
      </w:r>
    </w:p>
    <w:p w14:paraId="4E6872B9" w14:textId="77777777" w:rsidR="00A74E29" w:rsidRPr="00B84167" w:rsidRDefault="00A74E29" w:rsidP="00A74E29">
      <w:pPr>
        <w:pStyle w:val="BodyText1"/>
        <w:spacing w:after="0" w:line="240" w:lineRule="auto"/>
        <w:jc w:val="both"/>
        <w:rPr>
          <w:color w:val="000000" w:themeColor="text1"/>
          <w:sz w:val="24"/>
          <w:szCs w:val="24"/>
        </w:rPr>
      </w:pPr>
    </w:p>
    <w:p w14:paraId="61FCD33A" w14:textId="1858625A" w:rsidR="00B35E3F" w:rsidRPr="000A46FD" w:rsidRDefault="00A524EF" w:rsidP="00A524EF">
      <w:pPr>
        <w:pStyle w:val="Recommendation"/>
        <w:numPr>
          <w:ilvl w:val="0"/>
          <w:numId w:val="0"/>
        </w:numPr>
        <w:spacing w:before="0" w:beforeAutospacing="0" w:after="120" w:afterAutospacing="0"/>
        <w:ind w:left="851"/>
        <w:rPr>
          <w:sz w:val="24"/>
          <w:szCs w:val="24"/>
        </w:rPr>
      </w:pPr>
      <w:r w:rsidRPr="00E07352">
        <w:rPr>
          <w:b/>
          <w:bCs/>
          <w:sz w:val="24"/>
          <w:szCs w:val="24"/>
        </w:rPr>
        <w:t>Recommendation 1:</w:t>
      </w:r>
      <w:r w:rsidR="000A46FD">
        <w:rPr>
          <w:sz w:val="24"/>
          <w:szCs w:val="24"/>
        </w:rPr>
        <w:t xml:space="preserve"> </w:t>
      </w:r>
      <w:r w:rsidR="00B35E3F" w:rsidRPr="000A46FD">
        <w:rPr>
          <w:sz w:val="24"/>
          <w:szCs w:val="24"/>
        </w:rPr>
        <w:t>The definition of ‘Personal Information’ needs to be expanded to adequately regulate modern data collection practices and analytic</w:t>
      </w:r>
      <w:r w:rsidR="00995D26" w:rsidRPr="000A46FD">
        <w:rPr>
          <w:sz w:val="24"/>
          <w:szCs w:val="24"/>
        </w:rPr>
        <w:t xml:space="preserve"> capabilities.</w:t>
      </w:r>
    </w:p>
    <w:p w14:paraId="1806049E" w14:textId="77777777" w:rsidR="00A74E29" w:rsidRPr="00B84167" w:rsidRDefault="00A74E29" w:rsidP="00A74E29">
      <w:pPr>
        <w:pStyle w:val="BodyText1"/>
        <w:spacing w:after="0" w:line="240" w:lineRule="auto"/>
        <w:jc w:val="both"/>
        <w:rPr>
          <w:color w:val="000000" w:themeColor="text1"/>
          <w:sz w:val="24"/>
          <w:szCs w:val="24"/>
        </w:rPr>
      </w:pPr>
    </w:p>
    <w:p w14:paraId="39EBD9F8" w14:textId="77777777" w:rsidR="00A74E29" w:rsidRPr="00D307A4" w:rsidRDefault="00A74E29" w:rsidP="00D307A4">
      <w:pPr>
        <w:pStyle w:val="Heading2"/>
        <w:numPr>
          <w:ilvl w:val="0"/>
          <w:numId w:val="0"/>
        </w:numPr>
        <w:rPr>
          <w:b/>
          <w:bCs w:val="0"/>
        </w:rPr>
      </w:pPr>
      <w:bookmarkStart w:id="15" w:name="_Toc58970238"/>
      <w:r w:rsidRPr="00D307A4">
        <w:rPr>
          <w:b/>
          <w:bCs w:val="0"/>
        </w:rPr>
        <w:lastRenderedPageBreak/>
        <w:t>Exemptions</w:t>
      </w:r>
      <w:bookmarkEnd w:id="15"/>
    </w:p>
    <w:p w14:paraId="2815DE41" w14:textId="77777777" w:rsidR="00A74E29" w:rsidRPr="00B84167" w:rsidRDefault="00A74E29" w:rsidP="00A74E29">
      <w:pPr>
        <w:pStyle w:val="BodyText1"/>
        <w:spacing w:after="120" w:line="240" w:lineRule="auto"/>
        <w:jc w:val="both"/>
        <w:rPr>
          <w:sz w:val="24"/>
          <w:szCs w:val="24"/>
        </w:rPr>
      </w:pPr>
      <w:r w:rsidRPr="00B84167">
        <w:rPr>
          <w:sz w:val="24"/>
          <w:szCs w:val="24"/>
        </w:rPr>
        <w:t>The extensive exemptions or restrictions in favour of organisations and ambiguity regarding organisational responsibilities water down the protections offered to consumers. Overall, Australia’s privacy laws are generally more concerned with organisational interests than with individual interests and, arguably, privacy laws have become vehicles for the legitimisation of organisational data processing practices.</w:t>
      </w:r>
      <w:r w:rsidRPr="00B84167">
        <w:rPr>
          <w:rStyle w:val="FootnoteReference"/>
          <w:sz w:val="24"/>
          <w:szCs w:val="24"/>
        </w:rPr>
        <w:footnoteReference w:id="11"/>
      </w:r>
    </w:p>
    <w:p w14:paraId="69FC3150" w14:textId="77777777" w:rsidR="00A74E29" w:rsidRPr="00D307A4" w:rsidRDefault="00A74E29" w:rsidP="00D307A4">
      <w:pPr>
        <w:pStyle w:val="Heading3"/>
        <w:numPr>
          <w:ilvl w:val="0"/>
          <w:numId w:val="0"/>
        </w:numPr>
        <w:ind w:left="851" w:hanging="851"/>
        <w:rPr>
          <w:b/>
          <w:bCs w:val="0"/>
        </w:rPr>
      </w:pPr>
      <w:bookmarkStart w:id="16" w:name="_Toc58970239"/>
      <w:r w:rsidRPr="00D307A4">
        <w:rPr>
          <w:b/>
          <w:bCs w:val="0"/>
        </w:rPr>
        <w:t>Small business exemption</w:t>
      </w:r>
      <w:bookmarkEnd w:id="16"/>
    </w:p>
    <w:p w14:paraId="0AFCB1C4" w14:textId="77777777" w:rsidR="00A74E29" w:rsidRPr="00B84167" w:rsidRDefault="00A74E29" w:rsidP="00A74E29">
      <w:pPr>
        <w:pStyle w:val="BodyText1"/>
        <w:spacing w:after="120" w:line="240" w:lineRule="auto"/>
        <w:jc w:val="both"/>
        <w:rPr>
          <w:sz w:val="24"/>
          <w:szCs w:val="24"/>
        </w:rPr>
      </w:pPr>
      <w:r w:rsidRPr="00B84167">
        <w:rPr>
          <w:sz w:val="24"/>
          <w:szCs w:val="24"/>
        </w:rPr>
        <w:t xml:space="preserve">The small business exemption in its current form fails to strike the right balance between protecting the privacy rights of individuals and avoiding the imposition of unnecessary compliance costs on small business. The Act was drafted when the amount of data that could be collected by small businesses was far more limited. In the current technological marketplace small businesses </w:t>
      </w:r>
      <w:proofErr w:type="gramStart"/>
      <w:r w:rsidRPr="00B84167">
        <w:rPr>
          <w:sz w:val="24"/>
          <w:szCs w:val="24"/>
        </w:rPr>
        <w:t>are capable of managing</w:t>
      </w:r>
      <w:proofErr w:type="gramEnd"/>
      <w:r w:rsidRPr="00B84167">
        <w:rPr>
          <w:sz w:val="24"/>
          <w:szCs w:val="24"/>
        </w:rPr>
        <w:t xml:space="preserve"> vast amounts of personal information and this poses significant threats to the privacy of individuals. </w:t>
      </w:r>
    </w:p>
    <w:p w14:paraId="1B3C6EAB" w14:textId="77777777" w:rsidR="00A74E29" w:rsidRPr="00B84167" w:rsidRDefault="00A74E29" w:rsidP="00A74E29">
      <w:pPr>
        <w:pStyle w:val="BodyText1"/>
        <w:spacing w:after="120" w:line="240" w:lineRule="auto"/>
        <w:jc w:val="both"/>
        <w:rPr>
          <w:sz w:val="24"/>
          <w:szCs w:val="24"/>
        </w:rPr>
      </w:pPr>
      <w:r w:rsidRPr="00B84167">
        <w:rPr>
          <w:sz w:val="24"/>
          <w:szCs w:val="24"/>
        </w:rPr>
        <w:t>As an example, the Australian Law Reform Commission (ALRC) has noted that the telecommunications industry is increasingly handling large amounts of personal information and that it is appropriate that the handling of personal information by these organisations is regulated by the Act. Accordingly, ACCAN supports the ALRC’s recommendation that the small business exemption should be removed to ensure even small telecommunications businesses are subject to privacy rules.</w:t>
      </w:r>
      <w:r w:rsidRPr="00B84167">
        <w:rPr>
          <w:rStyle w:val="FootnoteReference"/>
          <w:sz w:val="24"/>
          <w:szCs w:val="24"/>
        </w:rPr>
        <w:footnoteReference w:id="12"/>
      </w:r>
    </w:p>
    <w:p w14:paraId="786E4E04" w14:textId="77777777" w:rsidR="00A74E29" w:rsidRPr="00B84167" w:rsidRDefault="00A74E29" w:rsidP="00A74E29">
      <w:pPr>
        <w:pStyle w:val="BodyText1"/>
        <w:spacing w:after="120" w:line="240" w:lineRule="auto"/>
        <w:jc w:val="both"/>
        <w:rPr>
          <w:sz w:val="24"/>
          <w:szCs w:val="24"/>
        </w:rPr>
      </w:pPr>
      <w:r w:rsidRPr="00B84167">
        <w:rPr>
          <w:sz w:val="24"/>
          <w:szCs w:val="24"/>
        </w:rPr>
        <w:t>If retained, the small business exemption in the Act will undermine the success of the CDR. Recent proposed legislative changes to allow non-accredited parties to obtain CDR data</w:t>
      </w:r>
      <w:r w:rsidRPr="00B84167">
        <w:rPr>
          <w:rStyle w:val="FootnoteReference"/>
          <w:sz w:val="24"/>
          <w:szCs w:val="24"/>
        </w:rPr>
        <w:footnoteReference w:id="13"/>
      </w:r>
      <w:r w:rsidRPr="00B84167">
        <w:rPr>
          <w:sz w:val="24"/>
          <w:szCs w:val="24"/>
        </w:rPr>
        <w:t xml:space="preserve"> under the CDR regime - including accountants, lawyers, tax agents, BAS (Business Activity Statement) agents, financial advisors, financial counsellors, and mortgage brokers - will leave consumers unprotected if these small businesses that are not CDR accredited and continue to be exempted from the Act.</w:t>
      </w:r>
    </w:p>
    <w:p w14:paraId="3AB3DCA0" w14:textId="77777777" w:rsidR="00A74E29" w:rsidRPr="00D307A4" w:rsidRDefault="00A74E29" w:rsidP="00D307A4">
      <w:pPr>
        <w:pStyle w:val="Heading3"/>
        <w:numPr>
          <w:ilvl w:val="0"/>
          <w:numId w:val="0"/>
        </w:numPr>
        <w:ind w:left="851" w:hanging="851"/>
        <w:rPr>
          <w:b/>
          <w:bCs w:val="0"/>
        </w:rPr>
      </w:pPr>
      <w:bookmarkStart w:id="17" w:name="_Toc58970240"/>
      <w:r w:rsidRPr="00D307A4">
        <w:rPr>
          <w:b/>
          <w:bCs w:val="0"/>
        </w:rPr>
        <w:t>Employee records exemption</w:t>
      </w:r>
      <w:bookmarkEnd w:id="17"/>
    </w:p>
    <w:p w14:paraId="2123B2A1" w14:textId="77777777" w:rsidR="00A74E29" w:rsidRPr="00B84167" w:rsidRDefault="00A74E29" w:rsidP="00A74E29">
      <w:pPr>
        <w:pStyle w:val="BodyText1"/>
        <w:spacing w:after="120" w:line="240" w:lineRule="auto"/>
        <w:jc w:val="both"/>
        <w:rPr>
          <w:sz w:val="24"/>
          <w:szCs w:val="24"/>
        </w:rPr>
      </w:pPr>
      <w:r w:rsidRPr="00B84167">
        <w:rPr>
          <w:sz w:val="24"/>
          <w:szCs w:val="24"/>
        </w:rPr>
        <w:t>As the Issues Paper has identified, a substantial amount of information, including sensitive information, falls within the employee records exemption, so that sensitive information relating to employees often does not need to be handled in accordance with the Act.</w:t>
      </w:r>
      <w:r w:rsidRPr="00B84167">
        <w:rPr>
          <w:rStyle w:val="FootnoteReference"/>
          <w:sz w:val="24"/>
          <w:szCs w:val="24"/>
        </w:rPr>
        <w:footnoteReference w:id="14"/>
      </w:r>
      <w:r w:rsidRPr="00B84167">
        <w:rPr>
          <w:sz w:val="24"/>
          <w:szCs w:val="24"/>
        </w:rPr>
        <w:t xml:space="preserve"> Clearly, the fact that the handling of personal information contained within an employee record is </w:t>
      </w:r>
      <w:r w:rsidRPr="00B84167">
        <w:rPr>
          <w:sz w:val="24"/>
          <w:szCs w:val="24"/>
        </w:rPr>
        <w:lastRenderedPageBreak/>
        <w:t>exempt in most circumstances from the operation of the  Act</w:t>
      </w:r>
      <w:r w:rsidRPr="00B84167">
        <w:rPr>
          <w:i/>
          <w:iCs/>
          <w:sz w:val="24"/>
          <w:szCs w:val="24"/>
        </w:rPr>
        <w:t xml:space="preserve"> </w:t>
      </w:r>
      <w:r w:rsidRPr="00B84167">
        <w:rPr>
          <w:sz w:val="24"/>
          <w:szCs w:val="24"/>
        </w:rPr>
        <w:t>undermines consumer protection.</w:t>
      </w:r>
    </w:p>
    <w:p w14:paraId="71888F6B" w14:textId="77777777" w:rsidR="00A74E29" w:rsidRPr="00B84167" w:rsidRDefault="00A74E29" w:rsidP="00A74E29">
      <w:pPr>
        <w:pStyle w:val="BodyText1"/>
        <w:spacing w:after="120" w:line="240" w:lineRule="auto"/>
        <w:jc w:val="both"/>
        <w:rPr>
          <w:sz w:val="24"/>
          <w:szCs w:val="24"/>
        </w:rPr>
      </w:pPr>
      <w:r w:rsidRPr="00B84167">
        <w:rPr>
          <w:sz w:val="24"/>
          <w:szCs w:val="24"/>
        </w:rPr>
        <w:t>As the ALRC has noted, there is a real potential for individuals to be harmed if employees’ personal information is used or disclosed inappropriately. The power imbalance between employers and employees means employees may be under economic pressure to provide personal information to their employers, undermining genuine consent.</w:t>
      </w:r>
      <w:r w:rsidRPr="00B84167">
        <w:rPr>
          <w:rStyle w:val="FootnoteReference"/>
          <w:sz w:val="24"/>
          <w:szCs w:val="24"/>
        </w:rPr>
        <w:footnoteReference w:id="15"/>
      </w:r>
    </w:p>
    <w:p w14:paraId="1EF30046" w14:textId="77777777" w:rsidR="00A74E29" w:rsidRPr="00B84167" w:rsidRDefault="00A74E29" w:rsidP="00A74E29">
      <w:pPr>
        <w:pStyle w:val="BodyText1"/>
        <w:spacing w:after="120" w:line="240" w:lineRule="auto"/>
        <w:jc w:val="both"/>
        <w:rPr>
          <w:sz w:val="24"/>
          <w:szCs w:val="24"/>
        </w:rPr>
      </w:pPr>
      <w:r w:rsidRPr="00B84167">
        <w:rPr>
          <w:sz w:val="24"/>
          <w:szCs w:val="24"/>
        </w:rPr>
        <w:t>ACCAN submits that the employee records exemption is contrary to public expectations that sensitive employee records should be subject to privacy protections, and supports the ALRC’s recommendation that the employee records exemption should be removed to bring Australian privacy law in line with comparable overseas jurisdictions such as the United Kingdom and New Zealand.</w:t>
      </w:r>
      <w:r w:rsidRPr="00B84167">
        <w:rPr>
          <w:rStyle w:val="FootnoteReference"/>
          <w:sz w:val="24"/>
          <w:szCs w:val="24"/>
        </w:rPr>
        <w:footnoteReference w:id="16"/>
      </w:r>
    </w:p>
    <w:p w14:paraId="6B5E2F68" w14:textId="17774E9E" w:rsidR="00A74E29" w:rsidRPr="00D307A4" w:rsidRDefault="00A74E29" w:rsidP="00D307A4">
      <w:pPr>
        <w:pStyle w:val="Heading3"/>
        <w:numPr>
          <w:ilvl w:val="0"/>
          <w:numId w:val="0"/>
        </w:numPr>
        <w:ind w:left="851" w:hanging="851"/>
        <w:rPr>
          <w:b/>
          <w:bCs w:val="0"/>
        </w:rPr>
      </w:pPr>
      <w:bookmarkStart w:id="18" w:name="_Toc58970241"/>
      <w:r w:rsidRPr="00D307A4">
        <w:rPr>
          <w:b/>
          <w:bCs w:val="0"/>
        </w:rPr>
        <w:t>Political part</w:t>
      </w:r>
      <w:r w:rsidR="00024827">
        <w:rPr>
          <w:b/>
          <w:bCs w:val="0"/>
        </w:rPr>
        <w:t>ie</w:t>
      </w:r>
      <w:r w:rsidRPr="00D307A4">
        <w:rPr>
          <w:b/>
          <w:bCs w:val="0"/>
        </w:rPr>
        <w:t>s</w:t>
      </w:r>
      <w:r w:rsidR="00024827">
        <w:rPr>
          <w:b/>
          <w:bCs w:val="0"/>
        </w:rPr>
        <w:t>’</w:t>
      </w:r>
      <w:r w:rsidRPr="00D307A4">
        <w:rPr>
          <w:b/>
          <w:bCs w:val="0"/>
        </w:rPr>
        <w:t xml:space="preserve"> exemption</w:t>
      </w:r>
      <w:bookmarkEnd w:id="18"/>
    </w:p>
    <w:p w14:paraId="174D888B" w14:textId="5587476B" w:rsidR="00A74E29" w:rsidRPr="00B84167" w:rsidRDefault="00A74E29" w:rsidP="00A74E29">
      <w:pPr>
        <w:pStyle w:val="BodyText1"/>
        <w:spacing w:after="120" w:line="240" w:lineRule="auto"/>
        <w:jc w:val="both"/>
        <w:rPr>
          <w:sz w:val="24"/>
          <w:szCs w:val="24"/>
        </w:rPr>
      </w:pPr>
      <w:r w:rsidRPr="00B84167">
        <w:rPr>
          <w:sz w:val="24"/>
          <w:szCs w:val="24"/>
        </w:rPr>
        <w:t>The Act was drafted when the amount of data that could be collected and used to profile and target individuals for campaigning purposes was much smaller. In light of recent revelations about the role of Cambridge Analytica in influencing the outcome of elections, there is no justifiable reason why political parties should not have to be accountable for their management of personal information about constituents and voters, as is already the case in other jurisdictions.  Accordingly, the political parties</w:t>
      </w:r>
      <w:r w:rsidR="00024827">
        <w:rPr>
          <w:sz w:val="24"/>
          <w:szCs w:val="24"/>
        </w:rPr>
        <w:t>’</w:t>
      </w:r>
      <w:r w:rsidRPr="00B84167">
        <w:rPr>
          <w:sz w:val="24"/>
          <w:szCs w:val="24"/>
        </w:rPr>
        <w:t xml:space="preserve"> exemption is now inappropriate and must be removed from the Act. </w:t>
      </w:r>
    </w:p>
    <w:p w14:paraId="3E696A11" w14:textId="77777777" w:rsidR="00024827" w:rsidRDefault="00024827" w:rsidP="00A74E29">
      <w:pPr>
        <w:pStyle w:val="BodyText1"/>
        <w:spacing w:after="0" w:line="240" w:lineRule="auto"/>
        <w:jc w:val="both"/>
        <w:rPr>
          <w:b/>
          <w:bCs/>
          <w:color w:val="000000" w:themeColor="text1"/>
          <w:sz w:val="24"/>
          <w:szCs w:val="24"/>
        </w:rPr>
      </w:pPr>
    </w:p>
    <w:p w14:paraId="2071C856" w14:textId="50D26A6F" w:rsidR="008361E8" w:rsidRPr="000A46FD" w:rsidRDefault="00A524EF" w:rsidP="00A524EF">
      <w:pPr>
        <w:pStyle w:val="Recommendation"/>
        <w:numPr>
          <w:ilvl w:val="0"/>
          <w:numId w:val="0"/>
        </w:numPr>
        <w:spacing w:before="0" w:beforeAutospacing="0" w:after="120" w:afterAutospacing="0"/>
        <w:ind w:left="851"/>
        <w:rPr>
          <w:sz w:val="24"/>
          <w:szCs w:val="24"/>
        </w:rPr>
      </w:pPr>
      <w:r w:rsidRPr="00E07352">
        <w:rPr>
          <w:b/>
          <w:bCs/>
          <w:sz w:val="24"/>
          <w:szCs w:val="24"/>
        </w:rPr>
        <w:t>Recommendation 2:</w:t>
      </w:r>
      <w:r w:rsidR="000A46FD">
        <w:t xml:space="preserve"> </w:t>
      </w:r>
      <w:r w:rsidR="008361E8" w:rsidRPr="000A46FD">
        <w:rPr>
          <w:sz w:val="24"/>
          <w:szCs w:val="24"/>
        </w:rPr>
        <w:t>The various exemptions in the Privacy Act need revision as a matter of priority</w:t>
      </w:r>
      <w:r w:rsidR="00995D26" w:rsidRPr="000A46FD">
        <w:rPr>
          <w:sz w:val="24"/>
          <w:szCs w:val="24"/>
        </w:rPr>
        <w:t>.</w:t>
      </w:r>
    </w:p>
    <w:p w14:paraId="73C50222" w14:textId="77777777" w:rsidR="00A74E29" w:rsidRPr="00D307A4" w:rsidRDefault="00A74E29" w:rsidP="008361E8">
      <w:pPr>
        <w:pStyle w:val="Heading2"/>
        <w:numPr>
          <w:ilvl w:val="0"/>
          <w:numId w:val="0"/>
        </w:numPr>
        <w:rPr>
          <w:b/>
          <w:bCs w:val="0"/>
        </w:rPr>
      </w:pPr>
      <w:bookmarkStart w:id="19" w:name="_Toc58970242"/>
      <w:r w:rsidRPr="00D307A4">
        <w:rPr>
          <w:b/>
          <w:bCs w:val="0"/>
        </w:rPr>
        <w:t>Notice and consent</w:t>
      </w:r>
      <w:bookmarkEnd w:id="19"/>
    </w:p>
    <w:p w14:paraId="424CB87A" w14:textId="77777777" w:rsidR="00A74E29" w:rsidRPr="00D307A4" w:rsidRDefault="00A74E29" w:rsidP="00D307A4">
      <w:pPr>
        <w:pStyle w:val="Heading3"/>
        <w:numPr>
          <w:ilvl w:val="0"/>
          <w:numId w:val="0"/>
        </w:numPr>
        <w:ind w:left="851" w:hanging="851"/>
        <w:rPr>
          <w:b/>
          <w:bCs w:val="0"/>
        </w:rPr>
      </w:pPr>
      <w:bookmarkStart w:id="20" w:name="_Toc58970243"/>
      <w:r w:rsidRPr="00D307A4">
        <w:rPr>
          <w:b/>
          <w:bCs w:val="0"/>
        </w:rPr>
        <w:t>Notice of collection</w:t>
      </w:r>
      <w:bookmarkEnd w:id="20"/>
    </w:p>
    <w:p w14:paraId="779B35AD" w14:textId="4D61F6FA" w:rsidR="00A74E29" w:rsidRPr="00B84167" w:rsidRDefault="00A74E29" w:rsidP="00A74E29">
      <w:pPr>
        <w:pStyle w:val="BodyText1"/>
        <w:spacing w:after="120" w:line="240" w:lineRule="auto"/>
        <w:jc w:val="both"/>
        <w:rPr>
          <w:sz w:val="24"/>
          <w:szCs w:val="24"/>
          <w:u w:val="single"/>
        </w:rPr>
      </w:pPr>
      <w:r w:rsidRPr="00B84167">
        <w:rPr>
          <w:sz w:val="24"/>
          <w:szCs w:val="24"/>
        </w:rPr>
        <w:t>There are two major impediments to the effectiveness of notice of collection of personal information:</w:t>
      </w:r>
    </w:p>
    <w:p w14:paraId="186722E3" w14:textId="77777777" w:rsidR="00A74E29" w:rsidRPr="00B84167" w:rsidRDefault="00A74E29" w:rsidP="00A524EF">
      <w:pPr>
        <w:pStyle w:val="BodyText1"/>
        <w:numPr>
          <w:ilvl w:val="0"/>
          <w:numId w:val="12"/>
        </w:numPr>
        <w:spacing w:after="120" w:line="240" w:lineRule="auto"/>
        <w:jc w:val="both"/>
        <w:rPr>
          <w:sz w:val="24"/>
          <w:szCs w:val="24"/>
        </w:rPr>
      </w:pPr>
      <w:r w:rsidRPr="00B84167">
        <w:rPr>
          <w:sz w:val="24"/>
          <w:szCs w:val="24"/>
        </w:rPr>
        <w:t>‘Consent fatigue’ discouraging consumers from reading privacy notices before accepting them;</w:t>
      </w:r>
      <w:r w:rsidRPr="00E07352">
        <w:rPr>
          <w:rStyle w:val="FootnoteReference"/>
          <w:sz w:val="24"/>
          <w:szCs w:val="24"/>
        </w:rPr>
        <w:footnoteReference w:id="17"/>
      </w:r>
      <w:r w:rsidRPr="00B84167">
        <w:rPr>
          <w:sz w:val="24"/>
          <w:szCs w:val="24"/>
        </w:rPr>
        <w:t xml:space="preserve"> and</w:t>
      </w:r>
    </w:p>
    <w:p w14:paraId="002304BD" w14:textId="77777777" w:rsidR="00DA1E4D" w:rsidRPr="00B84167" w:rsidRDefault="00DA1E4D" w:rsidP="00DA1E4D">
      <w:pPr>
        <w:pStyle w:val="BodyText1"/>
        <w:numPr>
          <w:ilvl w:val="0"/>
          <w:numId w:val="12"/>
        </w:numPr>
        <w:spacing w:after="120" w:line="240" w:lineRule="auto"/>
        <w:jc w:val="both"/>
        <w:rPr>
          <w:sz w:val="24"/>
          <w:szCs w:val="24"/>
        </w:rPr>
      </w:pPr>
      <w:r w:rsidRPr="00B84167">
        <w:rPr>
          <w:sz w:val="24"/>
          <w:szCs w:val="24"/>
        </w:rPr>
        <w:lastRenderedPageBreak/>
        <w:t>The opacity of privacy notices which are so long, complicated and difficult to understand that they prevent consumers from genuinely e</w:t>
      </w:r>
      <w:r w:rsidRPr="00A524EF">
        <w:rPr>
          <w:sz w:val="24"/>
          <w:szCs w:val="24"/>
        </w:rPr>
        <w:t>xercising consent or control over how their personal information is disclosed</w:t>
      </w:r>
      <w:r w:rsidRPr="00B84167">
        <w:rPr>
          <w:sz w:val="24"/>
          <w:szCs w:val="24"/>
        </w:rPr>
        <w:t>.</w:t>
      </w:r>
      <w:r w:rsidRPr="00A524EF">
        <w:rPr>
          <w:rStyle w:val="FootnoteReference"/>
        </w:rPr>
        <w:footnoteReference w:id="18"/>
      </w:r>
    </w:p>
    <w:p w14:paraId="5544724F" w14:textId="77777777" w:rsidR="009E20A3" w:rsidRDefault="00A74E29" w:rsidP="00A74E29">
      <w:pPr>
        <w:pStyle w:val="BodyText1"/>
        <w:spacing w:after="120" w:line="240" w:lineRule="auto"/>
        <w:jc w:val="both"/>
        <w:rPr>
          <w:sz w:val="24"/>
          <w:szCs w:val="24"/>
        </w:rPr>
      </w:pPr>
      <w:r w:rsidRPr="00B84167">
        <w:rPr>
          <w:sz w:val="24"/>
          <w:szCs w:val="24"/>
        </w:rPr>
        <w:t>Results from a soon to be published survey report by one of ACCAN’s grantees, Deakin University, highlights the inadequacy of notices of collection of personal information as an effective method of obtaining informed consent from consumers. From a sample of 1000 respondents, 30% find privacy notices too difficult to read, 26% don’t have time to read them and 2.41% don’t even know where to find the privacy notice.</w:t>
      </w:r>
    </w:p>
    <w:p w14:paraId="19946C1E" w14:textId="27572573" w:rsidR="00A74E29" w:rsidRPr="00B84167" w:rsidRDefault="00A74E29" w:rsidP="00A74E29">
      <w:pPr>
        <w:pStyle w:val="BodyText1"/>
        <w:spacing w:after="120" w:line="240" w:lineRule="auto"/>
        <w:jc w:val="both"/>
        <w:rPr>
          <w:sz w:val="24"/>
          <w:szCs w:val="24"/>
        </w:rPr>
      </w:pPr>
      <w:r w:rsidRPr="00B84167">
        <w:rPr>
          <w:sz w:val="24"/>
          <w:szCs w:val="24"/>
        </w:rPr>
        <w:t xml:space="preserve">In addition, the </w:t>
      </w:r>
      <w:r w:rsidRPr="00B84167">
        <w:rPr>
          <w:rFonts w:ascii="Calibri" w:hAnsi="Calibri"/>
          <w:sz w:val="24"/>
          <w:szCs w:val="24"/>
        </w:rPr>
        <w:t xml:space="preserve">majority of respondents had either an ‘average understanding’ (39%) or ‘some understanding’ (28%) of privacy notices, while a meagre </w:t>
      </w:r>
      <w:r w:rsidRPr="00B84167">
        <w:rPr>
          <w:sz w:val="24"/>
          <w:szCs w:val="24"/>
        </w:rPr>
        <w:t>4.5% of respondents had a complete understanding and almost 10% had no understanding of the privacy notice at all.</w:t>
      </w:r>
      <w:r w:rsidRPr="00B84167">
        <w:rPr>
          <w:rStyle w:val="FootnoteReference"/>
          <w:sz w:val="24"/>
          <w:szCs w:val="24"/>
        </w:rPr>
        <w:footnoteReference w:id="19"/>
      </w:r>
    </w:p>
    <w:p w14:paraId="6E046F6C" w14:textId="77777777" w:rsidR="00A74E29" w:rsidRPr="00B84167" w:rsidRDefault="00A74E29" w:rsidP="00A74E29">
      <w:pPr>
        <w:pStyle w:val="BodyText1"/>
        <w:spacing w:after="120" w:line="240" w:lineRule="auto"/>
        <w:jc w:val="both"/>
        <w:rPr>
          <w:sz w:val="24"/>
          <w:szCs w:val="24"/>
        </w:rPr>
      </w:pPr>
      <w:r w:rsidRPr="00B84167">
        <w:rPr>
          <w:sz w:val="24"/>
          <w:szCs w:val="24"/>
        </w:rPr>
        <w:t>ACCAN agrees with the Office of the Australian Information Commissioner (OAIC) that the onus of providing consent for use of data should be shifted away from the consumer. We also agree with the OAIC that the responsibility for protecting consumers’ personal information should be assumed by privacy regulators, government legislators, and the digital platforms and organisations collecting it via “appropriate accountability obligations for entities, as well as other regulatory checks and balances”.</w:t>
      </w:r>
      <w:r w:rsidRPr="00B84167">
        <w:rPr>
          <w:rStyle w:val="FootnoteReference"/>
          <w:color w:val="auto"/>
          <w:sz w:val="24"/>
          <w:szCs w:val="24"/>
        </w:rPr>
        <w:footnoteReference w:id="20"/>
      </w:r>
    </w:p>
    <w:p w14:paraId="3B3368BD" w14:textId="77777777" w:rsidR="00A74E29" w:rsidRPr="00B84167" w:rsidRDefault="00A74E29" w:rsidP="00A74E29">
      <w:pPr>
        <w:pStyle w:val="BodyText1"/>
        <w:spacing w:after="120" w:line="240" w:lineRule="auto"/>
        <w:jc w:val="both"/>
        <w:rPr>
          <w:sz w:val="24"/>
          <w:szCs w:val="24"/>
        </w:rPr>
      </w:pPr>
      <w:r w:rsidRPr="00B84167">
        <w:rPr>
          <w:sz w:val="24"/>
          <w:szCs w:val="24"/>
        </w:rPr>
        <w:t>This could be achieved in a variety of ways, including for example:</w:t>
      </w:r>
    </w:p>
    <w:p w14:paraId="3E45E0B8" w14:textId="77777777" w:rsidR="00A74E29" w:rsidRPr="00B84167" w:rsidRDefault="00A74E29" w:rsidP="00AB27F0">
      <w:pPr>
        <w:pStyle w:val="BodyText1"/>
        <w:numPr>
          <w:ilvl w:val="0"/>
          <w:numId w:val="12"/>
        </w:numPr>
        <w:spacing w:after="120" w:line="240" w:lineRule="auto"/>
        <w:jc w:val="both"/>
        <w:rPr>
          <w:sz w:val="24"/>
          <w:szCs w:val="24"/>
        </w:rPr>
      </w:pPr>
      <w:r w:rsidRPr="00B84167">
        <w:rPr>
          <w:sz w:val="24"/>
          <w:szCs w:val="24"/>
        </w:rPr>
        <w:t>Imposing mandatory privacy and security standards in the design of data collection and handling processes by digital platforms and organisations; and</w:t>
      </w:r>
    </w:p>
    <w:p w14:paraId="426112C8" w14:textId="3A0323D1" w:rsidR="00B84167" w:rsidRPr="009E20A3" w:rsidRDefault="00A74E29" w:rsidP="00AB27F0">
      <w:pPr>
        <w:pStyle w:val="BodyText1"/>
        <w:numPr>
          <w:ilvl w:val="0"/>
          <w:numId w:val="12"/>
        </w:numPr>
        <w:spacing w:after="120" w:line="240" w:lineRule="auto"/>
        <w:jc w:val="both"/>
        <w:rPr>
          <w:sz w:val="24"/>
          <w:szCs w:val="24"/>
        </w:rPr>
      </w:pPr>
      <w:r w:rsidRPr="00B84167">
        <w:rPr>
          <w:sz w:val="24"/>
          <w:szCs w:val="24"/>
        </w:rPr>
        <w:t xml:space="preserve">Amending APP5 to meet the current standard of privacy protection in the CDR, so that a participant “must take steps” to notify consumers of privacy collection practices rather than being required to “take reasonable steps.” </w:t>
      </w:r>
    </w:p>
    <w:p w14:paraId="1326D23E" w14:textId="77777777" w:rsidR="00A74E29" w:rsidRPr="00D307A4" w:rsidRDefault="00A74E29" w:rsidP="00D307A4">
      <w:pPr>
        <w:pStyle w:val="Heading3"/>
        <w:numPr>
          <w:ilvl w:val="0"/>
          <w:numId w:val="0"/>
        </w:numPr>
        <w:ind w:left="851" w:hanging="851"/>
        <w:rPr>
          <w:b/>
          <w:bCs w:val="0"/>
        </w:rPr>
      </w:pPr>
      <w:bookmarkStart w:id="21" w:name="_Toc58970244"/>
      <w:r w:rsidRPr="00D307A4">
        <w:rPr>
          <w:b/>
          <w:bCs w:val="0"/>
        </w:rPr>
        <w:t>Limiting information burden</w:t>
      </w:r>
      <w:bookmarkEnd w:id="21"/>
    </w:p>
    <w:p w14:paraId="535C4C92" w14:textId="77777777" w:rsidR="00A74E29" w:rsidRPr="009C04D5" w:rsidRDefault="00A74E29" w:rsidP="00A74E29">
      <w:pPr>
        <w:pStyle w:val="BodyText1"/>
        <w:spacing w:after="120" w:line="240" w:lineRule="auto"/>
        <w:jc w:val="both"/>
        <w:rPr>
          <w:sz w:val="24"/>
          <w:szCs w:val="24"/>
        </w:rPr>
      </w:pPr>
      <w:r w:rsidRPr="009C04D5">
        <w:rPr>
          <w:sz w:val="24"/>
          <w:szCs w:val="24"/>
        </w:rPr>
        <w:t xml:space="preserve">ACCAN supports the principle of ‘limiting information burden’ on consumers </w:t>
      </w:r>
      <w:proofErr w:type="gramStart"/>
      <w:r w:rsidRPr="009C04D5">
        <w:rPr>
          <w:sz w:val="24"/>
          <w:szCs w:val="24"/>
        </w:rPr>
        <w:t>through the use of</w:t>
      </w:r>
      <w:proofErr w:type="gramEnd"/>
      <w:r w:rsidRPr="009C04D5">
        <w:rPr>
          <w:sz w:val="24"/>
          <w:szCs w:val="24"/>
        </w:rPr>
        <w:t xml:space="preserve"> a standardised framework of notice, such as standard words or icons. This was recommended by the OAIC in order to create “a common language in relation to privacy and personal information” and enable consumers to understand data collection practices and exercise informed choice.</w:t>
      </w:r>
      <w:r w:rsidRPr="009C04D5">
        <w:rPr>
          <w:rStyle w:val="FootnoteReference"/>
          <w:color w:val="auto"/>
          <w:sz w:val="24"/>
          <w:szCs w:val="24"/>
        </w:rPr>
        <w:footnoteReference w:id="21"/>
      </w:r>
    </w:p>
    <w:p w14:paraId="16F251C9" w14:textId="034C2B80" w:rsidR="00A74E29" w:rsidRDefault="00A74E29" w:rsidP="00A74E29">
      <w:pPr>
        <w:pStyle w:val="BodyText1"/>
        <w:spacing w:after="120" w:line="240" w:lineRule="auto"/>
        <w:jc w:val="both"/>
        <w:rPr>
          <w:sz w:val="24"/>
          <w:szCs w:val="24"/>
        </w:rPr>
      </w:pPr>
      <w:r w:rsidRPr="009C04D5">
        <w:rPr>
          <w:sz w:val="24"/>
          <w:szCs w:val="24"/>
        </w:rPr>
        <w:t>However, the initial survey results of Deakin University’s grant research suggests that although respondents think ‘star ratings’ and icons may be useful in helping consumers gain more meaningful understanding of the use of their data, limited understanding of the meaning of the icons and the privacy regulatory framework underpinning them may undermine their effectiveness.</w:t>
      </w:r>
      <w:r w:rsidRPr="009C04D5">
        <w:rPr>
          <w:rStyle w:val="FootnoteReference"/>
          <w:sz w:val="24"/>
          <w:szCs w:val="24"/>
        </w:rPr>
        <w:footnoteReference w:id="22"/>
      </w:r>
      <w:r w:rsidR="00AF3EC2">
        <w:rPr>
          <w:sz w:val="24"/>
          <w:szCs w:val="24"/>
        </w:rPr>
        <w:t xml:space="preserve"> </w:t>
      </w:r>
      <w:r w:rsidRPr="009C04D5">
        <w:rPr>
          <w:sz w:val="24"/>
          <w:szCs w:val="24"/>
        </w:rPr>
        <w:t xml:space="preserve">A comprehensive consumer education campaign would </w:t>
      </w:r>
      <w:r w:rsidRPr="009C04D5">
        <w:rPr>
          <w:sz w:val="24"/>
          <w:szCs w:val="24"/>
        </w:rPr>
        <w:lastRenderedPageBreak/>
        <w:t xml:space="preserve">therefore be needed to ensure any such labelling scheme was successful in enabling consumers to make informed decisions and provide genuinely informed consent to data collection. Such a consumer education campaign must be provided in plain English and be accompanied by informative and accessible images, graphics or videos. Information about the icons must be clear, user friendly and easy to read and understand. </w:t>
      </w:r>
    </w:p>
    <w:p w14:paraId="1C2D8E64" w14:textId="77777777" w:rsidR="00DA1E4D" w:rsidRDefault="00DA1E4D" w:rsidP="00DA1E4D">
      <w:pPr>
        <w:pStyle w:val="BodyText1"/>
        <w:spacing w:after="0" w:line="240" w:lineRule="auto"/>
        <w:jc w:val="both"/>
        <w:rPr>
          <w:sz w:val="24"/>
          <w:szCs w:val="24"/>
        </w:rPr>
      </w:pPr>
    </w:p>
    <w:p w14:paraId="63A57E81" w14:textId="2D59E442" w:rsidR="0047717F" w:rsidRPr="0047717F" w:rsidRDefault="0047717F" w:rsidP="0047717F">
      <w:pPr>
        <w:pStyle w:val="Recommendation"/>
        <w:numPr>
          <w:ilvl w:val="0"/>
          <w:numId w:val="0"/>
        </w:numPr>
        <w:spacing w:before="0" w:beforeAutospacing="0" w:after="120" w:afterAutospacing="0"/>
        <w:ind w:left="851"/>
        <w:rPr>
          <w:rFonts w:asciiTheme="minorHAnsi" w:hAnsiTheme="minorHAnsi"/>
          <w:sz w:val="24"/>
          <w:szCs w:val="24"/>
        </w:rPr>
      </w:pPr>
      <w:r w:rsidRPr="00A51F55">
        <w:rPr>
          <w:rFonts w:asciiTheme="minorHAnsi" w:hAnsiTheme="minorHAnsi"/>
          <w:b/>
          <w:bCs/>
          <w:sz w:val="24"/>
          <w:szCs w:val="24"/>
        </w:rPr>
        <w:t xml:space="preserve">Recommendation 3: </w:t>
      </w:r>
      <w:r w:rsidRPr="00A51F55">
        <w:rPr>
          <w:rFonts w:asciiTheme="minorHAnsi" w:hAnsiTheme="minorHAnsi"/>
          <w:sz w:val="24"/>
          <w:szCs w:val="24"/>
        </w:rPr>
        <w:t xml:space="preserve">Organisations should provide </w:t>
      </w:r>
      <w:r>
        <w:rPr>
          <w:rFonts w:asciiTheme="minorHAnsi" w:hAnsiTheme="minorHAnsi"/>
          <w:sz w:val="24"/>
          <w:szCs w:val="24"/>
        </w:rPr>
        <w:t xml:space="preserve">consumers with </w:t>
      </w:r>
      <w:r w:rsidRPr="00A51F55">
        <w:rPr>
          <w:rFonts w:asciiTheme="minorHAnsi" w:hAnsiTheme="minorHAnsi"/>
          <w:sz w:val="24"/>
          <w:szCs w:val="24"/>
        </w:rPr>
        <w:t>brief and easily understandable privacy notices when requesting consent to data collection.</w:t>
      </w:r>
    </w:p>
    <w:p w14:paraId="69385034" w14:textId="77777777" w:rsidR="00A74E29" w:rsidRPr="00D307A4" w:rsidRDefault="00A74E29" w:rsidP="00D307A4">
      <w:pPr>
        <w:pStyle w:val="Heading3"/>
        <w:numPr>
          <w:ilvl w:val="0"/>
          <w:numId w:val="0"/>
        </w:numPr>
        <w:ind w:left="851" w:hanging="851"/>
        <w:rPr>
          <w:b/>
          <w:bCs w:val="0"/>
        </w:rPr>
      </w:pPr>
      <w:bookmarkStart w:id="22" w:name="_Toc58970245"/>
      <w:r w:rsidRPr="00D307A4">
        <w:rPr>
          <w:b/>
          <w:bCs w:val="0"/>
        </w:rPr>
        <w:t>Pro-consumer defaults</w:t>
      </w:r>
      <w:bookmarkEnd w:id="22"/>
    </w:p>
    <w:p w14:paraId="3069BFF8" w14:textId="77777777" w:rsidR="00A74E29" w:rsidRPr="009C04D5" w:rsidRDefault="00A74E29" w:rsidP="00A74E29">
      <w:pPr>
        <w:pStyle w:val="BodyText1"/>
        <w:spacing w:after="120" w:line="240" w:lineRule="auto"/>
        <w:jc w:val="both"/>
        <w:rPr>
          <w:color w:val="auto"/>
          <w:sz w:val="24"/>
          <w:szCs w:val="24"/>
        </w:rPr>
      </w:pPr>
      <w:r w:rsidRPr="009C04D5">
        <w:rPr>
          <w:sz w:val="24"/>
          <w:szCs w:val="24"/>
        </w:rPr>
        <w:t>ACCAN submits that there must always be pro-privacy defaults in the collection, use and disclosure of personal information</w:t>
      </w:r>
      <w:r w:rsidRPr="009C04D5">
        <w:rPr>
          <w:color w:val="auto"/>
          <w:sz w:val="24"/>
          <w:szCs w:val="24"/>
        </w:rPr>
        <w:t xml:space="preserve">. ‘Sensitive’ personal information – for example, geolocation data </w:t>
      </w:r>
      <w:r w:rsidRPr="009C04D5">
        <w:rPr>
          <w:sz w:val="24"/>
          <w:szCs w:val="24"/>
        </w:rPr>
        <w:t>which is highly granular and can be used to uniquely identify 95% of the population</w:t>
      </w:r>
      <w:r w:rsidRPr="009C04D5">
        <w:rPr>
          <w:rStyle w:val="FootnoteReference"/>
          <w:sz w:val="24"/>
          <w:szCs w:val="24"/>
        </w:rPr>
        <w:footnoteReference w:id="23"/>
      </w:r>
      <w:r w:rsidRPr="009C04D5">
        <w:rPr>
          <w:sz w:val="24"/>
          <w:szCs w:val="24"/>
        </w:rPr>
        <w:t xml:space="preserve"> </w:t>
      </w:r>
      <w:r w:rsidRPr="009C04D5">
        <w:rPr>
          <w:color w:val="auto"/>
          <w:sz w:val="24"/>
          <w:szCs w:val="24"/>
        </w:rPr>
        <w:t>–</w:t>
      </w:r>
      <w:r w:rsidRPr="009C04D5">
        <w:rPr>
          <w:sz w:val="24"/>
          <w:szCs w:val="24"/>
        </w:rPr>
        <w:t xml:space="preserve"> m</w:t>
      </w:r>
      <w:r w:rsidRPr="009C04D5">
        <w:rPr>
          <w:color w:val="auto"/>
          <w:sz w:val="24"/>
          <w:szCs w:val="24"/>
        </w:rPr>
        <w:t>erit</w:t>
      </w:r>
      <w:r w:rsidRPr="009C04D5">
        <w:rPr>
          <w:sz w:val="24"/>
          <w:szCs w:val="24"/>
        </w:rPr>
        <w:t>s</w:t>
      </w:r>
      <w:r w:rsidRPr="009C04D5">
        <w:rPr>
          <w:color w:val="auto"/>
          <w:sz w:val="24"/>
          <w:szCs w:val="24"/>
        </w:rPr>
        <w:t xml:space="preserve"> a</w:t>
      </w:r>
      <w:r w:rsidRPr="009C04D5">
        <w:rPr>
          <w:sz w:val="24"/>
          <w:szCs w:val="24"/>
        </w:rPr>
        <w:t xml:space="preserve"> particularly</w:t>
      </w:r>
      <w:r w:rsidRPr="009C04D5">
        <w:rPr>
          <w:color w:val="auto"/>
          <w:sz w:val="24"/>
          <w:szCs w:val="24"/>
        </w:rPr>
        <w:t xml:space="preserve"> high level of protection. Recent amendments to Californian privacy law</w:t>
      </w:r>
      <w:r w:rsidRPr="009C04D5">
        <w:rPr>
          <w:sz w:val="24"/>
          <w:szCs w:val="24"/>
        </w:rPr>
        <w:t>, which now classifies geolocation data as sensitive information requiring more stringent protective measures, provides a benchmark for Australian privacy law reform</w:t>
      </w:r>
      <w:r w:rsidRPr="009C04D5">
        <w:rPr>
          <w:color w:val="auto"/>
          <w:sz w:val="24"/>
          <w:szCs w:val="24"/>
        </w:rPr>
        <w:t>.</w:t>
      </w:r>
      <w:r w:rsidRPr="009C04D5">
        <w:rPr>
          <w:rStyle w:val="FootnoteReference"/>
          <w:color w:val="auto"/>
          <w:sz w:val="24"/>
          <w:szCs w:val="24"/>
        </w:rPr>
        <w:footnoteReference w:id="24"/>
      </w:r>
    </w:p>
    <w:p w14:paraId="63F66834" w14:textId="77777777" w:rsidR="00A74E29" w:rsidRPr="009C04D5" w:rsidRDefault="00A74E29" w:rsidP="00A74E29">
      <w:pPr>
        <w:pStyle w:val="BodyText1"/>
        <w:spacing w:after="120" w:line="240" w:lineRule="auto"/>
        <w:jc w:val="both"/>
        <w:rPr>
          <w:sz w:val="24"/>
          <w:szCs w:val="24"/>
        </w:rPr>
      </w:pPr>
      <w:r w:rsidRPr="009C04D5">
        <w:rPr>
          <w:sz w:val="24"/>
          <w:szCs w:val="24"/>
        </w:rPr>
        <w:t>In addition, ACCAN supports the OAIC’s proposal of introducing a “general fairness requirement for the use and disclosure of personal information” as a way of addressing “the overarching issue of power imbalances between entities and consumers” and “protecting the privacy of vulnerable Australians including children”.</w:t>
      </w:r>
      <w:r w:rsidRPr="009C04D5">
        <w:rPr>
          <w:rStyle w:val="FootnoteReference"/>
          <w:color w:val="auto"/>
          <w:sz w:val="24"/>
          <w:szCs w:val="24"/>
        </w:rPr>
        <w:footnoteReference w:id="25"/>
      </w:r>
    </w:p>
    <w:p w14:paraId="479FF713" w14:textId="77777777" w:rsidR="00B84167" w:rsidRPr="00D307A4" w:rsidRDefault="00A74E29" w:rsidP="00D307A4">
      <w:pPr>
        <w:pStyle w:val="Heading3"/>
        <w:numPr>
          <w:ilvl w:val="0"/>
          <w:numId w:val="0"/>
        </w:numPr>
        <w:ind w:left="851" w:hanging="851"/>
        <w:rPr>
          <w:b/>
          <w:bCs w:val="0"/>
        </w:rPr>
      </w:pPr>
      <w:bookmarkStart w:id="23" w:name="_Toc58970246"/>
      <w:r w:rsidRPr="00D307A4">
        <w:rPr>
          <w:b/>
          <w:bCs w:val="0"/>
        </w:rPr>
        <w:t>Obtaining consent from children</w:t>
      </w:r>
      <w:bookmarkEnd w:id="23"/>
    </w:p>
    <w:p w14:paraId="0647D9AC" w14:textId="2581EC35" w:rsidR="00A74E29" w:rsidRPr="009C04D5" w:rsidRDefault="00A74E29" w:rsidP="00B84167">
      <w:pPr>
        <w:pStyle w:val="BodyText1"/>
        <w:spacing w:line="240" w:lineRule="auto"/>
        <w:jc w:val="both"/>
        <w:rPr>
          <w:b/>
          <w:bCs/>
          <w:color w:val="000000" w:themeColor="text1"/>
          <w:sz w:val="24"/>
          <w:szCs w:val="24"/>
        </w:rPr>
      </w:pPr>
      <w:r w:rsidRPr="009C04D5">
        <w:rPr>
          <w:sz w:val="24"/>
          <w:szCs w:val="24"/>
        </w:rPr>
        <w:t>ACCAN’s strongly believes that specific requirements are needed in relation to how entities seek consent from children. Article 16 of the United Nations Convention on the Rights of the Child states that:</w:t>
      </w:r>
    </w:p>
    <w:p w14:paraId="0D7649DE" w14:textId="1387D904" w:rsidR="00A74E29" w:rsidRPr="009C04D5" w:rsidRDefault="00A74E29" w:rsidP="007A2819">
      <w:pPr>
        <w:pStyle w:val="BodyText1"/>
        <w:numPr>
          <w:ilvl w:val="0"/>
          <w:numId w:val="19"/>
        </w:numPr>
        <w:spacing w:after="120" w:line="240" w:lineRule="auto"/>
        <w:jc w:val="both"/>
        <w:rPr>
          <w:sz w:val="24"/>
          <w:szCs w:val="24"/>
        </w:rPr>
      </w:pPr>
      <w:r w:rsidRPr="009C04D5">
        <w:rPr>
          <w:sz w:val="24"/>
          <w:szCs w:val="24"/>
        </w:rPr>
        <w:t>No child shall be subjected to arbitrary or unlawful interference with his or her privacy, family, home or correspondence, nor to unlawful attacks on his or her honour and reputation.</w:t>
      </w:r>
    </w:p>
    <w:p w14:paraId="32E0761B" w14:textId="12FBA419" w:rsidR="007573AA" w:rsidRPr="00F26FDB" w:rsidRDefault="00A74E29" w:rsidP="00F26FDB">
      <w:pPr>
        <w:pStyle w:val="BodyText1"/>
        <w:numPr>
          <w:ilvl w:val="0"/>
          <w:numId w:val="19"/>
        </w:numPr>
        <w:spacing w:after="120" w:line="240" w:lineRule="auto"/>
        <w:jc w:val="both"/>
        <w:rPr>
          <w:sz w:val="24"/>
          <w:szCs w:val="24"/>
        </w:rPr>
      </w:pPr>
      <w:r w:rsidRPr="009C04D5">
        <w:rPr>
          <w:sz w:val="24"/>
          <w:szCs w:val="24"/>
        </w:rPr>
        <w:t>The child has the right to the protection of the law against such interference or attacks.</w:t>
      </w:r>
      <w:r w:rsidRPr="009C04D5">
        <w:rPr>
          <w:rStyle w:val="FootnoteReference"/>
          <w:sz w:val="24"/>
          <w:szCs w:val="24"/>
        </w:rPr>
        <w:footnoteReference w:id="26"/>
      </w:r>
    </w:p>
    <w:p w14:paraId="6BEF8A1F" w14:textId="14856C15" w:rsidR="003808DE" w:rsidRDefault="00A74E29" w:rsidP="00825ED4">
      <w:pPr>
        <w:pStyle w:val="BodyText1"/>
        <w:spacing w:after="120" w:line="240" w:lineRule="auto"/>
        <w:jc w:val="both"/>
        <w:rPr>
          <w:sz w:val="24"/>
          <w:szCs w:val="24"/>
        </w:rPr>
      </w:pPr>
      <w:r w:rsidRPr="009C04D5">
        <w:rPr>
          <w:sz w:val="24"/>
          <w:szCs w:val="24"/>
        </w:rPr>
        <w:lastRenderedPageBreak/>
        <w:t>Article 8 of the</w:t>
      </w:r>
      <w:r w:rsidR="00825ED4" w:rsidRPr="00825ED4">
        <w:rPr>
          <w:sz w:val="24"/>
          <w:szCs w:val="24"/>
        </w:rPr>
        <w:t xml:space="preserve"> </w:t>
      </w:r>
      <w:r w:rsidR="003808DE">
        <w:rPr>
          <w:sz w:val="24"/>
          <w:szCs w:val="24"/>
        </w:rPr>
        <w:t>European General Data Protection Regulation (</w:t>
      </w:r>
      <w:r w:rsidR="00825ED4" w:rsidRPr="00825ED4">
        <w:rPr>
          <w:sz w:val="24"/>
          <w:szCs w:val="24"/>
        </w:rPr>
        <w:t>GDP</w:t>
      </w:r>
      <w:r w:rsidR="003808DE">
        <w:rPr>
          <w:sz w:val="24"/>
          <w:szCs w:val="24"/>
        </w:rPr>
        <w:t>)</w:t>
      </w:r>
      <w:r w:rsidR="00825ED4" w:rsidRPr="00825ED4">
        <w:rPr>
          <w:sz w:val="24"/>
          <w:szCs w:val="24"/>
        </w:rPr>
        <w:t xml:space="preserve"> applies where an information society service (ISS) </w:t>
      </w:r>
      <w:r w:rsidR="00825ED4">
        <w:rPr>
          <w:sz w:val="24"/>
          <w:szCs w:val="24"/>
        </w:rPr>
        <w:t xml:space="preserve">is being offered </w:t>
      </w:r>
      <w:r w:rsidR="00825ED4" w:rsidRPr="00825ED4">
        <w:rPr>
          <w:sz w:val="24"/>
          <w:szCs w:val="24"/>
        </w:rPr>
        <w:t>directly to a child</w:t>
      </w:r>
      <w:r w:rsidR="007573AA">
        <w:rPr>
          <w:sz w:val="24"/>
          <w:szCs w:val="24"/>
        </w:rPr>
        <w:t xml:space="preserve"> </w:t>
      </w:r>
      <w:r w:rsidR="003808DE">
        <w:rPr>
          <w:sz w:val="24"/>
          <w:szCs w:val="24"/>
        </w:rPr>
        <w:t>and regulates the circumstances under which a child can consent to the “processing” of their personal data</w:t>
      </w:r>
      <w:r w:rsidR="00825ED4" w:rsidRPr="00825ED4">
        <w:rPr>
          <w:sz w:val="24"/>
          <w:szCs w:val="24"/>
        </w:rPr>
        <w:t>.</w:t>
      </w:r>
      <w:r w:rsidR="007573AA">
        <w:rPr>
          <w:sz w:val="24"/>
          <w:szCs w:val="24"/>
        </w:rPr>
        <w:t xml:space="preserve"> </w:t>
      </w:r>
      <w:r w:rsidR="00030BB1">
        <w:rPr>
          <w:sz w:val="24"/>
          <w:szCs w:val="24"/>
        </w:rPr>
        <w:t xml:space="preserve">‘Processing’ </w:t>
      </w:r>
      <w:r w:rsidR="007573AA">
        <w:rPr>
          <w:sz w:val="24"/>
          <w:szCs w:val="24"/>
        </w:rPr>
        <w:t>includes both the automated and non-automated c</w:t>
      </w:r>
      <w:r w:rsidR="007573AA" w:rsidRPr="007573AA">
        <w:rPr>
          <w:sz w:val="24"/>
          <w:szCs w:val="24"/>
        </w:rPr>
        <w:t>ollection, use, disclosure</w:t>
      </w:r>
      <w:r w:rsidR="007573AA">
        <w:rPr>
          <w:sz w:val="24"/>
          <w:szCs w:val="24"/>
        </w:rPr>
        <w:t xml:space="preserve">, </w:t>
      </w:r>
      <w:r w:rsidR="007573AA" w:rsidRPr="007573AA">
        <w:rPr>
          <w:sz w:val="24"/>
          <w:szCs w:val="24"/>
        </w:rPr>
        <w:t>erasure or destruction</w:t>
      </w:r>
      <w:r w:rsidR="007573AA">
        <w:rPr>
          <w:sz w:val="24"/>
          <w:szCs w:val="24"/>
        </w:rPr>
        <w:t xml:space="preserve"> of personal data.</w:t>
      </w:r>
      <w:r w:rsidR="000715C6">
        <w:rPr>
          <w:rStyle w:val="FootnoteReference"/>
          <w:sz w:val="24"/>
          <w:szCs w:val="24"/>
        </w:rPr>
        <w:footnoteReference w:id="27"/>
      </w:r>
    </w:p>
    <w:p w14:paraId="274BE8C3" w14:textId="77777777" w:rsidR="00030BB1" w:rsidRDefault="00825ED4" w:rsidP="00825ED4">
      <w:pPr>
        <w:pStyle w:val="BodyText1"/>
        <w:spacing w:after="120" w:line="240" w:lineRule="auto"/>
        <w:jc w:val="both"/>
        <w:rPr>
          <w:sz w:val="24"/>
          <w:szCs w:val="24"/>
        </w:rPr>
      </w:pPr>
      <w:r>
        <w:rPr>
          <w:sz w:val="24"/>
          <w:szCs w:val="24"/>
        </w:rPr>
        <w:t>Article 8</w:t>
      </w:r>
      <w:r w:rsidR="007573AA">
        <w:rPr>
          <w:sz w:val="24"/>
          <w:szCs w:val="24"/>
        </w:rPr>
        <w:t xml:space="preserve"> states that</w:t>
      </w:r>
      <w:r>
        <w:rPr>
          <w:sz w:val="24"/>
          <w:szCs w:val="24"/>
        </w:rPr>
        <w:t xml:space="preserve"> the processing of personal data of a child under 16 years old is only allowed if “consent is given or authorised </w:t>
      </w:r>
      <w:r w:rsidRPr="00825ED4">
        <w:rPr>
          <w:sz w:val="24"/>
          <w:szCs w:val="24"/>
        </w:rPr>
        <w:t>by the holder of parental responsibility over the child</w:t>
      </w:r>
      <w:r w:rsidR="00D57080">
        <w:rPr>
          <w:sz w:val="24"/>
          <w:szCs w:val="24"/>
        </w:rPr>
        <w:t xml:space="preserve">.” </w:t>
      </w:r>
      <w:r w:rsidR="007573AA">
        <w:rPr>
          <w:sz w:val="24"/>
          <w:szCs w:val="24"/>
        </w:rPr>
        <w:t>It</w:t>
      </w:r>
      <w:r w:rsidR="00D57080">
        <w:rPr>
          <w:sz w:val="24"/>
          <w:szCs w:val="24"/>
        </w:rPr>
        <w:t xml:space="preserve"> is the responsib</w:t>
      </w:r>
      <w:r w:rsidR="007573AA">
        <w:rPr>
          <w:sz w:val="24"/>
          <w:szCs w:val="24"/>
        </w:rPr>
        <w:t>ility</w:t>
      </w:r>
      <w:r w:rsidR="00D57080">
        <w:rPr>
          <w:sz w:val="24"/>
          <w:szCs w:val="24"/>
        </w:rPr>
        <w:t xml:space="preserve"> of the ‘controller’</w:t>
      </w:r>
      <w:r w:rsidR="0069524A">
        <w:rPr>
          <w:rStyle w:val="FootnoteReference"/>
          <w:sz w:val="24"/>
          <w:szCs w:val="24"/>
        </w:rPr>
        <w:footnoteReference w:id="28"/>
      </w:r>
      <w:r w:rsidR="0069524A">
        <w:rPr>
          <w:sz w:val="24"/>
          <w:szCs w:val="24"/>
        </w:rPr>
        <w:t xml:space="preserve"> to </w:t>
      </w:r>
      <w:r w:rsidR="00D57080">
        <w:rPr>
          <w:sz w:val="24"/>
          <w:szCs w:val="24"/>
        </w:rPr>
        <w:t>“make reasonable efforts to</w:t>
      </w:r>
      <w:r w:rsidR="00D57080" w:rsidRPr="00D57080">
        <w:rPr>
          <w:sz w:val="24"/>
          <w:szCs w:val="24"/>
        </w:rPr>
        <w:t xml:space="preserve"> verify in such cases that consent is given or authorised by the holder of parental responsibility over the child</w:t>
      </w:r>
      <w:r w:rsidR="00D57080">
        <w:rPr>
          <w:sz w:val="24"/>
          <w:szCs w:val="24"/>
        </w:rPr>
        <w:t>.</w:t>
      </w:r>
      <w:r>
        <w:rPr>
          <w:sz w:val="24"/>
          <w:szCs w:val="24"/>
        </w:rPr>
        <w:t>”</w:t>
      </w:r>
      <w:r w:rsidRPr="009C04D5">
        <w:rPr>
          <w:rStyle w:val="FootnoteReference"/>
          <w:sz w:val="24"/>
          <w:szCs w:val="24"/>
        </w:rPr>
        <w:footnoteReference w:id="29"/>
      </w:r>
      <w:r w:rsidR="00B709DA">
        <w:rPr>
          <w:sz w:val="24"/>
          <w:szCs w:val="24"/>
        </w:rPr>
        <w:t xml:space="preserve"> </w:t>
      </w:r>
      <w:r w:rsidR="0069524A">
        <w:rPr>
          <w:sz w:val="24"/>
          <w:szCs w:val="24"/>
        </w:rPr>
        <w:t>ACCAN endorses the GDPR’s approach</w:t>
      </w:r>
      <w:r w:rsidR="00030BB1">
        <w:rPr>
          <w:sz w:val="24"/>
          <w:szCs w:val="24"/>
        </w:rPr>
        <w:t xml:space="preserve"> because:</w:t>
      </w:r>
    </w:p>
    <w:p w14:paraId="1A328341" w14:textId="04F1BFE6" w:rsidR="00825ED4" w:rsidRDefault="00030BB1" w:rsidP="00030BB1">
      <w:pPr>
        <w:pStyle w:val="BodyText1"/>
        <w:numPr>
          <w:ilvl w:val="0"/>
          <w:numId w:val="20"/>
        </w:numPr>
        <w:spacing w:after="120" w:line="240" w:lineRule="auto"/>
        <w:jc w:val="both"/>
        <w:rPr>
          <w:sz w:val="24"/>
          <w:szCs w:val="24"/>
        </w:rPr>
      </w:pPr>
      <w:r>
        <w:rPr>
          <w:sz w:val="24"/>
          <w:szCs w:val="24"/>
        </w:rPr>
        <w:t>The</w:t>
      </w:r>
      <w:r w:rsidR="0069524A">
        <w:rPr>
          <w:sz w:val="24"/>
          <w:szCs w:val="24"/>
        </w:rPr>
        <w:t xml:space="preserve"> </w:t>
      </w:r>
      <w:r w:rsidR="001B0D91">
        <w:rPr>
          <w:sz w:val="24"/>
          <w:szCs w:val="24"/>
        </w:rPr>
        <w:t xml:space="preserve">responsibility </w:t>
      </w:r>
      <w:r>
        <w:rPr>
          <w:sz w:val="24"/>
          <w:szCs w:val="24"/>
        </w:rPr>
        <w:t>for safe</w:t>
      </w:r>
      <w:r w:rsidR="001B0D91">
        <w:rPr>
          <w:sz w:val="24"/>
          <w:szCs w:val="24"/>
        </w:rPr>
        <w:t xml:space="preserve"> data collection</w:t>
      </w:r>
      <w:r>
        <w:rPr>
          <w:sz w:val="24"/>
          <w:szCs w:val="24"/>
        </w:rPr>
        <w:t xml:space="preserve"> practices is shifted</w:t>
      </w:r>
      <w:r w:rsidR="001B0D91">
        <w:rPr>
          <w:sz w:val="24"/>
          <w:szCs w:val="24"/>
        </w:rPr>
        <w:t xml:space="preserve"> away</w:t>
      </w:r>
      <w:r w:rsidR="0069524A">
        <w:rPr>
          <w:sz w:val="24"/>
          <w:szCs w:val="24"/>
        </w:rPr>
        <w:t xml:space="preserve"> from </w:t>
      </w:r>
      <w:r>
        <w:rPr>
          <w:sz w:val="24"/>
          <w:szCs w:val="24"/>
        </w:rPr>
        <w:t>children, and t</w:t>
      </w:r>
      <w:r w:rsidRPr="009C04D5">
        <w:rPr>
          <w:sz w:val="24"/>
          <w:szCs w:val="24"/>
        </w:rPr>
        <w:t>he obligation to provide adequate privacy protections for children falls to responsible adults including regulators</w:t>
      </w:r>
      <w:r>
        <w:rPr>
          <w:sz w:val="24"/>
          <w:szCs w:val="24"/>
        </w:rPr>
        <w:t>, entities and organisations</w:t>
      </w:r>
      <w:r w:rsidRPr="009C04D5">
        <w:rPr>
          <w:sz w:val="24"/>
          <w:szCs w:val="24"/>
        </w:rPr>
        <w:t>.</w:t>
      </w:r>
    </w:p>
    <w:p w14:paraId="18B6641C" w14:textId="77777777" w:rsidR="00030BB1" w:rsidRDefault="00030BB1" w:rsidP="00030BB1">
      <w:pPr>
        <w:pStyle w:val="BodyText1"/>
        <w:numPr>
          <w:ilvl w:val="0"/>
          <w:numId w:val="20"/>
        </w:numPr>
        <w:spacing w:after="120" w:line="240" w:lineRule="auto"/>
        <w:jc w:val="both"/>
        <w:rPr>
          <w:sz w:val="24"/>
          <w:szCs w:val="24"/>
        </w:rPr>
      </w:pPr>
      <w:r>
        <w:rPr>
          <w:sz w:val="24"/>
          <w:szCs w:val="24"/>
        </w:rPr>
        <w:t xml:space="preserve">A child under 16 years old is regarded as not having </w:t>
      </w:r>
      <w:bookmarkStart w:id="24" w:name="_Hlk58877768"/>
      <w:r w:rsidR="00A74E29" w:rsidRPr="009C04D5">
        <w:rPr>
          <w:sz w:val="24"/>
          <w:szCs w:val="24"/>
        </w:rPr>
        <w:t>the capacity to understand that entities are collecting their personal information and using it for marketing and other purposes</w:t>
      </w:r>
      <w:r>
        <w:rPr>
          <w:sz w:val="24"/>
          <w:szCs w:val="24"/>
        </w:rPr>
        <w:t>.</w:t>
      </w:r>
    </w:p>
    <w:p w14:paraId="7F86F7BA" w14:textId="174057C2" w:rsidR="0025056C" w:rsidRDefault="00030BB1" w:rsidP="00030BB1">
      <w:pPr>
        <w:pStyle w:val="BodyText1"/>
        <w:spacing w:after="120" w:line="240" w:lineRule="auto"/>
        <w:jc w:val="both"/>
        <w:rPr>
          <w:sz w:val="24"/>
          <w:szCs w:val="24"/>
        </w:rPr>
      </w:pPr>
      <w:r w:rsidRPr="00030BB1">
        <w:rPr>
          <w:sz w:val="24"/>
          <w:szCs w:val="24"/>
        </w:rPr>
        <w:t>Th</w:t>
      </w:r>
      <w:r>
        <w:rPr>
          <w:sz w:val="24"/>
          <w:szCs w:val="24"/>
        </w:rPr>
        <w:t>e stri</w:t>
      </w:r>
      <w:r w:rsidR="00B628C5">
        <w:rPr>
          <w:sz w:val="24"/>
          <w:szCs w:val="24"/>
        </w:rPr>
        <w:t>ct 16-year age limit</w:t>
      </w:r>
      <w:r>
        <w:rPr>
          <w:sz w:val="24"/>
          <w:szCs w:val="24"/>
        </w:rPr>
        <w:t xml:space="preserve"> offers greater protection to children than Australian law. </w:t>
      </w:r>
      <w:r w:rsidR="0025056C">
        <w:rPr>
          <w:sz w:val="24"/>
          <w:szCs w:val="24"/>
        </w:rPr>
        <w:t>In Australia, t</w:t>
      </w:r>
      <w:r>
        <w:rPr>
          <w:sz w:val="24"/>
          <w:szCs w:val="24"/>
        </w:rPr>
        <w:t xml:space="preserve">he Act </w:t>
      </w:r>
      <w:r w:rsidRPr="00030BB1">
        <w:rPr>
          <w:sz w:val="24"/>
          <w:szCs w:val="24"/>
        </w:rPr>
        <w:t>doesn’t specify an age after which an individual can make their own privacy decision</w:t>
      </w:r>
      <w:r>
        <w:rPr>
          <w:sz w:val="24"/>
          <w:szCs w:val="24"/>
        </w:rPr>
        <w:t>, and only requires “capacity” – as assessed on a case by case basis - for</w:t>
      </w:r>
      <w:r w:rsidRPr="00030BB1">
        <w:rPr>
          <w:sz w:val="24"/>
          <w:szCs w:val="24"/>
        </w:rPr>
        <w:t xml:space="preserve"> consent to be valid.</w:t>
      </w:r>
      <w:r>
        <w:rPr>
          <w:sz w:val="24"/>
          <w:szCs w:val="24"/>
        </w:rPr>
        <w:t xml:space="preserve"> </w:t>
      </w:r>
      <w:r w:rsidR="0025056C" w:rsidRPr="00030BB1">
        <w:rPr>
          <w:sz w:val="24"/>
          <w:szCs w:val="24"/>
        </w:rPr>
        <w:t>An organisation or agency handling the personal information of an individual under the age of 18 must decide if the individual has the capacity to consent on a case-by-case basis.</w:t>
      </w:r>
      <w:r w:rsidR="0025056C">
        <w:rPr>
          <w:rStyle w:val="FootnoteReference"/>
          <w:sz w:val="24"/>
          <w:szCs w:val="24"/>
        </w:rPr>
        <w:footnoteReference w:id="30"/>
      </w:r>
    </w:p>
    <w:p w14:paraId="43D35F22" w14:textId="3BA5220F" w:rsidR="00030BB1" w:rsidRPr="00030BB1" w:rsidRDefault="0025056C" w:rsidP="00030BB1">
      <w:pPr>
        <w:pStyle w:val="BodyText1"/>
        <w:spacing w:after="120" w:line="240" w:lineRule="auto"/>
        <w:jc w:val="both"/>
        <w:rPr>
          <w:sz w:val="24"/>
          <w:szCs w:val="24"/>
        </w:rPr>
      </w:pPr>
      <w:proofErr w:type="gramStart"/>
      <w:r w:rsidRPr="00030BB1">
        <w:rPr>
          <w:sz w:val="24"/>
          <w:szCs w:val="24"/>
        </w:rPr>
        <w:t>As a general rule</w:t>
      </w:r>
      <w:proofErr w:type="gramEnd"/>
      <w:r w:rsidRPr="00030BB1">
        <w:rPr>
          <w:sz w:val="24"/>
          <w:szCs w:val="24"/>
        </w:rPr>
        <w:t>, an individual under the age of 18 has the capacity to consent if they have the maturity to understand what’s being proposed</w:t>
      </w:r>
      <w:r>
        <w:rPr>
          <w:sz w:val="24"/>
          <w:szCs w:val="24"/>
        </w:rPr>
        <w:t xml:space="preserve">. Where it isn’t </w:t>
      </w:r>
      <w:r w:rsidR="000C5574" w:rsidRPr="000C5574">
        <w:rPr>
          <w:sz w:val="24"/>
          <w:szCs w:val="24"/>
        </w:rPr>
        <w:t xml:space="preserve">practical for an organisation or agency to assess the capacity of individuals on a case-by-case basis, </w:t>
      </w:r>
      <w:r>
        <w:rPr>
          <w:sz w:val="24"/>
          <w:szCs w:val="24"/>
        </w:rPr>
        <w:t xml:space="preserve">they </w:t>
      </w:r>
      <w:r w:rsidR="000C5574" w:rsidRPr="000C5574">
        <w:rPr>
          <w:sz w:val="24"/>
          <w:szCs w:val="24"/>
        </w:rPr>
        <w:t>may assume an individual over the age of 15 has capacity</w:t>
      </w:r>
      <w:r w:rsidR="000C5574">
        <w:rPr>
          <w:sz w:val="24"/>
          <w:szCs w:val="24"/>
        </w:rPr>
        <w:t>.</w:t>
      </w:r>
      <w:r>
        <w:rPr>
          <w:rStyle w:val="FootnoteReference"/>
          <w:sz w:val="24"/>
          <w:szCs w:val="24"/>
        </w:rPr>
        <w:footnoteReference w:id="31"/>
      </w:r>
      <w:r w:rsidR="000C5574">
        <w:rPr>
          <w:sz w:val="24"/>
          <w:szCs w:val="24"/>
        </w:rPr>
        <w:t xml:space="preserve"> </w:t>
      </w:r>
      <w:r w:rsidR="00030BB1">
        <w:rPr>
          <w:sz w:val="24"/>
          <w:szCs w:val="24"/>
        </w:rPr>
        <w:t>The subjectivity of this assessment is problematic both for children and</w:t>
      </w:r>
      <w:r w:rsidR="00B628C5">
        <w:rPr>
          <w:sz w:val="24"/>
          <w:szCs w:val="24"/>
        </w:rPr>
        <w:t xml:space="preserve"> for</w:t>
      </w:r>
      <w:r w:rsidR="00030BB1">
        <w:rPr>
          <w:sz w:val="24"/>
          <w:szCs w:val="24"/>
        </w:rPr>
        <w:t xml:space="preserve"> those with a disability.</w:t>
      </w:r>
    </w:p>
    <w:bookmarkEnd w:id="24"/>
    <w:p w14:paraId="0373862E" w14:textId="6420563B" w:rsidR="00A524EF" w:rsidRDefault="0025056C" w:rsidP="00A74E29">
      <w:pPr>
        <w:pStyle w:val="BodyText1"/>
        <w:spacing w:after="120" w:line="240" w:lineRule="auto"/>
        <w:jc w:val="both"/>
        <w:rPr>
          <w:rFonts w:eastAsiaTheme="minorEastAsia" w:cstheme="minorBidi"/>
          <w:color w:val="auto"/>
          <w:sz w:val="24"/>
          <w:szCs w:val="24"/>
          <w:lang w:eastAsia="en-AU"/>
        </w:rPr>
      </w:pPr>
      <w:r>
        <w:rPr>
          <w:rFonts w:eastAsiaTheme="minorEastAsia" w:cstheme="minorBidi"/>
          <w:color w:val="auto"/>
          <w:sz w:val="24"/>
          <w:szCs w:val="24"/>
          <w:lang w:eastAsia="en-AU"/>
        </w:rPr>
        <w:t>As a result,</w:t>
      </w:r>
      <w:r w:rsidR="00A74E29" w:rsidRPr="009C04D5">
        <w:rPr>
          <w:rFonts w:eastAsiaTheme="minorEastAsia" w:cstheme="minorBidi"/>
          <w:color w:val="auto"/>
          <w:sz w:val="24"/>
          <w:szCs w:val="24"/>
          <w:lang w:eastAsia="en-AU"/>
        </w:rPr>
        <w:t xml:space="preserve"> different standards are applied in different contexts and across different jurisdictions, with minors able to apply for their own Medicare card or TFN or make decisions about health care</w:t>
      </w:r>
      <w:r w:rsidR="00A74E29" w:rsidRPr="009C04D5">
        <w:rPr>
          <w:color w:val="auto"/>
          <w:sz w:val="24"/>
          <w:szCs w:val="24"/>
        </w:rPr>
        <w:t xml:space="preserve"> at </w:t>
      </w:r>
      <w:r w:rsidR="00A74E29" w:rsidRPr="009C04D5">
        <w:rPr>
          <w:rFonts w:eastAsiaTheme="minorEastAsia" w:cstheme="minorBidi"/>
          <w:color w:val="auto"/>
          <w:sz w:val="24"/>
          <w:szCs w:val="24"/>
          <w:lang w:eastAsia="en-AU"/>
        </w:rPr>
        <w:t>different ages.</w:t>
      </w:r>
      <w:r w:rsidR="00A74E29" w:rsidRPr="009C04D5">
        <w:rPr>
          <w:rStyle w:val="FootnoteReference"/>
          <w:rFonts w:eastAsiaTheme="minorEastAsia" w:cstheme="minorBidi"/>
          <w:color w:val="auto"/>
          <w:sz w:val="24"/>
          <w:szCs w:val="24"/>
          <w:lang w:eastAsia="en-AU"/>
        </w:rPr>
        <w:footnoteReference w:id="32"/>
      </w:r>
      <w:r w:rsidR="00A74E29" w:rsidRPr="009C04D5">
        <w:rPr>
          <w:rFonts w:eastAsiaTheme="minorEastAsia" w:cstheme="minorBidi"/>
          <w:color w:val="auto"/>
          <w:sz w:val="24"/>
          <w:szCs w:val="24"/>
          <w:lang w:eastAsia="en-AU"/>
        </w:rPr>
        <w:t xml:space="preserve"> </w:t>
      </w:r>
      <w:r w:rsidR="00F450B7">
        <w:rPr>
          <w:rFonts w:eastAsiaTheme="minorEastAsia" w:cstheme="minorBidi"/>
          <w:color w:val="auto"/>
          <w:sz w:val="24"/>
          <w:szCs w:val="24"/>
          <w:lang w:eastAsia="en-AU"/>
        </w:rPr>
        <w:t xml:space="preserve">ACCAN submits that </w:t>
      </w:r>
      <w:bookmarkStart w:id="25" w:name="_Hlk58960974"/>
      <w:r w:rsidR="00F450B7">
        <w:rPr>
          <w:rFonts w:eastAsiaTheme="minorEastAsia" w:cstheme="minorBidi"/>
          <w:color w:val="auto"/>
          <w:sz w:val="24"/>
          <w:szCs w:val="24"/>
          <w:lang w:eastAsia="en-AU"/>
        </w:rPr>
        <w:t xml:space="preserve">the </w:t>
      </w:r>
      <w:r>
        <w:rPr>
          <w:rFonts w:eastAsiaTheme="minorEastAsia" w:cstheme="minorBidi"/>
          <w:color w:val="auto"/>
          <w:sz w:val="24"/>
          <w:szCs w:val="24"/>
          <w:lang w:eastAsia="en-AU"/>
        </w:rPr>
        <w:t xml:space="preserve">Act should specify that </w:t>
      </w:r>
      <w:r w:rsidR="00F450B7">
        <w:rPr>
          <w:rFonts w:eastAsiaTheme="minorEastAsia" w:cstheme="minorBidi"/>
          <w:color w:val="auto"/>
          <w:sz w:val="24"/>
          <w:szCs w:val="24"/>
          <w:lang w:eastAsia="en-AU"/>
        </w:rPr>
        <w:t xml:space="preserve">children </w:t>
      </w:r>
      <w:r w:rsidR="00F450B7">
        <w:rPr>
          <w:rFonts w:eastAsiaTheme="minorEastAsia" w:cstheme="minorBidi"/>
          <w:color w:val="auto"/>
          <w:sz w:val="24"/>
          <w:szCs w:val="24"/>
          <w:lang w:eastAsia="en-AU"/>
        </w:rPr>
        <w:lastRenderedPageBreak/>
        <w:t>under 1</w:t>
      </w:r>
      <w:r>
        <w:rPr>
          <w:rFonts w:eastAsiaTheme="minorEastAsia" w:cstheme="minorBidi"/>
          <w:color w:val="auto"/>
          <w:sz w:val="24"/>
          <w:szCs w:val="24"/>
          <w:lang w:eastAsia="en-AU"/>
        </w:rPr>
        <w:t>6</w:t>
      </w:r>
      <w:r w:rsidR="00F450B7">
        <w:rPr>
          <w:rFonts w:eastAsiaTheme="minorEastAsia" w:cstheme="minorBidi"/>
          <w:color w:val="auto"/>
          <w:sz w:val="24"/>
          <w:szCs w:val="24"/>
          <w:lang w:eastAsia="en-AU"/>
        </w:rPr>
        <w:t xml:space="preserve"> should not be subject to c</w:t>
      </w:r>
      <w:r w:rsidR="00A74E29" w:rsidRPr="009C04D5">
        <w:rPr>
          <w:rFonts w:eastAsiaTheme="minorEastAsia" w:cstheme="minorBidi"/>
          <w:color w:val="auto"/>
          <w:sz w:val="24"/>
          <w:szCs w:val="24"/>
          <w:lang w:eastAsia="en-AU"/>
        </w:rPr>
        <w:t xml:space="preserve">ollection and processing of personal information </w:t>
      </w:r>
      <w:r w:rsidR="00F450B7">
        <w:rPr>
          <w:rFonts w:eastAsiaTheme="minorEastAsia" w:cstheme="minorBidi"/>
          <w:color w:val="auto"/>
          <w:sz w:val="24"/>
          <w:szCs w:val="24"/>
          <w:lang w:eastAsia="en-AU"/>
        </w:rPr>
        <w:t xml:space="preserve">by </w:t>
      </w:r>
      <w:bookmarkEnd w:id="25"/>
      <w:r w:rsidR="00F450B7">
        <w:rPr>
          <w:rFonts w:eastAsiaTheme="minorEastAsia" w:cstheme="minorBidi"/>
          <w:color w:val="auto"/>
          <w:sz w:val="24"/>
          <w:szCs w:val="24"/>
          <w:lang w:eastAsia="en-AU"/>
        </w:rPr>
        <w:t>organisations and entities without the express authorisation of a responsible adult</w:t>
      </w:r>
      <w:r>
        <w:rPr>
          <w:rFonts w:eastAsiaTheme="minorEastAsia" w:cstheme="minorBidi"/>
          <w:color w:val="auto"/>
          <w:sz w:val="24"/>
          <w:szCs w:val="24"/>
          <w:lang w:eastAsia="en-AU"/>
        </w:rPr>
        <w:t>, as per Article 8 of the GDPR</w:t>
      </w:r>
      <w:r w:rsidR="00A74E29" w:rsidRPr="009C04D5">
        <w:rPr>
          <w:rFonts w:eastAsiaTheme="minorEastAsia" w:cstheme="minorBidi"/>
          <w:color w:val="auto"/>
          <w:sz w:val="24"/>
          <w:szCs w:val="24"/>
          <w:lang w:eastAsia="en-AU"/>
        </w:rPr>
        <w:t>.</w:t>
      </w:r>
    </w:p>
    <w:p w14:paraId="4798F8DD" w14:textId="08A08015" w:rsidR="0047717F" w:rsidRPr="0047717F" w:rsidRDefault="0047717F" w:rsidP="0047717F">
      <w:pPr>
        <w:pStyle w:val="Recommendation"/>
        <w:numPr>
          <w:ilvl w:val="0"/>
          <w:numId w:val="0"/>
        </w:numPr>
        <w:spacing w:before="0" w:beforeAutospacing="0" w:after="120" w:afterAutospacing="0"/>
        <w:ind w:left="851"/>
        <w:rPr>
          <w:rFonts w:asciiTheme="minorHAnsi" w:hAnsiTheme="minorHAnsi"/>
          <w:sz w:val="24"/>
          <w:szCs w:val="24"/>
        </w:rPr>
      </w:pPr>
      <w:r w:rsidRPr="00A51F55">
        <w:rPr>
          <w:rFonts w:asciiTheme="minorHAnsi" w:hAnsiTheme="minorHAnsi"/>
          <w:b/>
          <w:bCs/>
          <w:sz w:val="24"/>
          <w:szCs w:val="24"/>
        </w:rPr>
        <w:t xml:space="preserve">Recommendation 4: </w:t>
      </w:r>
      <w:r w:rsidRPr="00A51F55">
        <w:rPr>
          <w:rFonts w:asciiTheme="minorHAnsi" w:hAnsiTheme="minorHAnsi"/>
          <w:sz w:val="24"/>
          <w:szCs w:val="24"/>
        </w:rPr>
        <w:t>Children under the age of 16 may only have their personal information processed with the express consent of a responsible adult.</w:t>
      </w:r>
    </w:p>
    <w:p w14:paraId="63359F9D" w14:textId="654F8ADE" w:rsidR="00B84167" w:rsidRPr="00D307A4" w:rsidRDefault="00A74E29" w:rsidP="00D307A4">
      <w:pPr>
        <w:pStyle w:val="Heading3"/>
        <w:numPr>
          <w:ilvl w:val="0"/>
          <w:numId w:val="0"/>
        </w:numPr>
        <w:ind w:left="851" w:hanging="851"/>
        <w:rPr>
          <w:b/>
          <w:bCs w:val="0"/>
        </w:rPr>
      </w:pPr>
      <w:bookmarkStart w:id="26" w:name="_Toc58970247"/>
      <w:r w:rsidRPr="00D307A4">
        <w:rPr>
          <w:b/>
          <w:bCs w:val="0"/>
        </w:rPr>
        <w:t>IoT devices and emerging technologies</w:t>
      </w:r>
      <w:bookmarkEnd w:id="26"/>
    </w:p>
    <w:p w14:paraId="78D393C3" w14:textId="5894E582" w:rsidR="00A74E29" w:rsidRPr="002D4EED" w:rsidRDefault="00A74E29" w:rsidP="00B84167">
      <w:pPr>
        <w:pStyle w:val="BodyText1"/>
        <w:spacing w:after="120" w:line="240" w:lineRule="auto"/>
        <w:jc w:val="both"/>
        <w:rPr>
          <w:b/>
          <w:bCs/>
          <w:sz w:val="24"/>
          <w:szCs w:val="24"/>
        </w:rPr>
      </w:pPr>
      <w:r w:rsidRPr="002D4EED">
        <w:rPr>
          <w:sz w:val="24"/>
          <w:szCs w:val="24"/>
        </w:rPr>
        <w:t xml:space="preserve">The use of Internet of Things (IoT) enabled devices is accelerating in Australia, and yet there are limited market-based incentives for Australian IoT device manufacturers to provide consumer protection measures or regulations to ensure consumers are properly informed that their data is being collected.  </w:t>
      </w:r>
    </w:p>
    <w:p w14:paraId="3B415AD0" w14:textId="77777777" w:rsidR="004A60A6" w:rsidRPr="002D4EED" w:rsidRDefault="00A74E29" w:rsidP="00A74E29">
      <w:pPr>
        <w:spacing w:after="120"/>
        <w:jc w:val="both"/>
        <w:rPr>
          <w:rFonts w:asciiTheme="minorHAnsi" w:hAnsiTheme="minorHAnsi" w:cstheme="minorHAnsi"/>
          <w:sz w:val="24"/>
          <w:szCs w:val="24"/>
        </w:rPr>
      </w:pPr>
      <w:r w:rsidRPr="002D4EED">
        <w:rPr>
          <w:rFonts w:asciiTheme="minorHAnsi" w:hAnsiTheme="minorHAnsi" w:cstheme="minorHAnsi"/>
          <w:sz w:val="24"/>
          <w:szCs w:val="24"/>
        </w:rPr>
        <w:t xml:space="preserve">Currently, IoT devices present </w:t>
      </w:r>
      <w:proofErr w:type="gramStart"/>
      <w:r w:rsidRPr="002D4EED">
        <w:rPr>
          <w:rFonts w:asciiTheme="minorHAnsi" w:hAnsiTheme="minorHAnsi" w:cstheme="minorHAnsi"/>
          <w:sz w:val="24"/>
          <w:szCs w:val="24"/>
        </w:rPr>
        <w:t>a number of</w:t>
      </w:r>
      <w:proofErr w:type="gramEnd"/>
      <w:r w:rsidRPr="002D4EED">
        <w:rPr>
          <w:rFonts w:asciiTheme="minorHAnsi" w:hAnsiTheme="minorHAnsi" w:cstheme="minorHAnsi"/>
          <w:sz w:val="24"/>
          <w:szCs w:val="24"/>
        </w:rPr>
        <w:t xml:space="preserve"> challenges in terms of consent</w:t>
      </w:r>
      <w:r w:rsidR="004A60A6" w:rsidRPr="002D4EED">
        <w:rPr>
          <w:rFonts w:asciiTheme="minorHAnsi" w:hAnsiTheme="minorHAnsi" w:cstheme="minorHAnsi"/>
          <w:sz w:val="24"/>
          <w:szCs w:val="24"/>
        </w:rPr>
        <w:t>:</w:t>
      </w:r>
    </w:p>
    <w:p w14:paraId="65F77CBA" w14:textId="7D69E254" w:rsidR="00A57BC8" w:rsidRPr="00A57BC8" w:rsidRDefault="00A57BC8" w:rsidP="00CC7246">
      <w:pPr>
        <w:pStyle w:val="ListParagraph"/>
        <w:numPr>
          <w:ilvl w:val="0"/>
          <w:numId w:val="23"/>
        </w:numPr>
        <w:spacing w:after="120"/>
        <w:jc w:val="both"/>
        <w:rPr>
          <w:rFonts w:asciiTheme="minorHAnsi" w:hAnsiTheme="minorHAnsi" w:cstheme="minorHAnsi"/>
          <w:sz w:val="24"/>
          <w:szCs w:val="24"/>
        </w:rPr>
      </w:pPr>
      <w:r>
        <w:rPr>
          <w:rFonts w:asciiTheme="minorHAnsi" w:hAnsiTheme="minorHAnsi" w:cstheme="minorHAnsi"/>
          <w:sz w:val="24"/>
          <w:szCs w:val="24"/>
        </w:rPr>
        <w:t>An</w:t>
      </w:r>
      <w:r w:rsidRPr="002D4EED">
        <w:rPr>
          <w:rFonts w:asciiTheme="minorHAnsi" w:hAnsiTheme="minorHAnsi" w:cstheme="minorHAnsi"/>
          <w:sz w:val="24"/>
          <w:szCs w:val="24"/>
        </w:rPr>
        <w:t xml:space="preserve"> enforceable data privacy regulatory framework </w:t>
      </w:r>
      <w:r>
        <w:rPr>
          <w:rFonts w:asciiTheme="minorHAnsi" w:hAnsiTheme="minorHAnsi" w:cstheme="minorHAnsi"/>
          <w:sz w:val="24"/>
          <w:szCs w:val="24"/>
        </w:rPr>
        <w:t xml:space="preserve">is needed to ensure consumers provide genuinely informed consent to use IoT products and services </w:t>
      </w:r>
      <w:r w:rsidRPr="002D4EED">
        <w:rPr>
          <w:rFonts w:asciiTheme="minorHAnsi" w:hAnsiTheme="minorHAnsi" w:cstheme="minorHAnsi"/>
          <w:sz w:val="24"/>
          <w:szCs w:val="24"/>
        </w:rPr>
        <w:t>in full knowledge of the risks involved.</w:t>
      </w:r>
    </w:p>
    <w:p w14:paraId="2AA25FC1" w14:textId="77777777" w:rsidR="00A57BC8" w:rsidRDefault="004A60A6" w:rsidP="00A74E29">
      <w:pPr>
        <w:pStyle w:val="ListParagraph"/>
        <w:numPr>
          <w:ilvl w:val="0"/>
          <w:numId w:val="23"/>
        </w:numPr>
        <w:spacing w:after="120"/>
        <w:jc w:val="both"/>
        <w:rPr>
          <w:rFonts w:asciiTheme="minorHAnsi" w:hAnsiTheme="minorHAnsi" w:cstheme="minorHAnsi"/>
          <w:sz w:val="24"/>
          <w:szCs w:val="24"/>
        </w:rPr>
      </w:pPr>
      <w:r w:rsidRPr="002D4EED">
        <w:rPr>
          <w:rFonts w:asciiTheme="minorHAnsi" w:hAnsiTheme="minorHAnsi" w:cstheme="minorHAnsi"/>
          <w:sz w:val="24"/>
          <w:szCs w:val="24"/>
        </w:rPr>
        <w:t>R</w:t>
      </w:r>
      <w:r w:rsidR="00A74E29" w:rsidRPr="002D4EED">
        <w:rPr>
          <w:rFonts w:asciiTheme="minorHAnsi" w:hAnsiTheme="minorHAnsi" w:cstheme="minorHAnsi"/>
          <w:sz w:val="24"/>
          <w:szCs w:val="24"/>
        </w:rPr>
        <w:t xml:space="preserve">egulations should be introduced to mandate privacy by design in IoT devices to protect consumers. </w:t>
      </w:r>
    </w:p>
    <w:p w14:paraId="7CEAF2E1" w14:textId="0EBE5657" w:rsidR="00A74E29" w:rsidRPr="00A57BC8" w:rsidRDefault="004A60A6" w:rsidP="00A57BC8">
      <w:pPr>
        <w:pStyle w:val="ListParagraph"/>
        <w:numPr>
          <w:ilvl w:val="0"/>
          <w:numId w:val="23"/>
        </w:numPr>
        <w:jc w:val="both"/>
        <w:rPr>
          <w:rFonts w:asciiTheme="minorHAnsi" w:hAnsiTheme="minorHAnsi" w:cstheme="minorHAnsi"/>
          <w:sz w:val="24"/>
          <w:szCs w:val="24"/>
        </w:rPr>
      </w:pPr>
      <w:r w:rsidRPr="00A57BC8">
        <w:rPr>
          <w:rFonts w:asciiTheme="minorHAnsi" w:hAnsiTheme="minorHAnsi" w:cstheme="minorHAnsi"/>
          <w:sz w:val="24"/>
          <w:szCs w:val="24"/>
        </w:rPr>
        <w:t>C</w:t>
      </w:r>
      <w:r w:rsidR="00A74E29" w:rsidRPr="00A57BC8">
        <w:rPr>
          <w:rFonts w:asciiTheme="minorHAnsi" w:hAnsiTheme="minorHAnsi" w:cstheme="minorHAnsi"/>
          <w:sz w:val="24"/>
          <w:szCs w:val="24"/>
        </w:rPr>
        <w:t xml:space="preserve">onsent </w:t>
      </w:r>
      <w:r w:rsidRPr="00A57BC8">
        <w:rPr>
          <w:rFonts w:asciiTheme="minorHAnsi" w:hAnsiTheme="minorHAnsi" w:cstheme="minorHAnsi"/>
          <w:sz w:val="24"/>
          <w:szCs w:val="24"/>
        </w:rPr>
        <w:t xml:space="preserve">for the use of IoT devices intended for use by an entire household such </w:t>
      </w:r>
      <w:r w:rsidR="00A57BC8" w:rsidRPr="00A57BC8">
        <w:rPr>
          <w:rFonts w:asciiTheme="minorHAnsi" w:hAnsiTheme="minorHAnsi" w:cstheme="minorHAnsi"/>
          <w:sz w:val="24"/>
          <w:szCs w:val="24"/>
        </w:rPr>
        <w:t>(e.g. G</w:t>
      </w:r>
      <w:r w:rsidRPr="00A57BC8">
        <w:rPr>
          <w:rFonts w:asciiTheme="minorHAnsi" w:hAnsiTheme="minorHAnsi" w:cstheme="minorHAnsi"/>
          <w:sz w:val="24"/>
          <w:szCs w:val="24"/>
        </w:rPr>
        <w:t>oogle Nest</w:t>
      </w:r>
      <w:r w:rsidR="00A57BC8" w:rsidRPr="00A57BC8">
        <w:rPr>
          <w:rFonts w:asciiTheme="minorHAnsi" w:hAnsiTheme="minorHAnsi" w:cstheme="minorHAnsi"/>
          <w:sz w:val="24"/>
          <w:szCs w:val="24"/>
        </w:rPr>
        <w:t>,</w:t>
      </w:r>
      <w:r w:rsidRPr="00A57BC8">
        <w:rPr>
          <w:rFonts w:asciiTheme="minorHAnsi" w:hAnsiTheme="minorHAnsi" w:cstheme="minorHAnsi"/>
          <w:sz w:val="24"/>
          <w:szCs w:val="24"/>
        </w:rPr>
        <w:t xml:space="preserve"> Alexa</w:t>
      </w:r>
      <w:r w:rsidR="00A57BC8" w:rsidRPr="00A57BC8">
        <w:rPr>
          <w:rFonts w:asciiTheme="minorHAnsi" w:hAnsiTheme="minorHAnsi" w:cstheme="minorHAnsi"/>
          <w:sz w:val="24"/>
          <w:szCs w:val="24"/>
        </w:rPr>
        <w:t>)</w:t>
      </w:r>
      <w:r w:rsidRPr="00A57BC8">
        <w:rPr>
          <w:rFonts w:asciiTheme="minorHAnsi" w:hAnsiTheme="minorHAnsi" w:cstheme="minorHAnsi"/>
          <w:sz w:val="24"/>
          <w:szCs w:val="24"/>
        </w:rPr>
        <w:t xml:space="preserve"> </w:t>
      </w:r>
      <w:r w:rsidR="00A57BC8" w:rsidRPr="00A57BC8">
        <w:rPr>
          <w:rFonts w:asciiTheme="minorHAnsi" w:hAnsiTheme="minorHAnsi" w:cstheme="minorHAnsi"/>
          <w:sz w:val="24"/>
          <w:szCs w:val="24"/>
        </w:rPr>
        <w:t>must be</w:t>
      </w:r>
      <w:r w:rsidR="00A74E29" w:rsidRPr="00A57BC8">
        <w:rPr>
          <w:rFonts w:asciiTheme="minorHAnsi" w:hAnsiTheme="minorHAnsi" w:cstheme="minorHAnsi"/>
          <w:sz w:val="24"/>
          <w:szCs w:val="24"/>
        </w:rPr>
        <w:t xml:space="preserve"> </w:t>
      </w:r>
      <w:r w:rsidR="00A74E29" w:rsidRPr="00A57BC8">
        <w:rPr>
          <w:rFonts w:asciiTheme="minorHAnsi" w:eastAsiaTheme="minorEastAsia" w:hAnsiTheme="minorHAnsi" w:cstheme="minorHAnsi"/>
          <w:sz w:val="24"/>
          <w:szCs w:val="24"/>
          <w:lang w:eastAsia="en-AU"/>
        </w:rPr>
        <w:t>‘unbundled’</w:t>
      </w:r>
      <w:r w:rsidR="00A57BC8" w:rsidRPr="00A57BC8">
        <w:rPr>
          <w:rFonts w:asciiTheme="minorHAnsi" w:hAnsiTheme="minorHAnsi" w:cstheme="minorHAnsi"/>
          <w:sz w:val="24"/>
          <w:szCs w:val="24"/>
        </w:rPr>
        <w:t xml:space="preserve"> to be meaningful</w:t>
      </w:r>
      <w:r w:rsidR="00A74E29" w:rsidRPr="00A57BC8">
        <w:rPr>
          <w:rFonts w:cstheme="minorHAnsi"/>
          <w:sz w:val="24"/>
          <w:szCs w:val="24"/>
        </w:rPr>
        <w:t>.</w:t>
      </w:r>
      <w:r w:rsidR="00A57BC8">
        <w:rPr>
          <w:rStyle w:val="FootnoteReference"/>
          <w:rFonts w:cstheme="minorHAnsi"/>
          <w:sz w:val="24"/>
          <w:szCs w:val="24"/>
        </w:rPr>
        <w:footnoteReference w:id="33"/>
      </w:r>
    </w:p>
    <w:p w14:paraId="2FEC913D" w14:textId="28DBCE67" w:rsidR="00AF3EC2" w:rsidRPr="00A51F55" w:rsidRDefault="00F26FDB" w:rsidP="000A46FD">
      <w:pPr>
        <w:pStyle w:val="Recommendation"/>
        <w:numPr>
          <w:ilvl w:val="0"/>
          <w:numId w:val="0"/>
        </w:numPr>
        <w:spacing w:before="0" w:beforeAutospacing="0" w:after="120" w:afterAutospacing="0"/>
        <w:ind w:left="851"/>
        <w:rPr>
          <w:rFonts w:asciiTheme="minorHAnsi" w:hAnsiTheme="minorHAnsi"/>
          <w:sz w:val="24"/>
          <w:szCs w:val="24"/>
        </w:rPr>
      </w:pPr>
      <w:r w:rsidRPr="00A51F55">
        <w:rPr>
          <w:rFonts w:asciiTheme="minorHAnsi" w:hAnsiTheme="minorHAnsi"/>
          <w:b/>
          <w:bCs/>
          <w:sz w:val="24"/>
          <w:szCs w:val="24"/>
        </w:rPr>
        <w:t>Recommendation</w:t>
      </w:r>
      <w:r w:rsidR="00A51F55" w:rsidRPr="00A51F55">
        <w:rPr>
          <w:rFonts w:asciiTheme="minorHAnsi" w:hAnsiTheme="minorHAnsi"/>
          <w:b/>
          <w:bCs/>
          <w:sz w:val="24"/>
          <w:szCs w:val="24"/>
        </w:rPr>
        <w:t xml:space="preserve"> 5</w:t>
      </w:r>
      <w:r w:rsidRPr="00A51F55">
        <w:rPr>
          <w:rFonts w:asciiTheme="minorHAnsi" w:hAnsiTheme="minorHAnsi"/>
          <w:b/>
          <w:bCs/>
          <w:sz w:val="24"/>
          <w:szCs w:val="24"/>
        </w:rPr>
        <w:t>:</w:t>
      </w:r>
      <w:r w:rsidR="000A46FD" w:rsidRPr="00A51F55">
        <w:rPr>
          <w:rFonts w:asciiTheme="minorHAnsi" w:hAnsiTheme="minorHAnsi"/>
          <w:sz w:val="24"/>
          <w:szCs w:val="24"/>
        </w:rPr>
        <w:t xml:space="preserve"> </w:t>
      </w:r>
      <w:r w:rsidR="00AF3EC2" w:rsidRPr="00A51F55">
        <w:rPr>
          <w:rFonts w:asciiTheme="minorHAnsi" w:hAnsiTheme="minorHAnsi"/>
          <w:sz w:val="24"/>
          <w:szCs w:val="24"/>
        </w:rPr>
        <w:t>Regulations should be introduced to mandate privacy by design in IoT devices to protect consumers.</w:t>
      </w:r>
    </w:p>
    <w:p w14:paraId="274351AE" w14:textId="66F88F72" w:rsidR="00AF3EC2" w:rsidRDefault="000A46FD" w:rsidP="000A46FD">
      <w:pPr>
        <w:pStyle w:val="Recommendation"/>
        <w:numPr>
          <w:ilvl w:val="0"/>
          <w:numId w:val="0"/>
        </w:numPr>
        <w:spacing w:before="0" w:beforeAutospacing="0" w:after="120" w:afterAutospacing="0"/>
        <w:ind w:left="851"/>
        <w:rPr>
          <w:rFonts w:asciiTheme="minorHAnsi" w:hAnsiTheme="minorHAnsi"/>
          <w:sz w:val="24"/>
          <w:szCs w:val="24"/>
        </w:rPr>
      </w:pPr>
      <w:r w:rsidRPr="00A51F55">
        <w:rPr>
          <w:rFonts w:asciiTheme="minorHAnsi" w:hAnsiTheme="minorHAnsi"/>
          <w:b/>
          <w:bCs/>
          <w:sz w:val="24"/>
          <w:szCs w:val="24"/>
        </w:rPr>
        <w:t xml:space="preserve">Recommendation </w:t>
      </w:r>
      <w:r w:rsidR="00A51F55" w:rsidRPr="00A51F55">
        <w:rPr>
          <w:rFonts w:asciiTheme="minorHAnsi" w:hAnsiTheme="minorHAnsi"/>
          <w:b/>
          <w:bCs/>
          <w:sz w:val="24"/>
          <w:szCs w:val="24"/>
        </w:rPr>
        <w:t>6</w:t>
      </w:r>
      <w:r w:rsidRPr="00A51F55">
        <w:rPr>
          <w:rFonts w:asciiTheme="minorHAnsi" w:hAnsiTheme="minorHAnsi"/>
          <w:b/>
          <w:bCs/>
          <w:sz w:val="24"/>
          <w:szCs w:val="24"/>
        </w:rPr>
        <w:t>:</w:t>
      </w:r>
      <w:r w:rsidRPr="00A51F55">
        <w:rPr>
          <w:rFonts w:asciiTheme="minorHAnsi" w:hAnsiTheme="minorHAnsi"/>
          <w:sz w:val="24"/>
          <w:szCs w:val="24"/>
        </w:rPr>
        <w:t xml:space="preserve"> </w:t>
      </w:r>
      <w:r w:rsidR="00AF3EC2" w:rsidRPr="00A51F55">
        <w:rPr>
          <w:rFonts w:asciiTheme="minorHAnsi" w:hAnsiTheme="minorHAnsi"/>
          <w:sz w:val="24"/>
          <w:szCs w:val="24"/>
        </w:rPr>
        <w:t xml:space="preserve">Consent to </w:t>
      </w:r>
      <w:r w:rsidR="00F26FDB" w:rsidRPr="00A51F55">
        <w:rPr>
          <w:rFonts w:asciiTheme="minorHAnsi" w:hAnsiTheme="minorHAnsi"/>
          <w:sz w:val="24"/>
          <w:szCs w:val="24"/>
        </w:rPr>
        <w:t xml:space="preserve">the </w:t>
      </w:r>
      <w:r w:rsidR="00AF3EC2" w:rsidRPr="00A51F55">
        <w:rPr>
          <w:rFonts w:asciiTheme="minorHAnsi" w:hAnsiTheme="minorHAnsi"/>
          <w:sz w:val="24"/>
          <w:szCs w:val="24"/>
        </w:rPr>
        <w:t>use of IoT devices used by more than one person should be ‘unbundled’</w:t>
      </w:r>
      <w:r w:rsidR="004A60A6" w:rsidRPr="00A51F55">
        <w:rPr>
          <w:rFonts w:asciiTheme="minorHAnsi" w:hAnsiTheme="minorHAnsi"/>
          <w:sz w:val="24"/>
          <w:szCs w:val="24"/>
        </w:rPr>
        <w:t xml:space="preserve"> to facilitate genuine consent by </w:t>
      </w:r>
      <w:proofErr w:type="gramStart"/>
      <w:r w:rsidR="00F26FDB" w:rsidRPr="00A51F55">
        <w:rPr>
          <w:rFonts w:asciiTheme="minorHAnsi" w:hAnsiTheme="minorHAnsi"/>
          <w:sz w:val="24"/>
          <w:szCs w:val="24"/>
        </w:rPr>
        <w:t xml:space="preserve">each </w:t>
      </w:r>
      <w:r w:rsidR="004A60A6" w:rsidRPr="00A51F55">
        <w:rPr>
          <w:rFonts w:asciiTheme="minorHAnsi" w:hAnsiTheme="minorHAnsi"/>
          <w:sz w:val="24"/>
          <w:szCs w:val="24"/>
        </w:rPr>
        <w:t>individual</w:t>
      </w:r>
      <w:proofErr w:type="gramEnd"/>
      <w:r w:rsidR="00AF3EC2" w:rsidRPr="00A51F55">
        <w:rPr>
          <w:rFonts w:asciiTheme="minorHAnsi" w:hAnsiTheme="minorHAnsi"/>
          <w:sz w:val="24"/>
          <w:szCs w:val="24"/>
        </w:rPr>
        <w:t>.</w:t>
      </w:r>
    </w:p>
    <w:p w14:paraId="7137E329" w14:textId="77777777" w:rsidR="00B84167" w:rsidRPr="00D307A4" w:rsidRDefault="00A74E29" w:rsidP="00D307A4">
      <w:pPr>
        <w:pStyle w:val="Heading3"/>
        <w:numPr>
          <w:ilvl w:val="0"/>
          <w:numId w:val="0"/>
        </w:numPr>
        <w:ind w:left="851" w:hanging="851"/>
        <w:rPr>
          <w:b/>
          <w:bCs w:val="0"/>
        </w:rPr>
      </w:pPr>
      <w:bookmarkStart w:id="27" w:name="_Toc58970248"/>
      <w:r w:rsidRPr="00D307A4">
        <w:rPr>
          <w:b/>
          <w:bCs w:val="0"/>
        </w:rPr>
        <w:t>Direct marketing</w:t>
      </w:r>
      <w:bookmarkEnd w:id="27"/>
    </w:p>
    <w:p w14:paraId="01898B79" w14:textId="254C0A67" w:rsidR="00A74E29" w:rsidRPr="009C04D5" w:rsidRDefault="00A74E29" w:rsidP="00B84167">
      <w:pPr>
        <w:pStyle w:val="BodyText1"/>
        <w:spacing w:after="120" w:line="240" w:lineRule="auto"/>
        <w:jc w:val="both"/>
        <w:rPr>
          <w:b/>
          <w:bCs/>
          <w:sz w:val="24"/>
          <w:szCs w:val="24"/>
        </w:rPr>
      </w:pPr>
      <w:r w:rsidRPr="009C04D5">
        <w:rPr>
          <w:sz w:val="24"/>
          <w:szCs w:val="24"/>
        </w:rPr>
        <w:t>APP 7 is inadequate to regulate the collection and use of personal information for direct marketing purposes.</w:t>
      </w:r>
      <w:r w:rsidRPr="009C04D5">
        <w:rPr>
          <w:rStyle w:val="FootnoteReference"/>
          <w:sz w:val="24"/>
          <w:szCs w:val="24"/>
        </w:rPr>
        <w:footnoteReference w:id="34"/>
      </w:r>
    </w:p>
    <w:p w14:paraId="14B84513" w14:textId="77777777" w:rsidR="00A74E29" w:rsidRPr="009C04D5" w:rsidRDefault="00A74E29" w:rsidP="00A74E29">
      <w:pPr>
        <w:spacing w:after="120"/>
        <w:jc w:val="both"/>
        <w:rPr>
          <w:rFonts w:eastAsia="Calibri" w:cstheme="minorHAnsi"/>
          <w:color w:val="000000"/>
          <w:sz w:val="24"/>
          <w:szCs w:val="24"/>
          <w:lang w:eastAsia="en-US"/>
        </w:rPr>
      </w:pPr>
      <w:r w:rsidRPr="009C04D5">
        <w:rPr>
          <w:rFonts w:eastAsia="Calibri" w:cstheme="minorHAnsi"/>
          <w:color w:val="000000"/>
          <w:sz w:val="24"/>
          <w:szCs w:val="24"/>
          <w:lang w:eastAsia="en-US"/>
        </w:rPr>
        <w:lastRenderedPageBreak/>
        <w:t xml:space="preserve">First, the extensive exemptions to APP 7 include all businesses and not-for-profit organisations with an annual turnover of less than $3 million, some small businesses and businesses not categorised as ‘organisations’ under the Act. As discussed above, businesses of all sizes are now able to collect and use online personal information for direct marketing purposes, which makes these exemptions outdated and undermines the consumer protection that the </w:t>
      </w:r>
      <w:r w:rsidRPr="009C04D5">
        <w:rPr>
          <w:rFonts w:eastAsia="Calibri" w:cstheme="minorHAnsi"/>
          <w:i/>
          <w:iCs/>
          <w:color w:val="000000"/>
          <w:sz w:val="24"/>
          <w:szCs w:val="24"/>
          <w:lang w:eastAsia="en-US"/>
        </w:rPr>
        <w:t>Privacy Act</w:t>
      </w:r>
      <w:r w:rsidRPr="009C04D5">
        <w:rPr>
          <w:rFonts w:eastAsia="Calibri" w:cstheme="minorHAnsi"/>
          <w:color w:val="000000"/>
          <w:sz w:val="24"/>
          <w:szCs w:val="24"/>
          <w:lang w:eastAsia="en-US"/>
        </w:rPr>
        <w:t xml:space="preserve"> was intended to enable. </w:t>
      </w:r>
    </w:p>
    <w:p w14:paraId="7C3EB281" w14:textId="77777777" w:rsidR="00A74E29" w:rsidRPr="009C04D5" w:rsidRDefault="00A74E29" w:rsidP="00A74E29">
      <w:pPr>
        <w:spacing w:after="120"/>
        <w:jc w:val="both"/>
        <w:rPr>
          <w:rFonts w:eastAsia="Calibri" w:cstheme="minorHAnsi"/>
          <w:color w:val="000000"/>
          <w:sz w:val="24"/>
          <w:szCs w:val="24"/>
          <w:lang w:eastAsia="en-US"/>
        </w:rPr>
      </w:pPr>
      <w:r w:rsidRPr="009C04D5">
        <w:rPr>
          <w:rFonts w:eastAsia="Calibri" w:cstheme="minorHAnsi"/>
          <w:color w:val="000000"/>
          <w:sz w:val="24"/>
          <w:szCs w:val="24"/>
          <w:lang w:eastAsia="en-US"/>
        </w:rPr>
        <w:t>Second, the limited definition of ‘personal information’ in the Act means there are many forms of information that analytics can manipulate for the purposes of personalised marketing communications which are not protected under APP 7. The APP fails to include online identifiers and other individuation techniques which can be used for direct marketing - to curate targeted advertising, personalise content and individualise political messaging - based on automatically generated user profiles.</w:t>
      </w:r>
    </w:p>
    <w:p w14:paraId="0C530AF2" w14:textId="77777777" w:rsidR="00A74E29" w:rsidRPr="009C04D5" w:rsidRDefault="00A74E29" w:rsidP="00A74E29">
      <w:pPr>
        <w:spacing w:after="120"/>
        <w:jc w:val="both"/>
        <w:rPr>
          <w:rFonts w:eastAsia="Calibri" w:cstheme="minorHAnsi"/>
          <w:color w:val="000000"/>
          <w:sz w:val="24"/>
          <w:szCs w:val="24"/>
          <w:lang w:eastAsia="en-US"/>
        </w:rPr>
      </w:pPr>
      <w:r w:rsidRPr="009C04D5">
        <w:rPr>
          <w:rFonts w:eastAsia="Calibri" w:cstheme="minorHAnsi"/>
          <w:color w:val="000000"/>
          <w:sz w:val="24"/>
          <w:szCs w:val="24"/>
          <w:lang w:eastAsia="en-US"/>
        </w:rPr>
        <w:t>Third, as discussed above, there are limitations in consumers providing genuinely informed consent when agreeing to have their personal data collected and disclosed by collecting organisations and third parties.</w:t>
      </w:r>
    </w:p>
    <w:p w14:paraId="68D79C63" w14:textId="77777777" w:rsidR="00A74E29" w:rsidRPr="009C04D5" w:rsidRDefault="00A74E29" w:rsidP="00A74E29">
      <w:pPr>
        <w:spacing w:after="120"/>
        <w:jc w:val="both"/>
        <w:rPr>
          <w:rFonts w:eastAsia="Calibri" w:cstheme="minorHAnsi"/>
          <w:color w:val="000000" w:themeColor="text1"/>
          <w:sz w:val="24"/>
          <w:szCs w:val="24"/>
          <w:lang w:eastAsia="en-US"/>
        </w:rPr>
      </w:pPr>
      <w:r w:rsidRPr="009C04D5">
        <w:rPr>
          <w:rFonts w:eastAsia="Calibri" w:cstheme="minorHAnsi"/>
          <w:color w:val="000000" w:themeColor="text1"/>
          <w:sz w:val="24"/>
          <w:szCs w:val="24"/>
          <w:lang w:eastAsia="en-US"/>
        </w:rPr>
        <w:t>ACCAN considers that more stringent regulation is required for:</w:t>
      </w:r>
    </w:p>
    <w:p w14:paraId="32975DD4" w14:textId="77777777" w:rsidR="00A74E29" w:rsidRPr="009C04D5" w:rsidRDefault="00A74E29" w:rsidP="00AB27F0">
      <w:pPr>
        <w:pStyle w:val="ListParagraph"/>
        <w:numPr>
          <w:ilvl w:val="0"/>
          <w:numId w:val="14"/>
        </w:numPr>
        <w:spacing w:before="0" w:beforeAutospacing="0" w:after="120" w:afterAutospacing="0"/>
        <w:jc w:val="both"/>
        <w:rPr>
          <w:color w:val="000000" w:themeColor="text1"/>
          <w:sz w:val="24"/>
          <w:szCs w:val="24"/>
        </w:rPr>
      </w:pPr>
      <w:r w:rsidRPr="009C04D5">
        <w:rPr>
          <w:rFonts w:eastAsia="Calibri" w:cstheme="minorHAnsi"/>
          <w:color w:val="000000" w:themeColor="text1"/>
          <w:sz w:val="24"/>
          <w:szCs w:val="24"/>
        </w:rPr>
        <w:t xml:space="preserve">the </w:t>
      </w:r>
      <w:r w:rsidRPr="009C04D5">
        <w:rPr>
          <w:color w:val="000000" w:themeColor="text1"/>
          <w:sz w:val="24"/>
          <w:szCs w:val="24"/>
        </w:rPr>
        <w:t>secondary use of personal data in direct marketing;</w:t>
      </w:r>
    </w:p>
    <w:p w14:paraId="73F75C03" w14:textId="77777777" w:rsidR="00A74E29" w:rsidRPr="009C04D5" w:rsidRDefault="00A74E29" w:rsidP="00AB27F0">
      <w:pPr>
        <w:pStyle w:val="ListParagraph"/>
        <w:numPr>
          <w:ilvl w:val="0"/>
          <w:numId w:val="14"/>
        </w:numPr>
        <w:spacing w:before="0" w:beforeAutospacing="0" w:after="120" w:afterAutospacing="0"/>
        <w:jc w:val="both"/>
        <w:rPr>
          <w:color w:val="000000" w:themeColor="text1"/>
          <w:sz w:val="24"/>
          <w:szCs w:val="24"/>
        </w:rPr>
      </w:pPr>
      <w:r w:rsidRPr="009C04D5">
        <w:rPr>
          <w:color w:val="000000" w:themeColor="text1"/>
          <w:sz w:val="24"/>
          <w:szCs w:val="24"/>
        </w:rPr>
        <w:t xml:space="preserve">sale of personal data in any form for direct marketing purposes; </w:t>
      </w:r>
    </w:p>
    <w:p w14:paraId="7391E2A9" w14:textId="77777777" w:rsidR="00A74E29" w:rsidRPr="009C04D5" w:rsidRDefault="00A74E29" w:rsidP="00AB27F0">
      <w:pPr>
        <w:pStyle w:val="ListParagraph"/>
        <w:numPr>
          <w:ilvl w:val="0"/>
          <w:numId w:val="14"/>
        </w:numPr>
        <w:spacing w:before="0" w:beforeAutospacing="0" w:after="120" w:afterAutospacing="0"/>
        <w:jc w:val="both"/>
        <w:rPr>
          <w:color w:val="000000" w:themeColor="text1"/>
          <w:sz w:val="24"/>
          <w:szCs w:val="24"/>
        </w:rPr>
      </w:pPr>
      <w:r w:rsidRPr="009C04D5">
        <w:rPr>
          <w:color w:val="000000" w:themeColor="text1"/>
          <w:sz w:val="24"/>
          <w:szCs w:val="24"/>
        </w:rPr>
        <w:t xml:space="preserve">for-profit trade in personal data through data brokers; </w:t>
      </w:r>
    </w:p>
    <w:p w14:paraId="3EB16C19" w14:textId="77777777" w:rsidR="00A74E29" w:rsidRPr="009C04D5" w:rsidRDefault="00A74E29" w:rsidP="00AB27F0">
      <w:pPr>
        <w:pStyle w:val="ListParagraph"/>
        <w:numPr>
          <w:ilvl w:val="0"/>
          <w:numId w:val="14"/>
        </w:numPr>
        <w:spacing w:before="0" w:beforeAutospacing="0" w:after="120" w:afterAutospacing="0"/>
        <w:jc w:val="both"/>
        <w:rPr>
          <w:rFonts w:cstheme="minorHAnsi"/>
          <w:color w:val="000000" w:themeColor="text1"/>
          <w:sz w:val="24"/>
          <w:szCs w:val="24"/>
        </w:rPr>
      </w:pPr>
      <w:r w:rsidRPr="009C04D5">
        <w:rPr>
          <w:rFonts w:cstheme="minorHAnsi"/>
          <w:color w:val="000000" w:themeColor="text1"/>
          <w:sz w:val="24"/>
          <w:szCs w:val="24"/>
        </w:rPr>
        <w:t>the use of second-party or third-party customer data for online behavioural advertising;</w:t>
      </w:r>
    </w:p>
    <w:p w14:paraId="378CDAEB" w14:textId="77777777" w:rsidR="00A74E29" w:rsidRPr="009C04D5" w:rsidRDefault="00A74E29" w:rsidP="00AB27F0">
      <w:pPr>
        <w:pStyle w:val="ListParagraph"/>
        <w:numPr>
          <w:ilvl w:val="0"/>
          <w:numId w:val="14"/>
        </w:numPr>
        <w:spacing w:before="0" w:beforeAutospacing="0" w:after="120" w:afterAutospacing="0"/>
        <w:jc w:val="both"/>
        <w:rPr>
          <w:rFonts w:cstheme="minorHAnsi"/>
          <w:color w:val="000000" w:themeColor="text1"/>
          <w:sz w:val="24"/>
          <w:szCs w:val="24"/>
        </w:rPr>
      </w:pPr>
      <w:r w:rsidRPr="009C04D5">
        <w:rPr>
          <w:rFonts w:cstheme="minorHAnsi"/>
          <w:color w:val="000000" w:themeColor="text1"/>
          <w:sz w:val="24"/>
          <w:szCs w:val="24"/>
        </w:rPr>
        <w:t>the illegal gathering of children’s personal data on YouTube without parental consent;</w:t>
      </w:r>
      <w:r w:rsidRPr="009C04D5">
        <w:rPr>
          <w:rStyle w:val="FootnoteReference"/>
          <w:rFonts w:cstheme="minorHAnsi"/>
          <w:color w:val="000000" w:themeColor="text1"/>
          <w:sz w:val="24"/>
          <w:szCs w:val="24"/>
        </w:rPr>
        <w:footnoteReference w:id="35"/>
      </w:r>
      <w:r w:rsidRPr="009C04D5">
        <w:rPr>
          <w:rFonts w:cstheme="minorHAnsi"/>
          <w:color w:val="000000" w:themeColor="text1"/>
          <w:sz w:val="24"/>
          <w:szCs w:val="24"/>
        </w:rPr>
        <w:t xml:space="preserve"> and</w:t>
      </w:r>
    </w:p>
    <w:p w14:paraId="3D23166E" w14:textId="5E3EBE94" w:rsidR="00B84167" w:rsidRDefault="00A74E29" w:rsidP="00AB27F0">
      <w:pPr>
        <w:pStyle w:val="ListParagraph"/>
        <w:numPr>
          <w:ilvl w:val="0"/>
          <w:numId w:val="14"/>
        </w:numPr>
        <w:spacing w:before="0" w:beforeAutospacing="0" w:after="120" w:afterAutospacing="0"/>
        <w:jc w:val="both"/>
        <w:rPr>
          <w:rFonts w:cstheme="minorHAnsi"/>
          <w:color w:val="000000" w:themeColor="text1"/>
          <w:sz w:val="24"/>
          <w:szCs w:val="24"/>
        </w:rPr>
      </w:pPr>
      <w:r w:rsidRPr="009C04D5">
        <w:rPr>
          <w:rFonts w:cstheme="minorHAnsi"/>
          <w:color w:val="000000" w:themeColor="text1"/>
          <w:sz w:val="24"/>
          <w:szCs w:val="24"/>
        </w:rPr>
        <w:t>the use of dark patterns in digital design to mislead consumers.</w:t>
      </w:r>
      <w:r w:rsidRPr="009C04D5">
        <w:rPr>
          <w:rStyle w:val="FootnoteReference"/>
          <w:rFonts w:cstheme="minorHAnsi"/>
          <w:color w:val="000000" w:themeColor="text1"/>
          <w:sz w:val="24"/>
          <w:szCs w:val="24"/>
        </w:rPr>
        <w:footnoteReference w:id="36"/>
      </w:r>
      <w:r w:rsidRPr="009C04D5">
        <w:rPr>
          <w:rFonts w:cstheme="minorHAnsi"/>
          <w:color w:val="000000" w:themeColor="text1"/>
          <w:sz w:val="24"/>
          <w:szCs w:val="24"/>
        </w:rPr>
        <w:t xml:space="preserve"> </w:t>
      </w:r>
    </w:p>
    <w:p w14:paraId="28222103" w14:textId="77777777" w:rsidR="0047717F" w:rsidRDefault="0047717F" w:rsidP="0047717F">
      <w:pPr>
        <w:pStyle w:val="ListParagraph"/>
        <w:spacing w:before="0" w:beforeAutospacing="0" w:after="120" w:afterAutospacing="0"/>
        <w:jc w:val="both"/>
        <w:rPr>
          <w:rFonts w:cstheme="minorHAnsi"/>
          <w:color w:val="000000" w:themeColor="text1"/>
          <w:sz w:val="24"/>
          <w:szCs w:val="24"/>
        </w:rPr>
      </w:pPr>
    </w:p>
    <w:p w14:paraId="4C28DE4E" w14:textId="3E9E6969" w:rsidR="0047717F" w:rsidRPr="0047717F" w:rsidRDefault="0047717F" w:rsidP="0047717F">
      <w:pPr>
        <w:pStyle w:val="Recommendation"/>
        <w:numPr>
          <w:ilvl w:val="0"/>
          <w:numId w:val="0"/>
        </w:numPr>
        <w:spacing w:before="0" w:beforeAutospacing="0" w:after="120" w:afterAutospacing="0"/>
        <w:ind w:left="720"/>
        <w:rPr>
          <w:rFonts w:asciiTheme="minorHAnsi" w:hAnsiTheme="minorHAnsi"/>
          <w:sz w:val="24"/>
          <w:szCs w:val="24"/>
        </w:rPr>
      </w:pPr>
      <w:r>
        <w:rPr>
          <w:rFonts w:asciiTheme="minorHAnsi" w:hAnsiTheme="minorHAnsi"/>
          <w:b/>
          <w:bCs/>
          <w:sz w:val="24"/>
          <w:szCs w:val="24"/>
        </w:rPr>
        <w:t>Recommendation 7:</w:t>
      </w:r>
      <w:r>
        <w:rPr>
          <w:rFonts w:asciiTheme="minorHAnsi" w:hAnsiTheme="minorHAnsi"/>
          <w:sz w:val="24"/>
          <w:szCs w:val="24"/>
        </w:rPr>
        <w:t xml:space="preserve"> The Act should impose more stringent regulation on the use of personal information for digital marketing purposes. </w:t>
      </w:r>
    </w:p>
    <w:p w14:paraId="08A2D46F" w14:textId="3F6FBFEF" w:rsidR="00A74E29" w:rsidRPr="00D307A4" w:rsidRDefault="00A74E29" w:rsidP="00D307A4">
      <w:pPr>
        <w:pStyle w:val="Heading3"/>
        <w:numPr>
          <w:ilvl w:val="0"/>
          <w:numId w:val="0"/>
        </w:numPr>
        <w:ind w:left="851" w:hanging="851"/>
        <w:rPr>
          <w:b/>
          <w:bCs w:val="0"/>
        </w:rPr>
      </w:pPr>
      <w:bookmarkStart w:id="28" w:name="_Toc58970249"/>
      <w:r w:rsidRPr="00D307A4">
        <w:rPr>
          <w:b/>
          <w:bCs w:val="0"/>
        </w:rPr>
        <w:t>Withdrawal of consent</w:t>
      </w:r>
      <w:bookmarkEnd w:id="28"/>
    </w:p>
    <w:p w14:paraId="7B774C00" w14:textId="681CC776" w:rsidR="00A74E29" w:rsidRPr="00C80913" w:rsidRDefault="00A74E29" w:rsidP="00A74E29">
      <w:pPr>
        <w:spacing w:after="120"/>
        <w:jc w:val="both"/>
        <w:rPr>
          <w:rFonts w:cstheme="minorHAnsi"/>
          <w:sz w:val="24"/>
          <w:szCs w:val="24"/>
        </w:rPr>
      </w:pPr>
      <w:r w:rsidRPr="009C04D5">
        <w:rPr>
          <w:rFonts w:cstheme="minorHAnsi"/>
          <w:sz w:val="24"/>
          <w:szCs w:val="24"/>
        </w:rPr>
        <w:t>Australia needs a privacy regime which prohibits any uses or disclosures of data that are contrary to a consumer’s interests.</w:t>
      </w:r>
      <w:r w:rsidR="00C80913">
        <w:rPr>
          <w:rFonts w:cstheme="minorHAnsi"/>
          <w:sz w:val="24"/>
          <w:szCs w:val="24"/>
        </w:rPr>
        <w:t xml:space="preserve"> </w:t>
      </w:r>
      <w:r w:rsidR="003E4A02">
        <w:rPr>
          <w:rFonts w:eastAsia="Calibri" w:cstheme="minorHAnsi"/>
          <w:color w:val="000000"/>
          <w:sz w:val="24"/>
          <w:szCs w:val="24"/>
          <w:lang w:eastAsia="en-US"/>
        </w:rPr>
        <w:t>As per the GDPR</w:t>
      </w:r>
      <w:r w:rsidRPr="009C04D5">
        <w:rPr>
          <w:rFonts w:eastAsia="Calibri" w:cstheme="minorHAnsi"/>
          <w:color w:val="000000"/>
          <w:sz w:val="24"/>
          <w:szCs w:val="24"/>
          <w:lang w:eastAsia="en-US"/>
        </w:rPr>
        <w:t xml:space="preserve">, meaningful consent must be time limited </w:t>
      </w:r>
      <w:r w:rsidRPr="009C04D5">
        <w:rPr>
          <w:rFonts w:eastAsia="Calibri" w:cstheme="minorHAnsi"/>
          <w:color w:val="000000"/>
          <w:sz w:val="24"/>
          <w:szCs w:val="24"/>
          <w:lang w:eastAsia="en-US"/>
        </w:rPr>
        <w:lastRenderedPageBreak/>
        <w:t>and easily withdrawn</w:t>
      </w:r>
      <w:r w:rsidR="00C80913">
        <w:rPr>
          <w:rFonts w:eastAsia="Calibri" w:cstheme="minorHAnsi"/>
          <w:color w:val="000000"/>
          <w:sz w:val="24"/>
          <w:szCs w:val="24"/>
          <w:lang w:eastAsia="en-US"/>
        </w:rPr>
        <w:t>, and c</w:t>
      </w:r>
      <w:r w:rsidRPr="009C04D5">
        <w:rPr>
          <w:rFonts w:cstheme="minorHAnsi"/>
          <w:sz w:val="24"/>
          <w:szCs w:val="24"/>
        </w:rPr>
        <w:t>onsumers must be given the option to refresh consent on a regular basis</w:t>
      </w:r>
      <w:r w:rsidR="003E4A02">
        <w:rPr>
          <w:rFonts w:cstheme="minorHAnsi"/>
          <w:sz w:val="24"/>
          <w:szCs w:val="24"/>
        </w:rPr>
        <w:t>.</w:t>
      </w:r>
      <w:r w:rsidRPr="009C04D5">
        <w:rPr>
          <w:rStyle w:val="FootnoteReference"/>
          <w:color w:val="000000" w:themeColor="text1"/>
          <w:sz w:val="24"/>
          <w:szCs w:val="24"/>
        </w:rPr>
        <w:footnoteReference w:id="37"/>
      </w:r>
      <w:r w:rsidRPr="009C04D5">
        <w:rPr>
          <w:color w:val="000000" w:themeColor="text1"/>
          <w:sz w:val="24"/>
          <w:szCs w:val="24"/>
        </w:rPr>
        <w:t xml:space="preserve"> </w:t>
      </w:r>
    </w:p>
    <w:p w14:paraId="036CD9DD" w14:textId="3E45DAF6" w:rsidR="00C80913" w:rsidRDefault="00C80913" w:rsidP="00A74E29">
      <w:pPr>
        <w:spacing w:after="120"/>
        <w:jc w:val="both"/>
        <w:rPr>
          <w:rFonts w:asciiTheme="minorHAnsi" w:hAnsiTheme="minorHAnsi"/>
          <w:color w:val="000000" w:themeColor="text1"/>
          <w:sz w:val="24"/>
          <w:szCs w:val="24"/>
        </w:rPr>
      </w:pPr>
      <w:r>
        <w:rPr>
          <w:rFonts w:asciiTheme="minorHAnsi" w:hAnsiTheme="minorHAnsi"/>
          <w:sz w:val="24"/>
          <w:szCs w:val="24"/>
        </w:rPr>
        <w:t>Currently u</w:t>
      </w:r>
      <w:r w:rsidRPr="00C80913">
        <w:rPr>
          <w:rFonts w:asciiTheme="minorHAnsi" w:hAnsiTheme="minorHAnsi"/>
          <w:sz w:val="24"/>
          <w:szCs w:val="24"/>
        </w:rPr>
        <w:t>nder Australian privacy law a consumer can withdraw their consent at any time, and organisations or agencies must disclose the possible consequences of withdrawing consent - for example, losing access to a service.</w:t>
      </w:r>
    </w:p>
    <w:p w14:paraId="151882B1" w14:textId="74865620" w:rsidR="00A74E29" w:rsidRDefault="00C80913" w:rsidP="00A74E29">
      <w:pPr>
        <w:spacing w:after="120"/>
        <w:jc w:val="both"/>
        <w:rPr>
          <w:rFonts w:asciiTheme="minorHAnsi" w:hAnsiTheme="minorHAnsi" w:cstheme="minorHAnsi"/>
          <w:sz w:val="24"/>
          <w:szCs w:val="24"/>
        </w:rPr>
      </w:pPr>
      <w:r>
        <w:rPr>
          <w:rFonts w:asciiTheme="minorHAnsi" w:hAnsiTheme="minorHAnsi"/>
          <w:color w:val="000000" w:themeColor="text1"/>
          <w:sz w:val="24"/>
          <w:szCs w:val="24"/>
        </w:rPr>
        <w:t xml:space="preserve">However, </w:t>
      </w:r>
      <w:r w:rsidR="00A74E29" w:rsidRPr="00C80913">
        <w:rPr>
          <w:rFonts w:asciiTheme="minorHAnsi" w:hAnsiTheme="minorHAnsi"/>
          <w:color w:val="000000" w:themeColor="text1"/>
          <w:sz w:val="24"/>
          <w:szCs w:val="24"/>
        </w:rPr>
        <w:t xml:space="preserve">ACCAN submits that even </w:t>
      </w:r>
      <w:r w:rsidR="00A74E29" w:rsidRPr="00C80913">
        <w:rPr>
          <w:rFonts w:asciiTheme="minorHAnsi" w:hAnsiTheme="minorHAnsi" w:cstheme="minorHAnsi"/>
          <w:sz w:val="24"/>
          <w:szCs w:val="24"/>
        </w:rPr>
        <w:t>if an individual does refuse to consent to their personal information being collected, used or disclosed by an entity, they should still be able to access the product or service. Withdrawal of consent, or refusal to provide consent initially, should not exclude consumers from accessing a product or service.</w:t>
      </w:r>
      <w:r w:rsidR="003E4A02">
        <w:rPr>
          <w:rStyle w:val="FootnoteReference"/>
          <w:rFonts w:asciiTheme="minorHAnsi" w:hAnsiTheme="minorHAnsi" w:cstheme="minorHAnsi"/>
          <w:sz w:val="24"/>
          <w:szCs w:val="24"/>
        </w:rPr>
        <w:footnoteReference w:id="38"/>
      </w:r>
    </w:p>
    <w:p w14:paraId="72BA8F95" w14:textId="691D261E" w:rsidR="0047717F" w:rsidRPr="0047717F" w:rsidRDefault="0047717F" w:rsidP="0047717F">
      <w:pPr>
        <w:pStyle w:val="Recommendation"/>
        <w:numPr>
          <w:ilvl w:val="0"/>
          <w:numId w:val="0"/>
        </w:numPr>
        <w:spacing w:before="0" w:beforeAutospacing="0" w:after="120" w:afterAutospacing="0"/>
        <w:ind w:left="720"/>
        <w:rPr>
          <w:rFonts w:asciiTheme="minorHAnsi" w:hAnsiTheme="minorHAnsi"/>
          <w:sz w:val="24"/>
          <w:szCs w:val="24"/>
        </w:rPr>
      </w:pPr>
      <w:r>
        <w:rPr>
          <w:rFonts w:asciiTheme="minorHAnsi" w:hAnsiTheme="minorHAnsi"/>
          <w:b/>
          <w:bCs/>
          <w:sz w:val="24"/>
          <w:szCs w:val="24"/>
        </w:rPr>
        <w:t>Recommendation 8:</w:t>
      </w:r>
      <w:r>
        <w:rPr>
          <w:rFonts w:asciiTheme="minorHAnsi" w:hAnsiTheme="minorHAnsi"/>
          <w:sz w:val="24"/>
          <w:szCs w:val="24"/>
        </w:rPr>
        <w:t xml:space="preserve"> Access to a product or service should not be conditional on an individual’s consent to their personal information being collected, used or disclosed by an entity. </w:t>
      </w:r>
    </w:p>
    <w:p w14:paraId="11AAB013" w14:textId="760F64E4" w:rsidR="00A74E29" w:rsidRPr="00B84167" w:rsidRDefault="00A74E29" w:rsidP="00B84167">
      <w:pPr>
        <w:pStyle w:val="Heading2"/>
        <w:numPr>
          <w:ilvl w:val="0"/>
          <w:numId w:val="0"/>
        </w:numPr>
        <w:rPr>
          <w:b/>
          <w:bCs w:val="0"/>
        </w:rPr>
      </w:pPr>
      <w:bookmarkStart w:id="29" w:name="_Toc58970250"/>
      <w:r w:rsidRPr="00B84167">
        <w:rPr>
          <w:b/>
          <w:bCs w:val="0"/>
        </w:rPr>
        <w:t>Right to erasure</w:t>
      </w:r>
      <w:bookmarkEnd w:id="29"/>
    </w:p>
    <w:p w14:paraId="5C317928" w14:textId="77777777" w:rsidR="00A74E29" w:rsidRPr="009C04D5" w:rsidRDefault="00A74E29" w:rsidP="00A74E29">
      <w:pPr>
        <w:pStyle w:val="BodyText1"/>
        <w:spacing w:after="120" w:line="240" w:lineRule="auto"/>
        <w:jc w:val="both"/>
        <w:rPr>
          <w:sz w:val="24"/>
          <w:szCs w:val="24"/>
        </w:rPr>
      </w:pPr>
      <w:r w:rsidRPr="009C04D5">
        <w:rPr>
          <w:sz w:val="24"/>
          <w:szCs w:val="24"/>
        </w:rPr>
        <w:t xml:space="preserve">A ‘right to erasure’ or ‘right to be forgotten’ must be introduced into the Act to more adequately protect consumer data. ACCAN submits that, to align Australian privacy law with Article 17 of the GDPR, individuals must have the right to have personal data erased if: </w:t>
      </w:r>
    </w:p>
    <w:p w14:paraId="7101CC78" w14:textId="77777777" w:rsidR="00A74E29" w:rsidRPr="009C04D5" w:rsidRDefault="00A74E29" w:rsidP="00AB27F0">
      <w:pPr>
        <w:pStyle w:val="ListParagraph"/>
        <w:numPr>
          <w:ilvl w:val="0"/>
          <w:numId w:val="15"/>
        </w:numPr>
        <w:spacing w:before="0" w:beforeAutospacing="0" w:after="200" w:afterAutospacing="0" w:line="276" w:lineRule="auto"/>
        <w:jc w:val="both"/>
        <w:rPr>
          <w:rFonts w:eastAsia="Calibri"/>
          <w:sz w:val="24"/>
          <w:szCs w:val="24"/>
        </w:rPr>
      </w:pPr>
      <w:r w:rsidRPr="009C04D5">
        <w:rPr>
          <w:rFonts w:eastAsia="Calibri"/>
          <w:sz w:val="24"/>
          <w:szCs w:val="24"/>
        </w:rPr>
        <w:t>A consumer’s personal data has been collected without their consent;</w:t>
      </w:r>
    </w:p>
    <w:p w14:paraId="6D0E08BC" w14:textId="77777777" w:rsidR="00A74E29" w:rsidRPr="009C04D5" w:rsidRDefault="00A74E29" w:rsidP="00AB27F0">
      <w:pPr>
        <w:pStyle w:val="ListParagraph"/>
        <w:numPr>
          <w:ilvl w:val="0"/>
          <w:numId w:val="15"/>
        </w:numPr>
        <w:spacing w:before="0" w:beforeAutospacing="0" w:after="200" w:afterAutospacing="0" w:line="276" w:lineRule="auto"/>
        <w:jc w:val="both"/>
        <w:rPr>
          <w:rFonts w:eastAsia="Calibri"/>
          <w:sz w:val="24"/>
          <w:szCs w:val="24"/>
        </w:rPr>
      </w:pPr>
      <w:r w:rsidRPr="009C04D5">
        <w:rPr>
          <w:rFonts w:eastAsia="Calibri"/>
          <w:sz w:val="24"/>
          <w:szCs w:val="24"/>
        </w:rPr>
        <w:t>A consumer’s personal data is no longer necessary for the original purpose of its collection or use;</w:t>
      </w:r>
    </w:p>
    <w:p w14:paraId="4E71F8ED" w14:textId="77777777" w:rsidR="00A74E29" w:rsidRPr="009C04D5" w:rsidRDefault="00A74E29" w:rsidP="00AB27F0">
      <w:pPr>
        <w:pStyle w:val="ListParagraph"/>
        <w:numPr>
          <w:ilvl w:val="0"/>
          <w:numId w:val="15"/>
        </w:numPr>
        <w:spacing w:before="0" w:beforeAutospacing="0" w:after="200" w:afterAutospacing="0" w:line="276" w:lineRule="auto"/>
        <w:jc w:val="both"/>
        <w:rPr>
          <w:rFonts w:eastAsia="Calibri"/>
          <w:sz w:val="24"/>
          <w:szCs w:val="24"/>
        </w:rPr>
      </w:pPr>
      <w:r w:rsidRPr="009C04D5">
        <w:rPr>
          <w:rFonts w:eastAsia="Calibri"/>
          <w:sz w:val="24"/>
          <w:szCs w:val="24"/>
        </w:rPr>
        <w:t>A consumer has withdrawn consent to retain the data;</w:t>
      </w:r>
    </w:p>
    <w:p w14:paraId="056773D8" w14:textId="77777777" w:rsidR="00A74E29" w:rsidRPr="009C04D5" w:rsidRDefault="00A74E29" w:rsidP="00AB27F0">
      <w:pPr>
        <w:pStyle w:val="ListParagraph"/>
        <w:numPr>
          <w:ilvl w:val="0"/>
          <w:numId w:val="15"/>
        </w:numPr>
        <w:spacing w:before="0" w:beforeAutospacing="0" w:after="200" w:afterAutospacing="0" w:line="276" w:lineRule="auto"/>
        <w:jc w:val="both"/>
        <w:rPr>
          <w:rFonts w:eastAsia="Calibri"/>
          <w:sz w:val="24"/>
          <w:szCs w:val="24"/>
        </w:rPr>
      </w:pPr>
      <w:r w:rsidRPr="009C04D5">
        <w:rPr>
          <w:rFonts w:eastAsia="Calibri"/>
          <w:sz w:val="24"/>
          <w:szCs w:val="24"/>
        </w:rPr>
        <w:t>A consumer has objected to the processing of their personal data and there is no legitimate interest to override the objection;</w:t>
      </w:r>
    </w:p>
    <w:p w14:paraId="6CD3CD7A" w14:textId="77777777" w:rsidR="00A74E29" w:rsidRPr="009C04D5" w:rsidRDefault="00A74E29" w:rsidP="00AB27F0">
      <w:pPr>
        <w:pStyle w:val="ListParagraph"/>
        <w:numPr>
          <w:ilvl w:val="0"/>
          <w:numId w:val="15"/>
        </w:numPr>
        <w:spacing w:before="0" w:beforeAutospacing="0" w:after="200" w:afterAutospacing="0" w:line="276" w:lineRule="auto"/>
        <w:jc w:val="both"/>
        <w:rPr>
          <w:rFonts w:eastAsia="Calibri"/>
          <w:sz w:val="24"/>
          <w:szCs w:val="24"/>
        </w:rPr>
      </w:pPr>
      <w:r w:rsidRPr="009C04D5">
        <w:rPr>
          <w:rFonts w:eastAsia="Calibri"/>
          <w:sz w:val="24"/>
          <w:szCs w:val="24"/>
        </w:rPr>
        <w:t>A consumer has objected to their personal data being used for direct marketing purposes;</w:t>
      </w:r>
    </w:p>
    <w:p w14:paraId="147EC160" w14:textId="77777777" w:rsidR="00A74E29" w:rsidRPr="009C04D5" w:rsidRDefault="00A74E29" w:rsidP="00AB27F0">
      <w:pPr>
        <w:pStyle w:val="ListParagraph"/>
        <w:numPr>
          <w:ilvl w:val="0"/>
          <w:numId w:val="15"/>
        </w:numPr>
        <w:spacing w:before="0" w:beforeAutospacing="0" w:after="200" w:afterAutospacing="0" w:line="276" w:lineRule="auto"/>
        <w:jc w:val="both"/>
        <w:rPr>
          <w:rFonts w:eastAsia="Calibri"/>
          <w:sz w:val="24"/>
          <w:szCs w:val="24"/>
        </w:rPr>
      </w:pPr>
      <w:r w:rsidRPr="009C04D5">
        <w:rPr>
          <w:rFonts w:eastAsia="Calibri"/>
          <w:sz w:val="24"/>
          <w:szCs w:val="24"/>
        </w:rPr>
        <w:t>An organisation has processed a consumer’s personal data unlawfully; and</w:t>
      </w:r>
    </w:p>
    <w:p w14:paraId="5DCD43AF" w14:textId="77777777" w:rsidR="00A74E29" w:rsidRPr="009C04D5" w:rsidRDefault="00A74E29" w:rsidP="00AB27F0">
      <w:pPr>
        <w:pStyle w:val="ListParagraph"/>
        <w:numPr>
          <w:ilvl w:val="0"/>
          <w:numId w:val="15"/>
        </w:numPr>
        <w:spacing w:before="0" w:beforeAutospacing="0" w:after="200" w:afterAutospacing="0" w:line="276" w:lineRule="auto"/>
        <w:jc w:val="both"/>
        <w:rPr>
          <w:rFonts w:eastAsia="Calibri"/>
          <w:sz w:val="24"/>
          <w:szCs w:val="24"/>
        </w:rPr>
      </w:pPr>
      <w:r w:rsidRPr="009C04D5">
        <w:rPr>
          <w:rFonts w:eastAsia="Calibri" w:cstheme="minorHAnsi"/>
          <w:color w:val="000000"/>
          <w:sz w:val="24"/>
          <w:szCs w:val="24"/>
        </w:rPr>
        <w:t>A child’s personal data has been collected and processed.</w:t>
      </w:r>
      <w:r w:rsidRPr="009C04D5">
        <w:rPr>
          <w:rStyle w:val="FootnoteReference"/>
          <w:sz w:val="24"/>
          <w:szCs w:val="24"/>
        </w:rPr>
        <w:t xml:space="preserve"> </w:t>
      </w:r>
      <w:r w:rsidRPr="009C04D5">
        <w:rPr>
          <w:rStyle w:val="FootnoteReference"/>
          <w:sz w:val="24"/>
          <w:szCs w:val="24"/>
        </w:rPr>
        <w:footnoteReference w:id="39"/>
      </w:r>
    </w:p>
    <w:p w14:paraId="26AA792D" w14:textId="20049A9E" w:rsidR="00A74E29" w:rsidRDefault="00A74E29" w:rsidP="00A74E29">
      <w:pPr>
        <w:spacing w:after="120"/>
        <w:jc w:val="both"/>
        <w:rPr>
          <w:rFonts w:eastAsia="Calibri" w:cstheme="minorHAnsi"/>
          <w:color w:val="000000"/>
          <w:sz w:val="24"/>
          <w:szCs w:val="24"/>
          <w:lang w:eastAsia="en-US"/>
        </w:rPr>
      </w:pPr>
      <w:r w:rsidRPr="009C04D5">
        <w:rPr>
          <w:rFonts w:eastAsia="Calibri" w:cstheme="minorHAnsi"/>
          <w:color w:val="000000"/>
          <w:sz w:val="24"/>
          <w:szCs w:val="24"/>
          <w:lang w:eastAsia="en-US"/>
        </w:rPr>
        <w:lastRenderedPageBreak/>
        <w:t>The GDPR’s exceptions to the right to erasure are driven by public interest imperatives, and it would be appropriate for Australian privacy law to emulate these exceptions.</w:t>
      </w:r>
    </w:p>
    <w:p w14:paraId="0D78E4C8" w14:textId="1659279C" w:rsidR="00961020" w:rsidRPr="0047717F" w:rsidRDefault="00961020" w:rsidP="00961020">
      <w:pPr>
        <w:pStyle w:val="Recommendation"/>
        <w:numPr>
          <w:ilvl w:val="0"/>
          <w:numId w:val="0"/>
        </w:numPr>
        <w:spacing w:before="0" w:beforeAutospacing="0" w:after="120" w:afterAutospacing="0"/>
        <w:ind w:left="720"/>
        <w:rPr>
          <w:rFonts w:asciiTheme="minorHAnsi" w:hAnsiTheme="minorHAnsi"/>
          <w:sz w:val="24"/>
          <w:szCs w:val="24"/>
        </w:rPr>
      </w:pPr>
      <w:r>
        <w:rPr>
          <w:rFonts w:asciiTheme="minorHAnsi" w:hAnsiTheme="minorHAnsi"/>
          <w:b/>
          <w:bCs/>
          <w:sz w:val="24"/>
          <w:szCs w:val="24"/>
        </w:rPr>
        <w:t>Recommendation 9:</w:t>
      </w:r>
      <w:r>
        <w:rPr>
          <w:rFonts w:asciiTheme="minorHAnsi" w:hAnsiTheme="minorHAnsi"/>
          <w:sz w:val="24"/>
          <w:szCs w:val="24"/>
        </w:rPr>
        <w:t xml:space="preserve"> Individuals must have the right to have their data erased under certain circumstances. </w:t>
      </w:r>
    </w:p>
    <w:p w14:paraId="4E5150AB" w14:textId="69D3706F" w:rsidR="00A74E29" w:rsidRPr="00FE6B7C" w:rsidRDefault="00A74E29" w:rsidP="00B84167">
      <w:pPr>
        <w:pStyle w:val="Heading2"/>
        <w:numPr>
          <w:ilvl w:val="0"/>
          <w:numId w:val="0"/>
        </w:numPr>
        <w:ind w:left="851" w:hanging="851"/>
        <w:rPr>
          <w:b/>
          <w:bCs w:val="0"/>
        </w:rPr>
      </w:pPr>
      <w:bookmarkStart w:id="30" w:name="_Toc58970251"/>
      <w:r w:rsidRPr="00FE6B7C">
        <w:rPr>
          <w:b/>
          <w:bCs w:val="0"/>
        </w:rPr>
        <w:t>Enforcement powers under the Privacy Act and role of the OAIC</w:t>
      </w:r>
      <w:bookmarkEnd w:id="30"/>
    </w:p>
    <w:p w14:paraId="2090A1A4" w14:textId="0A54C503" w:rsidR="00A74E29" w:rsidRPr="000439BC" w:rsidRDefault="00A74E29" w:rsidP="000439BC">
      <w:pPr>
        <w:spacing w:after="120"/>
        <w:jc w:val="both"/>
        <w:rPr>
          <w:rFonts w:asciiTheme="minorHAnsi" w:hAnsiTheme="minorHAnsi"/>
          <w:sz w:val="24"/>
          <w:szCs w:val="24"/>
        </w:rPr>
      </w:pPr>
      <w:r w:rsidRPr="000439BC">
        <w:rPr>
          <w:rFonts w:asciiTheme="minorHAnsi" w:hAnsiTheme="minorHAnsi"/>
          <w:sz w:val="24"/>
          <w:szCs w:val="24"/>
        </w:rPr>
        <w:t>ACCAN supports the introduction of a privacy regulatory framework equivalent to the CDR scheme in its current form. The Act should replicate the much higher penalties imposed by the CDR scheme to remedy a breach of a Privacy Safeguard</w:t>
      </w:r>
      <w:r w:rsidR="000439BC" w:rsidRPr="000439BC">
        <w:rPr>
          <w:rFonts w:asciiTheme="minorHAnsi" w:hAnsiTheme="minorHAnsi"/>
          <w:sz w:val="24"/>
          <w:szCs w:val="24"/>
        </w:rPr>
        <w:t xml:space="preserve"> – i.e. whichever is highest out of $10M, 10% of domestic turnover pa, or three times the value of benefits obtained from the breach. The civil penalties under the Privacy Act, to be levied by the OAIC, should be increased to mirror the CDR scheme.</w:t>
      </w:r>
    </w:p>
    <w:p w14:paraId="10E3DC8A" w14:textId="3A561445" w:rsidR="000439BC" w:rsidRDefault="000439BC" w:rsidP="000439BC">
      <w:pPr>
        <w:pStyle w:val="BodyText1"/>
        <w:spacing w:after="0" w:line="240" w:lineRule="auto"/>
        <w:jc w:val="both"/>
        <w:rPr>
          <w:color w:val="000000" w:themeColor="text1"/>
          <w:sz w:val="24"/>
          <w:szCs w:val="24"/>
        </w:rPr>
      </w:pPr>
      <w:r w:rsidRPr="000439BC">
        <w:rPr>
          <w:color w:val="auto"/>
          <w:sz w:val="24"/>
          <w:szCs w:val="24"/>
        </w:rPr>
        <w:t xml:space="preserve">In terms of </w:t>
      </w:r>
      <w:r>
        <w:rPr>
          <w:sz w:val="24"/>
          <w:szCs w:val="24"/>
        </w:rPr>
        <w:t>the OAIC’s potential role as the enforcer of compliance with a strengthened privacy regulatory framework, ACCAN notes that the OAIC is already experiencing slow resolution times for complaints</w:t>
      </w:r>
      <w:r w:rsidRPr="000439BC">
        <w:rPr>
          <w:sz w:val="24"/>
          <w:szCs w:val="24"/>
        </w:rPr>
        <w:t xml:space="preserve">. </w:t>
      </w:r>
      <w:r w:rsidRPr="000439BC">
        <w:rPr>
          <w:color w:val="000000" w:themeColor="text1"/>
          <w:sz w:val="24"/>
          <w:szCs w:val="24"/>
        </w:rPr>
        <w:t>If an existing regulatory body such as the OAIC were to perform this function, it would need to be adequately resourced to efficiently manage this additional role and be able to res</w:t>
      </w:r>
      <w:r>
        <w:rPr>
          <w:color w:val="000000" w:themeColor="text1"/>
          <w:sz w:val="24"/>
          <w:szCs w:val="24"/>
        </w:rPr>
        <w:t>pond swiftly in response to breaches of privacy</w:t>
      </w:r>
      <w:r w:rsidRPr="009C04D5">
        <w:rPr>
          <w:color w:val="000000" w:themeColor="text1"/>
          <w:sz w:val="24"/>
          <w:szCs w:val="24"/>
        </w:rPr>
        <w:t>.</w:t>
      </w:r>
    </w:p>
    <w:p w14:paraId="1C39832A" w14:textId="39AA61BA" w:rsidR="009C04D5" w:rsidRPr="003F3259" w:rsidRDefault="000439BC" w:rsidP="000439BC">
      <w:pPr>
        <w:spacing w:after="120"/>
        <w:jc w:val="both"/>
        <w:rPr>
          <w:rFonts w:asciiTheme="minorHAnsi" w:eastAsia="Calibri" w:hAnsiTheme="minorHAnsi" w:cstheme="minorHAnsi"/>
          <w:color w:val="000000" w:themeColor="text1"/>
          <w:sz w:val="24"/>
          <w:szCs w:val="24"/>
          <w:lang w:eastAsia="en-US"/>
        </w:rPr>
      </w:pPr>
      <w:r>
        <w:rPr>
          <w:rFonts w:asciiTheme="minorHAnsi" w:hAnsiTheme="minorHAnsi"/>
          <w:sz w:val="24"/>
          <w:szCs w:val="24"/>
        </w:rPr>
        <w:t>There is also a need for more affordable avenues of appeal for consumers</w:t>
      </w:r>
      <w:r w:rsidRPr="003F3259">
        <w:rPr>
          <w:rFonts w:asciiTheme="minorHAnsi" w:eastAsia="Calibri" w:hAnsiTheme="minorHAnsi" w:cstheme="minorHAnsi"/>
          <w:color w:val="000000" w:themeColor="text1"/>
          <w:sz w:val="24"/>
          <w:szCs w:val="24"/>
          <w:lang w:eastAsia="en-US"/>
        </w:rPr>
        <w:t xml:space="preserve">. As noted by the Issues Paper, there is no ability for an individual to appeal from a decision by the Privacy Commissioner to dismiss a complaint, and average consumers do not have the deep pockets </w:t>
      </w:r>
      <w:r w:rsidR="008F7753">
        <w:rPr>
          <w:rFonts w:asciiTheme="minorHAnsi" w:eastAsia="Calibri" w:hAnsiTheme="minorHAnsi" w:cstheme="minorHAnsi"/>
          <w:color w:val="000000" w:themeColor="text1"/>
          <w:sz w:val="24"/>
          <w:szCs w:val="24"/>
          <w:lang w:eastAsia="en-US"/>
        </w:rPr>
        <w:t xml:space="preserve">required </w:t>
      </w:r>
      <w:r w:rsidRPr="003F3259">
        <w:rPr>
          <w:rFonts w:asciiTheme="minorHAnsi" w:eastAsia="Calibri" w:hAnsiTheme="minorHAnsi" w:cstheme="minorHAnsi"/>
          <w:color w:val="000000" w:themeColor="text1"/>
          <w:sz w:val="24"/>
          <w:szCs w:val="24"/>
          <w:lang w:eastAsia="en-US"/>
        </w:rPr>
        <w:t xml:space="preserve">to appeal against any formal determination by the OAIC in the Federal Court. </w:t>
      </w:r>
    </w:p>
    <w:p w14:paraId="41EAEC2F" w14:textId="1820426E" w:rsidR="00A74E29" w:rsidRDefault="00961020" w:rsidP="00961020">
      <w:pPr>
        <w:pStyle w:val="Recommendation"/>
        <w:numPr>
          <w:ilvl w:val="0"/>
          <w:numId w:val="0"/>
        </w:numPr>
        <w:spacing w:before="0" w:beforeAutospacing="0" w:after="120" w:afterAutospacing="0"/>
        <w:ind w:left="720"/>
        <w:rPr>
          <w:rFonts w:asciiTheme="minorHAnsi" w:hAnsiTheme="minorHAnsi"/>
          <w:sz w:val="24"/>
          <w:szCs w:val="24"/>
        </w:rPr>
      </w:pPr>
      <w:r>
        <w:rPr>
          <w:rFonts w:asciiTheme="minorHAnsi" w:hAnsiTheme="minorHAnsi"/>
          <w:b/>
          <w:bCs/>
          <w:sz w:val="24"/>
          <w:szCs w:val="24"/>
        </w:rPr>
        <w:t>Recommendation 10:</w:t>
      </w:r>
      <w:r>
        <w:rPr>
          <w:rFonts w:asciiTheme="minorHAnsi" w:hAnsiTheme="minorHAnsi"/>
          <w:sz w:val="24"/>
          <w:szCs w:val="24"/>
        </w:rPr>
        <w:t xml:space="preserve"> A stronger enforcement framework and penalties</w:t>
      </w:r>
      <w:r w:rsidR="000439BC">
        <w:rPr>
          <w:rFonts w:asciiTheme="minorHAnsi" w:hAnsiTheme="minorHAnsi"/>
          <w:sz w:val="24"/>
          <w:szCs w:val="24"/>
        </w:rPr>
        <w:t>, and a well-resourced regulatory body,</w:t>
      </w:r>
      <w:r>
        <w:rPr>
          <w:rFonts w:asciiTheme="minorHAnsi" w:hAnsiTheme="minorHAnsi"/>
          <w:sz w:val="24"/>
          <w:szCs w:val="24"/>
        </w:rPr>
        <w:t xml:space="preserve"> are needed to ensure compliance </w:t>
      </w:r>
      <w:r w:rsidR="000439BC">
        <w:rPr>
          <w:rFonts w:asciiTheme="minorHAnsi" w:hAnsiTheme="minorHAnsi"/>
          <w:sz w:val="24"/>
          <w:szCs w:val="24"/>
        </w:rPr>
        <w:t>with a strengthened privacy regime.</w:t>
      </w:r>
    </w:p>
    <w:p w14:paraId="28A12FA8" w14:textId="378EBD5A" w:rsidR="000439BC" w:rsidRDefault="000439BC" w:rsidP="00961020">
      <w:pPr>
        <w:pStyle w:val="Recommendation"/>
        <w:numPr>
          <w:ilvl w:val="0"/>
          <w:numId w:val="0"/>
        </w:numPr>
        <w:spacing w:before="0" w:beforeAutospacing="0" w:after="120" w:afterAutospacing="0"/>
        <w:ind w:left="720"/>
        <w:rPr>
          <w:rFonts w:asciiTheme="minorHAnsi" w:hAnsiTheme="minorHAnsi"/>
          <w:sz w:val="24"/>
          <w:szCs w:val="24"/>
        </w:rPr>
      </w:pPr>
      <w:r>
        <w:rPr>
          <w:rFonts w:asciiTheme="minorHAnsi" w:hAnsiTheme="minorHAnsi"/>
          <w:b/>
          <w:bCs/>
          <w:sz w:val="24"/>
          <w:szCs w:val="24"/>
        </w:rPr>
        <w:t>Recommendation 11:</w:t>
      </w:r>
      <w:r>
        <w:rPr>
          <w:rFonts w:asciiTheme="minorHAnsi" w:hAnsiTheme="minorHAnsi"/>
          <w:sz w:val="24"/>
          <w:szCs w:val="24"/>
        </w:rPr>
        <w:t xml:space="preserve"> There is a need for a more affordable avenue of appeal </w:t>
      </w:r>
      <w:r w:rsidR="00DA1E4D">
        <w:rPr>
          <w:rFonts w:asciiTheme="minorHAnsi" w:hAnsiTheme="minorHAnsi"/>
          <w:sz w:val="24"/>
          <w:szCs w:val="24"/>
        </w:rPr>
        <w:t>for consumers disputing a decision by the Privacy Commissioner.</w:t>
      </w:r>
    </w:p>
    <w:p w14:paraId="6C739213" w14:textId="77777777" w:rsidR="00A74E29" w:rsidRPr="00FE6B7C" w:rsidRDefault="00A74E29" w:rsidP="00B84167">
      <w:pPr>
        <w:pStyle w:val="Heading2"/>
        <w:numPr>
          <w:ilvl w:val="0"/>
          <w:numId w:val="0"/>
        </w:numPr>
        <w:ind w:left="851" w:hanging="851"/>
        <w:rPr>
          <w:b/>
          <w:bCs w:val="0"/>
        </w:rPr>
      </w:pPr>
      <w:bookmarkStart w:id="31" w:name="_Toc58970252"/>
      <w:r w:rsidRPr="00FE6B7C">
        <w:rPr>
          <w:b/>
          <w:bCs w:val="0"/>
        </w:rPr>
        <w:t>Direct right of action</w:t>
      </w:r>
      <w:bookmarkEnd w:id="31"/>
    </w:p>
    <w:p w14:paraId="28B7DC4A" w14:textId="77777777" w:rsidR="00A74E29" w:rsidRPr="00FE6B7C" w:rsidRDefault="00A74E29" w:rsidP="00A74E29">
      <w:pPr>
        <w:pStyle w:val="BodyText1"/>
        <w:spacing w:after="120" w:line="240" w:lineRule="auto"/>
        <w:jc w:val="both"/>
        <w:rPr>
          <w:color w:val="000000" w:themeColor="text1"/>
          <w:sz w:val="24"/>
          <w:szCs w:val="24"/>
        </w:rPr>
      </w:pPr>
      <w:r w:rsidRPr="00FE6B7C">
        <w:rPr>
          <w:color w:val="000000" w:themeColor="text1"/>
          <w:sz w:val="24"/>
          <w:szCs w:val="24"/>
        </w:rPr>
        <w:t>ACCAN is in favour of the introduction of a direct right of action to more sufficiently provide consumers with access to justice. The penalties and procedures in Australia’s privacy regulatory regime need to be genuinely prohibitive to deter organisations who breach privacy laws. A direct right of action, via a straightforward, easy to access and cheap tribunal, is essential to deliver meaningful privacy protections to everyday Australians.</w:t>
      </w:r>
    </w:p>
    <w:p w14:paraId="308AC040" w14:textId="77777777" w:rsidR="00A74E29" w:rsidRPr="00FE6B7C" w:rsidRDefault="00A74E29" w:rsidP="00A74E29">
      <w:pPr>
        <w:spacing w:after="120"/>
        <w:jc w:val="both"/>
        <w:rPr>
          <w:rFonts w:eastAsia="Calibri" w:cstheme="minorHAnsi"/>
          <w:color w:val="000000" w:themeColor="text1"/>
          <w:sz w:val="24"/>
          <w:szCs w:val="24"/>
          <w:lang w:eastAsia="en-US"/>
        </w:rPr>
      </w:pPr>
      <w:r w:rsidRPr="00FE6B7C">
        <w:rPr>
          <w:rFonts w:eastAsia="Calibri" w:cstheme="minorHAnsi"/>
          <w:color w:val="000000" w:themeColor="text1"/>
          <w:sz w:val="24"/>
          <w:szCs w:val="24"/>
          <w:lang w:eastAsia="en-US"/>
        </w:rPr>
        <w:t xml:space="preserve">The CDR scheme has established a statutory right to sue for damages for any breach of a Privacy Safeguard in relation to CDR data. It also makes broad </w:t>
      </w:r>
      <w:r w:rsidRPr="00FE6B7C">
        <w:rPr>
          <w:sz w:val="24"/>
          <w:szCs w:val="24"/>
        </w:rPr>
        <w:t>enforcement powers available to the ACCC and the OAIC to ensure compliance with the CDR regulatory framework.</w:t>
      </w:r>
      <w:r w:rsidRPr="00FE6B7C">
        <w:rPr>
          <w:rStyle w:val="FootnoteReference"/>
          <w:sz w:val="24"/>
          <w:szCs w:val="24"/>
        </w:rPr>
        <w:t xml:space="preserve"> </w:t>
      </w:r>
      <w:r w:rsidRPr="00FE6B7C">
        <w:rPr>
          <w:sz w:val="24"/>
          <w:szCs w:val="24"/>
        </w:rPr>
        <w:t xml:space="preserve"> </w:t>
      </w:r>
      <w:r w:rsidRPr="00FE6B7C">
        <w:rPr>
          <w:rFonts w:eastAsia="Calibri" w:cstheme="minorHAnsi"/>
          <w:color w:val="000000" w:themeColor="text1"/>
          <w:sz w:val="24"/>
          <w:szCs w:val="24"/>
          <w:lang w:eastAsia="en-US"/>
        </w:rPr>
        <w:t xml:space="preserve">ACCAN believes that the CDR scheme sets a benchmark for the introduction of a direct right of action for breach of privacy as part of Australian privacy law.  </w:t>
      </w:r>
    </w:p>
    <w:p w14:paraId="15614084" w14:textId="5C99C467" w:rsidR="00A74E29" w:rsidRPr="00961020" w:rsidRDefault="00961020" w:rsidP="00961020">
      <w:pPr>
        <w:pStyle w:val="Recommendation"/>
        <w:numPr>
          <w:ilvl w:val="0"/>
          <w:numId w:val="0"/>
        </w:numPr>
        <w:ind w:left="851"/>
        <w:rPr>
          <w:sz w:val="24"/>
          <w:szCs w:val="24"/>
        </w:rPr>
      </w:pPr>
      <w:r w:rsidRPr="00961020">
        <w:rPr>
          <w:b/>
          <w:bCs/>
          <w:sz w:val="24"/>
          <w:szCs w:val="24"/>
        </w:rPr>
        <w:lastRenderedPageBreak/>
        <w:t>Recommendation 1</w:t>
      </w:r>
      <w:r w:rsidR="00DA1E4D">
        <w:rPr>
          <w:b/>
          <w:bCs/>
          <w:sz w:val="24"/>
          <w:szCs w:val="24"/>
        </w:rPr>
        <w:t>2</w:t>
      </w:r>
      <w:r w:rsidRPr="00961020">
        <w:rPr>
          <w:b/>
          <w:bCs/>
          <w:sz w:val="24"/>
          <w:szCs w:val="24"/>
        </w:rPr>
        <w:t>:</w:t>
      </w:r>
      <w:r w:rsidRPr="00961020">
        <w:rPr>
          <w:sz w:val="24"/>
          <w:szCs w:val="24"/>
        </w:rPr>
        <w:t xml:space="preserve"> </w:t>
      </w:r>
      <w:r w:rsidRPr="00961020">
        <w:rPr>
          <w:color w:val="000000" w:themeColor="text1"/>
          <w:sz w:val="24"/>
          <w:szCs w:val="24"/>
        </w:rPr>
        <w:t>A direct right of action, via a straightforward, easy to access and cheap tribunal should be introduced to provide consumers with access to justice.</w:t>
      </w:r>
    </w:p>
    <w:p w14:paraId="4EF4D7E7" w14:textId="77777777" w:rsidR="00A74E29" w:rsidRPr="00FE6B7C" w:rsidRDefault="00A74E29" w:rsidP="00FE6B7C">
      <w:pPr>
        <w:pStyle w:val="Heading2"/>
        <w:numPr>
          <w:ilvl w:val="0"/>
          <w:numId w:val="0"/>
        </w:numPr>
        <w:ind w:left="851" w:hanging="851"/>
        <w:rPr>
          <w:b/>
          <w:bCs w:val="0"/>
        </w:rPr>
      </w:pPr>
      <w:bookmarkStart w:id="32" w:name="_Toc58970253"/>
      <w:r w:rsidRPr="00FE6B7C">
        <w:rPr>
          <w:b/>
          <w:bCs w:val="0"/>
        </w:rPr>
        <w:t>Statutory tort</w:t>
      </w:r>
      <w:bookmarkEnd w:id="32"/>
    </w:p>
    <w:p w14:paraId="220B8B7E" w14:textId="1EC104AC" w:rsidR="00A74E29" w:rsidRDefault="00A74E29" w:rsidP="00A74E29">
      <w:pPr>
        <w:pStyle w:val="BodyText1"/>
        <w:spacing w:after="120" w:line="240" w:lineRule="auto"/>
        <w:jc w:val="both"/>
        <w:rPr>
          <w:color w:val="000000" w:themeColor="text1"/>
          <w:sz w:val="24"/>
          <w:szCs w:val="24"/>
        </w:rPr>
      </w:pPr>
      <w:r w:rsidRPr="00FE6B7C">
        <w:rPr>
          <w:color w:val="000000" w:themeColor="text1"/>
          <w:sz w:val="24"/>
          <w:szCs w:val="24"/>
        </w:rPr>
        <w:t>ACCAN agrees with the ACCC that, although “there is overlap” between the introduction of a direct right of action and a statutory tort for invasion of privacy, a Federal statutory tort would address gaps in the existing privacy framework which is comprised of both Federal and State</w:t>
      </w:r>
      <w:r w:rsidR="00961020">
        <w:rPr>
          <w:color w:val="000000" w:themeColor="text1"/>
          <w:sz w:val="24"/>
          <w:szCs w:val="24"/>
        </w:rPr>
        <w:t xml:space="preserve"> and </w:t>
      </w:r>
      <w:r w:rsidRPr="00FE6B7C">
        <w:rPr>
          <w:color w:val="000000" w:themeColor="text1"/>
          <w:sz w:val="24"/>
          <w:szCs w:val="24"/>
        </w:rPr>
        <w:t>Territory legislation.</w:t>
      </w:r>
      <w:r w:rsidRPr="00FE6B7C">
        <w:rPr>
          <w:rStyle w:val="FootnoteReference"/>
          <w:color w:val="000000" w:themeColor="text1"/>
          <w:sz w:val="24"/>
          <w:szCs w:val="24"/>
        </w:rPr>
        <w:footnoteReference w:id="40"/>
      </w:r>
      <w:r w:rsidRPr="00FE6B7C">
        <w:rPr>
          <w:color w:val="000000" w:themeColor="text1"/>
          <w:sz w:val="24"/>
          <w:szCs w:val="24"/>
        </w:rPr>
        <w:t xml:space="preserve"> ACCAN is in favour of the introduction of the recommended statutory tort to allow individuals to bring actions for serious invasions of their privacy.</w:t>
      </w:r>
    </w:p>
    <w:p w14:paraId="6DDD021D" w14:textId="1EB0527E" w:rsidR="00B252B3" w:rsidRPr="00B252B3" w:rsidRDefault="00B252B3" w:rsidP="00B252B3">
      <w:pPr>
        <w:pStyle w:val="Recommendation"/>
        <w:numPr>
          <w:ilvl w:val="0"/>
          <w:numId w:val="0"/>
        </w:numPr>
        <w:ind w:left="851"/>
        <w:rPr>
          <w:sz w:val="24"/>
          <w:szCs w:val="24"/>
        </w:rPr>
      </w:pPr>
      <w:r w:rsidRPr="00961020">
        <w:rPr>
          <w:b/>
          <w:bCs/>
          <w:sz w:val="24"/>
          <w:szCs w:val="24"/>
        </w:rPr>
        <w:t>Recommendation 1</w:t>
      </w:r>
      <w:r w:rsidR="00DA1E4D">
        <w:rPr>
          <w:b/>
          <w:bCs/>
          <w:sz w:val="24"/>
          <w:szCs w:val="24"/>
        </w:rPr>
        <w:t>3</w:t>
      </w:r>
      <w:r w:rsidRPr="00961020">
        <w:rPr>
          <w:b/>
          <w:bCs/>
          <w:sz w:val="24"/>
          <w:szCs w:val="24"/>
        </w:rPr>
        <w:t>:</w:t>
      </w:r>
      <w:r w:rsidRPr="00961020">
        <w:rPr>
          <w:sz w:val="24"/>
          <w:szCs w:val="24"/>
        </w:rPr>
        <w:t xml:space="preserve"> </w:t>
      </w:r>
      <w:r w:rsidRPr="00961020">
        <w:rPr>
          <w:color w:val="000000" w:themeColor="text1"/>
          <w:sz w:val="24"/>
          <w:szCs w:val="24"/>
        </w:rPr>
        <w:t xml:space="preserve">A </w:t>
      </w:r>
      <w:r>
        <w:rPr>
          <w:color w:val="000000" w:themeColor="text1"/>
          <w:sz w:val="24"/>
          <w:szCs w:val="24"/>
        </w:rPr>
        <w:t>Federal statutory tort is needed to address the gaps in the existing framework of Federal, State and Territory privacy legislation.</w:t>
      </w:r>
    </w:p>
    <w:p w14:paraId="74F5F0AE" w14:textId="77777777" w:rsidR="00A74E29" w:rsidRPr="00FE6B7C" w:rsidRDefault="00A74E29" w:rsidP="00FE6B7C">
      <w:pPr>
        <w:pStyle w:val="Heading2"/>
        <w:numPr>
          <w:ilvl w:val="0"/>
          <w:numId w:val="0"/>
        </w:numPr>
        <w:ind w:left="851" w:hanging="851"/>
        <w:rPr>
          <w:b/>
          <w:bCs w:val="0"/>
        </w:rPr>
      </w:pPr>
      <w:bookmarkStart w:id="33" w:name="_Toc58970254"/>
      <w:r w:rsidRPr="00FE6B7C">
        <w:rPr>
          <w:b/>
          <w:bCs w:val="0"/>
        </w:rPr>
        <w:t>Interaction between the Act and other regulatory schemes</w:t>
      </w:r>
      <w:bookmarkEnd w:id="33"/>
    </w:p>
    <w:p w14:paraId="1A1F2E49" w14:textId="77777777" w:rsidR="00A74E29" w:rsidRPr="00FE6B7C" w:rsidRDefault="00A74E29" w:rsidP="00FE6B7C">
      <w:pPr>
        <w:pStyle w:val="Heading3"/>
        <w:numPr>
          <w:ilvl w:val="0"/>
          <w:numId w:val="0"/>
        </w:numPr>
        <w:ind w:left="851" w:hanging="851"/>
        <w:rPr>
          <w:b/>
          <w:bCs w:val="0"/>
        </w:rPr>
      </w:pPr>
      <w:bookmarkStart w:id="34" w:name="_Toc58970255"/>
      <w:r w:rsidRPr="00FE6B7C">
        <w:rPr>
          <w:b/>
          <w:bCs w:val="0"/>
        </w:rPr>
        <w:t>Consumer Data Right</w:t>
      </w:r>
      <w:bookmarkEnd w:id="34"/>
    </w:p>
    <w:p w14:paraId="393F6FBA" w14:textId="77777777" w:rsidR="00A74E29" w:rsidRPr="00FE6B7C" w:rsidRDefault="00A74E29" w:rsidP="00A74E29">
      <w:pPr>
        <w:spacing w:after="120"/>
        <w:jc w:val="both"/>
        <w:rPr>
          <w:rFonts w:eastAsia="Calibri" w:cstheme="minorHAnsi"/>
          <w:color w:val="000000" w:themeColor="text1"/>
          <w:sz w:val="24"/>
          <w:szCs w:val="24"/>
          <w:lang w:eastAsia="en-US"/>
        </w:rPr>
      </w:pPr>
      <w:r w:rsidRPr="00FE6B7C">
        <w:rPr>
          <w:rFonts w:eastAsia="Calibri" w:cstheme="minorHAnsi"/>
          <w:color w:val="000000" w:themeColor="text1"/>
          <w:sz w:val="24"/>
          <w:szCs w:val="24"/>
          <w:lang w:eastAsia="en-US"/>
        </w:rPr>
        <w:t>ACCAN submits that the Privacy Act and the CDR need to work together to reinforce the protection of consumer data. ACCAN views the strengthened consumer protections under the CDR regime as a benchmark to be emulated in the development of a more robust and enforceable privacy regulatory framework in Australia. If the proposed legislative changes to the CDR scheme are passed, allowing consumer data to be passed from accredited entities to non-accredited entities, the introduction of stronger privacy protections and standards in the handling of consumer data will be imperative.</w:t>
      </w:r>
      <w:r w:rsidRPr="00FE6B7C">
        <w:rPr>
          <w:rStyle w:val="FootnoteReference"/>
          <w:rFonts w:cstheme="minorHAnsi"/>
          <w:color w:val="000000" w:themeColor="text1"/>
          <w:sz w:val="24"/>
          <w:szCs w:val="24"/>
        </w:rPr>
        <w:footnoteReference w:id="41"/>
      </w:r>
    </w:p>
    <w:p w14:paraId="51ADF7CE" w14:textId="02771FD6" w:rsidR="00A74E29" w:rsidRDefault="00A74E29" w:rsidP="00FE6B7C">
      <w:pPr>
        <w:pStyle w:val="Heading3"/>
        <w:numPr>
          <w:ilvl w:val="0"/>
          <w:numId w:val="0"/>
        </w:numPr>
        <w:ind w:left="851" w:hanging="851"/>
        <w:rPr>
          <w:b/>
          <w:bCs w:val="0"/>
        </w:rPr>
      </w:pPr>
      <w:bookmarkStart w:id="35" w:name="_Toc58970256"/>
      <w:r w:rsidRPr="00FE6B7C">
        <w:rPr>
          <w:b/>
          <w:bCs w:val="0"/>
        </w:rPr>
        <w:t>Telecommunications Act</w:t>
      </w:r>
      <w:bookmarkEnd w:id="35"/>
    </w:p>
    <w:p w14:paraId="2947D0CE" w14:textId="77777777" w:rsidR="002157AB" w:rsidRDefault="002157AB" w:rsidP="002157AB">
      <w:pPr>
        <w:rPr>
          <w:rFonts w:eastAsia="Calibri" w:cstheme="minorHAnsi"/>
          <w:color w:val="000000" w:themeColor="text1"/>
          <w:sz w:val="24"/>
          <w:szCs w:val="24"/>
          <w:lang w:eastAsia="en-US"/>
        </w:rPr>
      </w:pPr>
      <w:r w:rsidRPr="002157AB">
        <w:rPr>
          <w:rFonts w:eastAsia="Calibri" w:cstheme="minorHAnsi"/>
          <w:color w:val="000000" w:themeColor="text1"/>
          <w:sz w:val="24"/>
          <w:szCs w:val="24"/>
          <w:lang w:eastAsia="en-US"/>
        </w:rPr>
        <w:t xml:space="preserve">Privacy protections in telecommunications is </w:t>
      </w:r>
      <w:r>
        <w:rPr>
          <w:rFonts w:eastAsia="Calibri" w:cstheme="minorHAnsi"/>
          <w:color w:val="000000" w:themeColor="text1"/>
          <w:sz w:val="24"/>
          <w:szCs w:val="24"/>
          <w:lang w:eastAsia="en-US"/>
        </w:rPr>
        <w:t>spread across a range of</w:t>
      </w:r>
      <w:r w:rsidRPr="002157AB">
        <w:rPr>
          <w:rFonts w:eastAsia="Calibri" w:cstheme="minorHAnsi"/>
          <w:color w:val="000000" w:themeColor="text1"/>
          <w:sz w:val="24"/>
          <w:szCs w:val="24"/>
          <w:lang w:eastAsia="en-US"/>
        </w:rPr>
        <w:t xml:space="preserve"> legislation, licence conditions and codes</w:t>
      </w:r>
      <w:r>
        <w:rPr>
          <w:rFonts w:eastAsia="Calibri" w:cstheme="minorHAnsi"/>
          <w:color w:val="000000" w:themeColor="text1"/>
          <w:sz w:val="24"/>
          <w:szCs w:val="24"/>
          <w:lang w:eastAsia="en-US"/>
        </w:rPr>
        <w:t>:</w:t>
      </w:r>
    </w:p>
    <w:p w14:paraId="07BC5EC9" w14:textId="1333AC97" w:rsidR="002157AB" w:rsidRDefault="002157AB" w:rsidP="002157AB">
      <w:pPr>
        <w:pStyle w:val="ListParagraph"/>
        <w:numPr>
          <w:ilvl w:val="0"/>
          <w:numId w:val="25"/>
        </w:numPr>
        <w:rPr>
          <w:rFonts w:eastAsia="Calibri" w:cstheme="minorHAnsi"/>
          <w:color w:val="000000" w:themeColor="text1"/>
          <w:sz w:val="24"/>
          <w:szCs w:val="24"/>
        </w:rPr>
      </w:pPr>
      <w:r>
        <w:rPr>
          <w:rFonts w:eastAsia="Calibri" w:cstheme="minorHAnsi"/>
          <w:color w:val="000000" w:themeColor="text1"/>
          <w:sz w:val="24"/>
          <w:szCs w:val="24"/>
        </w:rPr>
        <w:t>Telecommunications Act 1997, Part 13;</w:t>
      </w:r>
    </w:p>
    <w:p w14:paraId="254FC32A" w14:textId="7FE682BA" w:rsidR="002157AB" w:rsidRPr="002157AB" w:rsidRDefault="002157AB" w:rsidP="002157AB">
      <w:pPr>
        <w:pStyle w:val="ListParagraph"/>
        <w:numPr>
          <w:ilvl w:val="0"/>
          <w:numId w:val="25"/>
        </w:numPr>
        <w:rPr>
          <w:rFonts w:eastAsia="Calibri" w:cstheme="minorHAnsi"/>
          <w:color w:val="000000" w:themeColor="text1"/>
          <w:sz w:val="24"/>
          <w:szCs w:val="24"/>
        </w:rPr>
      </w:pPr>
      <w:r>
        <w:rPr>
          <w:rFonts w:eastAsia="Calibri" w:cstheme="minorHAnsi"/>
          <w:color w:val="000000" w:themeColor="text1"/>
          <w:sz w:val="24"/>
          <w:szCs w:val="24"/>
        </w:rPr>
        <w:t>Privacy Act 1998;</w:t>
      </w:r>
    </w:p>
    <w:p w14:paraId="46F97791" w14:textId="77777777" w:rsidR="002157AB" w:rsidRPr="002157AB" w:rsidRDefault="002157AB" w:rsidP="002157AB">
      <w:pPr>
        <w:pStyle w:val="ListParagraph"/>
        <w:numPr>
          <w:ilvl w:val="0"/>
          <w:numId w:val="25"/>
        </w:numPr>
        <w:rPr>
          <w:rFonts w:eastAsia="Calibri" w:cstheme="minorHAnsi"/>
          <w:color w:val="000000" w:themeColor="text1"/>
          <w:sz w:val="24"/>
          <w:szCs w:val="24"/>
        </w:rPr>
      </w:pPr>
      <w:r w:rsidRPr="002157AB">
        <w:rPr>
          <w:rFonts w:eastAsia="Calibri" w:cstheme="minorHAnsi"/>
          <w:color w:val="000000" w:themeColor="text1"/>
          <w:sz w:val="24"/>
          <w:szCs w:val="24"/>
        </w:rPr>
        <w:t>Do Not Call Register Act 2006;</w:t>
      </w:r>
    </w:p>
    <w:p w14:paraId="23CA2975" w14:textId="2761DEF8" w:rsidR="002157AB" w:rsidRPr="002157AB" w:rsidRDefault="002157AB" w:rsidP="002157AB">
      <w:pPr>
        <w:pStyle w:val="ListParagraph"/>
        <w:numPr>
          <w:ilvl w:val="0"/>
          <w:numId w:val="25"/>
        </w:numPr>
        <w:rPr>
          <w:rFonts w:eastAsia="Calibri" w:cstheme="minorHAnsi"/>
          <w:color w:val="000000" w:themeColor="text1"/>
          <w:sz w:val="24"/>
          <w:szCs w:val="24"/>
        </w:rPr>
      </w:pPr>
      <w:r w:rsidRPr="002157AB">
        <w:rPr>
          <w:rFonts w:eastAsia="Calibri" w:cstheme="minorHAnsi"/>
          <w:color w:val="000000" w:themeColor="text1"/>
          <w:sz w:val="24"/>
          <w:szCs w:val="24"/>
        </w:rPr>
        <w:t>Spam Act 2003;</w:t>
      </w:r>
    </w:p>
    <w:p w14:paraId="449E8162" w14:textId="091D3FE8" w:rsidR="002157AB" w:rsidRPr="002157AB" w:rsidRDefault="002157AB" w:rsidP="002157AB">
      <w:pPr>
        <w:pStyle w:val="ListParagraph"/>
        <w:numPr>
          <w:ilvl w:val="0"/>
          <w:numId w:val="25"/>
        </w:numPr>
        <w:rPr>
          <w:rFonts w:eastAsia="Calibri" w:cstheme="minorHAnsi"/>
          <w:color w:val="000000" w:themeColor="text1"/>
          <w:sz w:val="24"/>
          <w:szCs w:val="24"/>
        </w:rPr>
      </w:pPr>
      <w:r w:rsidRPr="002157AB">
        <w:rPr>
          <w:rFonts w:eastAsia="Calibri" w:cstheme="minorHAnsi"/>
          <w:color w:val="000000" w:themeColor="text1"/>
          <w:sz w:val="24"/>
          <w:szCs w:val="24"/>
        </w:rPr>
        <w:lastRenderedPageBreak/>
        <w:t>Integrated Public Number Database (IPND); and</w:t>
      </w:r>
    </w:p>
    <w:p w14:paraId="1DA53477" w14:textId="357AFED2" w:rsidR="002157AB" w:rsidRPr="00C57099" w:rsidRDefault="002157AB" w:rsidP="002157AB">
      <w:pPr>
        <w:pStyle w:val="ListParagraph"/>
        <w:numPr>
          <w:ilvl w:val="0"/>
          <w:numId w:val="25"/>
        </w:numPr>
      </w:pPr>
      <w:r w:rsidRPr="002157AB">
        <w:rPr>
          <w:rFonts w:eastAsia="Calibri" w:cstheme="minorHAnsi"/>
          <w:color w:val="000000" w:themeColor="text1"/>
          <w:sz w:val="24"/>
          <w:szCs w:val="24"/>
        </w:rPr>
        <w:t xml:space="preserve">OAIC complaints handling. </w:t>
      </w:r>
    </w:p>
    <w:p w14:paraId="2F0D1422" w14:textId="77FCC20A" w:rsidR="002157AB" w:rsidRPr="002157AB" w:rsidRDefault="002157AB" w:rsidP="002157AB">
      <w:pPr>
        <w:rPr>
          <w:sz w:val="24"/>
          <w:szCs w:val="24"/>
          <w:lang w:eastAsia="en-US"/>
        </w:rPr>
      </w:pPr>
      <w:r w:rsidRPr="002157AB">
        <w:rPr>
          <w:sz w:val="24"/>
          <w:szCs w:val="24"/>
          <w:lang w:eastAsia="en-US"/>
        </w:rPr>
        <w:t xml:space="preserve">ACCAN </w:t>
      </w:r>
      <w:r>
        <w:rPr>
          <w:sz w:val="24"/>
          <w:szCs w:val="24"/>
          <w:lang w:eastAsia="en-US"/>
        </w:rPr>
        <w:t>submits</w:t>
      </w:r>
      <w:r w:rsidRPr="002157AB">
        <w:rPr>
          <w:sz w:val="24"/>
          <w:szCs w:val="24"/>
          <w:lang w:eastAsia="en-US"/>
        </w:rPr>
        <w:t xml:space="preserve"> that</w:t>
      </w:r>
      <w:r>
        <w:rPr>
          <w:sz w:val="24"/>
          <w:szCs w:val="24"/>
          <w:lang w:eastAsia="en-US"/>
        </w:rPr>
        <w:t xml:space="preserve"> both the Telecommunications Act and the</w:t>
      </w:r>
      <w:r w:rsidRPr="002157AB">
        <w:rPr>
          <w:sz w:val="24"/>
          <w:szCs w:val="24"/>
          <w:lang w:eastAsia="en-US"/>
        </w:rPr>
        <w:t xml:space="preserve"> Privacy Act </w:t>
      </w:r>
      <w:r>
        <w:rPr>
          <w:sz w:val="24"/>
          <w:szCs w:val="24"/>
          <w:lang w:eastAsia="en-US"/>
        </w:rPr>
        <w:t xml:space="preserve">should be included in the </w:t>
      </w:r>
      <w:r w:rsidRPr="002157AB">
        <w:rPr>
          <w:sz w:val="24"/>
          <w:szCs w:val="24"/>
          <w:lang w:eastAsia="en-US"/>
        </w:rPr>
        <w:t xml:space="preserve">review of </w:t>
      </w:r>
      <w:proofErr w:type="gramStart"/>
      <w:r w:rsidRPr="002157AB">
        <w:rPr>
          <w:sz w:val="24"/>
          <w:szCs w:val="24"/>
          <w:lang w:eastAsia="en-US"/>
        </w:rPr>
        <w:t>all of</w:t>
      </w:r>
      <w:proofErr w:type="gramEnd"/>
      <w:r w:rsidRPr="002157AB">
        <w:rPr>
          <w:sz w:val="24"/>
          <w:szCs w:val="24"/>
          <w:lang w:eastAsia="en-US"/>
        </w:rPr>
        <w:t xml:space="preserve"> the various privacy protections in telecommunications, including provisions for privacy protections, and the transparency and accountability for those protections. There may be </w:t>
      </w:r>
      <w:r>
        <w:rPr>
          <w:sz w:val="24"/>
          <w:szCs w:val="24"/>
          <w:lang w:eastAsia="en-US"/>
        </w:rPr>
        <w:t xml:space="preserve">contradictions, </w:t>
      </w:r>
      <w:r w:rsidRPr="002157AB">
        <w:rPr>
          <w:sz w:val="24"/>
          <w:szCs w:val="24"/>
          <w:lang w:eastAsia="en-US"/>
        </w:rPr>
        <w:t xml:space="preserve">overlaps and duplication of regulation </w:t>
      </w:r>
      <w:r>
        <w:rPr>
          <w:sz w:val="24"/>
          <w:szCs w:val="24"/>
          <w:lang w:eastAsia="en-US"/>
        </w:rPr>
        <w:t>which could be resolved</w:t>
      </w:r>
      <w:r w:rsidRPr="002157AB">
        <w:rPr>
          <w:sz w:val="24"/>
          <w:szCs w:val="24"/>
          <w:lang w:eastAsia="en-US"/>
        </w:rPr>
        <w:t xml:space="preserve"> </w:t>
      </w:r>
      <w:r>
        <w:rPr>
          <w:sz w:val="24"/>
          <w:szCs w:val="24"/>
          <w:lang w:eastAsia="en-US"/>
        </w:rPr>
        <w:t xml:space="preserve">for the </w:t>
      </w:r>
      <w:r w:rsidRPr="002157AB">
        <w:rPr>
          <w:sz w:val="24"/>
          <w:szCs w:val="24"/>
          <w:lang w:eastAsia="en-US"/>
        </w:rPr>
        <w:t>benefit</w:t>
      </w:r>
      <w:r>
        <w:rPr>
          <w:sz w:val="24"/>
          <w:szCs w:val="24"/>
          <w:lang w:eastAsia="en-US"/>
        </w:rPr>
        <w:t xml:space="preserve"> of</w:t>
      </w:r>
      <w:r w:rsidRPr="002157AB">
        <w:rPr>
          <w:sz w:val="24"/>
          <w:szCs w:val="24"/>
          <w:lang w:eastAsia="en-US"/>
        </w:rPr>
        <w:t xml:space="preserve"> all stakeholders. </w:t>
      </w:r>
    </w:p>
    <w:p w14:paraId="3A49E344" w14:textId="011B823D" w:rsidR="00B252B3" w:rsidRPr="00125975" w:rsidRDefault="00B252B3" w:rsidP="00B252B3">
      <w:pPr>
        <w:pStyle w:val="Recommendation"/>
        <w:numPr>
          <w:ilvl w:val="0"/>
          <w:numId w:val="0"/>
        </w:numPr>
        <w:ind w:left="851"/>
      </w:pPr>
      <w:r w:rsidRPr="00125975">
        <w:rPr>
          <w:b/>
          <w:bCs/>
          <w:sz w:val="24"/>
          <w:szCs w:val="24"/>
        </w:rPr>
        <w:t>Recommendation 14:</w:t>
      </w:r>
      <w:r w:rsidR="00595575" w:rsidRPr="00125975">
        <w:rPr>
          <w:b/>
          <w:bCs/>
          <w:sz w:val="24"/>
          <w:szCs w:val="24"/>
        </w:rPr>
        <w:t xml:space="preserve"> </w:t>
      </w:r>
      <w:r w:rsidR="002157AB" w:rsidRPr="00125975">
        <w:rPr>
          <w:sz w:val="24"/>
          <w:szCs w:val="24"/>
        </w:rPr>
        <w:t>The Telecommunications Act and the Privacy Act should both be reviewed to ensure contradictions, overlaps and duplication are resolved</w:t>
      </w:r>
      <w:r w:rsidR="00125975" w:rsidRPr="00125975">
        <w:rPr>
          <w:sz w:val="24"/>
          <w:szCs w:val="24"/>
        </w:rPr>
        <w:t>.</w:t>
      </w:r>
    </w:p>
    <w:bookmarkEnd w:id="5"/>
    <w:bookmarkEnd w:id="6"/>
    <w:p w14:paraId="2ED65BC0" w14:textId="0DC63B4F" w:rsidR="008E1CC4" w:rsidRPr="00D307A4" w:rsidRDefault="008E1CC4" w:rsidP="0042677A">
      <w:pPr>
        <w:pStyle w:val="Heading1"/>
        <w:numPr>
          <w:ilvl w:val="0"/>
          <w:numId w:val="0"/>
        </w:numPr>
        <w:rPr>
          <w:b/>
          <w:bCs w:val="0"/>
        </w:rPr>
      </w:pPr>
    </w:p>
    <w:sectPr w:rsidR="008E1CC4" w:rsidRPr="00D307A4" w:rsidSect="00A13B92">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1440" w:right="1440" w:bottom="1440"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7A541A" w14:textId="77777777" w:rsidR="007F77A5" w:rsidRDefault="007F77A5" w:rsidP="00B14DFB">
      <w:r>
        <w:separator/>
      </w:r>
    </w:p>
  </w:endnote>
  <w:endnote w:type="continuationSeparator" w:id="0">
    <w:p w14:paraId="07893C5F" w14:textId="77777777" w:rsidR="007F77A5" w:rsidRDefault="007F77A5" w:rsidP="00B14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58D83" w14:textId="77777777" w:rsidR="007F77A5" w:rsidRDefault="007F77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DDE11" w14:textId="77777777" w:rsidR="007F77A5" w:rsidRDefault="007F77A5" w:rsidP="000F58CC">
    <w:pPr>
      <w:spacing w:after="0"/>
      <w:rPr>
        <w:noProof/>
      </w:rPr>
    </w:pPr>
    <w:r w:rsidRPr="00E05115">
      <w:rPr>
        <w:color w:val="23B0E6"/>
      </w:rPr>
      <w:t>www.accan.org.au | info@accan.org.au | twitter: @ACCAN_AU</w:t>
    </w:r>
    <w:r>
      <w:rPr>
        <w:color w:val="23B0E6"/>
      </w:rPr>
      <w:ptab w:relativeTo="margin" w:alignment="right" w:leader="none"/>
    </w:r>
    <w:r w:rsidRPr="00C4251E">
      <w:fldChar w:fldCharType="begin"/>
    </w:r>
    <w:r w:rsidRPr="00C4251E">
      <w:instrText xml:space="preserve"> PAGE   \* MERGEFORMAT </w:instrText>
    </w:r>
    <w:r w:rsidRPr="00C4251E">
      <w:fldChar w:fldCharType="separate"/>
    </w:r>
    <w:r>
      <w:rPr>
        <w:noProof/>
      </w:rPr>
      <w:t>2</w:t>
    </w:r>
    <w:r w:rsidRPr="00C4251E">
      <w:rPr>
        <w:noProof/>
      </w:rPr>
      <w:fldChar w:fldCharType="end"/>
    </w:r>
  </w:p>
  <w:p w14:paraId="0FDCF7DD" w14:textId="77777777" w:rsidR="007F77A5" w:rsidRPr="000F58CC" w:rsidRDefault="007F77A5" w:rsidP="00A13B9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E6BB3" w14:textId="77777777" w:rsidR="007F77A5" w:rsidRDefault="007F77A5" w:rsidP="00A13B92">
    <w:pPr>
      <w:pStyle w:val="Footerpage1"/>
    </w:pPr>
    <w:r w:rsidRPr="004A0B0A">
      <w:rPr>
        <w:color w:val="44C8F5"/>
      </w:rPr>
      <w:t>Australian Communications Consumer Action Network (ACCAN)</w:t>
    </w:r>
  </w:p>
  <w:p w14:paraId="7D16B706" w14:textId="77777777" w:rsidR="007F77A5" w:rsidRDefault="007F77A5" w:rsidP="00A13B92">
    <w:pPr>
      <w:pStyle w:val="Footerpage1"/>
      <w:rPr>
        <w:i/>
      </w:rPr>
    </w:pPr>
    <w:r w:rsidRPr="004A0B0A">
      <w:rPr>
        <w:i/>
        <w:color w:val="44C8F5"/>
      </w:rPr>
      <w:t>Australia’s peak telecommunications consumer organisation</w:t>
    </w:r>
  </w:p>
  <w:p w14:paraId="6B784AE7" w14:textId="77777777" w:rsidR="007F77A5" w:rsidRDefault="007F77A5" w:rsidP="00A13B92">
    <w:pPr>
      <w:pStyle w:val="Footerpage1"/>
    </w:pPr>
    <w:r w:rsidRPr="008E763A">
      <w:rPr>
        <w:noProof/>
        <w:lang w:eastAsia="en-AU"/>
      </w:rPr>
      <mc:AlternateContent>
        <mc:Choice Requires="wps">
          <w:drawing>
            <wp:inline distT="0" distB="0" distL="0" distR="0" wp14:anchorId="17CB454B" wp14:editId="6C2E1E1E">
              <wp:extent cx="6699600" cy="0"/>
              <wp:effectExtent l="0" t="19050" r="6350" b="19050"/>
              <wp:docPr id="5" name="Straight Connector 5"/>
              <wp:cNvGraphicFramePr/>
              <a:graphic xmlns:a="http://schemas.openxmlformats.org/drawingml/2006/main">
                <a:graphicData uri="http://schemas.microsoft.com/office/word/2010/wordprocessingShape">
                  <wps:wsp>
                    <wps:cNvCnPr/>
                    <wps:spPr>
                      <a:xfrm>
                        <a:off x="0" y="0"/>
                        <a:ext cx="6699600" cy="0"/>
                      </a:xfrm>
                      <a:prstGeom prst="line">
                        <a:avLst/>
                      </a:prstGeom>
                      <a:ln w="38100">
                        <a:solidFill>
                          <a:srgbClr val="23B0E6"/>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41694BE" id="Straight Connector 5" o:spid="_x0000_s1026" style="visibility:visible;mso-wrap-style:square;mso-left-percent:-10001;mso-top-percent:-10001;mso-position-horizontal:absolute;mso-position-horizontal-relative:char;mso-position-vertical:absolute;mso-position-vertical-relative:line;mso-left-percent:-10001;mso-top-percent:-10001" from="0,0" to="527.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" strokecolor="#23b0e6" strokeweight="3pt">
              <w10:anchorlock/>
            </v:line>
          </w:pict>
        </mc:Fallback>
      </mc:AlternateContent>
    </w:r>
    <w:r>
      <w:t>PO Box 639, Broadway</w:t>
    </w:r>
    <w:r w:rsidRPr="008E763A">
      <w:t xml:space="preserve"> NSW 2007</w:t>
    </w:r>
  </w:p>
  <w:p w14:paraId="00DE6526" w14:textId="77777777" w:rsidR="007F77A5" w:rsidRDefault="007F77A5" w:rsidP="00A13B92">
    <w:pPr>
      <w:pStyle w:val="Footerpage1"/>
    </w:pPr>
    <w:r w:rsidRPr="008E763A">
      <w:t>Tel: (02) 9288 4000 | Fax: (02) 9288 4019</w:t>
    </w:r>
    <w:r>
      <w:t xml:space="preserve"> | Contact us through the </w:t>
    </w:r>
    <w:hyperlink r:id="rId1" w:history="1">
      <w:r w:rsidRPr="00FE6EAF">
        <w:rPr>
          <w:rStyle w:val="Hyperlink"/>
        </w:rPr>
        <w:t>National Relay Service</w:t>
      </w:r>
    </w:hyperlink>
  </w:p>
  <w:p w14:paraId="6EDB2590" w14:textId="77777777" w:rsidR="007F77A5" w:rsidRDefault="007F77A5" w:rsidP="00A13B92">
    <w:pPr>
      <w:pStyle w:val="Footerpage1"/>
    </w:pPr>
    <w:r w:rsidRPr="004A0B0A">
      <w:rPr>
        <w:color w:val="44C8F5"/>
      </w:rPr>
      <w:t>www.accan.org.au | info@accan.org.au | twitter: @ACCAN_AU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848C1A" w14:textId="77777777" w:rsidR="007F77A5" w:rsidRDefault="007F77A5" w:rsidP="00B14DFB">
      <w:r>
        <w:separator/>
      </w:r>
    </w:p>
  </w:footnote>
  <w:footnote w:type="continuationSeparator" w:id="0">
    <w:p w14:paraId="19A1E074" w14:textId="77777777" w:rsidR="007F77A5" w:rsidRDefault="007F77A5" w:rsidP="00B14DFB">
      <w:r>
        <w:continuationSeparator/>
      </w:r>
    </w:p>
  </w:footnote>
  <w:footnote w:id="1">
    <w:p w14:paraId="179EDDA7" w14:textId="1228A2CD" w:rsidR="007F77A5" w:rsidRPr="00F52EC9" w:rsidRDefault="007F77A5" w:rsidP="0017025B">
      <w:pPr>
        <w:pStyle w:val="FootnoteText"/>
        <w:rPr>
          <w:b/>
          <w:bCs/>
        </w:rPr>
      </w:pPr>
      <w:r>
        <w:rPr>
          <w:rStyle w:val="FootnoteReference"/>
        </w:rPr>
        <w:footnoteRef/>
      </w:r>
      <w:r>
        <w:t xml:space="preserve"> Falk, </w:t>
      </w:r>
      <w:proofErr w:type="spellStart"/>
      <w:r>
        <w:t>Angelene</w:t>
      </w:r>
      <w:proofErr w:type="spellEnd"/>
      <w:r>
        <w:t>, ‘</w:t>
      </w:r>
      <w:r w:rsidRPr="00F52EC9">
        <w:t>2020 Vision: Challenges and opportunities for privacy regulation</w:t>
      </w:r>
      <w:r>
        <w:t>’, 29 October 2019</w:t>
      </w:r>
      <w:r>
        <w:rPr>
          <w:b/>
          <w:bCs/>
        </w:rPr>
        <w:t xml:space="preserve"> - </w:t>
      </w:r>
      <w:hyperlink r:id="rId1" w:history="1">
        <w:r w:rsidRPr="00CF09AB">
          <w:rPr>
            <w:rStyle w:val="Hyperlink"/>
          </w:rPr>
          <w:t>www.oaic.gov.au/updates/speeches/2020-vision-challenges-and-opportunities-for-privacy-regulation/</w:t>
        </w:r>
      </w:hyperlink>
      <w:r>
        <w:t xml:space="preserve"> </w:t>
      </w:r>
    </w:p>
  </w:footnote>
  <w:footnote w:id="2">
    <w:p w14:paraId="2D16F3E4" w14:textId="77777777" w:rsidR="007F77A5" w:rsidRDefault="007F77A5" w:rsidP="00A74E29">
      <w:pPr>
        <w:pStyle w:val="FootnoteText"/>
      </w:pPr>
      <w:r>
        <w:rPr>
          <w:rStyle w:val="FootnoteReference"/>
        </w:rPr>
        <w:footnoteRef/>
      </w:r>
      <w:r>
        <w:t xml:space="preserve"> Salinger Privacy, Submission to the Privacy Act Review</w:t>
      </w:r>
    </w:p>
  </w:footnote>
  <w:footnote w:id="3">
    <w:p w14:paraId="649743A6" w14:textId="77777777" w:rsidR="007F77A5" w:rsidRDefault="007F77A5" w:rsidP="00A74E29">
      <w:pPr>
        <w:pStyle w:val="FootnoteText"/>
      </w:pPr>
      <w:r>
        <w:rPr>
          <w:rStyle w:val="FootnoteReference"/>
        </w:rPr>
        <w:footnoteRef/>
      </w:r>
      <w:r>
        <w:t xml:space="preserve"> </w:t>
      </w:r>
      <w:hyperlink r:id="rId2" w:history="1">
        <w:r>
          <w:rPr>
            <w:rStyle w:val="Hyperlink"/>
          </w:rPr>
          <w:t>www.accc.gov.au/focus-areas/consumer-data-right-cdr-0/consultation-on-proposed-changes-to-the-cdr-rules</w:t>
        </w:r>
      </w:hyperlink>
    </w:p>
  </w:footnote>
  <w:footnote w:id="4">
    <w:p w14:paraId="1A0B1EA2" w14:textId="77777777" w:rsidR="007F77A5" w:rsidRDefault="007F77A5" w:rsidP="00A74E29">
      <w:pPr>
        <w:pStyle w:val="FootnoteText"/>
      </w:pPr>
      <w:r>
        <w:rPr>
          <w:rStyle w:val="FootnoteReference"/>
        </w:rPr>
        <w:footnoteRef/>
      </w:r>
      <w:r>
        <w:t xml:space="preserve"> </w:t>
      </w:r>
      <w:r w:rsidRPr="00B22437">
        <w:t>https://treasury.gov.au/consumer-data-right</w:t>
      </w:r>
    </w:p>
  </w:footnote>
  <w:footnote w:id="5">
    <w:p w14:paraId="37A2F2D6" w14:textId="77777777" w:rsidR="007F77A5" w:rsidRDefault="007F77A5" w:rsidP="00A74E29">
      <w:pPr>
        <w:pStyle w:val="FootnoteText"/>
      </w:pPr>
      <w:r>
        <w:rPr>
          <w:rStyle w:val="FootnoteReference"/>
        </w:rPr>
        <w:footnoteRef/>
      </w:r>
      <w:r>
        <w:t xml:space="preserve"> </w:t>
      </w:r>
      <w:hyperlink r:id="rId3" w:history="1">
        <w:r w:rsidRPr="00AC6502">
          <w:rPr>
            <w:rStyle w:val="Hyperlink"/>
          </w:rPr>
          <w:t>https://www.oaic.gov.au/privacy/guidance-and-advice/guide-to-data-analytics-and-the-australian-privacy-principles/</w:t>
        </w:r>
      </w:hyperlink>
      <w:r>
        <w:t xml:space="preserve"> </w:t>
      </w:r>
    </w:p>
  </w:footnote>
  <w:footnote w:id="6">
    <w:p w14:paraId="014AC840" w14:textId="77777777" w:rsidR="007F77A5" w:rsidRDefault="007F77A5" w:rsidP="00A74E29">
      <w:pPr>
        <w:pStyle w:val="FootnoteText"/>
      </w:pPr>
      <w:r>
        <w:rPr>
          <w:rStyle w:val="FootnoteReference"/>
        </w:rPr>
        <w:footnoteRef/>
      </w:r>
      <w:r>
        <w:t xml:space="preserve"> </w:t>
      </w:r>
      <w:hyperlink r:id="rId4" w:history="1">
        <w:r w:rsidRPr="00AC6502">
          <w:rPr>
            <w:rStyle w:val="Hyperlink"/>
          </w:rPr>
          <w:t>https://www.oaic.gov.au/privacy/guidance-and-advice/de-identification-and-the-privacy-act/</w:t>
        </w:r>
      </w:hyperlink>
      <w:r>
        <w:t xml:space="preserve"> </w:t>
      </w:r>
    </w:p>
  </w:footnote>
  <w:footnote w:id="7">
    <w:p w14:paraId="2CF0DDD2" w14:textId="77777777" w:rsidR="007F77A5" w:rsidRPr="00317A13" w:rsidRDefault="007F77A5" w:rsidP="00A74E29">
      <w:pPr>
        <w:pStyle w:val="FootnoteText"/>
        <w:rPr>
          <w:u w:val="single"/>
        </w:rPr>
      </w:pPr>
      <w:r>
        <w:rPr>
          <w:rStyle w:val="FootnoteReference"/>
        </w:rPr>
        <w:footnoteRef/>
      </w:r>
      <w:r>
        <w:t xml:space="preserve"> Chris Culnane and Kobi Leins, ‘Misconceptions in Privacy Protection and Regulation’ (2019) 36 </w:t>
      </w:r>
      <w:r w:rsidRPr="00DD796E">
        <w:rPr>
          <w:i/>
          <w:iCs/>
        </w:rPr>
        <w:t>Law in Context</w:t>
      </w:r>
      <w:r>
        <w:t xml:space="preserve"> - accessed at  </w:t>
      </w:r>
      <w:hyperlink r:id="rId5" w:history="1">
        <w:r w:rsidRPr="00AD3EA0">
          <w:rPr>
            <w:rStyle w:val="Hyperlink"/>
          </w:rPr>
          <w:t>https://www.accc.gov.au/system/files/Dr%20Katharine%20Kemp%20%2826%20April%202020%29.pdf</w:t>
        </w:r>
      </w:hyperlink>
      <w:r>
        <w:rPr>
          <w:rStyle w:val="Hyperlink"/>
        </w:rPr>
        <w:t xml:space="preserve"> </w:t>
      </w:r>
    </w:p>
  </w:footnote>
  <w:footnote w:id="8">
    <w:p w14:paraId="2F7A9F54" w14:textId="77777777" w:rsidR="007F77A5" w:rsidRDefault="007F77A5" w:rsidP="00A74E29">
      <w:pPr>
        <w:pStyle w:val="FootnoteText"/>
      </w:pPr>
      <w:r>
        <w:rPr>
          <w:rStyle w:val="FootnoteReference"/>
        </w:rPr>
        <w:footnoteRef/>
      </w:r>
      <w:r>
        <w:t xml:space="preserve"> </w:t>
      </w:r>
      <w:hyperlink r:id="rId6" w:history="1">
        <w:r w:rsidRPr="002F3244">
          <w:rPr>
            <w:rStyle w:val="Hyperlink"/>
          </w:rPr>
          <w:t>https://dataprivacymanager.net/pseudonymization-according-to-the-gdpr/</w:t>
        </w:r>
      </w:hyperlink>
      <w:r>
        <w:t xml:space="preserve"> </w:t>
      </w:r>
    </w:p>
  </w:footnote>
  <w:footnote w:id="9">
    <w:p w14:paraId="0E3F16EC" w14:textId="77777777" w:rsidR="007F77A5" w:rsidRDefault="007F77A5" w:rsidP="00A74E29">
      <w:pPr>
        <w:pStyle w:val="FootnoteText"/>
      </w:pPr>
      <w:r>
        <w:rPr>
          <w:rStyle w:val="FootnoteReference"/>
        </w:rPr>
        <w:footnoteRef/>
      </w:r>
      <w:r>
        <w:t xml:space="preserve"> </w:t>
      </w:r>
      <w:hyperlink r:id="rId7" w:history="1">
        <w:r w:rsidRPr="00D31BA2">
          <w:rPr>
            <w:rStyle w:val="Hyperlink"/>
          </w:rPr>
          <w:t>www.ucl.ac.uk/data-protection/guidance-staff-students-and-researchers/practical-data-protection-guidance-notices/anonymisation-and</w:t>
        </w:r>
      </w:hyperlink>
      <w:r>
        <w:t xml:space="preserve"> </w:t>
      </w:r>
    </w:p>
  </w:footnote>
  <w:footnote w:id="10">
    <w:p w14:paraId="255F1CD0" w14:textId="77777777" w:rsidR="007F77A5" w:rsidRDefault="007F77A5" w:rsidP="00A74E29">
      <w:pPr>
        <w:pStyle w:val="FootnoteText"/>
      </w:pPr>
      <w:r>
        <w:rPr>
          <w:rStyle w:val="FootnoteReference"/>
        </w:rPr>
        <w:footnoteRef/>
      </w:r>
      <w:r>
        <w:t xml:space="preserve"> </w:t>
      </w:r>
      <w:hyperlink r:id="rId8" w:history="1">
        <w:r w:rsidRPr="00AC6502">
          <w:rPr>
            <w:rStyle w:val="Hyperlink"/>
          </w:rPr>
          <w:t>https://techcrunch.com/2019/07/24/researchers-spotlight-the-lie-of-anonymous-data/</w:t>
        </w:r>
      </w:hyperlink>
      <w:r>
        <w:t xml:space="preserve"> </w:t>
      </w:r>
    </w:p>
  </w:footnote>
  <w:footnote w:id="11">
    <w:p w14:paraId="4CE114D1" w14:textId="77777777" w:rsidR="007F77A5" w:rsidRDefault="007F77A5" w:rsidP="00A74E29">
      <w:pPr>
        <w:pStyle w:val="FootnoteText"/>
      </w:pPr>
      <w:r>
        <w:rPr>
          <w:rStyle w:val="FootnoteReference"/>
        </w:rPr>
        <w:footnoteRef/>
      </w:r>
      <w:r>
        <w:t xml:space="preserve">  </w:t>
      </w:r>
      <w:r w:rsidRPr="00327FEC">
        <w:t>Lloyd, Halani</w:t>
      </w:r>
      <w:r>
        <w:t>, ‘</w:t>
      </w:r>
      <w:r w:rsidRPr="00327FEC">
        <w:t>Are privacy laws more concerned</w:t>
      </w:r>
      <w:r>
        <w:t xml:space="preserve"> </w:t>
      </w:r>
      <w:r w:rsidRPr="00327FEC">
        <w:t xml:space="preserve">with legitimising the data processing practices of organisations than with safeguarding the privacy of individuals? (2002) 9(5) </w:t>
      </w:r>
      <w:r w:rsidRPr="00327FEC">
        <w:rPr>
          <w:i/>
          <w:iCs/>
        </w:rPr>
        <w:t>Privacy Law and Policy Reporter</w:t>
      </w:r>
      <w:r w:rsidRPr="00327FEC">
        <w:t xml:space="preserve"> 81 </w:t>
      </w:r>
      <w:r>
        <w:t xml:space="preserve"> - retrieved at </w:t>
      </w:r>
      <w:hyperlink r:id="rId9" w:history="1">
        <w:r w:rsidRPr="002F3244">
          <w:rPr>
            <w:rStyle w:val="Hyperlink"/>
          </w:rPr>
          <w:t>http://www5.austlii.edu.au/au/journals/PrivLawPRpr/2002/39.html</w:t>
        </w:r>
      </w:hyperlink>
      <w:r>
        <w:t xml:space="preserve"> </w:t>
      </w:r>
    </w:p>
  </w:footnote>
  <w:footnote w:id="12">
    <w:p w14:paraId="71E86F6D" w14:textId="77777777" w:rsidR="007F77A5" w:rsidRDefault="007F77A5" w:rsidP="00A74E29">
      <w:pPr>
        <w:pStyle w:val="FootnoteText"/>
      </w:pPr>
      <w:r>
        <w:rPr>
          <w:rStyle w:val="FootnoteReference"/>
        </w:rPr>
        <w:footnoteRef/>
      </w:r>
      <w:r>
        <w:t xml:space="preserve"> </w:t>
      </w:r>
      <w:hyperlink r:id="rId10" w:history="1">
        <w:r w:rsidRPr="00D31BA2">
          <w:rPr>
            <w:rStyle w:val="Hyperlink"/>
          </w:rPr>
          <w:t>www.alrc.gov.au/publication/for-your-information-australian-privacy-law-and-practice-alrc-report-108/71-telecommunications-act/small-business-exemption-2/</w:t>
        </w:r>
      </w:hyperlink>
      <w:r>
        <w:t xml:space="preserve"> </w:t>
      </w:r>
    </w:p>
  </w:footnote>
  <w:footnote w:id="13">
    <w:p w14:paraId="7D07947E" w14:textId="77777777" w:rsidR="007F77A5" w:rsidRDefault="007F77A5" w:rsidP="00A74E29">
      <w:pPr>
        <w:pStyle w:val="FootnoteText"/>
      </w:pPr>
      <w:r>
        <w:rPr>
          <w:rStyle w:val="FootnoteReference"/>
        </w:rPr>
        <w:footnoteRef/>
      </w:r>
      <w:r>
        <w:t xml:space="preserve"> CDR rules expansion amendments Consultation Paper September 2020 – accessed at </w:t>
      </w:r>
      <w:hyperlink r:id="rId11" w:history="1">
        <w:r w:rsidRPr="00D31BA2">
          <w:rPr>
            <w:rStyle w:val="Hyperlink"/>
          </w:rPr>
          <w:t>www.accc.gov.au/system/files/CDR%20rules%20expansion%20amendments%20-%20consultation%20paper%20-%2030%20September%202020.pdf</w:t>
        </w:r>
      </w:hyperlink>
      <w:r>
        <w:t xml:space="preserve"> </w:t>
      </w:r>
    </w:p>
  </w:footnote>
  <w:footnote w:id="14">
    <w:p w14:paraId="26D89532" w14:textId="77777777" w:rsidR="007F77A5" w:rsidRDefault="007F77A5" w:rsidP="00A74E29">
      <w:pPr>
        <w:pStyle w:val="FootnoteText"/>
      </w:pPr>
      <w:r>
        <w:rPr>
          <w:rStyle w:val="FootnoteReference"/>
        </w:rPr>
        <w:footnoteRef/>
      </w:r>
      <w:r>
        <w:t xml:space="preserve">  </w:t>
      </w:r>
      <w:hyperlink r:id="rId12" w:history="1">
        <w:r w:rsidRPr="002F3244">
          <w:rPr>
            <w:rStyle w:val="Hyperlink"/>
          </w:rPr>
          <w:t>www.allens.com.au/insights-news/insights/2020/11/privacy-act-review-what-you-need-to-know/</w:t>
        </w:r>
      </w:hyperlink>
      <w:r>
        <w:t xml:space="preserve"> </w:t>
      </w:r>
    </w:p>
  </w:footnote>
  <w:footnote w:id="15">
    <w:p w14:paraId="5DE05689" w14:textId="77777777" w:rsidR="007F77A5" w:rsidRDefault="007F77A5" w:rsidP="00A74E29">
      <w:pPr>
        <w:pStyle w:val="FootnoteText"/>
      </w:pPr>
      <w:r>
        <w:rPr>
          <w:rStyle w:val="FootnoteReference"/>
        </w:rPr>
        <w:footnoteRef/>
      </w:r>
      <w:r>
        <w:t xml:space="preserve"> </w:t>
      </w:r>
      <w:hyperlink r:id="rId13" w:history="1">
        <w:r w:rsidRPr="002F3244">
          <w:rPr>
            <w:rStyle w:val="Hyperlink"/>
          </w:rPr>
          <w:t>www.alrc.gov.au/publication/for-your-information-australian-privacy-law-and-practice-alrc-report-108/40-employee-records-exemption/alrcs-view-3/</w:t>
        </w:r>
      </w:hyperlink>
      <w:r>
        <w:t xml:space="preserve"> </w:t>
      </w:r>
    </w:p>
  </w:footnote>
  <w:footnote w:id="16">
    <w:p w14:paraId="0264A887" w14:textId="77777777" w:rsidR="007F77A5" w:rsidRDefault="007F77A5" w:rsidP="00A74E29">
      <w:pPr>
        <w:pStyle w:val="FootnoteText"/>
      </w:pPr>
      <w:r>
        <w:rPr>
          <w:rStyle w:val="FootnoteReference"/>
        </w:rPr>
        <w:footnoteRef/>
      </w:r>
      <w:r>
        <w:t xml:space="preserve"> </w:t>
      </w:r>
      <w:hyperlink r:id="rId14" w:history="1">
        <w:r w:rsidRPr="002F3244">
          <w:rPr>
            <w:rStyle w:val="Hyperlink"/>
          </w:rPr>
          <w:t>www.alrc.gov.au/publication/for-your-information-australian-privacy-law-and-practice-alrc-report-108/40-employee-records-exemption/alrcs-view-3/</w:t>
        </w:r>
      </w:hyperlink>
      <w:r>
        <w:t xml:space="preserve"> </w:t>
      </w:r>
    </w:p>
  </w:footnote>
  <w:footnote w:id="17">
    <w:p w14:paraId="6AA205F4" w14:textId="77777777" w:rsidR="007F77A5" w:rsidRDefault="007F77A5" w:rsidP="00A74E29">
      <w:pPr>
        <w:pStyle w:val="FootnoteText"/>
      </w:pPr>
      <w:r>
        <w:rPr>
          <w:rStyle w:val="FootnoteReference"/>
        </w:rPr>
        <w:footnoteRef/>
      </w:r>
      <w:r>
        <w:t xml:space="preserve"> Utz. C. et al, ‘ </w:t>
      </w:r>
      <w:r w:rsidRPr="003A67C8">
        <w:t>(Un)informed Consent: Studying GDPR Consent Notices in the</w:t>
      </w:r>
      <w:r>
        <w:t xml:space="preserve"> </w:t>
      </w:r>
      <w:r w:rsidRPr="003A67C8">
        <w:t>Field</w:t>
      </w:r>
      <w:r>
        <w:t xml:space="preserve">’, 22 October 2019 – accessed at </w:t>
      </w:r>
      <w:hyperlink r:id="rId15" w:history="1">
        <w:r w:rsidRPr="00923FB3">
          <w:rPr>
            <w:rStyle w:val="Hyperlink"/>
          </w:rPr>
          <w:t>https://dl.acm.org/doi/10.1145/3319535.3354212</w:t>
        </w:r>
      </w:hyperlink>
      <w:r>
        <w:t xml:space="preserve"> </w:t>
      </w:r>
    </w:p>
  </w:footnote>
  <w:footnote w:id="18">
    <w:p w14:paraId="5A798766" w14:textId="77777777" w:rsidR="007F77A5" w:rsidRDefault="007F77A5" w:rsidP="00DA1E4D">
      <w:pPr>
        <w:pStyle w:val="FootnoteText"/>
      </w:pPr>
      <w:r>
        <w:rPr>
          <w:rStyle w:val="FootnoteReference"/>
        </w:rPr>
        <w:footnoteRef/>
      </w:r>
      <w:r>
        <w:t xml:space="preserve"> </w:t>
      </w:r>
      <w:r w:rsidRPr="00E165AE">
        <w:t xml:space="preserve">See </w:t>
      </w:r>
      <w:hyperlink r:id="rId16" w:history="1">
        <w:r w:rsidRPr="00D31BA2">
          <w:rPr>
            <w:rStyle w:val="Hyperlink"/>
          </w:rPr>
          <w:t>www.oaic.gov.au/assets/updates/news-and-media/facebook-federal-court-concise-statement.pdf</w:t>
        </w:r>
      </w:hyperlink>
    </w:p>
  </w:footnote>
  <w:footnote w:id="19">
    <w:p w14:paraId="64E398C7" w14:textId="0D794C71" w:rsidR="007F77A5" w:rsidRDefault="007F77A5" w:rsidP="00A74E29">
      <w:pPr>
        <w:pStyle w:val="FootnoteText"/>
      </w:pPr>
      <w:r>
        <w:rPr>
          <w:rStyle w:val="FootnoteReference"/>
        </w:rPr>
        <w:footnoteRef/>
      </w:r>
      <w:r>
        <w:t xml:space="preserve"> Deakin University, </w:t>
      </w:r>
      <w:r w:rsidRPr="00E07352">
        <w:t>‘Enhancing Consumer Awareness of Privacy and the Internet of Things’</w:t>
      </w:r>
      <w:r>
        <w:t>, unpublished</w:t>
      </w:r>
    </w:p>
  </w:footnote>
  <w:footnote w:id="20">
    <w:p w14:paraId="0A68F645" w14:textId="77777777" w:rsidR="007F77A5" w:rsidRDefault="007F77A5" w:rsidP="00A74E29">
      <w:pPr>
        <w:pStyle w:val="FootnoteText"/>
      </w:pPr>
      <w:r>
        <w:rPr>
          <w:rStyle w:val="FootnoteReference"/>
        </w:rPr>
        <w:footnoteRef/>
      </w:r>
      <w:r>
        <w:t xml:space="preserve"> </w:t>
      </w:r>
      <w:hyperlink r:id="rId17" w:history="1">
        <w:r w:rsidRPr="00D31BA2">
          <w:rPr>
            <w:rStyle w:val="Hyperlink"/>
          </w:rPr>
          <w:t>www.accc.gov.au/system/files/OfficeoftheAustralianInformationCommissioner-October2019.pdf</w:t>
        </w:r>
      </w:hyperlink>
      <w:r>
        <w:t xml:space="preserve">; </w:t>
      </w:r>
      <w:hyperlink r:id="rId18" w:history="1">
        <w:r w:rsidRPr="00D31BA2">
          <w:rPr>
            <w:rStyle w:val="Hyperlink"/>
          </w:rPr>
          <w:t>www.accc.gov.au/system/files/OfficeoftheAustralianInformationCommissioner%28May2019%29.pdf</w:t>
        </w:r>
      </w:hyperlink>
    </w:p>
  </w:footnote>
  <w:footnote w:id="21">
    <w:p w14:paraId="77BC5EB9" w14:textId="77777777" w:rsidR="007F77A5" w:rsidRDefault="007F77A5" w:rsidP="00A74E29">
      <w:pPr>
        <w:pStyle w:val="FootnoteText"/>
      </w:pPr>
      <w:r>
        <w:rPr>
          <w:rStyle w:val="FootnoteReference"/>
        </w:rPr>
        <w:footnoteRef/>
      </w:r>
      <w:r>
        <w:t xml:space="preserve"> </w:t>
      </w:r>
      <w:hyperlink r:id="rId19" w:history="1">
        <w:r w:rsidRPr="00D31BA2">
          <w:rPr>
            <w:rStyle w:val="Hyperlink"/>
          </w:rPr>
          <w:t>www.oaic.gov.au/engage-with-us/submissions/customer-loyalty-schemes-review-submission-to-the-accc/</w:t>
        </w:r>
      </w:hyperlink>
      <w:r>
        <w:t xml:space="preserve"> </w:t>
      </w:r>
    </w:p>
  </w:footnote>
  <w:footnote w:id="22">
    <w:p w14:paraId="108ADF1D" w14:textId="7893F552" w:rsidR="007F77A5" w:rsidRDefault="007F77A5" w:rsidP="00A74E29">
      <w:pPr>
        <w:pStyle w:val="FootnoteText"/>
      </w:pPr>
      <w:r>
        <w:rPr>
          <w:rStyle w:val="FootnoteReference"/>
        </w:rPr>
        <w:footnoteRef/>
      </w:r>
      <w:r>
        <w:t xml:space="preserve"> ‘Deakin University, </w:t>
      </w:r>
      <w:r w:rsidRPr="00E07352">
        <w:t>‘Enhancing Consumer Awareness of Privacy and the Internet of Things’</w:t>
      </w:r>
      <w:r>
        <w:t>, unpublished</w:t>
      </w:r>
    </w:p>
  </w:footnote>
  <w:footnote w:id="23">
    <w:p w14:paraId="3A9E1169" w14:textId="77777777" w:rsidR="007F77A5" w:rsidRDefault="007F77A5" w:rsidP="00A74E29">
      <w:pPr>
        <w:pStyle w:val="FootnoteText"/>
      </w:pPr>
      <w:r>
        <w:rPr>
          <w:rStyle w:val="FootnoteReference"/>
        </w:rPr>
        <w:footnoteRef/>
      </w:r>
      <w:r>
        <w:t xml:space="preserve"> </w:t>
      </w:r>
      <w:r w:rsidRPr="00753764">
        <w:t xml:space="preserve">Yves-Alexandre de Montjoye, César A. Hidalgo, Michel Verleysen &amp; Vincent D. Blondel, ‘Unique in the Crowd: The privacy bounds of human mobility’, Scientific reports, March 2013, available at: </w:t>
      </w:r>
      <w:hyperlink r:id="rId20" w:history="1">
        <w:r w:rsidRPr="002C6EF8">
          <w:rPr>
            <w:rStyle w:val="Hyperlink"/>
          </w:rPr>
          <w:t>https://www.nature.com/articles/srep01376?ial=1</w:t>
        </w:r>
      </w:hyperlink>
      <w:r>
        <w:t xml:space="preserve"> </w:t>
      </w:r>
    </w:p>
  </w:footnote>
  <w:footnote w:id="24">
    <w:p w14:paraId="5D0EB39F" w14:textId="77777777" w:rsidR="007F77A5" w:rsidRDefault="007F77A5" w:rsidP="00A74E29">
      <w:pPr>
        <w:pStyle w:val="FootnoteText"/>
      </w:pPr>
      <w:r>
        <w:rPr>
          <w:rStyle w:val="FootnoteReference"/>
        </w:rPr>
        <w:footnoteRef/>
      </w:r>
      <w:r>
        <w:t xml:space="preserve"> </w:t>
      </w:r>
      <w:r w:rsidRPr="00257E2A">
        <w:t xml:space="preserve"> The California Privacy Rights Act 2020 expands the definition of ‘sensitive personal information’ (which is afforded superior protection) to include “a consumer’s precise geolocation”, which is defined as “any data that is derived from a device and that is used or intended to be used to locate a consumer within a geographic area that is equal to or less than the area of a circle with a radius of 1,850 feet”; see </w:t>
      </w:r>
      <w:hyperlink r:id="rId21" w:history="1">
        <w:r w:rsidRPr="00E02FEF">
          <w:rPr>
            <w:rStyle w:val="Hyperlink"/>
          </w:rPr>
          <w:t>https://vig.cdn.sos.ca.gov/2020/general/pdf/topl-prop24.pdf</w:t>
        </w:r>
      </w:hyperlink>
      <w:r>
        <w:t xml:space="preserve"> </w:t>
      </w:r>
      <w:r w:rsidRPr="00257E2A">
        <w:t xml:space="preserve">  </w:t>
      </w:r>
      <w:r>
        <w:t xml:space="preserve"> </w:t>
      </w:r>
    </w:p>
  </w:footnote>
  <w:footnote w:id="25">
    <w:p w14:paraId="180DC9BC" w14:textId="77777777" w:rsidR="007F77A5" w:rsidRDefault="007F77A5" w:rsidP="00A74E29">
      <w:pPr>
        <w:pStyle w:val="FootnoteText"/>
      </w:pPr>
      <w:r>
        <w:rPr>
          <w:rStyle w:val="FootnoteReference"/>
        </w:rPr>
        <w:footnoteRef/>
      </w:r>
      <w:r>
        <w:t xml:space="preserve"> </w:t>
      </w:r>
      <w:hyperlink r:id="rId22" w:history="1">
        <w:r w:rsidRPr="00D31BA2">
          <w:rPr>
            <w:rStyle w:val="Hyperlink"/>
          </w:rPr>
          <w:t>https://www.accc.gov.au/system/files/OfficeoftheAustralianInformationCommissioner%28May2019%29.pdf</w:t>
        </w:r>
      </w:hyperlink>
      <w:r>
        <w:t xml:space="preserve"> </w:t>
      </w:r>
    </w:p>
  </w:footnote>
  <w:footnote w:id="26">
    <w:p w14:paraId="6400E525" w14:textId="77777777" w:rsidR="007F77A5" w:rsidRDefault="007F77A5" w:rsidP="00A74E29">
      <w:pPr>
        <w:pStyle w:val="FootnoteText"/>
      </w:pPr>
      <w:r>
        <w:rPr>
          <w:rStyle w:val="FootnoteReference"/>
        </w:rPr>
        <w:footnoteRef/>
      </w:r>
      <w:r>
        <w:t xml:space="preserve"> </w:t>
      </w:r>
      <w:hyperlink r:id="rId23" w:history="1">
        <w:r w:rsidRPr="00D31BA2">
          <w:rPr>
            <w:rStyle w:val="Hyperlink"/>
          </w:rPr>
          <w:t>https://www.unicef.org.au/Upload/UNICEF/Media/Our%20work/childfriendlycrc.pdf</w:t>
        </w:r>
      </w:hyperlink>
      <w:r>
        <w:t xml:space="preserve"> </w:t>
      </w:r>
    </w:p>
  </w:footnote>
  <w:footnote w:id="27">
    <w:p w14:paraId="6F7A3C21" w14:textId="4A6A808C" w:rsidR="007F77A5" w:rsidRDefault="007F77A5">
      <w:pPr>
        <w:pStyle w:val="FootnoteText"/>
      </w:pPr>
      <w:r>
        <w:rPr>
          <w:rStyle w:val="FootnoteReference"/>
        </w:rPr>
        <w:footnoteRef/>
      </w:r>
      <w:r>
        <w:t xml:space="preserve"> </w:t>
      </w:r>
      <w:r w:rsidRPr="000715C6">
        <w:t>https://ec.europa.eu/info/law/law-topic/data-protection/reform/what-constitutes-data-processing_en</w:t>
      </w:r>
    </w:p>
  </w:footnote>
  <w:footnote w:id="28">
    <w:p w14:paraId="18CF48DB" w14:textId="232C6B13" w:rsidR="007F77A5" w:rsidRDefault="007F77A5" w:rsidP="0069524A">
      <w:pPr>
        <w:pStyle w:val="FootnoteText"/>
      </w:pPr>
      <w:r>
        <w:rPr>
          <w:rStyle w:val="FootnoteReference"/>
        </w:rPr>
        <w:footnoteRef/>
      </w:r>
      <w:r>
        <w:t xml:space="preserve"> </w:t>
      </w:r>
      <w:r w:rsidRPr="0069524A">
        <w:t>Controllers make decisions about processing activities. They exercise overall control of the personal data being processed and are ultimately in charge of and responsible for the processing.</w:t>
      </w:r>
      <w:r>
        <w:t xml:space="preserve"> A controller can be a company or other legal entity (such as an incorporated partnership, incorporated association or public authority), or an individual (such as a sole trader, partner in an unincorporated partnership, or self-employed professional). An individual processing personal data for the purposes of a purely personal or household activity is not subject to the GDPR – see </w:t>
      </w:r>
      <w:hyperlink r:id="rId24" w:history="1">
        <w:r w:rsidRPr="00EE2E05">
          <w:rPr>
            <w:rStyle w:val="Hyperlink"/>
          </w:rPr>
          <w:t>https://ico.org.uk/for-organisations/guide-to-data-protection/guide-to-the-general-data-protection-regulation-gdpr/controllers-and-processors/what-are-controllers-and-processors/</w:t>
        </w:r>
      </w:hyperlink>
      <w:r>
        <w:t xml:space="preserve"> </w:t>
      </w:r>
    </w:p>
  </w:footnote>
  <w:footnote w:id="29">
    <w:p w14:paraId="38553A5F" w14:textId="77777777" w:rsidR="007F77A5" w:rsidRDefault="007F77A5" w:rsidP="00825ED4">
      <w:pPr>
        <w:pStyle w:val="FootnoteText"/>
      </w:pPr>
      <w:r>
        <w:rPr>
          <w:rStyle w:val="FootnoteReference"/>
        </w:rPr>
        <w:footnoteRef/>
      </w:r>
      <w:r>
        <w:t xml:space="preserve"> </w:t>
      </w:r>
      <w:hyperlink r:id="rId25" w:history="1">
        <w:r w:rsidRPr="00D31BA2">
          <w:rPr>
            <w:rStyle w:val="Hyperlink"/>
          </w:rPr>
          <w:t>https://www.privacy-regulation.eu/en/article-8-conditions-applicable-to-child%27s-consent-in-relation-to-information-society-services-GDPR.htm</w:t>
        </w:r>
      </w:hyperlink>
      <w:r>
        <w:t xml:space="preserve"> </w:t>
      </w:r>
    </w:p>
  </w:footnote>
  <w:footnote w:id="30">
    <w:p w14:paraId="49119ACE" w14:textId="6B4BF57A" w:rsidR="007F77A5" w:rsidRDefault="007F77A5">
      <w:pPr>
        <w:pStyle w:val="FootnoteText"/>
      </w:pPr>
      <w:r>
        <w:rPr>
          <w:rStyle w:val="FootnoteReference"/>
        </w:rPr>
        <w:footnoteRef/>
      </w:r>
      <w:r>
        <w:t xml:space="preserve"> </w:t>
      </w:r>
      <w:hyperlink r:id="rId26" w:anchor="CapacityToConsent" w:history="1">
        <w:r w:rsidRPr="00EE2E05">
          <w:rPr>
            <w:rStyle w:val="Hyperlink"/>
          </w:rPr>
          <w:t>https://www.oaic.gov.au/privacy/your-privacy-rights/your-personal-information/consent-to-the-handling-of-personal-information/#CapacityToConsent</w:t>
        </w:r>
      </w:hyperlink>
      <w:r>
        <w:t xml:space="preserve"> </w:t>
      </w:r>
    </w:p>
  </w:footnote>
  <w:footnote w:id="31">
    <w:p w14:paraId="14E5FBDD" w14:textId="7B87C3ED" w:rsidR="007F77A5" w:rsidRDefault="007F77A5">
      <w:pPr>
        <w:pStyle w:val="FootnoteText"/>
      </w:pPr>
      <w:r>
        <w:rPr>
          <w:rStyle w:val="FootnoteReference"/>
        </w:rPr>
        <w:footnoteRef/>
      </w:r>
      <w:r>
        <w:t xml:space="preserve"> </w:t>
      </w:r>
      <w:hyperlink r:id="rId27" w:history="1">
        <w:r w:rsidRPr="00EE2E05">
          <w:rPr>
            <w:rStyle w:val="Hyperlink"/>
          </w:rPr>
          <w:t>https://www.oaic.gov.au/privacy/your-privacy-rights/children-and-young-people/</w:t>
        </w:r>
      </w:hyperlink>
      <w:r>
        <w:t xml:space="preserve"> </w:t>
      </w:r>
    </w:p>
  </w:footnote>
  <w:footnote w:id="32">
    <w:p w14:paraId="38886BCA" w14:textId="77777777" w:rsidR="007F77A5" w:rsidRDefault="007F77A5" w:rsidP="00A74E29">
      <w:pPr>
        <w:pStyle w:val="FootnoteText"/>
      </w:pPr>
      <w:r>
        <w:rPr>
          <w:rStyle w:val="FootnoteReference"/>
        </w:rPr>
        <w:footnoteRef/>
      </w:r>
      <w:r>
        <w:t xml:space="preserve"> Digital Identity Legislation Consultation Paper, p28</w:t>
      </w:r>
    </w:p>
  </w:footnote>
  <w:footnote w:id="33">
    <w:p w14:paraId="7CBC1466" w14:textId="3E8F067C" w:rsidR="007F77A5" w:rsidRPr="00A57BC8" w:rsidRDefault="007F77A5" w:rsidP="00CC7246">
      <w:pPr>
        <w:pStyle w:val="CommentText"/>
        <w:spacing w:before="0" w:beforeAutospacing="0" w:after="120" w:afterAutospacing="0"/>
        <w:rPr>
          <w:sz w:val="18"/>
        </w:rPr>
      </w:pPr>
      <w:r>
        <w:rPr>
          <w:rStyle w:val="FootnoteReference"/>
        </w:rPr>
        <w:footnoteRef/>
      </w:r>
      <w:r>
        <w:t xml:space="preserve"> </w:t>
      </w:r>
      <w:r w:rsidRPr="00A57BC8">
        <w:rPr>
          <w:sz w:val="18"/>
        </w:rPr>
        <w:t>The practice of bundled consent by APP entities poses a significant problem in the context of real and free consent. Bundled consent occurs when an APP entity “bundles” together multiple request for an individual’s consent for a range of various collection, uses and disclosure purposes of their personal information.</w:t>
      </w:r>
      <w:r>
        <w:rPr>
          <w:sz w:val="18"/>
        </w:rPr>
        <w:t xml:space="preserve"> </w:t>
      </w:r>
      <w:r w:rsidRPr="00A57BC8">
        <w:rPr>
          <w:sz w:val="18"/>
        </w:rPr>
        <w:t xml:space="preserve">The inherent problem with such a practice is that the individual may be unaware as to the wide range of purposes they have given their consent on. </w:t>
      </w:r>
      <w:r>
        <w:rPr>
          <w:sz w:val="18"/>
        </w:rPr>
        <w:t>The</w:t>
      </w:r>
      <w:r w:rsidRPr="00A57BC8">
        <w:rPr>
          <w:sz w:val="18"/>
        </w:rPr>
        <w:t xml:space="preserve"> individual is given no choice to choose which collections, uses and disclosures they agree to and which they do not</w:t>
      </w:r>
      <w:r>
        <w:rPr>
          <w:sz w:val="18"/>
        </w:rPr>
        <w:t xml:space="preserve">. Bundling </w:t>
      </w:r>
      <w:r w:rsidRPr="00A57BC8">
        <w:rPr>
          <w:sz w:val="18"/>
        </w:rPr>
        <w:t xml:space="preserve">will lead to disputes with the regulator as to the nature of the consent that was </w:t>
      </w:r>
      <w:proofErr w:type="gramStart"/>
      <w:r w:rsidRPr="00A57BC8">
        <w:rPr>
          <w:sz w:val="18"/>
        </w:rPr>
        <w:t>actually given</w:t>
      </w:r>
      <w:proofErr w:type="gramEnd"/>
      <w:r w:rsidRPr="00A57BC8">
        <w:rPr>
          <w:sz w:val="18"/>
        </w:rPr>
        <w:t>.</w:t>
      </w:r>
      <w:r>
        <w:rPr>
          <w:sz w:val="18"/>
        </w:rPr>
        <w:t xml:space="preserve"> – see </w:t>
      </w:r>
      <w:hyperlink r:id="rId28" w:history="1">
        <w:r w:rsidRPr="00EE2E05">
          <w:rPr>
            <w:rStyle w:val="Hyperlink"/>
          </w:rPr>
          <w:t>https://www.cbp.com.au/insights/insights/2019/november/what-is-real-consent-to-data-collection</w:t>
        </w:r>
      </w:hyperlink>
    </w:p>
  </w:footnote>
  <w:footnote w:id="34">
    <w:p w14:paraId="649BF47B" w14:textId="77777777" w:rsidR="007F77A5" w:rsidRDefault="007F77A5" w:rsidP="00CC7246">
      <w:pPr>
        <w:pStyle w:val="FootnoteText"/>
      </w:pPr>
      <w:r>
        <w:rPr>
          <w:rStyle w:val="FootnoteReference"/>
        </w:rPr>
        <w:footnoteRef/>
      </w:r>
      <w:r>
        <w:t xml:space="preserve"> </w:t>
      </w:r>
      <w:hyperlink r:id="rId29" w:history="1">
        <w:r w:rsidRPr="007E254E">
          <w:rPr>
            <w:rStyle w:val="Hyperlink"/>
          </w:rPr>
          <w:t>https://www.oaic.gov.au/privacy/australian-privacy-principles-guidelines/chapter-7-app-7-direct-marketing/</w:t>
        </w:r>
      </w:hyperlink>
      <w:r>
        <w:t xml:space="preserve"> </w:t>
      </w:r>
    </w:p>
  </w:footnote>
  <w:footnote w:id="35">
    <w:p w14:paraId="4DFEF331" w14:textId="77777777" w:rsidR="007F77A5" w:rsidRDefault="007F77A5" w:rsidP="00A74E29">
      <w:pPr>
        <w:pStyle w:val="FootnoteText"/>
      </w:pPr>
      <w:r>
        <w:rPr>
          <w:rStyle w:val="FootnoteReference"/>
        </w:rPr>
        <w:footnoteRef/>
      </w:r>
      <w:r>
        <w:t xml:space="preserve"> O’Flynn, S.</w:t>
      </w:r>
      <w:r w:rsidRPr="003C746C">
        <w:t xml:space="preserve"> </w:t>
      </w:r>
      <w:r>
        <w:t>‘</w:t>
      </w:r>
      <w:r w:rsidRPr="003C746C">
        <w:t>We street-proof our kids. Why aren’t we data-proofing them?</w:t>
      </w:r>
      <w:r>
        <w:t xml:space="preserve">’, 29 </w:t>
      </w:r>
      <w:r w:rsidRPr="003C746C">
        <w:t>September 2019</w:t>
      </w:r>
      <w:r>
        <w:t xml:space="preserve">, </w:t>
      </w:r>
      <w:r w:rsidRPr="003C746C">
        <w:rPr>
          <w:i/>
          <w:iCs/>
        </w:rPr>
        <w:t>The Conversation</w:t>
      </w:r>
      <w:r>
        <w:t xml:space="preserve"> – accessed at  </w:t>
      </w:r>
      <w:hyperlink r:id="rId30" w:history="1">
        <w:r w:rsidRPr="007E254E">
          <w:rPr>
            <w:rStyle w:val="Hyperlink"/>
          </w:rPr>
          <w:t>https://theconversation.com/we-street-proof-our-kids-why-arent-we-data-proofing-them-123415</w:t>
        </w:r>
      </w:hyperlink>
      <w:r>
        <w:t xml:space="preserve"> </w:t>
      </w:r>
    </w:p>
  </w:footnote>
  <w:footnote w:id="36">
    <w:p w14:paraId="48C476D7" w14:textId="77777777" w:rsidR="007F77A5" w:rsidRDefault="007F77A5" w:rsidP="00A74E29">
      <w:pPr>
        <w:pStyle w:val="FootnoteText"/>
      </w:pPr>
      <w:r>
        <w:rPr>
          <w:rStyle w:val="FootnoteReference"/>
        </w:rPr>
        <w:footnoteRef/>
      </w:r>
      <w:r>
        <w:t xml:space="preserve"> Lacey, C. and Beattie, A. ‘We need a code to protect our online privacy and wipe out dark patters in digital design’, 16 September 2020, </w:t>
      </w:r>
      <w:r w:rsidRPr="00437D6D">
        <w:rPr>
          <w:i/>
          <w:iCs/>
        </w:rPr>
        <w:t>The Conversation</w:t>
      </w:r>
      <w:r>
        <w:t xml:space="preserve"> – accessed at </w:t>
      </w:r>
      <w:hyperlink r:id="rId31" w:history="1">
        <w:r w:rsidRPr="007E254E">
          <w:rPr>
            <w:rStyle w:val="Hyperlink"/>
          </w:rPr>
          <w:t>https://theconversation.com/we-need-a-code-to-protect-our-online-privacy-and-wipe-out-dark-patterns-in-digital-design-145622</w:t>
        </w:r>
      </w:hyperlink>
      <w:r>
        <w:t xml:space="preserve"> </w:t>
      </w:r>
    </w:p>
  </w:footnote>
  <w:footnote w:id="37">
    <w:p w14:paraId="42BA157C" w14:textId="0345A783" w:rsidR="007F77A5" w:rsidRPr="00AE17CF" w:rsidRDefault="007F77A5" w:rsidP="00A74E29">
      <w:pPr>
        <w:pStyle w:val="FootnoteText"/>
      </w:pPr>
      <w:r>
        <w:rPr>
          <w:rStyle w:val="FootnoteReference"/>
        </w:rPr>
        <w:footnoteRef/>
      </w:r>
      <w:r>
        <w:t xml:space="preserve"> </w:t>
      </w:r>
      <w:hyperlink r:id="rId32" w:anchor="what6" w:history="1">
        <w:r w:rsidRPr="00EE2E05">
          <w:rPr>
            <w:rStyle w:val="Hyperlink"/>
          </w:rPr>
          <w:t>https://ico.org.uk/for-organisations/guide-to-data-protection/guide-to-the-general-data-protection-regulation-gdpr/consent/what-is-valid-consent/#what6</w:t>
        </w:r>
      </w:hyperlink>
      <w:r>
        <w:t xml:space="preserve"> </w:t>
      </w:r>
    </w:p>
  </w:footnote>
  <w:footnote w:id="38">
    <w:p w14:paraId="42A37F77" w14:textId="19A7326A" w:rsidR="007F77A5" w:rsidRDefault="007F77A5">
      <w:pPr>
        <w:pStyle w:val="FootnoteText"/>
      </w:pPr>
      <w:r>
        <w:rPr>
          <w:rStyle w:val="FootnoteReference"/>
        </w:rPr>
        <w:footnoteRef/>
      </w:r>
      <w:r>
        <w:t xml:space="preserve"> </w:t>
      </w:r>
      <w:r w:rsidRPr="003E4A02">
        <w:t>www.oaic.gov.au/privacy/your-privacy-rights/your-personal-information/consent-to-the-handling-of-personal-information/</w:t>
      </w:r>
    </w:p>
  </w:footnote>
  <w:footnote w:id="39">
    <w:p w14:paraId="64EA6C43" w14:textId="77777777" w:rsidR="007F77A5" w:rsidRPr="00870EA7" w:rsidRDefault="007F77A5" w:rsidP="00A74E29">
      <w:pPr>
        <w:pStyle w:val="BodyText1"/>
        <w:rPr>
          <w:rStyle w:val="Hyperlink"/>
        </w:rPr>
      </w:pPr>
      <w:r>
        <w:rPr>
          <w:rStyle w:val="FootnoteReference"/>
        </w:rPr>
        <w:footnoteRef/>
      </w:r>
      <w:r>
        <w:t xml:space="preserve"> </w:t>
      </w:r>
      <w:hyperlink r:id="rId33" w:history="1">
        <w:r w:rsidRPr="00D474B9">
          <w:rPr>
            <w:rStyle w:val="Hyperlink"/>
          </w:rPr>
          <w:t>https://ico.org.uk/for-organisations/guide-to-data-protection/guide-to-the-general-data-protection-regulation-gdpr/individual-rights/right-to-erasure/</w:t>
        </w:r>
      </w:hyperlink>
    </w:p>
    <w:p w14:paraId="104831F1" w14:textId="77777777" w:rsidR="007F77A5" w:rsidRDefault="007F77A5" w:rsidP="00A74E29">
      <w:pPr>
        <w:pStyle w:val="BodyText1"/>
      </w:pPr>
    </w:p>
    <w:p w14:paraId="3CB097BC" w14:textId="77777777" w:rsidR="007F77A5" w:rsidRDefault="007F77A5" w:rsidP="00A74E29">
      <w:pPr>
        <w:pStyle w:val="FootnoteText"/>
      </w:pPr>
    </w:p>
  </w:footnote>
  <w:footnote w:id="40">
    <w:p w14:paraId="5DB9CF14" w14:textId="77777777" w:rsidR="007F77A5" w:rsidRDefault="007F77A5" w:rsidP="00A74E29">
      <w:pPr>
        <w:pStyle w:val="FootnoteText"/>
      </w:pPr>
      <w:r>
        <w:rPr>
          <w:rStyle w:val="FootnoteReference"/>
        </w:rPr>
        <w:footnoteRef/>
      </w:r>
      <w:r>
        <w:t xml:space="preserve"> Dawson, S., Parsons, J. and Galli, M. </w:t>
      </w:r>
      <w:r w:rsidRPr="003C0042">
        <w:rPr>
          <w:i/>
          <w:iCs/>
        </w:rPr>
        <w:t>Digital Platforms and proposed amendments to privacy laws</w:t>
      </w:r>
      <w:r>
        <w:t xml:space="preserve">, 12 August 2019 – accessed at  </w:t>
      </w:r>
      <w:hyperlink r:id="rId34" w:history="1">
        <w:r w:rsidRPr="007F4BA7">
          <w:rPr>
            <w:rStyle w:val="Hyperlink"/>
          </w:rPr>
          <w:t>https://www.twobirds.com/en/news/articles/2019/global/digital-platforms-and-proposed-amendments-to-privacy-laws</w:t>
        </w:r>
      </w:hyperlink>
      <w:r>
        <w:t xml:space="preserve"> </w:t>
      </w:r>
    </w:p>
  </w:footnote>
  <w:footnote w:id="41">
    <w:p w14:paraId="3C4A0C8E" w14:textId="7E26A9B9" w:rsidR="007F77A5" w:rsidRDefault="007F77A5" w:rsidP="00A74E29">
      <w:pPr>
        <w:pStyle w:val="FootnoteText"/>
      </w:pPr>
      <w:r>
        <w:rPr>
          <w:rStyle w:val="FootnoteReference"/>
        </w:rPr>
        <w:footnoteRef/>
      </w:r>
      <w:r>
        <w:t xml:space="preserve"> For further outlining of our concerns with respect to the provision of CDR data to non-accredited parties see Financial Rights’ Submission to</w:t>
      </w:r>
      <w:r w:rsidRPr="00B80656">
        <w:t xml:space="preserve"> </w:t>
      </w:r>
      <w:r>
        <w:t xml:space="preserve">ACCC re: CDR rules expansion amendments, Consultation Paper. </w:t>
      </w:r>
      <w:hyperlink r:id="rId35" w:history="1">
        <w:r w:rsidRPr="00EE2E05">
          <w:rPr>
            <w:rStyle w:val="Hyperlink"/>
          </w:rPr>
          <w:t>https://financialrights.org.au/wpontent/uploads/2020/10/201029_ACCCCDRRulesexpansion_Sub_FINAL-1.pdf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1138B" w14:textId="77777777" w:rsidR="007F77A5" w:rsidRDefault="007F77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6B2BC" w14:textId="77777777" w:rsidR="007F77A5" w:rsidRDefault="007F77A5" w:rsidP="00E45E4C">
    <w:pPr>
      <w:pStyle w:val="Header"/>
      <w:jc w:val="right"/>
    </w:pPr>
    <w:r>
      <w:rPr>
        <w:noProof/>
        <w:lang w:eastAsia="en-AU"/>
      </w:rPr>
      <w:drawing>
        <wp:inline distT="0" distB="0" distL="0" distR="0" wp14:anchorId="09BF8075" wp14:editId="12AFC9EB">
          <wp:extent cx="678787" cy="296066"/>
          <wp:effectExtent l="0" t="0" r="7620" b="8890"/>
          <wp:docPr id="1" name="Picture 1" descr="ACCAN_logo_BLACK_viewing_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CAN_logo_BLACK_viewing_on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108" cy="295334"/>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0AB6E" w14:textId="77777777" w:rsidR="007F77A5" w:rsidRDefault="007F77A5" w:rsidP="00B14DFB">
    <w:pPr>
      <w:pStyle w:val="Header"/>
      <w:jc w:val="center"/>
    </w:pPr>
    <w:r>
      <w:rPr>
        <w:noProof/>
        <w:lang w:eastAsia="en-AU"/>
      </w:rPr>
      <w:drawing>
        <wp:inline distT="0" distB="0" distL="0" distR="0" wp14:anchorId="7CE205CC" wp14:editId="0605639E">
          <wp:extent cx="3057525" cy="1581150"/>
          <wp:effectExtent l="0" t="0" r="0" b="0"/>
          <wp:docPr id="6" name="Picture 13" descr="ACCAN_logo_BLUE_viewing_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CAN_logo_BLUE_viewing_onl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7525" cy="1581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42E8B"/>
    <w:multiLevelType w:val="hybridMultilevel"/>
    <w:tmpl w:val="804439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777933"/>
    <w:multiLevelType w:val="hybridMultilevel"/>
    <w:tmpl w:val="C9A20AF0"/>
    <w:lvl w:ilvl="0" w:tplc="0C090001">
      <w:start w:val="1"/>
      <w:numFmt w:val="bullet"/>
      <w:lvlText w:val=""/>
      <w:lvlJc w:val="left"/>
      <w:pPr>
        <w:ind w:left="4263" w:hanging="360"/>
      </w:pPr>
      <w:rPr>
        <w:rFonts w:ascii="Symbol" w:hAnsi="Symbol" w:hint="default"/>
      </w:rPr>
    </w:lvl>
    <w:lvl w:ilvl="1" w:tplc="0C090003" w:tentative="1">
      <w:start w:val="1"/>
      <w:numFmt w:val="bullet"/>
      <w:lvlText w:val="o"/>
      <w:lvlJc w:val="left"/>
      <w:pPr>
        <w:ind w:left="4983" w:hanging="360"/>
      </w:pPr>
      <w:rPr>
        <w:rFonts w:ascii="Courier New" w:hAnsi="Courier New" w:cs="Courier New" w:hint="default"/>
      </w:rPr>
    </w:lvl>
    <w:lvl w:ilvl="2" w:tplc="0C090005" w:tentative="1">
      <w:start w:val="1"/>
      <w:numFmt w:val="bullet"/>
      <w:lvlText w:val=""/>
      <w:lvlJc w:val="left"/>
      <w:pPr>
        <w:ind w:left="5703" w:hanging="360"/>
      </w:pPr>
      <w:rPr>
        <w:rFonts w:ascii="Wingdings" w:hAnsi="Wingdings" w:hint="default"/>
      </w:rPr>
    </w:lvl>
    <w:lvl w:ilvl="3" w:tplc="0C090001" w:tentative="1">
      <w:start w:val="1"/>
      <w:numFmt w:val="bullet"/>
      <w:lvlText w:val=""/>
      <w:lvlJc w:val="left"/>
      <w:pPr>
        <w:ind w:left="6423" w:hanging="360"/>
      </w:pPr>
      <w:rPr>
        <w:rFonts w:ascii="Symbol" w:hAnsi="Symbol" w:hint="default"/>
      </w:rPr>
    </w:lvl>
    <w:lvl w:ilvl="4" w:tplc="0C090003" w:tentative="1">
      <w:start w:val="1"/>
      <w:numFmt w:val="bullet"/>
      <w:lvlText w:val="o"/>
      <w:lvlJc w:val="left"/>
      <w:pPr>
        <w:ind w:left="7143" w:hanging="360"/>
      </w:pPr>
      <w:rPr>
        <w:rFonts w:ascii="Courier New" w:hAnsi="Courier New" w:cs="Courier New" w:hint="default"/>
      </w:rPr>
    </w:lvl>
    <w:lvl w:ilvl="5" w:tplc="0C090005" w:tentative="1">
      <w:start w:val="1"/>
      <w:numFmt w:val="bullet"/>
      <w:lvlText w:val=""/>
      <w:lvlJc w:val="left"/>
      <w:pPr>
        <w:ind w:left="7863" w:hanging="360"/>
      </w:pPr>
      <w:rPr>
        <w:rFonts w:ascii="Wingdings" w:hAnsi="Wingdings" w:hint="default"/>
      </w:rPr>
    </w:lvl>
    <w:lvl w:ilvl="6" w:tplc="0C090001" w:tentative="1">
      <w:start w:val="1"/>
      <w:numFmt w:val="bullet"/>
      <w:lvlText w:val=""/>
      <w:lvlJc w:val="left"/>
      <w:pPr>
        <w:ind w:left="8583" w:hanging="360"/>
      </w:pPr>
      <w:rPr>
        <w:rFonts w:ascii="Symbol" w:hAnsi="Symbol" w:hint="default"/>
      </w:rPr>
    </w:lvl>
    <w:lvl w:ilvl="7" w:tplc="0C090003" w:tentative="1">
      <w:start w:val="1"/>
      <w:numFmt w:val="bullet"/>
      <w:lvlText w:val="o"/>
      <w:lvlJc w:val="left"/>
      <w:pPr>
        <w:ind w:left="9303" w:hanging="360"/>
      </w:pPr>
      <w:rPr>
        <w:rFonts w:ascii="Courier New" w:hAnsi="Courier New" w:cs="Courier New" w:hint="default"/>
      </w:rPr>
    </w:lvl>
    <w:lvl w:ilvl="8" w:tplc="0C090005" w:tentative="1">
      <w:start w:val="1"/>
      <w:numFmt w:val="bullet"/>
      <w:lvlText w:val=""/>
      <w:lvlJc w:val="left"/>
      <w:pPr>
        <w:ind w:left="10023" w:hanging="360"/>
      </w:pPr>
      <w:rPr>
        <w:rFonts w:ascii="Wingdings" w:hAnsi="Wingdings" w:hint="default"/>
      </w:rPr>
    </w:lvl>
  </w:abstractNum>
  <w:abstractNum w:abstractNumId="2" w15:restartNumberingAfterBreak="0">
    <w:nsid w:val="16F2037E"/>
    <w:multiLevelType w:val="hybridMultilevel"/>
    <w:tmpl w:val="527A8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C4F0862"/>
    <w:multiLevelType w:val="multilevel"/>
    <w:tmpl w:val="6AFEEB4C"/>
    <w:styleLink w:val="Bullets"/>
    <w:lvl w:ilvl="0">
      <w:start w:val="1"/>
      <w:numFmt w:val="bullet"/>
      <w:pStyle w:val="Bulletlist1"/>
      <w:lvlText w:val=""/>
      <w:lvlJc w:val="left"/>
      <w:pPr>
        <w:ind w:left="851" w:hanging="284"/>
      </w:pPr>
      <w:rPr>
        <w:rFonts w:ascii="Symbol" w:hAnsi="Symbol" w:hint="default"/>
      </w:rPr>
    </w:lvl>
    <w:lvl w:ilvl="1">
      <w:start w:val="1"/>
      <w:numFmt w:val="bullet"/>
      <w:pStyle w:val="Bulletlist2"/>
      <w:lvlText w:val=""/>
      <w:lvlJc w:val="left"/>
      <w:pPr>
        <w:ind w:left="1418" w:hanging="284"/>
      </w:pPr>
      <w:rPr>
        <w:rFonts w:ascii="Symbol" w:hAnsi="Symbol" w:hint="default"/>
      </w:rPr>
    </w:lvl>
    <w:lvl w:ilvl="2">
      <w:start w:val="1"/>
      <w:numFmt w:val="bullet"/>
      <w:pStyle w:val="Bulletlist3"/>
      <w:lvlText w:val=""/>
      <w:lvlJc w:val="left"/>
      <w:pPr>
        <w:ind w:left="1985" w:hanging="284"/>
      </w:pPr>
      <w:rPr>
        <w:rFonts w:ascii="Symbol" w:hAnsi="Symbol" w:hint="default"/>
        <w:color w:val="auto"/>
      </w:rPr>
    </w:lvl>
    <w:lvl w:ilvl="3">
      <w:start w:val="1"/>
      <w:numFmt w:val="bullet"/>
      <w:lvlText w:val=""/>
      <w:lvlJc w:val="left"/>
      <w:pPr>
        <w:ind w:left="2552" w:hanging="284"/>
      </w:pPr>
      <w:rPr>
        <w:rFonts w:ascii="Symbol" w:hAnsi="Symbol" w:hint="default"/>
      </w:rPr>
    </w:lvl>
    <w:lvl w:ilvl="4">
      <w:start w:val="1"/>
      <w:numFmt w:val="bullet"/>
      <w:lvlText w:val=""/>
      <w:lvlJc w:val="left"/>
      <w:pPr>
        <w:ind w:left="3119" w:hanging="284"/>
      </w:pPr>
      <w:rPr>
        <w:rFonts w:ascii="Symbol" w:hAnsi="Symbol" w:hint="default"/>
      </w:rPr>
    </w:lvl>
    <w:lvl w:ilvl="5">
      <w:start w:val="1"/>
      <w:numFmt w:val="bullet"/>
      <w:lvlText w:val=""/>
      <w:lvlJc w:val="left"/>
      <w:pPr>
        <w:ind w:left="3686" w:hanging="284"/>
      </w:pPr>
      <w:rPr>
        <w:rFonts w:ascii="Symbol" w:hAnsi="Symbol" w:hint="default"/>
      </w:rPr>
    </w:lvl>
    <w:lvl w:ilvl="6">
      <w:start w:val="1"/>
      <w:numFmt w:val="bullet"/>
      <w:lvlText w:val=""/>
      <w:lvlJc w:val="left"/>
      <w:pPr>
        <w:ind w:left="4253" w:hanging="284"/>
      </w:pPr>
      <w:rPr>
        <w:rFonts w:ascii="Symbol" w:hAnsi="Symbol" w:hint="default"/>
      </w:rPr>
    </w:lvl>
    <w:lvl w:ilvl="7">
      <w:start w:val="1"/>
      <w:numFmt w:val="bullet"/>
      <w:lvlText w:val=""/>
      <w:lvlJc w:val="left"/>
      <w:pPr>
        <w:ind w:left="4820" w:hanging="284"/>
      </w:pPr>
      <w:rPr>
        <w:rFonts w:ascii="Symbol" w:hAnsi="Symbol" w:hint="default"/>
      </w:rPr>
    </w:lvl>
    <w:lvl w:ilvl="8">
      <w:start w:val="1"/>
      <w:numFmt w:val="bullet"/>
      <w:lvlText w:val=""/>
      <w:lvlJc w:val="left"/>
      <w:pPr>
        <w:ind w:left="5387" w:hanging="284"/>
      </w:pPr>
      <w:rPr>
        <w:rFonts w:ascii="Symbol" w:hAnsi="Symbol" w:hint="default"/>
      </w:rPr>
    </w:lvl>
  </w:abstractNum>
  <w:abstractNum w:abstractNumId="4" w15:restartNumberingAfterBreak="0">
    <w:nsid w:val="34EF7256"/>
    <w:multiLevelType w:val="hybridMultilevel"/>
    <w:tmpl w:val="161802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5F41370"/>
    <w:multiLevelType w:val="multilevel"/>
    <w:tmpl w:val="995AA286"/>
    <w:styleLink w:val="Recommendations"/>
    <w:lvl w:ilvl="0">
      <w:start w:val="1"/>
      <w:numFmt w:val="decimal"/>
      <w:pStyle w:val="Recommendation"/>
      <w:lvlText w:val="Recommendation %1:"/>
      <w:lvlJc w:val="left"/>
      <w:pPr>
        <w:ind w:left="851" w:firstLine="0"/>
      </w:pPr>
      <w:rPr>
        <w:rFonts w:hint="default"/>
      </w:rPr>
    </w:lvl>
    <w:lvl w:ilvl="1">
      <w:start w:val="1"/>
      <w:numFmt w:val="none"/>
      <w:lvlText w:val=""/>
      <w:lvlJc w:val="left"/>
      <w:pPr>
        <w:ind w:left="851" w:hanging="851"/>
      </w:pPr>
      <w:rPr>
        <w:rFonts w:hint="default"/>
      </w:rPr>
    </w:lvl>
    <w:lvl w:ilvl="2">
      <w:start w:val="1"/>
      <w:numFmt w:val="none"/>
      <w:lvlText w:val=""/>
      <w:lvlJc w:val="left"/>
      <w:pPr>
        <w:ind w:left="851" w:hanging="851"/>
      </w:pPr>
      <w:rPr>
        <w:rFonts w:hint="default"/>
      </w:rPr>
    </w:lvl>
    <w:lvl w:ilvl="3">
      <w:start w:val="1"/>
      <w:numFmt w:val="none"/>
      <w:lvlText w:val=""/>
      <w:lvlJc w:val="left"/>
      <w:pPr>
        <w:ind w:left="851" w:hanging="851"/>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6" w15:restartNumberingAfterBreak="0">
    <w:nsid w:val="422846F8"/>
    <w:multiLevelType w:val="hybridMultilevel"/>
    <w:tmpl w:val="B2085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95A5619"/>
    <w:multiLevelType w:val="hybridMultilevel"/>
    <w:tmpl w:val="8CDC37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E857923"/>
    <w:multiLevelType w:val="multilevel"/>
    <w:tmpl w:val="989E8E90"/>
    <w:styleLink w:val="Appendices"/>
    <w:lvl w:ilvl="0">
      <w:start w:val="1"/>
      <w:numFmt w:val="upperLetter"/>
      <w:pStyle w:val="Appendixheading1"/>
      <w:lvlText w:val="Appendix %1."/>
      <w:lvlJc w:val="left"/>
      <w:pPr>
        <w:ind w:left="0" w:firstLine="0"/>
      </w:pPr>
      <w:rPr>
        <w:rFonts w:hint="default"/>
      </w:rPr>
    </w:lvl>
    <w:lvl w:ilvl="1">
      <w:start w:val="1"/>
      <w:numFmt w:val="lowerRoman"/>
      <w:pStyle w:val="Appendixheading2"/>
      <w:lvlText w:val="%1.%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9" w15:restartNumberingAfterBreak="0">
    <w:nsid w:val="5A467144"/>
    <w:multiLevelType w:val="multilevel"/>
    <w:tmpl w:val="989E8E90"/>
    <w:numStyleLink w:val="Appendices"/>
  </w:abstractNum>
  <w:abstractNum w:abstractNumId="10" w15:restartNumberingAfterBreak="0">
    <w:nsid w:val="5D9C6F39"/>
    <w:multiLevelType w:val="hybridMultilevel"/>
    <w:tmpl w:val="C9BEFF8E"/>
    <w:lvl w:ilvl="0" w:tplc="3C7E2E7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F09253C"/>
    <w:multiLevelType w:val="hybridMultilevel"/>
    <w:tmpl w:val="49AE0B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770774C"/>
    <w:multiLevelType w:val="multilevel"/>
    <w:tmpl w:val="F1BC5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C07096F"/>
    <w:multiLevelType w:val="hybridMultilevel"/>
    <w:tmpl w:val="3F8420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CAA0FE4"/>
    <w:multiLevelType w:val="multilevel"/>
    <w:tmpl w:val="E2F45A98"/>
    <w:styleLink w:val="Blockquotebullets"/>
    <w:lvl w:ilvl="0">
      <w:start w:val="1"/>
      <w:numFmt w:val="bullet"/>
      <w:pStyle w:val="Blockquotebulletlist1"/>
      <w:lvlText w:val=""/>
      <w:lvlJc w:val="left"/>
      <w:pPr>
        <w:ind w:left="1701" w:hanging="283"/>
      </w:pPr>
      <w:rPr>
        <w:rFonts w:ascii="Symbol" w:hAnsi="Symbol"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15:restartNumberingAfterBreak="0">
    <w:nsid w:val="756745DE"/>
    <w:multiLevelType w:val="hybridMultilevel"/>
    <w:tmpl w:val="177C30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79F6D20"/>
    <w:multiLevelType w:val="hybridMultilevel"/>
    <w:tmpl w:val="827C30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7FF45ED"/>
    <w:multiLevelType w:val="multilevel"/>
    <w:tmpl w:val="A7920A6E"/>
    <w:styleLink w:val="Headings"/>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05" w:hanging="851"/>
      </w:pPr>
      <w:rPr>
        <w:rFonts w:hint="default"/>
      </w:rPr>
    </w:lvl>
    <w:lvl w:ilvl="2">
      <w:start w:val="1"/>
      <w:numFmt w:val="decimal"/>
      <w:pStyle w:val="Heading3"/>
      <w:lvlText w:val="%1.%2.%3."/>
      <w:lvlJc w:val="left"/>
      <w:pPr>
        <w:ind w:left="851" w:hanging="851"/>
      </w:pPr>
      <w:rPr>
        <w:rFonts w:hint="default"/>
      </w:rPr>
    </w:lvl>
    <w:lvl w:ilvl="3">
      <w:start w:val="1"/>
      <w:numFmt w:val="none"/>
      <w:suff w:val="nothing"/>
      <w:lvlText w:val=""/>
      <w:lvlJc w:val="left"/>
      <w:pPr>
        <w:ind w:left="0" w:firstLine="0"/>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num w:numId="1">
    <w:abstractNumId w:val="17"/>
  </w:num>
  <w:num w:numId="2">
    <w:abstractNumId w:val="3"/>
  </w:num>
  <w:num w:numId="3">
    <w:abstractNumId w:val="3"/>
  </w:num>
  <w:num w:numId="4">
    <w:abstractNumId w:val="17"/>
  </w:num>
  <w:num w:numId="5">
    <w:abstractNumId w:val="8"/>
  </w:num>
  <w:num w:numId="6">
    <w:abstractNumId w:val="9"/>
  </w:num>
  <w:num w:numId="7">
    <w:abstractNumId w:val="14"/>
  </w:num>
  <w:num w:numId="8">
    <w:abstractNumId w:val="14"/>
  </w:num>
  <w:num w:numId="9">
    <w:abstractNumId w:val="5"/>
    <w:lvlOverride w:ilvl="0">
      <w:lvl w:ilvl="0">
        <w:start w:val="1"/>
        <w:numFmt w:val="decimal"/>
        <w:pStyle w:val="Recommendation"/>
        <w:lvlText w:val="Recommendation %1:"/>
        <w:lvlJc w:val="left"/>
        <w:pPr>
          <w:ind w:left="709" w:firstLine="0"/>
        </w:pPr>
        <w:rPr>
          <w:rFonts w:hint="default"/>
          <w:b/>
          <w:bCs/>
          <w:sz w:val="24"/>
          <w:szCs w:val="24"/>
        </w:rPr>
      </w:lvl>
    </w:lvlOverride>
    <w:lvlOverride w:ilvl="1">
      <w:lvl w:ilvl="1">
        <w:start w:val="1"/>
        <w:numFmt w:val="none"/>
        <w:lvlText w:val=""/>
        <w:lvlJc w:val="left"/>
        <w:pPr>
          <w:ind w:left="851" w:hanging="851"/>
        </w:pPr>
        <w:rPr>
          <w:rFonts w:hint="default"/>
        </w:rPr>
      </w:lvl>
    </w:lvlOverride>
    <w:lvlOverride w:ilvl="2">
      <w:lvl w:ilvl="2">
        <w:start w:val="1"/>
        <w:numFmt w:val="none"/>
        <w:lvlText w:val=""/>
        <w:lvlJc w:val="left"/>
        <w:pPr>
          <w:ind w:left="851" w:hanging="851"/>
        </w:pPr>
        <w:rPr>
          <w:rFonts w:hint="default"/>
        </w:rPr>
      </w:lvl>
    </w:lvlOverride>
    <w:lvlOverride w:ilvl="3">
      <w:lvl w:ilvl="3">
        <w:start w:val="1"/>
        <w:numFmt w:val="none"/>
        <w:lvlText w:val=""/>
        <w:lvlJc w:val="left"/>
        <w:pPr>
          <w:ind w:left="851" w:hanging="851"/>
        </w:pPr>
        <w:rPr>
          <w:rFonts w:hint="default"/>
        </w:rPr>
      </w:lvl>
    </w:lvlOverride>
    <w:lvlOverride w:ilvl="4">
      <w:lvl w:ilvl="4">
        <w:start w:val="1"/>
        <w:numFmt w:val="none"/>
        <w:lvlText w:val=""/>
        <w:lvlJc w:val="left"/>
        <w:pPr>
          <w:ind w:left="851" w:hanging="851"/>
        </w:pPr>
        <w:rPr>
          <w:rFonts w:hint="default"/>
        </w:rPr>
      </w:lvl>
    </w:lvlOverride>
    <w:lvlOverride w:ilvl="5">
      <w:lvl w:ilvl="5">
        <w:start w:val="1"/>
        <w:numFmt w:val="none"/>
        <w:lvlText w:val=""/>
        <w:lvlJc w:val="left"/>
        <w:pPr>
          <w:ind w:left="851" w:hanging="851"/>
        </w:pPr>
        <w:rPr>
          <w:rFonts w:hint="default"/>
        </w:rPr>
      </w:lvl>
    </w:lvlOverride>
    <w:lvlOverride w:ilvl="6">
      <w:lvl w:ilvl="6">
        <w:start w:val="1"/>
        <w:numFmt w:val="none"/>
        <w:lvlText w:val=""/>
        <w:lvlJc w:val="left"/>
        <w:pPr>
          <w:ind w:left="851" w:hanging="851"/>
        </w:pPr>
        <w:rPr>
          <w:rFonts w:hint="default"/>
        </w:rPr>
      </w:lvl>
    </w:lvlOverride>
    <w:lvlOverride w:ilvl="7">
      <w:lvl w:ilvl="7">
        <w:start w:val="1"/>
        <w:numFmt w:val="none"/>
        <w:lvlText w:val=""/>
        <w:lvlJc w:val="left"/>
        <w:pPr>
          <w:ind w:left="851" w:hanging="851"/>
        </w:pPr>
        <w:rPr>
          <w:rFonts w:hint="default"/>
        </w:rPr>
      </w:lvl>
    </w:lvlOverride>
    <w:lvlOverride w:ilvl="8">
      <w:lvl w:ilvl="8">
        <w:start w:val="1"/>
        <w:numFmt w:val="none"/>
        <w:lvlText w:val=""/>
        <w:lvlJc w:val="left"/>
        <w:pPr>
          <w:ind w:left="851" w:hanging="851"/>
        </w:pPr>
        <w:rPr>
          <w:rFonts w:hint="default"/>
        </w:rPr>
      </w:lvl>
    </w:lvlOverride>
  </w:num>
  <w:num w:numId="10">
    <w:abstractNumId w:val="5"/>
    <w:lvlOverride w:ilvl="0">
      <w:lvl w:ilvl="0">
        <w:start w:val="1"/>
        <w:numFmt w:val="decimal"/>
        <w:pStyle w:val="Recommendation"/>
        <w:lvlText w:val="Recommendation %1:"/>
        <w:lvlJc w:val="left"/>
        <w:pPr>
          <w:ind w:left="851" w:firstLine="0"/>
        </w:pPr>
        <w:rPr>
          <w:rFonts w:hint="default"/>
        </w:rPr>
      </w:lvl>
    </w:lvlOverride>
    <w:lvlOverride w:ilvl="1">
      <w:lvl w:ilvl="1">
        <w:start w:val="1"/>
        <w:numFmt w:val="none"/>
        <w:lvlText w:val=""/>
        <w:lvlJc w:val="left"/>
        <w:pPr>
          <w:ind w:left="851" w:hanging="851"/>
        </w:pPr>
        <w:rPr>
          <w:rFonts w:hint="default"/>
        </w:rPr>
      </w:lvl>
    </w:lvlOverride>
    <w:lvlOverride w:ilvl="2">
      <w:lvl w:ilvl="2">
        <w:start w:val="1"/>
        <w:numFmt w:val="none"/>
        <w:lvlText w:val=""/>
        <w:lvlJc w:val="left"/>
        <w:pPr>
          <w:ind w:left="851" w:hanging="851"/>
        </w:pPr>
        <w:rPr>
          <w:rFonts w:hint="default"/>
        </w:rPr>
      </w:lvl>
    </w:lvlOverride>
    <w:lvlOverride w:ilvl="3">
      <w:lvl w:ilvl="3">
        <w:start w:val="1"/>
        <w:numFmt w:val="none"/>
        <w:lvlText w:val=""/>
        <w:lvlJc w:val="left"/>
        <w:pPr>
          <w:ind w:left="851" w:hanging="851"/>
        </w:pPr>
        <w:rPr>
          <w:rFonts w:hint="default"/>
        </w:rPr>
      </w:lvl>
    </w:lvlOverride>
    <w:lvlOverride w:ilvl="4">
      <w:lvl w:ilvl="4">
        <w:start w:val="1"/>
        <w:numFmt w:val="none"/>
        <w:lvlText w:val=""/>
        <w:lvlJc w:val="left"/>
        <w:pPr>
          <w:ind w:left="851" w:hanging="851"/>
        </w:pPr>
        <w:rPr>
          <w:rFonts w:hint="default"/>
        </w:rPr>
      </w:lvl>
    </w:lvlOverride>
    <w:lvlOverride w:ilvl="5">
      <w:lvl w:ilvl="5">
        <w:start w:val="1"/>
        <w:numFmt w:val="none"/>
        <w:lvlText w:val=""/>
        <w:lvlJc w:val="left"/>
        <w:pPr>
          <w:ind w:left="851" w:hanging="851"/>
        </w:pPr>
        <w:rPr>
          <w:rFonts w:hint="default"/>
        </w:rPr>
      </w:lvl>
    </w:lvlOverride>
    <w:lvlOverride w:ilvl="6">
      <w:lvl w:ilvl="6">
        <w:start w:val="1"/>
        <w:numFmt w:val="none"/>
        <w:lvlText w:val=""/>
        <w:lvlJc w:val="left"/>
        <w:pPr>
          <w:ind w:left="851" w:hanging="851"/>
        </w:pPr>
        <w:rPr>
          <w:rFonts w:hint="default"/>
        </w:rPr>
      </w:lvl>
    </w:lvlOverride>
    <w:lvlOverride w:ilvl="7">
      <w:lvl w:ilvl="7">
        <w:start w:val="1"/>
        <w:numFmt w:val="none"/>
        <w:lvlText w:val=""/>
        <w:lvlJc w:val="left"/>
        <w:pPr>
          <w:ind w:left="851" w:hanging="851"/>
        </w:pPr>
        <w:rPr>
          <w:rFonts w:hint="default"/>
        </w:rPr>
      </w:lvl>
    </w:lvlOverride>
    <w:lvlOverride w:ilvl="8">
      <w:lvl w:ilvl="8">
        <w:start w:val="1"/>
        <w:numFmt w:val="none"/>
        <w:lvlText w:val=""/>
        <w:lvlJc w:val="left"/>
        <w:pPr>
          <w:ind w:left="851" w:hanging="851"/>
        </w:pPr>
        <w:rPr>
          <w:rFonts w:hint="default"/>
        </w:rPr>
      </w:lvl>
    </w:lvlOverride>
  </w:num>
  <w:num w:numId="11">
    <w:abstractNumId w:val="11"/>
  </w:num>
  <w:num w:numId="12">
    <w:abstractNumId w:val="2"/>
  </w:num>
  <w:num w:numId="13">
    <w:abstractNumId w:val="1"/>
  </w:num>
  <w:num w:numId="14">
    <w:abstractNumId w:val="16"/>
  </w:num>
  <w:num w:numId="15">
    <w:abstractNumId w:val="12"/>
  </w:num>
  <w:num w:numId="16">
    <w:abstractNumId w:val="13"/>
  </w:num>
  <w:num w:numId="17">
    <w:abstractNumId w:val="5"/>
    <w:lvlOverride w:ilvl="0">
      <w:lvl w:ilvl="0">
        <w:start w:val="1"/>
        <w:numFmt w:val="decimal"/>
        <w:pStyle w:val="Recommendation"/>
        <w:lvlText w:val="Recommendation %1:"/>
        <w:lvlJc w:val="left"/>
        <w:pPr>
          <w:ind w:left="851" w:firstLine="0"/>
        </w:pPr>
        <w:rPr>
          <w:rFonts w:hint="default"/>
        </w:rPr>
      </w:lvl>
    </w:lvlOverride>
    <w:lvlOverride w:ilvl="1">
      <w:lvl w:ilvl="1">
        <w:start w:val="1"/>
        <w:numFmt w:val="none"/>
        <w:lvlText w:val=""/>
        <w:lvlJc w:val="left"/>
        <w:pPr>
          <w:ind w:left="851" w:hanging="851"/>
        </w:pPr>
        <w:rPr>
          <w:rFonts w:hint="default"/>
        </w:rPr>
      </w:lvl>
    </w:lvlOverride>
    <w:lvlOverride w:ilvl="2">
      <w:lvl w:ilvl="2">
        <w:start w:val="1"/>
        <w:numFmt w:val="none"/>
        <w:lvlText w:val=""/>
        <w:lvlJc w:val="left"/>
        <w:pPr>
          <w:ind w:left="851" w:hanging="851"/>
        </w:pPr>
        <w:rPr>
          <w:rFonts w:hint="default"/>
        </w:rPr>
      </w:lvl>
    </w:lvlOverride>
    <w:lvlOverride w:ilvl="3">
      <w:lvl w:ilvl="3">
        <w:start w:val="1"/>
        <w:numFmt w:val="none"/>
        <w:lvlText w:val=""/>
        <w:lvlJc w:val="left"/>
        <w:pPr>
          <w:ind w:left="851" w:hanging="851"/>
        </w:pPr>
        <w:rPr>
          <w:rFonts w:hint="default"/>
        </w:rPr>
      </w:lvl>
    </w:lvlOverride>
    <w:lvlOverride w:ilvl="4">
      <w:lvl w:ilvl="4">
        <w:start w:val="1"/>
        <w:numFmt w:val="none"/>
        <w:lvlText w:val=""/>
        <w:lvlJc w:val="left"/>
        <w:pPr>
          <w:ind w:left="851" w:hanging="851"/>
        </w:pPr>
        <w:rPr>
          <w:rFonts w:hint="default"/>
        </w:rPr>
      </w:lvl>
    </w:lvlOverride>
    <w:lvlOverride w:ilvl="5">
      <w:lvl w:ilvl="5">
        <w:start w:val="1"/>
        <w:numFmt w:val="none"/>
        <w:lvlText w:val=""/>
        <w:lvlJc w:val="left"/>
        <w:pPr>
          <w:ind w:left="851" w:hanging="851"/>
        </w:pPr>
        <w:rPr>
          <w:rFonts w:hint="default"/>
        </w:rPr>
      </w:lvl>
    </w:lvlOverride>
    <w:lvlOverride w:ilvl="6">
      <w:lvl w:ilvl="6">
        <w:start w:val="1"/>
        <w:numFmt w:val="none"/>
        <w:lvlText w:val=""/>
        <w:lvlJc w:val="left"/>
        <w:pPr>
          <w:ind w:left="851" w:hanging="851"/>
        </w:pPr>
        <w:rPr>
          <w:rFonts w:hint="default"/>
        </w:rPr>
      </w:lvl>
    </w:lvlOverride>
    <w:lvlOverride w:ilvl="7">
      <w:lvl w:ilvl="7">
        <w:start w:val="1"/>
        <w:numFmt w:val="none"/>
        <w:lvlText w:val=""/>
        <w:lvlJc w:val="left"/>
        <w:pPr>
          <w:ind w:left="851" w:hanging="851"/>
        </w:pPr>
        <w:rPr>
          <w:rFonts w:hint="default"/>
        </w:rPr>
      </w:lvl>
    </w:lvlOverride>
    <w:lvlOverride w:ilvl="8">
      <w:lvl w:ilvl="8">
        <w:start w:val="1"/>
        <w:numFmt w:val="none"/>
        <w:lvlText w:val=""/>
        <w:lvlJc w:val="left"/>
        <w:pPr>
          <w:ind w:left="851" w:hanging="851"/>
        </w:pPr>
        <w:rPr>
          <w:rFonts w:hint="default"/>
        </w:rPr>
      </w:lvl>
    </w:lvlOverride>
  </w:num>
  <w:num w:numId="18">
    <w:abstractNumId w:val="5"/>
    <w:lvlOverride w:ilvl="0">
      <w:startOverride w:val="1"/>
      <w:lvl w:ilvl="0">
        <w:start w:val="1"/>
        <w:numFmt w:val="decimal"/>
        <w:pStyle w:val="Recommendation"/>
        <w:lvlText w:val="Recommendation %1:"/>
        <w:lvlJc w:val="left"/>
        <w:pPr>
          <w:ind w:left="851" w:firstLine="0"/>
        </w:pPr>
        <w:rPr>
          <w:rFonts w:hint="default"/>
        </w:rPr>
      </w:lvl>
    </w:lvlOverride>
    <w:lvlOverride w:ilvl="1">
      <w:startOverride w:val="1"/>
      <w:lvl w:ilvl="1">
        <w:start w:val="1"/>
        <w:numFmt w:val="none"/>
        <w:lvlText w:val=""/>
        <w:lvlJc w:val="left"/>
        <w:pPr>
          <w:ind w:left="851" w:hanging="851"/>
        </w:pPr>
        <w:rPr>
          <w:rFonts w:hint="default"/>
        </w:rPr>
      </w:lvl>
    </w:lvlOverride>
    <w:lvlOverride w:ilvl="2">
      <w:startOverride w:val="1"/>
      <w:lvl w:ilvl="2">
        <w:start w:val="1"/>
        <w:numFmt w:val="none"/>
        <w:lvlText w:val=""/>
        <w:lvlJc w:val="left"/>
        <w:pPr>
          <w:ind w:left="851" w:hanging="851"/>
        </w:pPr>
        <w:rPr>
          <w:rFonts w:hint="default"/>
        </w:rPr>
      </w:lvl>
    </w:lvlOverride>
    <w:lvlOverride w:ilvl="3">
      <w:startOverride w:val="1"/>
      <w:lvl w:ilvl="3">
        <w:start w:val="1"/>
        <w:numFmt w:val="none"/>
        <w:lvlText w:val=""/>
        <w:lvlJc w:val="left"/>
        <w:pPr>
          <w:ind w:left="851" w:hanging="851"/>
        </w:pPr>
        <w:rPr>
          <w:rFonts w:hint="default"/>
        </w:rPr>
      </w:lvl>
    </w:lvlOverride>
    <w:lvlOverride w:ilvl="4">
      <w:startOverride w:val="1"/>
      <w:lvl w:ilvl="4">
        <w:start w:val="1"/>
        <w:numFmt w:val="none"/>
        <w:lvlText w:val=""/>
        <w:lvlJc w:val="left"/>
        <w:pPr>
          <w:ind w:left="851" w:hanging="851"/>
        </w:pPr>
        <w:rPr>
          <w:rFonts w:hint="default"/>
        </w:rPr>
      </w:lvl>
    </w:lvlOverride>
    <w:lvlOverride w:ilvl="5">
      <w:startOverride w:val="1"/>
      <w:lvl w:ilvl="5">
        <w:start w:val="1"/>
        <w:numFmt w:val="none"/>
        <w:lvlText w:val=""/>
        <w:lvlJc w:val="left"/>
        <w:pPr>
          <w:ind w:left="851" w:hanging="851"/>
        </w:pPr>
        <w:rPr>
          <w:rFonts w:hint="default"/>
        </w:rPr>
      </w:lvl>
    </w:lvlOverride>
    <w:lvlOverride w:ilvl="6">
      <w:startOverride w:val="1"/>
      <w:lvl w:ilvl="6">
        <w:start w:val="1"/>
        <w:numFmt w:val="none"/>
        <w:lvlText w:val=""/>
        <w:lvlJc w:val="left"/>
        <w:pPr>
          <w:ind w:left="851" w:hanging="851"/>
        </w:pPr>
        <w:rPr>
          <w:rFonts w:hint="default"/>
        </w:rPr>
      </w:lvl>
    </w:lvlOverride>
    <w:lvlOverride w:ilvl="7">
      <w:startOverride w:val="1"/>
      <w:lvl w:ilvl="7">
        <w:start w:val="1"/>
        <w:numFmt w:val="none"/>
        <w:lvlText w:val=""/>
        <w:lvlJc w:val="left"/>
        <w:pPr>
          <w:ind w:left="851" w:hanging="851"/>
        </w:pPr>
        <w:rPr>
          <w:rFonts w:hint="default"/>
        </w:rPr>
      </w:lvl>
    </w:lvlOverride>
    <w:lvlOverride w:ilvl="8">
      <w:startOverride w:val="1"/>
      <w:lvl w:ilvl="8">
        <w:start w:val="1"/>
        <w:numFmt w:val="none"/>
        <w:lvlText w:val=""/>
        <w:lvlJc w:val="left"/>
        <w:pPr>
          <w:ind w:left="851" w:hanging="851"/>
        </w:pPr>
        <w:rPr>
          <w:rFonts w:hint="default"/>
        </w:rPr>
      </w:lvl>
    </w:lvlOverride>
  </w:num>
  <w:num w:numId="19">
    <w:abstractNumId w:val="10"/>
  </w:num>
  <w:num w:numId="20">
    <w:abstractNumId w:val="7"/>
  </w:num>
  <w:num w:numId="21">
    <w:abstractNumId w:val="5"/>
    <w:lvlOverride w:ilvl="0">
      <w:startOverride w:val="1"/>
      <w:lvl w:ilvl="0">
        <w:start w:val="1"/>
        <w:numFmt w:val="decimal"/>
        <w:pStyle w:val="Recommendation"/>
        <w:lvlText w:val="Recommendation %1:"/>
        <w:lvlJc w:val="left"/>
        <w:pPr>
          <w:ind w:left="5812" w:firstLine="0"/>
        </w:pPr>
        <w:rPr>
          <w:rFonts w:hint="default"/>
          <w:b/>
          <w:bCs/>
          <w:sz w:val="24"/>
          <w:szCs w:val="24"/>
        </w:rPr>
      </w:lvl>
    </w:lvlOverride>
    <w:lvlOverride w:ilvl="1">
      <w:startOverride w:val="1"/>
      <w:lvl w:ilvl="1">
        <w:start w:val="1"/>
        <w:numFmt w:val="none"/>
        <w:lvlText w:val=""/>
        <w:lvlJc w:val="left"/>
        <w:pPr>
          <w:ind w:left="851" w:hanging="851"/>
        </w:pPr>
        <w:rPr>
          <w:rFonts w:hint="default"/>
        </w:rPr>
      </w:lvl>
    </w:lvlOverride>
    <w:lvlOverride w:ilvl="2">
      <w:startOverride w:val="1"/>
      <w:lvl w:ilvl="2">
        <w:start w:val="1"/>
        <w:numFmt w:val="none"/>
        <w:lvlText w:val=""/>
        <w:lvlJc w:val="left"/>
        <w:pPr>
          <w:ind w:left="851" w:hanging="851"/>
        </w:pPr>
        <w:rPr>
          <w:rFonts w:hint="default"/>
        </w:rPr>
      </w:lvl>
    </w:lvlOverride>
    <w:lvlOverride w:ilvl="3">
      <w:startOverride w:val="1"/>
      <w:lvl w:ilvl="3">
        <w:start w:val="1"/>
        <w:numFmt w:val="none"/>
        <w:lvlText w:val=""/>
        <w:lvlJc w:val="left"/>
        <w:pPr>
          <w:ind w:left="851" w:hanging="851"/>
        </w:pPr>
        <w:rPr>
          <w:rFonts w:hint="default"/>
        </w:rPr>
      </w:lvl>
    </w:lvlOverride>
    <w:lvlOverride w:ilvl="4">
      <w:startOverride w:val="1"/>
      <w:lvl w:ilvl="4">
        <w:start w:val="1"/>
        <w:numFmt w:val="none"/>
        <w:lvlText w:val=""/>
        <w:lvlJc w:val="left"/>
        <w:pPr>
          <w:ind w:left="851" w:hanging="851"/>
        </w:pPr>
        <w:rPr>
          <w:rFonts w:hint="default"/>
        </w:rPr>
      </w:lvl>
    </w:lvlOverride>
    <w:lvlOverride w:ilvl="5">
      <w:startOverride w:val="1"/>
      <w:lvl w:ilvl="5">
        <w:start w:val="1"/>
        <w:numFmt w:val="none"/>
        <w:lvlText w:val=""/>
        <w:lvlJc w:val="left"/>
        <w:pPr>
          <w:ind w:left="851" w:hanging="851"/>
        </w:pPr>
        <w:rPr>
          <w:rFonts w:hint="default"/>
        </w:rPr>
      </w:lvl>
    </w:lvlOverride>
    <w:lvlOverride w:ilvl="6">
      <w:startOverride w:val="1"/>
      <w:lvl w:ilvl="6">
        <w:start w:val="1"/>
        <w:numFmt w:val="none"/>
        <w:lvlText w:val=""/>
        <w:lvlJc w:val="left"/>
        <w:pPr>
          <w:ind w:left="851" w:hanging="851"/>
        </w:pPr>
        <w:rPr>
          <w:rFonts w:hint="default"/>
        </w:rPr>
      </w:lvl>
    </w:lvlOverride>
    <w:lvlOverride w:ilvl="7">
      <w:startOverride w:val="1"/>
      <w:lvl w:ilvl="7">
        <w:start w:val="1"/>
        <w:numFmt w:val="none"/>
        <w:lvlText w:val=""/>
        <w:lvlJc w:val="left"/>
        <w:pPr>
          <w:ind w:left="851" w:hanging="851"/>
        </w:pPr>
        <w:rPr>
          <w:rFonts w:hint="default"/>
        </w:rPr>
      </w:lvl>
    </w:lvlOverride>
    <w:lvlOverride w:ilvl="8">
      <w:startOverride w:val="1"/>
      <w:lvl w:ilvl="8">
        <w:start w:val="1"/>
        <w:numFmt w:val="none"/>
        <w:lvlText w:val=""/>
        <w:lvlJc w:val="left"/>
        <w:pPr>
          <w:ind w:left="851" w:hanging="851"/>
        </w:pPr>
        <w:rPr>
          <w:rFonts w:hint="default"/>
        </w:rPr>
      </w:lvl>
    </w:lvlOverride>
  </w:num>
  <w:num w:numId="22">
    <w:abstractNumId w:val="5"/>
    <w:lvlOverride w:ilvl="0">
      <w:lvl w:ilvl="0">
        <w:start w:val="1"/>
        <w:numFmt w:val="decimal"/>
        <w:pStyle w:val="Recommendation"/>
        <w:lvlText w:val="Recommendation %1:"/>
        <w:lvlJc w:val="left"/>
        <w:pPr>
          <w:ind w:left="851" w:firstLine="0"/>
        </w:pPr>
        <w:rPr>
          <w:rFonts w:hint="default"/>
          <w:b/>
          <w:bCs/>
          <w:sz w:val="24"/>
          <w:szCs w:val="24"/>
        </w:rPr>
      </w:lvl>
    </w:lvlOverride>
    <w:lvlOverride w:ilvl="1">
      <w:lvl w:ilvl="1">
        <w:start w:val="1"/>
        <w:numFmt w:val="none"/>
        <w:lvlText w:val=""/>
        <w:lvlJc w:val="left"/>
        <w:pPr>
          <w:ind w:left="851" w:hanging="851"/>
        </w:pPr>
        <w:rPr>
          <w:rFonts w:hint="default"/>
        </w:rPr>
      </w:lvl>
    </w:lvlOverride>
    <w:lvlOverride w:ilvl="2">
      <w:lvl w:ilvl="2">
        <w:start w:val="1"/>
        <w:numFmt w:val="none"/>
        <w:lvlText w:val=""/>
        <w:lvlJc w:val="left"/>
        <w:pPr>
          <w:ind w:left="851" w:hanging="851"/>
        </w:pPr>
        <w:rPr>
          <w:rFonts w:hint="default"/>
        </w:rPr>
      </w:lvl>
    </w:lvlOverride>
    <w:lvlOverride w:ilvl="3">
      <w:lvl w:ilvl="3">
        <w:start w:val="1"/>
        <w:numFmt w:val="none"/>
        <w:lvlText w:val=""/>
        <w:lvlJc w:val="left"/>
        <w:pPr>
          <w:ind w:left="851" w:hanging="851"/>
        </w:pPr>
        <w:rPr>
          <w:rFonts w:hint="default"/>
        </w:rPr>
      </w:lvl>
    </w:lvlOverride>
    <w:lvlOverride w:ilvl="4">
      <w:lvl w:ilvl="4">
        <w:start w:val="1"/>
        <w:numFmt w:val="none"/>
        <w:lvlText w:val=""/>
        <w:lvlJc w:val="left"/>
        <w:pPr>
          <w:ind w:left="851" w:hanging="851"/>
        </w:pPr>
        <w:rPr>
          <w:rFonts w:hint="default"/>
        </w:rPr>
      </w:lvl>
    </w:lvlOverride>
    <w:lvlOverride w:ilvl="5">
      <w:lvl w:ilvl="5">
        <w:start w:val="1"/>
        <w:numFmt w:val="none"/>
        <w:lvlText w:val=""/>
        <w:lvlJc w:val="left"/>
        <w:pPr>
          <w:ind w:left="851" w:hanging="851"/>
        </w:pPr>
        <w:rPr>
          <w:rFonts w:hint="default"/>
        </w:rPr>
      </w:lvl>
    </w:lvlOverride>
    <w:lvlOverride w:ilvl="6">
      <w:lvl w:ilvl="6">
        <w:start w:val="1"/>
        <w:numFmt w:val="none"/>
        <w:lvlText w:val=""/>
        <w:lvlJc w:val="left"/>
        <w:pPr>
          <w:ind w:left="851" w:hanging="851"/>
        </w:pPr>
        <w:rPr>
          <w:rFonts w:hint="default"/>
        </w:rPr>
      </w:lvl>
    </w:lvlOverride>
    <w:lvlOverride w:ilvl="7">
      <w:lvl w:ilvl="7">
        <w:start w:val="1"/>
        <w:numFmt w:val="none"/>
        <w:lvlText w:val=""/>
        <w:lvlJc w:val="left"/>
        <w:pPr>
          <w:ind w:left="851" w:hanging="851"/>
        </w:pPr>
        <w:rPr>
          <w:rFonts w:hint="default"/>
        </w:rPr>
      </w:lvl>
    </w:lvlOverride>
    <w:lvlOverride w:ilvl="8">
      <w:lvl w:ilvl="8">
        <w:start w:val="1"/>
        <w:numFmt w:val="none"/>
        <w:lvlText w:val=""/>
        <w:lvlJc w:val="left"/>
        <w:pPr>
          <w:ind w:left="851" w:hanging="851"/>
        </w:pPr>
        <w:rPr>
          <w:rFonts w:hint="default"/>
        </w:rPr>
      </w:lvl>
    </w:lvlOverride>
  </w:num>
  <w:num w:numId="23">
    <w:abstractNumId w:val="15"/>
  </w:num>
  <w:num w:numId="24">
    <w:abstractNumId w:val="17"/>
  </w:num>
  <w:num w:numId="25">
    <w:abstractNumId w:val="6"/>
  </w:num>
  <w:num w:numId="26">
    <w:abstractNumId w:val="5"/>
    <w:lvlOverride w:ilvl="0">
      <w:lvl w:ilvl="0">
        <w:start w:val="1"/>
        <w:numFmt w:val="decimal"/>
        <w:pStyle w:val="Recommendation"/>
        <w:lvlText w:val="Recommendation %1:"/>
        <w:lvlJc w:val="left"/>
        <w:pPr>
          <w:ind w:left="709" w:firstLine="0"/>
        </w:pPr>
        <w:rPr>
          <w:rFonts w:hint="default"/>
          <w:b/>
          <w:bCs/>
          <w:sz w:val="24"/>
          <w:szCs w:val="24"/>
        </w:rPr>
      </w:lvl>
    </w:lvlOverride>
    <w:lvlOverride w:ilvl="1">
      <w:lvl w:ilvl="1">
        <w:start w:val="1"/>
        <w:numFmt w:val="none"/>
        <w:lvlText w:val=""/>
        <w:lvlJc w:val="left"/>
        <w:pPr>
          <w:ind w:left="851" w:hanging="851"/>
        </w:pPr>
        <w:rPr>
          <w:rFonts w:hint="default"/>
        </w:rPr>
      </w:lvl>
    </w:lvlOverride>
    <w:lvlOverride w:ilvl="2">
      <w:lvl w:ilvl="2">
        <w:start w:val="1"/>
        <w:numFmt w:val="none"/>
        <w:lvlText w:val=""/>
        <w:lvlJc w:val="left"/>
        <w:pPr>
          <w:ind w:left="851" w:hanging="851"/>
        </w:pPr>
        <w:rPr>
          <w:rFonts w:hint="default"/>
        </w:rPr>
      </w:lvl>
    </w:lvlOverride>
    <w:lvlOverride w:ilvl="3">
      <w:lvl w:ilvl="3">
        <w:start w:val="1"/>
        <w:numFmt w:val="none"/>
        <w:lvlText w:val=""/>
        <w:lvlJc w:val="left"/>
        <w:pPr>
          <w:ind w:left="851" w:hanging="851"/>
        </w:pPr>
        <w:rPr>
          <w:rFonts w:hint="default"/>
        </w:rPr>
      </w:lvl>
    </w:lvlOverride>
    <w:lvlOverride w:ilvl="4">
      <w:lvl w:ilvl="4">
        <w:start w:val="1"/>
        <w:numFmt w:val="none"/>
        <w:lvlText w:val=""/>
        <w:lvlJc w:val="left"/>
        <w:pPr>
          <w:ind w:left="851" w:hanging="851"/>
        </w:pPr>
        <w:rPr>
          <w:rFonts w:hint="default"/>
        </w:rPr>
      </w:lvl>
    </w:lvlOverride>
    <w:lvlOverride w:ilvl="5">
      <w:lvl w:ilvl="5">
        <w:start w:val="1"/>
        <w:numFmt w:val="none"/>
        <w:lvlText w:val=""/>
        <w:lvlJc w:val="left"/>
        <w:pPr>
          <w:ind w:left="851" w:hanging="851"/>
        </w:pPr>
        <w:rPr>
          <w:rFonts w:hint="default"/>
        </w:rPr>
      </w:lvl>
    </w:lvlOverride>
    <w:lvlOverride w:ilvl="6">
      <w:lvl w:ilvl="6">
        <w:start w:val="1"/>
        <w:numFmt w:val="none"/>
        <w:lvlText w:val=""/>
        <w:lvlJc w:val="left"/>
        <w:pPr>
          <w:ind w:left="851" w:hanging="851"/>
        </w:pPr>
        <w:rPr>
          <w:rFonts w:hint="default"/>
        </w:rPr>
      </w:lvl>
    </w:lvlOverride>
    <w:lvlOverride w:ilvl="7">
      <w:lvl w:ilvl="7">
        <w:start w:val="1"/>
        <w:numFmt w:val="none"/>
        <w:lvlText w:val=""/>
        <w:lvlJc w:val="left"/>
        <w:pPr>
          <w:ind w:left="851" w:hanging="851"/>
        </w:pPr>
        <w:rPr>
          <w:rFonts w:hint="default"/>
        </w:rPr>
      </w:lvl>
    </w:lvlOverride>
    <w:lvlOverride w:ilvl="8">
      <w:lvl w:ilvl="8">
        <w:start w:val="1"/>
        <w:numFmt w:val="none"/>
        <w:lvlText w:val=""/>
        <w:lvlJc w:val="left"/>
        <w:pPr>
          <w:ind w:left="851" w:hanging="851"/>
        </w:pPr>
        <w:rPr>
          <w:rFonts w:hint="default"/>
        </w:rPr>
      </w:lvl>
    </w:lvlOverride>
  </w:num>
  <w:num w:numId="27">
    <w:abstractNumId w:val="5"/>
  </w:num>
  <w:num w:numId="28">
    <w:abstractNumId w:val="0"/>
  </w:num>
  <w:num w:numId="29">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A2F"/>
    <w:rsid w:val="00000370"/>
    <w:rsid w:val="00006F78"/>
    <w:rsid w:val="00023BFE"/>
    <w:rsid w:val="00024827"/>
    <w:rsid w:val="00027253"/>
    <w:rsid w:val="00030BB1"/>
    <w:rsid w:val="000439BC"/>
    <w:rsid w:val="00047257"/>
    <w:rsid w:val="000715C6"/>
    <w:rsid w:val="000A46FD"/>
    <w:rsid w:val="000C5574"/>
    <w:rsid w:val="000D51F4"/>
    <w:rsid w:val="000F58CC"/>
    <w:rsid w:val="00125975"/>
    <w:rsid w:val="00147A7F"/>
    <w:rsid w:val="0017025B"/>
    <w:rsid w:val="00183034"/>
    <w:rsid w:val="001903DE"/>
    <w:rsid w:val="001B0D91"/>
    <w:rsid w:val="001C28E7"/>
    <w:rsid w:val="001C6657"/>
    <w:rsid w:val="001F2AD3"/>
    <w:rsid w:val="002127F0"/>
    <w:rsid w:val="002157AB"/>
    <w:rsid w:val="002275D7"/>
    <w:rsid w:val="0022769C"/>
    <w:rsid w:val="00234042"/>
    <w:rsid w:val="00243E50"/>
    <w:rsid w:val="0025056C"/>
    <w:rsid w:val="00274BDA"/>
    <w:rsid w:val="00294201"/>
    <w:rsid w:val="002A1E41"/>
    <w:rsid w:val="002A629E"/>
    <w:rsid w:val="002C4AE8"/>
    <w:rsid w:val="002D4EED"/>
    <w:rsid w:val="002E4872"/>
    <w:rsid w:val="003441E5"/>
    <w:rsid w:val="0036351B"/>
    <w:rsid w:val="003808DE"/>
    <w:rsid w:val="003859B8"/>
    <w:rsid w:val="0039636F"/>
    <w:rsid w:val="003B1499"/>
    <w:rsid w:val="003E4A02"/>
    <w:rsid w:val="003E6503"/>
    <w:rsid w:val="003E76C5"/>
    <w:rsid w:val="003F3259"/>
    <w:rsid w:val="003F6199"/>
    <w:rsid w:val="0042677A"/>
    <w:rsid w:val="00447E1F"/>
    <w:rsid w:val="004552EA"/>
    <w:rsid w:val="00472C7E"/>
    <w:rsid w:val="00472CA7"/>
    <w:rsid w:val="0047717F"/>
    <w:rsid w:val="00477BDB"/>
    <w:rsid w:val="004920E4"/>
    <w:rsid w:val="004A01EB"/>
    <w:rsid w:val="004A55CC"/>
    <w:rsid w:val="004A60A6"/>
    <w:rsid w:val="004A791B"/>
    <w:rsid w:val="004B7462"/>
    <w:rsid w:val="004C055B"/>
    <w:rsid w:val="004C3886"/>
    <w:rsid w:val="004F2201"/>
    <w:rsid w:val="00511400"/>
    <w:rsid w:val="0053241B"/>
    <w:rsid w:val="00542267"/>
    <w:rsid w:val="00542DEB"/>
    <w:rsid w:val="00553427"/>
    <w:rsid w:val="0055635C"/>
    <w:rsid w:val="005640E9"/>
    <w:rsid w:val="005820C9"/>
    <w:rsid w:val="00590DE1"/>
    <w:rsid w:val="00592615"/>
    <w:rsid w:val="00593975"/>
    <w:rsid w:val="00595575"/>
    <w:rsid w:val="005A673E"/>
    <w:rsid w:val="005C2EBF"/>
    <w:rsid w:val="00606DE8"/>
    <w:rsid w:val="00613698"/>
    <w:rsid w:val="006252C6"/>
    <w:rsid w:val="00654E49"/>
    <w:rsid w:val="006578D7"/>
    <w:rsid w:val="00686827"/>
    <w:rsid w:val="0069524A"/>
    <w:rsid w:val="006C475F"/>
    <w:rsid w:val="006C7C58"/>
    <w:rsid w:val="006D153D"/>
    <w:rsid w:val="006D4B09"/>
    <w:rsid w:val="007506AE"/>
    <w:rsid w:val="007571FD"/>
    <w:rsid w:val="007573AA"/>
    <w:rsid w:val="007A2819"/>
    <w:rsid w:val="007A3E1A"/>
    <w:rsid w:val="007B6F60"/>
    <w:rsid w:val="007D1167"/>
    <w:rsid w:val="007D3F16"/>
    <w:rsid w:val="007E2A2F"/>
    <w:rsid w:val="007F0737"/>
    <w:rsid w:val="007F77A5"/>
    <w:rsid w:val="00825ED4"/>
    <w:rsid w:val="008338A0"/>
    <w:rsid w:val="008361E8"/>
    <w:rsid w:val="00874386"/>
    <w:rsid w:val="0088571C"/>
    <w:rsid w:val="00886444"/>
    <w:rsid w:val="00892180"/>
    <w:rsid w:val="008A19E7"/>
    <w:rsid w:val="008D2695"/>
    <w:rsid w:val="008D7013"/>
    <w:rsid w:val="008E02E6"/>
    <w:rsid w:val="008E1CC4"/>
    <w:rsid w:val="008F7753"/>
    <w:rsid w:val="008F7E90"/>
    <w:rsid w:val="00927102"/>
    <w:rsid w:val="00961020"/>
    <w:rsid w:val="00995D26"/>
    <w:rsid w:val="009A227B"/>
    <w:rsid w:val="009C04D5"/>
    <w:rsid w:val="009C61C5"/>
    <w:rsid w:val="009E20A3"/>
    <w:rsid w:val="009F4B9D"/>
    <w:rsid w:val="00A022BC"/>
    <w:rsid w:val="00A13B92"/>
    <w:rsid w:val="00A1525C"/>
    <w:rsid w:val="00A301D4"/>
    <w:rsid w:val="00A4447D"/>
    <w:rsid w:val="00A51F55"/>
    <w:rsid w:val="00A524EF"/>
    <w:rsid w:val="00A57BC8"/>
    <w:rsid w:val="00A615CC"/>
    <w:rsid w:val="00A74E29"/>
    <w:rsid w:val="00A96349"/>
    <w:rsid w:val="00AA0DF6"/>
    <w:rsid w:val="00AA35D9"/>
    <w:rsid w:val="00AA686C"/>
    <w:rsid w:val="00AB27F0"/>
    <w:rsid w:val="00AC247A"/>
    <w:rsid w:val="00AD032B"/>
    <w:rsid w:val="00AE2840"/>
    <w:rsid w:val="00AF3EC2"/>
    <w:rsid w:val="00B02AEB"/>
    <w:rsid w:val="00B14DFB"/>
    <w:rsid w:val="00B252B3"/>
    <w:rsid w:val="00B3560A"/>
    <w:rsid w:val="00B35E3F"/>
    <w:rsid w:val="00B4140A"/>
    <w:rsid w:val="00B418A0"/>
    <w:rsid w:val="00B628C5"/>
    <w:rsid w:val="00B62E4E"/>
    <w:rsid w:val="00B709DA"/>
    <w:rsid w:val="00B7200A"/>
    <w:rsid w:val="00B84167"/>
    <w:rsid w:val="00B87233"/>
    <w:rsid w:val="00BA5C36"/>
    <w:rsid w:val="00BB496C"/>
    <w:rsid w:val="00BF754D"/>
    <w:rsid w:val="00C02722"/>
    <w:rsid w:val="00C064DA"/>
    <w:rsid w:val="00C12182"/>
    <w:rsid w:val="00C44D5D"/>
    <w:rsid w:val="00C613FC"/>
    <w:rsid w:val="00C80913"/>
    <w:rsid w:val="00C860BB"/>
    <w:rsid w:val="00C96D0A"/>
    <w:rsid w:val="00CC7246"/>
    <w:rsid w:val="00CF5B31"/>
    <w:rsid w:val="00D05108"/>
    <w:rsid w:val="00D17C22"/>
    <w:rsid w:val="00D307A4"/>
    <w:rsid w:val="00D34878"/>
    <w:rsid w:val="00D3636E"/>
    <w:rsid w:val="00D57080"/>
    <w:rsid w:val="00D62BCE"/>
    <w:rsid w:val="00D70CC0"/>
    <w:rsid w:val="00D76C0E"/>
    <w:rsid w:val="00DA1E4D"/>
    <w:rsid w:val="00DD7C1C"/>
    <w:rsid w:val="00DF2349"/>
    <w:rsid w:val="00DF287A"/>
    <w:rsid w:val="00E05115"/>
    <w:rsid w:val="00E07352"/>
    <w:rsid w:val="00E30643"/>
    <w:rsid w:val="00E45E4C"/>
    <w:rsid w:val="00E47E72"/>
    <w:rsid w:val="00E54047"/>
    <w:rsid w:val="00E81ECD"/>
    <w:rsid w:val="00E8505A"/>
    <w:rsid w:val="00E879CE"/>
    <w:rsid w:val="00EC1696"/>
    <w:rsid w:val="00EE1CFF"/>
    <w:rsid w:val="00F12A72"/>
    <w:rsid w:val="00F13328"/>
    <w:rsid w:val="00F26FDB"/>
    <w:rsid w:val="00F27C49"/>
    <w:rsid w:val="00F43B24"/>
    <w:rsid w:val="00F450B7"/>
    <w:rsid w:val="00F52EC9"/>
    <w:rsid w:val="00F61950"/>
    <w:rsid w:val="00F62046"/>
    <w:rsid w:val="00F627A6"/>
    <w:rsid w:val="00F77AEE"/>
    <w:rsid w:val="00F860D4"/>
    <w:rsid w:val="00F91DBB"/>
    <w:rsid w:val="00FE6B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7F40C3"/>
  <w15:docId w15:val="{F9A97DF3-FBE0-40B8-B2A6-859181CD4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6578D7"/>
    <w:pPr>
      <w:spacing w:before="100" w:beforeAutospacing="1" w:after="100" w:afterAutospacing="1"/>
    </w:pPr>
    <w:rPr>
      <w:rFonts w:ascii="Calibri" w:eastAsiaTheme="minorEastAsia" w:hAnsi="Calibri"/>
      <w:lang w:eastAsia="en-AU"/>
    </w:rPr>
  </w:style>
  <w:style w:type="paragraph" w:styleId="Heading1">
    <w:name w:val="heading 1"/>
    <w:next w:val="Normal"/>
    <w:link w:val="Heading1Char"/>
    <w:uiPriority w:val="9"/>
    <w:qFormat/>
    <w:rsid w:val="003E76C5"/>
    <w:pPr>
      <w:keepNext/>
      <w:keepLines/>
      <w:pageBreakBefore/>
      <w:numPr>
        <w:numId w:val="4"/>
      </w:numPr>
      <w:spacing w:before="100" w:beforeAutospacing="1" w:after="240"/>
      <w:outlineLvl w:val="0"/>
    </w:pPr>
    <w:rPr>
      <w:rFonts w:ascii="Calibri" w:eastAsiaTheme="majorEastAsia" w:hAnsi="Calibri" w:cstheme="majorBidi"/>
      <w:bCs/>
      <w:sz w:val="48"/>
      <w:szCs w:val="28"/>
    </w:rPr>
  </w:style>
  <w:style w:type="paragraph" w:styleId="Heading2">
    <w:name w:val="heading 2"/>
    <w:next w:val="Normal"/>
    <w:link w:val="Heading2Char"/>
    <w:qFormat/>
    <w:rsid w:val="003E76C5"/>
    <w:pPr>
      <w:keepNext/>
      <w:numPr>
        <w:ilvl w:val="1"/>
        <w:numId w:val="4"/>
      </w:numPr>
      <w:spacing w:before="100" w:beforeAutospacing="1" w:after="240"/>
      <w:outlineLvl w:val="1"/>
    </w:pPr>
    <w:rPr>
      <w:rFonts w:ascii="Calibri" w:eastAsia="Times New Roman" w:hAnsi="Calibri" w:cs="Times New Roman"/>
      <w:bCs/>
      <w:iCs/>
      <w:sz w:val="32"/>
      <w:szCs w:val="24"/>
    </w:rPr>
  </w:style>
  <w:style w:type="paragraph" w:styleId="Heading3">
    <w:name w:val="heading 3"/>
    <w:next w:val="Normal"/>
    <w:link w:val="Heading3Char"/>
    <w:qFormat/>
    <w:rsid w:val="003E76C5"/>
    <w:pPr>
      <w:keepNext/>
      <w:numPr>
        <w:ilvl w:val="2"/>
        <w:numId w:val="4"/>
      </w:numPr>
      <w:spacing w:before="100" w:beforeAutospacing="1" w:after="240"/>
      <w:outlineLvl w:val="2"/>
    </w:pPr>
    <w:rPr>
      <w:rFonts w:ascii="Calibri" w:eastAsia="Times New Roman" w:hAnsi="Calibri" w:cs="Times New Roman"/>
      <w:bCs/>
      <w:iCs/>
      <w:sz w:val="28"/>
      <w:szCs w:val="24"/>
    </w:rPr>
  </w:style>
  <w:style w:type="paragraph" w:styleId="Heading4">
    <w:name w:val="heading 4"/>
    <w:next w:val="Normal"/>
    <w:link w:val="Heading4Char"/>
    <w:uiPriority w:val="9"/>
    <w:unhideWhenUsed/>
    <w:qFormat/>
    <w:rsid w:val="003E76C5"/>
    <w:pPr>
      <w:keepNext/>
      <w:keepLines/>
      <w:spacing w:before="100" w:beforeAutospacing="1" w:after="240"/>
      <w:outlineLvl w:val="3"/>
    </w:pPr>
    <w:rPr>
      <w:rFonts w:ascii="Calibri" w:eastAsiaTheme="majorEastAsia" w:hAnsi="Calibri" w:cstheme="majorBidi"/>
      <w:bCs/>
      <w:i/>
      <w:iCs/>
      <w:sz w:val="24"/>
    </w:rPr>
  </w:style>
  <w:style w:type="paragraph" w:styleId="Heading5">
    <w:name w:val="heading 5"/>
    <w:next w:val="Normal"/>
    <w:link w:val="Heading5Char"/>
    <w:uiPriority w:val="9"/>
    <w:unhideWhenUsed/>
    <w:qFormat/>
    <w:rsid w:val="003E76C5"/>
    <w:pPr>
      <w:keepNext/>
      <w:keepLines/>
      <w:outlineLvl w:val="4"/>
    </w:pPr>
    <w:rPr>
      <w:rFonts w:ascii="Calibri" w:eastAsiaTheme="majorEastAsia" w:hAnsi="Calibri" w:cstheme="majorBidi"/>
      <w:sz w:val="23"/>
      <w:u w:val="single"/>
    </w:rPr>
  </w:style>
  <w:style w:type="paragraph" w:styleId="Heading6">
    <w:name w:val="heading 6"/>
    <w:next w:val="Normal"/>
    <w:link w:val="Heading6Char"/>
    <w:uiPriority w:val="9"/>
    <w:unhideWhenUsed/>
    <w:qFormat/>
    <w:rsid w:val="003E76C5"/>
    <w:pPr>
      <w:keepNext/>
      <w:keepLines/>
      <w:spacing w:before="200"/>
      <w:outlineLvl w:val="5"/>
    </w:pPr>
    <w:rPr>
      <w:rFonts w:ascii="Calibri" w:eastAsiaTheme="majorEastAsia" w:hAnsi="Calibri" w:cstheme="majorBidi"/>
      <w:i/>
      <w:iCs/>
      <w:sz w:val="23"/>
    </w:rPr>
  </w:style>
  <w:style w:type="paragraph" w:styleId="Heading7">
    <w:name w:val="heading 7"/>
    <w:next w:val="Normal"/>
    <w:link w:val="Heading7Char"/>
    <w:uiPriority w:val="9"/>
    <w:semiHidden/>
    <w:unhideWhenUsed/>
    <w:rsid w:val="00EC1696"/>
    <w:pPr>
      <w:keepNext/>
      <w:keepLines/>
      <w:spacing w:before="200"/>
      <w:outlineLvl w:val="6"/>
    </w:pPr>
    <w:rPr>
      <w:rFonts w:asciiTheme="majorHAnsi" w:eastAsiaTheme="majorEastAsia" w:hAnsiTheme="majorHAnsi" w:cstheme="majorBidi"/>
      <w:i/>
      <w:iCs/>
      <w:color w:val="404040" w:themeColor="text1" w:themeTint="BF"/>
      <w:sz w:val="23"/>
      <w:lang w:eastAsia="en-AU"/>
    </w:rPr>
  </w:style>
  <w:style w:type="paragraph" w:styleId="Heading8">
    <w:name w:val="heading 8"/>
    <w:basedOn w:val="Normal"/>
    <w:next w:val="Normal"/>
    <w:link w:val="Heading8Char"/>
    <w:uiPriority w:val="9"/>
    <w:semiHidden/>
    <w:unhideWhenUsed/>
    <w:qFormat/>
    <w:rsid w:val="00EC169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C169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6C5"/>
    <w:rPr>
      <w:rFonts w:ascii="Calibri" w:eastAsiaTheme="majorEastAsia" w:hAnsi="Calibri" w:cstheme="majorBidi"/>
      <w:bCs/>
      <w:sz w:val="48"/>
      <w:szCs w:val="28"/>
    </w:rPr>
  </w:style>
  <w:style w:type="character" w:customStyle="1" w:styleId="Heading2Char">
    <w:name w:val="Heading 2 Char"/>
    <w:basedOn w:val="DefaultParagraphFont"/>
    <w:link w:val="Heading2"/>
    <w:rsid w:val="003E76C5"/>
    <w:rPr>
      <w:rFonts w:ascii="Calibri" w:eastAsia="Times New Roman" w:hAnsi="Calibri" w:cs="Times New Roman"/>
      <w:bCs/>
      <w:iCs/>
      <w:sz w:val="32"/>
      <w:szCs w:val="24"/>
    </w:rPr>
  </w:style>
  <w:style w:type="character" w:customStyle="1" w:styleId="Heading3Char">
    <w:name w:val="Heading 3 Char"/>
    <w:basedOn w:val="DefaultParagraphFont"/>
    <w:link w:val="Heading3"/>
    <w:rsid w:val="003E76C5"/>
    <w:rPr>
      <w:rFonts w:ascii="Calibri" w:eastAsia="Times New Roman" w:hAnsi="Calibri" w:cs="Times New Roman"/>
      <w:bCs/>
      <w:iCs/>
      <w:sz w:val="28"/>
      <w:szCs w:val="24"/>
    </w:rPr>
  </w:style>
  <w:style w:type="character" w:customStyle="1" w:styleId="Heading4Char">
    <w:name w:val="Heading 4 Char"/>
    <w:basedOn w:val="DefaultParagraphFont"/>
    <w:link w:val="Heading4"/>
    <w:uiPriority w:val="9"/>
    <w:rsid w:val="003E76C5"/>
    <w:rPr>
      <w:rFonts w:ascii="Calibri" w:eastAsiaTheme="majorEastAsia" w:hAnsi="Calibri" w:cstheme="majorBidi"/>
      <w:bCs/>
      <w:i/>
      <w:iCs/>
      <w:sz w:val="24"/>
    </w:rPr>
  </w:style>
  <w:style w:type="character" w:customStyle="1" w:styleId="Heading5Char">
    <w:name w:val="Heading 5 Char"/>
    <w:basedOn w:val="DefaultParagraphFont"/>
    <w:link w:val="Heading5"/>
    <w:uiPriority w:val="9"/>
    <w:rsid w:val="003E76C5"/>
    <w:rPr>
      <w:rFonts w:ascii="Calibri" w:eastAsiaTheme="majorEastAsia" w:hAnsi="Calibri" w:cstheme="majorBidi"/>
      <w:sz w:val="23"/>
      <w:u w:val="single"/>
    </w:rPr>
  </w:style>
  <w:style w:type="character" w:customStyle="1" w:styleId="Heading6Char">
    <w:name w:val="Heading 6 Char"/>
    <w:basedOn w:val="DefaultParagraphFont"/>
    <w:link w:val="Heading6"/>
    <w:uiPriority w:val="9"/>
    <w:rsid w:val="003E76C5"/>
    <w:rPr>
      <w:rFonts w:ascii="Calibri" w:eastAsiaTheme="majorEastAsia" w:hAnsi="Calibri" w:cstheme="majorBidi"/>
      <w:i/>
      <w:iCs/>
      <w:sz w:val="23"/>
    </w:rPr>
  </w:style>
  <w:style w:type="paragraph" w:customStyle="1" w:styleId="Normal0">
    <w:name w:val="[Normal]"/>
    <w:uiPriority w:val="99"/>
    <w:rsid w:val="008F7E90"/>
    <w:pPr>
      <w:widowControl w:val="0"/>
      <w:autoSpaceDE w:val="0"/>
      <w:autoSpaceDN w:val="0"/>
      <w:adjustRightInd w:val="0"/>
    </w:pPr>
    <w:rPr>
      <w:rFonts w:ascii="Arial" w:hAnsi="Arial" w:cs="Arial"/>
      <w:sz w:val="24"/>
      <w:szCs w:val="24"/>
    </w:rPr>
  </w:style>
  <w:style w:type="character" w:customStyle="1" w:styleId="DHSText10ptChar">
    <w:name w:val="DHS Text 10pt Char"/>
    <w:uiPriority w:val="99"/>
    <w:rsid w:val="008F7E90"/>
    <w:rPr>
      <w:rFonts w:ascii="Verdana" w:hAnsi="Verdana"/>
      <w:lang w:val="en-AU" w:eastAsia="en-US"/>
    </w:rPr>
  </w:style>
  <w:style w:type="character" w:customStyle="1" w:styleId="notranslate">
    <w:name w:val="notranslate"/>
    <w:basedOn w:val="DefaultParagraphFont"/>
    <w:rsid w:val="008F7E90"/>
  </w:style>
  <w:style w:type="paragraph" w:customStyle="1" w:styleId="LineLast">
    <w:name w:val="Line Last"/>
    <w:basedOn w:val="Normal"/>
    <w:rsid w:val="003E76C5"/>
    <w:pPr>
      <w:tabs>
        <w:tab w:val="left" w:leader="underscore" w:pos="8640"/>
      </w:tabs>
      <w:spacing w:before="60" w:after="360"/>
    </w:pPr>
    <w:rPr>
      <w:rFonts w:ascii="Tahoma" w:eastAsia="Times New Roman" w:hAnsi="Tahoma" w:cs="Times New Roman"/>
      <w:sz w:val="20"/>
      <w:szCs w:val="24"/>
      <w:lang w:eastAsia="en-US"/>
    </w:rPr>
  </w:style>
  <w:style w:type="paragraph" w:customStyle="1" w:styleId="Line">
    <w:name w:val="Line"/>
    <w:basedOn w:val="Normal"/>
    <w:rsid w:val="003E76C5"/>
    <w:pPr>
      <w:tabs>
        <w:tab w:val="left" w:leader="underscore" w:pos="8640"/>
      </w:tabs>
      <w:spacing w:before="60"/>
    </w:pPr>
    <w:rPr>
      <w:rFonts w:ascii="Tahoma" w:eastAsia="Times New Roman" w:hAnsi="Tahoma" w:cs="Times New Roman"/>
      <w:sz w:val="20"/>
      <w:szCs w:val="24"/>
      <w:lang w:eastAsia="en-US"/>
    </w:rPr>
  </w:style>
  <w:style w:type="paragraph" w:customStyle="1" w:styleId="Thankyou">
    <w:name w:val="Thankyou"/>
    <w:basedOn w:val="Normal"/>
    <w:rsid w:val="003E76C5"/>
    <w:pPr>
      <w:keepNext/>
      <w:jc w:val="center"/>
    </w:pPr>
    <w:rPr>
      <w:rFonts w:ascii="Tahoma" w:eastAsia="Times New Roman" w:hAnsi="Tahoma" w:cs="Times New Roman"/>
      <w:sz w:val="20"/>
      <w:szCs w:val="24"/>
      <w:lang w:eastAsia="en-US"/>
    </w:rPr>
  </w:style>
  <w:style w:type="character" w:customStyle="1" w:styleId="maintitle">
    <w:name w:val="maintitle"/>
    <w:basedOn w:val="DefaultParagraphFont"/>
    <w:rsid w:val="008F7E90"/>
  </w:style>
  <w:style w:type="paragraph" w:customStyle="1" w:styleId="Tablecell">
    <w:name w:val="Table cell"/>
    <w:rsid w:val="003E76C5"/>
    <w:pPr>
      <w:keepLines/>
      <w:suppressAutoHyphens/>
      <w:spacing w:before="40" w:after="40"/>
    </w:pPr>
    <w:rPr>
      <w:rFonts w:ascii="Arial" w:eastAsia="Times New Roman" w:hAnsi="Arial" w:cs="Arial"/>
      <w:sz w:val="16"/>
      <w:szCs w:val="20"/>
    </w:rPr>
  </w:style>
  <w:style w:type="paragraph" w:styleId="Header">
    <w:name w:val="header"/>
    <w:link w:val="HeaderChar"/>
    <w:uiPriority w:val="99"/>
    <w:unhideWhenUsed/>
    <w:rsid w:val="003E76C5"/>
    <w:pPr>
      <w:tabs>
        <w:tab w:val="center" w:pos="4513"/>
        <w:tab w:val="right" w:pos="9026"/>
      </w:tabs>
      <w:spacing w:after="240"/>
    </w:pPr>
    <w:rPr>
      <w:rFonts w:ascii="Calibri" w:hAnsi="Calibri"/>
      <w:sz w:val="23"/>
    </w:rPr>
  </w:style>
  <w:style w:type="character" w:customStyle="1" w:styleId="HeaderChar">
    <w:name w:val="Header Char"/>
    <w:basedOn w:val="DefaultParagraphFont"/>
    <w:link w:val="Header"/>
    <w:uiPriority w:val="99"/>
    <w:rsid w:val="003E76C5"/>
    <w:rPr>
      <w:rFonts w:ascii="Calibri" w:hAnsi="Calibri"/>
      <w:sz w:val="23"/>
    </w:rPr>
  </w:style>
  <w:style w:type="paragraph" w:styleId="TOC1">
    <w:name w:val="toc 1"/>
    <w:basedOn w:val="Normal"/>
    <w:next w:val="Normal"/>
    <w:autoRedefine/>
    <w:uiPriority w:val="39"/>
    <w:unhideWhenUsed/>
    <w:rsid w:val="004F2201"/>
    <w:pPr>
      <w:tabs>
        <w:tab w:val="left" w:pos="440"/>
        <w:tab w:val="right" w:leader="dot" w:pos="9016"/>
      </w:tabs>
      <w:spacing w:before="120" w:beforeAutospacing="0" w:after="120" w:afterAutospacing="0"/>
    </w:pPr>
  </w:style>
  <w:style w:type="paragraph" w:styleId="TOC2">
    <w:name w:val="toc 2"/>
    <w:basedOn w:val="Normal"/>
    <w:next w:val="Normal"/>
    <w:autoRedefine/>
    <w:uiPriority w:val="39"/>
    <w:unhideWhenUsed/>
    <w:rsid w:val="004F2201"/>
    <w:pPr>
      <w:tabs>
        <w:tab w:val="left" w:pos="880"/>
        <w:tab w:val="right" w:leader="dot" w:pos="9016"/>
      </w:tabs>
      <w:spacing w:before="120" w:beforeAutospacing="0" w:after="120" w:afterAutospacing="0"/>
      <w:ind w:left="232"/>
    </w:pPr>
    <w:rPr>
      <w:noProof/>
    </w:rPr>
  </w:style>
  <w:style w:type="paragraph" w:styleId="TOC3">
    <w:name w:val="toc 3"/>
    <w:basedOn w:val="Normal"/>
    <w:next w:val="Normal"/>
    <w:autoRedefine/>
    <w:uiPriority w:val="39"/>
    <w:unhideWhenUsed/>
    <w:rsid w:val="004F2201"/>
    <w:pPr>
      <w:tabs>
        <w:tab w:val="left" w:pos="1320"/>
        <w:tab w:val="right" w:leader="dot" w:pos="9016"/>
      </w:tabs>
      <w:spacing w:before="120" w:beforeAutospacing="0" w:after="120" w:afterAutospacing="0"/>
      <w:ind w:left="459"/>
    </w:pPr>
    <w:rPr>
      <w:noProof/>
    </w:rPr>
  </w:style>
  <w:style w:type="numbering" w:customStyle="1" w:styleId="Appendices">
    <w:name w:val="Appendices"/>
    <w:uiPriority w:val="99"/>
    <w:rsid w:val="00047257"/>
    <w:pPr>
      <w:numPr>
        <w:numId w:val="5"/>
      </w:numPr>
    </w:pPr>
  </w:style>
  <w:style w:type="paragraph" w:styleId="FootnoteText">
    <w:name w:val="footnote text"/>
    <w:aliases w:val="Footnote Text Char2 Char,Footnote Text Char1 Char Char2,Footnote Text Char Char Char Char2,Footnote Text Char2 Char Char Char Char1,Footnote Text Char1 Char Char Char Char Char1,Footnote Text Char2,Footnote Text Char Char Char"/>
    <w:link w:val="FootnoteTextChar"/>
    <w:uiPriority w:val="99"/>
    <w:unhideWhenUsed/>
    <w:rsid w:val="003E76C5"/>
    <w:pPr>
      <w:spacing w:after="120"/>
    </w:pPr>
    <w:rPr>
      <w:rFonts w:ascii="Calibri" w:hAnsi="Calibri"/>
      <w:sz w:val="18"/>
      <w:szCs w:val="20"/>
    </w:rPr>
  </w:style>
  <w:style w:type="character" w:customStyle="1" w:styleId="FootnoteTextChar">
    <w:name w:val="Footnote Text Char"/>
    <w:aliases w:val="Footnote Text Char2 Char Char,Footnote Text Char1 Char Char2 Char,Footnote Text Char Char Char Char2 Char,Footnote Text Char2 Char Char Char Char1 Char,Footnote Text Char1 Char Char Char Char Char1 Char,Footnote Text Char2 Char1"/>
    <w:basedOn w:val="DefaultParagraphFont"/>
    <w:link w:val="FootnoteText"/>
    <w:uiPriority w:val="99"/>
    <w:rsid w:val="003E76C5"/>
    <w:rPr>
      <w:rFonts w:ascii="Calibri" w:hAnsi="Calibri"/>
      <w:sz w:val="18"/>
      <w:szCs w:val="20"/>
    </w:rPr>
  </w:style>
  <w:style w:type="paragraph" w:styleId="CommentText">
    <w:name w:val="annotation text"/>
    <w:basedOn w:val="Normal"/>
    <w:link w:val="CommentTextChar"/>
    <w:uiPriority w:val="99"/>
    <w:unhideWhenUsed/>
    <w:rsid w:val="003E76C5"/>
    <w:rPr>
      <w:rFonts w:eastAsiaTheme="minorHAnsi"/>
      <w:sz w:val="20"/>
      <w:szCs w:val="20"/>
      <w:lang w:eastAsia="en-US"/>
    </w:rPr>
  </w:style>
  <w:style w:type="character" w:customStyle="1" w:styleId="CommentTextChar">
    <w:name w:val="Comment Text Char"/>
    <w:basedOn w:val="DefaultParagraphFont"/>
    <w:link w:val="CommentText"/>
    <w:uiPriority w:val="99"/>
    <w:rsid w:val="003E76C5"/>
    <w:rPr>
      <w:rFonts w:ascii="Calibri" w:hAnsi="Calibri"/>
      <w:sz w:val="20"/>
      <w:szCs w:val="20"/>
    </w:rPr>
  </w:style>
  <w:style w:type="paragraph" w:styleId="Footer">
    <w:name w:val="footer"/>
    <w:basedOn w:val="Normal"/>
    <w:link w:val="FooterChar"/>
    <w:uiPriority w:val="99"/>
    <w:unhideWhenUsed/>
    <w:rsid w:val="003E76C5"/>
    <w:pPr>
      <w:tabs>
        <w:tab w:val="center" w:pos="4513"/>
        <w:tab w:val="right" w:pos="9026"/>
      </w:tabs>
      <w:ind w:left="8505"/>
    </w:pPr>
    <w:rPr>
      <w:rFonts w:eastAsiaTheme="minorHAnsi"/>
      <w:lang w:eastAsia="en-US"/>
    </w:rPr>
  </w:style>
  <w:style w:type="character" w:customStyle="1" w:styleId="FooterChar">
    <w:name w:val="Footer Char"/>
    <w:basedOn w:val="DefaultParagraphFont"/>
    <w:link w:val="Footer"/>
    <w:uiPriority w:val="99"/>
    <w:rsid w:val="003E76C5"/>
    <w:rPr>
      <w:rFonts w:ascii="Calibri" w:hAnsi="Calibri"/>
    </w:rPr>
  </w:style>
  <w:style w:type="paragraph" w:styleId="Caption">
    <w:name w:val="caption"/>
    <w:basedOn w:val="Normal"/>
    <w:next w:val="Normal"/>
    <w:uiPriority w:val="35"/>
    <w:unhideWhenUsed/>
    <w:rsid w:val="003E76C5"/>
    <w:rPr>
      <w:rFonts w:eastAsiaTheme="minorHAnsi"/>
      <w:b/>
      <w:bCs/>
      <w:color w:val="4F81BD" w:themeColor="accent1"/>
      <w:sz w:val="18"/>
      <w:szCs w:val="18"/>
      <w:lang w:eastAsia="en-US"/>
    </w:rPr>
  </w:style>
  <w:style w:type="character" w:styleId="FootnoteReference">
    <w:name w:val="footnote reference"/>
    <w:basedOn w:val="DefaultParagraphFont"/>
    <w:uiPriority w:val="99"/>
    <w:unhideWhenUsed/>
    <w:rsid w:val="008F7E90"/>
    <w:rPr>
      <w:vertAlign w:val="superscript"/>
    </w:rPr>
  </w:style>
  <w:style w:type="character" w:styleId="CommentReference">
    <w:name w:val="annotation reference"/>
    <w:basedOn w:val="DefaultParagraphFont"/>
    <w:uiPriority w:val="99"/>
    <w:semiHidden/>
    <w:unhideWhenUsed/>
    <w:rsid w:val="008F7E90"/>
    <w:rPr>
      <w:sz w:val="16"/>
      <w:szCs w:val="16"/>
    </w:rPr>
  </w:style>
  <w:style w:type="character" w:styleId="EndnoteReference">
    <w:name w:val="endnote reference"/>
    <w:basedOn w:val="DefaultParagraphFont"/>
    <w:uiPriority w:val="99"/>
    <w:semiHidden/>
    <w:unhideWhenUsed/>
    <w:rsid w:val="008F7E90"/>
    <w:rPr>
      <w:vertAlign w:val="superscript"/>
    </w:rPr>
  </w:style>
  <w:style w:type="paragraph" w:styleId="EndnoteText">
    <w:name w:val="endnote text"/>
    <w:basedOn w:val="Normal"/>
    <w:link w:val="EndnoteTextChar"/>
    <w:uiPriority w:val="99"/>
    <w:semiHidden/>
    <w:unhideWhenUsed/>
    <w:rsid w:val="008F7E90"/>
    <w:rPr>
      <w:rFonts w:eastAsiaTheme="minorHAnsi"/>
      <w:sz w:val="20"/>
      <w:szCs w:val="20"/>
      <w:lang w:val="en-GB" w:eastAsia="en-US"/>
    </w:rPr>
  </w:style>
  <w:style w:type="character" w:customStyle="1" w:styleId="EndnoteTextChar">
    <w:name w:val="Endnote Text Char"/>
    <w:basedOn w:val="DefaultParagraphFont"/>
    <w:link w:val="EndnoteText"/>
    <w:uiPriority w:val="99"/>
    <w:semiHidden/>
    <w:rsid w:val="008F7E90"/>
    <w:rPr>
      <w:sz w:val="20"/>
      <w:szCs w:val="20"/>
      <w:lang w:val="en-GB"/>
    </w:rPr>
  </w:style>
  <w:style w:type="paragraph" w:styleId="Title">
    <w:name w:val="Title"/>
    <w:aliases w:val="Submission"/>
    <w:next w:val="Normal"/>
    <w:link w:val="TitleChar"/>
    <w:qFormat/>
    <w:rsid w:val="003E76C5"/>
    <w:pPr>
      <w:spacing w:before="2040" w:after="120"/>
      <w:contextualSpacing/>
      <w:jc w:val="center"/>
    </w:pPr>
    <w:rPr>
      <w:rFonts w:ascii="Calibri" w:eastAsiaTheme="majorEastAsia" w:hAnsi="Calibri" w:cstheme="majorBidi"/>
      <w:b/>
      <w:spacing w:val="5"/>
      <w:kern w:val="28"/>
      <w:sz w:val="52"/>
      <w:szCs w:val="52"/>
    </w:rPr>
  </w:style>
  <w:style w:type="character" w:customStyle="1" w:styleId="TitleChar">
    <w:name w:val="Title Char"/>
    <w:aliases w:val="Submission Char"/>
    <w:basedOn w:val="DefaultParagraphFont"/>
    <w:link w:val="Title"/>
    <w:rsid w:val="003E76C5"/>
    <w:rPr>
      <w:rFonts w:ascii="Calibri" w:eastAsiaTheme="majorEastAsia" w:hAnsi="Calibri" w:cstheme="majorBidi"/>
      <w:b/>
      <w:spacing w:val="5"/>
      <w:kern w:val="28"/>
      <w:sz w:val="52"/>
      <w:szCs w:val="52"/>
    </w:rPr>
  </w:style>
  <w:style w:type="paragraph" w:styleId="BodyText">
    <w:name w:val="Body Text"/>
    <w:basedOn w:val="Normal"/>
    <w:link w:val="BodyTextChar"/>
    <w:rsid w:val="003E76C5"/>
    <w:rPr>
      <w:rFonts w:ascii="Times New Roman" w:eastAsia="Times New Roman" w:hAnsi="Times New Roman" w:cs="Times New Roman"/>
      <w:szCs w:val="24"/>
      <w:lang w:eastAsia="en-US"/>
    </w:rPr>
  </w:style>
  <w:style w:type="character" w:customStyle="1" w:styleId="BodyTextChar">
    <w:name w:val="Body Text Char"/>
    <w:basedOn w:val="DefaultParagraphFont"/>
    <w:link w:val="BodyText"/>
    <w:rsid w:val="003E76C5"/>
    <w:rPr>
      <w:rFonts w:ascii="Times New Roman" w:eastAsia="Times New Roman" w:hAnsi="Times New Roman" w:cs="Times New Roman"/>
      <w:szCs w:val="24"/>
    </w:rPr>
  </w:style>
  <w:style w:type="character" w:styleId="Hyperlink">
    <w:name w:val="Hyperlink"/>
    <w:basedOn w:val="DefaultParagraphFont"/>
    <w:uiPriority w:val="99"/>
    <w:unhideWhenUsed/>
    <w:rsid w:val="008F7E90"/>
    <w:rPr>
      <w:color w:val="0000FF" w:themeColor="hyperlink"/>
      <w:u w:val="single"/>
    </w:rPr>
  </w:style>
  <w:style w:type="character" w:styleId="Strong">
    <w:name w:val="Strong"/>
    <w:basedOn w:val="DefaultParagraphFont"/>
    <w:uiPriority w:val="22"/>
    <w:qFormat/>
    <w:rsid w:val="008F7E90"/>
    <w:rPr>
      <w:b/>
      <w:bCs/>
    </w:rPr>
  </w:style>
  <w:style w:type="paragraph" w:styleId="NormalWeb">
    <w:name w:val="Normal (Web)"/>
    <w:basedOn w:val="Normal"/>
    <w:uiPriority w:val="99"/>
    <w:semiHidden/>
    <w:unhideWhenUsed/>
    <w:rsid w:val="008F7E90"/>
    <w:pPr>
      <w:spacing w:before="140" w:after="140"/>
    </w:pPr>
    <w:rPr>
      <w:rFonts w:ascii="Trebuchet MS" w:eastAsia="Times New Roman" w:hAnsi="Trebuchet MS" w:cs="Times New Roman"/>
      <w:sz w:val="24"/>
      <w:szCs w:val="24"/>
    </w:rPr>
  </w:style>
  <w:style w:type="paragraph" w:styleId="CommentSubject">
    <w:name w:val="annotation subject"/>
    <w:basedOn w:val="CommentText"/>
    <w:next w:val="CommentText"/>
    <w:link w:val="CommentSubjectChar"/>
    <w:uiPriority w:val="99"/>
    <w:semiHidden/>
    <w:unhideWhenUsed/>
    <w:rsid w:val="008F7E90"/>
    <w:rPr>
      <w:b/>
      <w:bCs/>
    </w:rPr>
  </w:style>
  <w:style w:type="character" w:customStyle="1" w:styleId="CommentSubjectChar">
    <w:name w:val="Comment Subject Char"/>
    <w:basedOn w:val="CommentTextChar"/>
    <w:link w:val="CommentSubject"/>
    <w:uiPriority w:val="99"/>
    <w:semiHidden/>
    <w:rsid w:val="008F7E90"/>
    <w:rPr>
      <w:rFonts w:ascii="Calibri" w:hAnsi="Calibri"/>
      <w:b/>
      <w:bCs/>
      <w:sz w:val="20"/>
      <w:szCs w:val="20"/>
      <w:lang w:val="en-GB"/>
    </w:rPr>
  </w:style>
  <w:style w:type="paragraph" w:styleId="BalloonText">
    <w:name w:val="Balloon Text"/>
    <w:basedOn w:val="Normal"/>
    <w:link w:val="BalloonTextChar"/>
    <w:uiPriority w:val="99"/>
    <w:semiHidden/>
    <w:unhideWhenUsed/>
    <w:rsid w:val="008F7E90"/>
    <w:rPr>
      <w:rFonts w:ascii="Tahoma" w:eastAsiaTheme="minorHAnsi" w:hAnsi="Tahoma" w:cs="Tahoma"/>
      <w:sz w:val="16"/>
      <w:szCs w:val="16"/>
      <w:lang w:val="en-GB" w:eastAsia="en-US"/>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lang w:val="en-GB"/>
    </w:rPr>
  </w:style>
  <w:style w:type="table" w:styleId="TableGrid">
    <w:name w:val="Table Grid"/>
    <w:basedOn w:val="TableNormal"/>
    <w:uiPriority w:val="59"/>
    <w:rsid w:val="008F7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76C5"/>
    <w:pPr>
      <w:ind w:left="720"/>
      <w:contextualSpacing/>
    </w:pPr>
    <w:rPr>
      <w:rFonts w:eastAsiaTheme="minorHAnsi"/>
      <w:lang w:eastAsia="en-US"/>
    </w:rPr>
  </w:style>
  <w:style w:type="paragraph" w:styleId="TOCHeading">
    <w:name w:val="TOC Heading"/>
    <w:basedOn w:val="Heading1"/>
    <w:next w:val="Normal"/>
    <w:uiPriority w:val="39"/>
    <w:unhideWhenUsed/>
    <w:qFormat/>
    <w:rsid w:val="003E76C5"/>
    <w:pPr>
      <w:numPr>
        <w:numId w:val="0"/>
      </w:numPr>
      <w:spacing w:line="276" w:lineRule="auto"/>
      <w:outlineLvl w:val="9"/>
    </w:pPr>
  </w:style>
  <w:style w:type="character" w:styleId="FollowedHyperlink">
    <w:name w:val="FollowedHyperlink"/>
    <w:basedOn w:val="DefaultParagraphFont"/>
    <w:uiPriority w:val="99"/>
    <w:semiHidden/>
    <w:unhideWhenUsed/>
    <w:rsid w:val="00E54047"/>
    <w:rPr>
      <w:color w:val="800080" w:themeColor="followedHyperlink"/>
      <w:u w:val="single"/>
    </w:rPr>
  </w:style>
  <w:style w:type="paragraph" w:styleId="NoSpacing">
    <w:name w:val="No Spacing"/>
    <w:uiPriority w:val="1"/>
    <w:rsid w:val="000D51F4"/>
    <w:rPr>
      <w:rFonts w:ascii="Calibri" w:eastAsiaTheme="minorEastAsia" w:hAnsi="Calibri"/>
      <w:sz w:val="23"/>
      <w:lang w:eastAsia="en-AU"/>
    </w:rPr>
  </w:style>
  <w:style w:type="paragraph" w:customStyle="1" w:styleId="About">
    <w:name w:val="About"/>
    <w:basedOn w:val="Normal"/>
    <w:link w:val="AboutChar"/>
    <w:qFormat/>
    <w:rsid w:val="00C12182"/>
    <w:rPr>
      <w:b/>
    </w:rPr>
  </w:style>
  <w:style w:type="table" w:customStyle="1" w:styleId="ACCANtable">
    <w:name w:val="ACCAN table"/>
    <w:basedOn w:val="TableNormal"/>
    <w:uiPriority w:val="99"/>
    <w:rsid w:val="0036351B"/>
    <w:tblPr>
      <w:jc w:val="center"/>
      <w:tblBorders>
        <w:top w:val="single" w:sz="4" w:space="0" w:color="44C8F5"/>
        <w:bottom w:val="single" w:sz="4" w:space="0" w:color="44C8F5"/>
        <w:insideH w:val="single" w:sz="4" w:space="0" w:color="44C8F5"/>
      </w:tblBorders>
      <w:tblCellMar>
        <w:top w:w="108" w:type="dxa"/>
        <w:bottom w:w="108" w:type="dxa"/>
      </w:tblCellMar>
    </w:tblPr>
    <w:trPr>
      <w:jc w:val="center"/>
    </w:trPr>
    <w:tblStylePr w:type="firstRow">
      <w:pPr>
        <w:jc w:val="left"/>
      </w:pPr>
      <w:rPr>
        <w:rFonts w:asciiTheme="minorHAnsi" w:hAnsiTheme="minorHAnsi"/>
        <w:b/>
        <w:color w:val="auto"/>
        <w:sz w:val="22"/>
      </w:rPr>
      <w:tblPr/>
      <w:tcPr>
        <w:shd w:val="clear" w:color="auto" w:fill="44C8F5"/>
      </w:tcPr>
    </w:tblStylePr>
    <w:tblStylePr w:type="lastRow">
      <w:pPr>
        <w:jc w:val="left"/>
      </w:pPr>
    </w:tblStylePr>
  </w:style>
  <w:style w:type="character" w:customStyle="1" w:styleId="AboutChar">
    <w:name w:val="About Char"/>
    <w:basedOn w:val="DefaultParagraphFont"/>
    <w:link w:val="About"/>
    <w:rsid w:val="00C12182"/>
    <w:rPr>
      <w:rFonts w:ascii="Calibri" w:eastAsiaTheme="minorEastAsia" w:hAnsi="Calibri"/>
      <w:b/>
      <w:sz w:val="23"/>
      <w:lang w:eastAsia="en-AU"/>
    </w:rPr>
  </w:style>
  <w:style w:type="paragraph" w:styleId="Subtitle">
    <w:name w:val="Subtitle"/>
    <w:next w:val="Normal"/>
    <w:link w:val="SubtitleChar"/>
    <w:uiPriority w:val="11"/>
    <w:rsid w:val="003E76C5"/>
    <w:pPr>
      <w:spacing w:before="360" w:after="360"/>
      <w:jc w:val="center"/>
    </w:pPr>
    <w:rPr>
      <w:rFonts w:ascii="Calibri" w:eastAsiaTheme="minorEastAsia" w:hAnsi="Calibri"/>
      <w:sz w:val="32"/>
      <w:szCs w:val="32"/>
    </w:rPr>
  </w:style>
  <w:style w:type="character" w:customStyle="1" w:styleId="SubtitleChar">
    <w:name w:val="Subtitle Char"/>
    <w:basedOn w:val="DefaultParagraphFont"/>
    <w:link w:val="Subtitle"/>
    <w:uiPriority w:val="11"/>
    <w:rsid w:val="003E76C5"/>
    <w:rPr>
      <w:rFonts w:ascii="Calibri" w:eastAsiaTheme="minorEastAsia" w:hAnsi="Calibri"/>
      <w:sz w:val="32"/>
      <w:szCs w:val="32"/>
    </w:rPr>
  </w:style>
  <w:style w:type="character" w:customStyle="1" w:styleId="Heading7Char">
    <w:name w:val="Heading 7 Char"/>
    <w:basedOn w:val="DefaultParagraphFont"/>
    <w:link w:val="Heading7"/>
    <w:uiPriority w:val="9"/>
    <w:semiHidden/>
    <w:rsid w:val="00EC1696"/>
    <w:rPr>
      <w:rFonts w:asciiTheme="majorHAnsi" w:eastAsiaTheme="majorEastAsia" w:hAnsiTheme="majorHAnsi" w:cstheme="majorBidi"/>
      <w:i/>
      <w:iCs/>
      <w:color w:val="404040" w:themeColor="text1" w:themeTint="BF"/>
      <w:sz w:val="23"/>
      <w:lang w:eastAsia="en-AU"/>
    </w:rPr>
  </w:style>
  <w:style w:type="paragraph" w:customStyle="1" w:styleId="Recommendation">
    <w:name w:val="Recommendation"/>
    <w:basedOn w:val="Normal"/>
    <w:link w:val="RecommendationChar"/>
    <w:qFormat/>
    <w:rsid w:val="00593975"/>
    <w:pPr>
      <w:numPr>
        <w:numId w:val="9"/>
      </w:numPr>
      <w:pBdr>
        <w:top w:val="single" w:sz="8" w:space="6" w:color="44C8F5"/>
        <w:left w:val="single" w:sz="8" w:space="5" w:color="44C8F5"/>
        <w:bottom w:val="single" w:sz="8" w:space="6" w:color="44C8F5"/>
        <w:right w:val="single" w:sz="8" w:space="5" w:color="44C8F5"/>
      </w:pBdr>
      <w:ind w:right="851"/>
    </w:pPr>
    <w:rPr>
      <w:lang w:eastAsia="en-US"/>
    </w:rPr>
  </w:style>
  <w:style w:type="table" w:styleId="LightShading-Accent1">
    <w:name w:val="Light Shading Accent 1"/>
    <w:basedOn w:val="TableNormal"/>
    <w:uiPriority w:val="60"/>
    <w:rsid w:val="005C2EB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RecommendationChar">
    <w:name w:val="Recommendation Char"/>
    <w:basedOn w:val="DefaultParagraphFont"/>
    <w:link w:val="Recommendation"/>
    <w:rsid w:val="00593975"/>
    <w:rPr>
      <w:rFonts w:ascii="Calibri" w:eastAsiaTheme="minorEastAsia" w:hAnsi="Calibri"/>
    </w:rPr>
  </w:style>
  <w:style w:type="paragraph" w:customStyle="1" w:styleId="Blockquote">
    <w:name w:val="Blockquote"/>
    <w:basedOn w:val="Normal"/>
    <w:link w:val="BlockquoteChar"/>
    <w:qFormat/>
    <w:rsid w:val="003E76C5"/>
    <w:pPr>
      <w:ind w:left="851" w:right="851"/>
    </w:pPr>
    <w:rPr>
      <w:lang w:eastAsia="en-US"/>
    </w:rPr>
  </w:style>
  <w:style w:type="character" w:customStyle="1" w:styleId="BlockquoteChar">
    <w:name w:val="Blockquote Char"/>
    <w:basedOn w:val="DefaultParagraphFont"/>
    <w:link w:val="Blockquote"/>
    <w:rsid w:val="003E76C5"/>
    <w:rPr>
      <w:rFonts w:ascii="Calibri" w:eastAsiaTheme="minorEastAsia" w:hAnsi="Calibri"/>
    </w:rPr>
  </w:style>
  <w:style w:type="numbering" w:customStyle="1" w:styleId="Headings">
    <w:name w:val="Headings"/>
    <w:uiPriority w:val="99"/>
    <w:rsid w:val="00EC1696"/>
    <w:pPr>
      <w:numPr>
        <w:numId w:val="1"/>
      </w:numPr>
    </w:pPr>
  </w:style>
  <w:style w:type="numbering" w:customStyle="1" w:styleId="Bullets">
    <w:name w:val="Bullets"/>
    <w:uiPriority w:val="99"/>
    <w:rsid w:val="00EC1696"/>
    <w:pPr>
      <w:numPr>
        <w:numId w:val="2"/>
      </w:numPr>
    </w:pPr>
  </w:style>
  <w:style w:type="character" w:customStyle="1" w:styleId="Heading8Char">
    <w:name w:val="Heading 8 Char"/>
    <w:basedOn w:val="DefaultParagraphFont"/>
    <w:link w:val="Heading8"/>
    <w:uiPriority w:val="9"/>
    <w:semiHidden/>
    <w:rsid w:val="00EC1696"/>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uiPriority w:val="9"/>
    <w:semiHidden/>
    <w:rsid w:val="00EC1696"/>
    <w:rPr>
      <w:rFonts w:asciiTheme="majorHAnsi" w:eastAsiaTheme="majorEastAsia" w:hAnsiTheme="majorHAnsi" w:cstheme="majorBidi"/>
      <w:i/>
      <w:iCs/>
      <w:color w:val="404040" w:themeColor="text1" w:themeTint="BF"/>
      <w:sz w:val="20"/>
      <w:szCs w:val="20"/>
      <w:lang w:eastAsia="en-AU"/>
    </w:rPr>
  </w:style>
  <w:style w:type="paragraph" w:customStyle="1" w:styleId="Bulletlist1">
    <w:name w:val="Bullet list 1"/>
    <w:basedOn w:val="Normal"/>
    <w:link w:val="Bulletlist1Char"/>
    <w:qFormat/>
    <w:rsid w:val="00EC1696"/>
    <w:pPr>
      <w:numPr>
        <w:numId w:val="3"/>
      </w:numPr>
    </w:pPr>
  </w:style>
  <w:style w:type="paragraph" w:customStyle="1" w:styleId="Bulletlist2">
    <w:name w:val="Bullet list 2"/>
    <w:basedOn w:val="Bulletlist1"/>
    <w:link w:val="Bulletlist2Char"/>
    <w:qFormat/>
    <w:rsid w:val="00EC1696"/>
    <w:pPr>
      <w:numPr>
        <w:ilvl w:val="1"/>
      </w:numPr>
    </w:pPr>
  </w:style>
  <w:style w:type="character" w:customStyle="1" w:styleId="Bulletlist1Char">
    <w:name w:val="Bullet list 1 Char"/>
    <w:basedOn w:val="DefaultParagraphFont"/>
    <w:link w:val="Bulletlist1"/>
    <w:rsid w:val="00EC1696"/>
    <w:rPr>
      <w:rFonts w:ascii="Calibri" w:eastAsiaTheme="minorEastAsia" w:hAnsi="Calibri"/>
      <w:lang w:eastAsia="en-AU"/>
    </w:rPr>
  </w:style>
  <w:style w:type="paragraph" w:customStyle="1" w:styleId="Bulletlist3">
    <w:name w:val="Bullet list 3"/>
    <w:basedOn w:val="Bulletlist2"/>
    <w:link w:val="Bulletlist3Char"/>
    <w:qFormat/>
    <w:rsid w:val="00EC1696"/>
    <w:pPr>
      <w:numPr>
        <w:ilvl w:val="2"/>
      </w:numPr>
    </w:pPr>
  </w:style>
  <w:style w:type="character" w:customStyle="1" w:styleId="Bulletlist2Char">
    <w:name w:val="Bullet list 2 Char"/>
    <w:basedOn w:val="Bulletlist1Char"/>
    <w:link w:val="Bulletlist2"/>
    <w:rsid w:val="00EC1696"/>
    <w:rPr>
      <w:rFonts w:ascii="Calibri" w:eastAsiaTheme="minorEastAsia" w:hAnsi="Calibri"/>
      <w:lang w:eastAsia="en-AU"/>
    </w:rPr>
  </w:style>
  <w:style w:type="character" w:customStyle="1" w:styleId="Bulletlist3Char">
    <w:name w:val="Bullet list 3 Char"/>
    <w:basedOn w:val="Bulletlist2Char"/>
    <w:link w:val="Bulletlist3"/>
    <w:rsid w:val="00EC1696"/>
    <w:rPr>
      <w:rFonts w:ascii="Calibri" w:eastAsiaTheme="minorEastAsia" w:hAnsi="Calibri"/>
      <w:lang w:eastAsia="en-AU"/>
    </w:rPr>
  </w:style>
  <w:style w:type="paragraph" w:customStyle="1" w:styleId="Footerpage1">
    <w:name w:val="Footer page 1"/>
    <w:rsid w:val="00A13B92"/>
    <w:pPr>
      <w:spacing w:after="200"/>
      <w:ind w:left="-754"/>
      <w:contextualSpacing/>
    </w:pPr>
    <w:rPr>
      <w:sz w:val="20"/>
      <w:szCs w:val="20"/>
    </w:rPr>
  </w:style>
  <w:style w:type="paragraph" w:customStyle="1" w:styleId="Celltext">
    <w:name w:val="Cell text"/>
    <w:basedOn w:val="Normal"/>
    <w:qFormat/>
    <w:rsid w:val="00EC1696"/>
    <w:pPr>
      <w:contextualSpacing/>
    </w:pPr>
    <w:rPr>
      <w:sz w:val="20"/>
    </w:rPr>
  </w:style>
  <w:style w:type="paragraph" w:customStyle="1" w:styleId="Appendixheading1">
    <w:name w:val="Appendix heading 1"/>
    <w:basedOn w:val="Heading1"/>
    <w:next w:val="Normal"/>
    <w:link w:val="Appendixheading1Char"/>
    <w:qFormat/>
    <w:rsid w:val="00047257"/>
    <w:pPr>
      <w:numPr>
        <w:numId w:val="6"/>
      </w:numPr>
    </w:pPr>
  </w:style>
  <w:style w:type="character" w:customStyle="1" w:styleId="Appendixheading1Char">
    <w:name w:val="Appendix heading 1 Char"/>
    <w:basedOn w:val="Heading1Char"/>
    <w:link w:val="Appendixheading1"/>
    <w:rsid w:val="00047257"/>
    <w:rPr>
      <w:rFonts w:ascii="Calibri" w:eastAsiaTheme="majorEastAsia" w:hAnsi="Calibri" w:cstheme="majorBidi"/>
      <w:bCs/>
      <w:sz w:val="48"/>
      <w:szCs w:val="28"/>
    </w:rPr>
  </w:style>
  <w:style w:type="paragraph" w:customStyle="1" w:styleId="Appendixheading2">
    <w:name w:val="Appendix heading 2"/>
    <w:basedOn w:val="Heading2"/>
    <w:next w:val="Normal"/>
    <w:link w:val="Appendixheading2Char"/>
    <w:qFormat/>
    <w:rsid w:val="00047257"/>
    <w:pPr>
      <w:numPr>
        <w:numId w:val="6"/>
      </w:numPr>
    </w:pPr>
    <w:rPr>
      <w:b/>
    </w:rPr>
  </w:style>
  <w:style w:type="character" w:customStyle="1" w:styleId="Appendixheading2Char">
    <w:name w:val="Appendix heading 2 Char"/>
    <w:basedOn w:val="Heading2Char"/>
    <w:link w:val="Appendixheading2"/>
    <w:rsid w:val="00047257"/>
    <w:rPr>
      <w:rFonts w:ascii="Calibri" w:eastAsia="Times New Roman" w:hAnsi="Calibri" w:cs="Times New Roman"/>
      <w:b/>
      <w:bCs/>
      <w:iCs/>
      <w:sz w:val="32"/>
      <w:szCs w:val="24"/>
    </w:rPr>
  </w:style>
  <w:style w:type="paragraph" w:customStyle="1" w:styleId="Appendixheading3">
    <w:name w:val="Appendix heading 3"/>
    <w:basedOn w:val="Heading3"/>
    <w:next w:val="Normal"/>
    <w:link w:val="Appendixheading3Char"/>
    <w:qFormat/>
    <w:rsid w:val="00047257"/>
    <w:pPr>
      <w:numPr>
        <w:ilvl w:val="0"/>
        <w:numId w:val="0"/>
      </w:numPr>
    </w:pPr>
    <w:rPr>
      <w:b/>
      <w:sz w:val="24"/>
    </w:rPr>
  </w:style>
  <w:style w:type="character" w:customStyle="1" w:styleId="Appendixheading3Char">
    <w:name w:val="Appendix heading 3 Char"/>
    <w:basedOn w:val="Heading3Char"/>
    <w:link w:val="Appendixheading3"/>
    <w:rsid w:val="00047257"/>
    <w:rPr>
      <w:rFonts w:ascii="Calibri" w:eastAsia="Times New Roman" w:hAnsi="Calibri" w:cs="Times New Roman"/>
      <w:b/>
      <w:bCs/>
      <w:iCs/>
      <w:sz w:val="24"/>
      <w:szCs w:val="24"/>
      <w:lang w:val="en-US"/>
    </w:rPr>
  </w:style>
  <w:style w:type="paragraph" w:customStyle="1" w:styleId="Blockquote2">
    <w:name w:val="Blockquote 2"/>
    <w:basedOn w:val="Blockquote"/>
    <w:link w:val="Blockquote2Char"/>
    <w:qFormat/>
    <w:rsid w:val="00047257"/>
    <w:pPr>
      <w:ind w:left="1418"/>
      <w:contextualSpacing/>
    </w:pPr>
  </w:style>
  <w:style w:type="character" w:customStyle="1" w:styleId="Blockquote2Char">
    <w:name w:val="Blockquote 2 Char"/>
    <w:basedOn w:val="BlockquoteChar"/>
    <w:link w:val="Blockquote2"/>
    <w:rsid w:val="00047257"/>
    <w:rPr>
      <w:rFonts w:ascii="Calibri" w:eastAsiaTheme="minorEastAsia" w:hAnsi="Calibri"/>
      <w:sz w:val="23"/>
      <w:lang w:val="en-US"/>
    </w:rPr>
  </w:style>
  <w:style w:type="paragraph" w:customStyle="1" w:styleId="Blockquote3">
    <w:name w:val="Blockquote 3"/>
    <w:basedOn w:val="Blockquote"/>
    <w:link w:val="Blockquote3Char"/>
    <w:qFormat/>
    <w:rsid w:val="00047257"/>
    <w:pPr>
      <w:ind w:left="1985"/>
      <w:contextualSpacing/>
    </w:pPr>
  </w:style>
  <w:style w:type="character" w:customStyle="1" w:styleId="Blockquote3Char">
    <w:name w:val="Blockquote 3 Char"/>
    <w:basedOn w:val="BlockquoteChar"/>
    <w:link w:val="Blockquote3"/>
    <w:rsid w:val="00047257"/>
    <w:rPr>
      <w:rFonts w:ascii="Calibri" w:eastAsiaTheme="minorEastAsia" w:hAnsi="Calibri"/>
      <w:sz w:val="23"/>
      <w:lang w:val="en-US"/>
    </w:rPr>
  </w:style>
  <w:style w:type="paragraph" w:customStyle="1" w:styleId="Blockquotebulletlist1">
    <w:name w:val="Blockquote bullet list 1"/>
    <w:basedOn w:val="Blockquote"/>
    <w:link w:val="Blockquotebulletlist1Char"/>
    <w:qFormat/>
    <w:rsid w:val="00047257"/>
    <w:pPr>
      <w:numPr>
        <w:numId w:val="8"/>
      </w:numPr>
    </w:pPr>
  </w:style>
  <w:style w:type="character" w:customStyle="1" w:styleId="Blockquotebulletlist1Char">
    <w:name w:val="Blockquote bullet list 1 Char"/>
    <w:basedOn w:val="BlockquoteChar"/>
    <w:link w:val="Blockquotebulletlist1"/>
    <w:rsid w:val="00047257"/>
    <w:rPr>
      <w:rFonts w:ascii="Calibri" w:eastAsiaTheme="minorEastAsia" w:hAnsi="Calibri"/>
    </w:rPr>
  </w:style>
  <w:style w:type="numbering" w:customStyle="1" w:styleId="Blockquotebullets">
    <w:name w:val="Blockquote bullets"/>
    <w:uiPriority w:val="99"/>
    <w:rsid w:val="00047257"/>
    <w:pPr>
      <w:numPr>
        <w:numId w:val="7"/>
      </w:numPr>
    </w:pPr>
  </w:style>
  <w:style w:type="paragraph" w:customStyle="1" w:styleId="Casestudyheading">
    <w:name w:val="Case study heading"/>
    <w:basedOn w:val="Normal"/>
    <w:next w:val="Normal"/>
    <w:link w:val="CasestudyheadingChar"/>
    <w:qFormat/>
    <w:rsid w:val="003E76C5"/>
    <w:pPr>
      <w:keepNext/>
      <w:ind w:left="851" w:right="851"/>
    </w:pPr>
    <w:rPr>
      <w:b/>
      <w:lang w:eastAsia="en-US"/>
    </w:rPr>
  </w:style>
  <w:style w:type="character" w:customStyle="1" w:styleId="CasestudyheadingChar">
    <w:name w:val="Case study heading Char"/>
    <w:basedOn w:val="DefaultParagraphFont"/>
    <w:link w:val="Casestudyheading"/>
    <w:rsid w:val="003E76C5"/>
    <w:rPr>
      <w:rFonts w:ascii="Calibri" w:eastAsiaTheme="minorEastAsia" w:hAnsi="Calibri"/>
      <w:b/>
    </w:rPr>
  </w:style>
  <w:style w:type="paragraph" w:customStyle="1" w:styleId="Casestudy">
    <w:name w:val="Case study"/>
    <w:basedOn w:val="Casestudyheading"/>
    <w:link w:val="CasestudyChar"/>
    <w:qFormat/>
    <w:rsid w:val="00047257"/>
    <w:pPr>
      <w:keepNext w:val="0"/>
    </w:pPr>
    <w:rPr>
      <w:b w:val="0"/>
    </w:rPr>
  </w:style>
  <w:style w:type="character" w:customStyle="1" w:styleId="CasestudyChar">
    <w:name w:val="Case study Char"/>
    <w:basedOn w:val="CasestudyheadingChar"/>
    <w:link w:val="Casestudy"/>
    <w:rsid w:val="00047257"/>
    <w:rPr>
      <w:rFonts w:ascii="Calibri" w:eastAsiaTheme="minorEastAsia" w:hAnsi="Calibri"/>
      <w:b w:val="0"/>
      <w:sz w:val="23"/>
      <w:lang w:val="en-US"/>
    </w:rPr>
  </w:style>
  <w:style w:type="paragraph" w:customStyle="1" w:styleId="Casestudyquote">
    <w:name w:val="Case study quote"/>
    <w:basedOn w:val="Casestudy"/>
    <w:link w:val="CasestudyquoteChar"/>
    <w:qFormat/>
    <w:rsid w:val="00047257"/>
    <w:pPr>
      <w:ind w:left="1418" w:right="1418"/>
    </w:pPr>
  </w:style>
  <w:style w:type="character" w:customStyle="1" w:styleId="CasestudyquoteChar">
    <w:name w:val="Case study quote Char"/>
    <w:basedOn w:val="CasestudyChar"/>
    <w:link w:val="Casestudyquote"/>
    <w:rsid w:val="00047257"/>
    <w:rPr>
      <w:rFonts w:ascii="Calibri" w:eastAsiaTheme="minorEastAsia" w:hAnsi="Calibri"/>
      <w:b w:val="0"/>
      <w:sz w:val="23"/>
      <w:lang w:val="en-US"/>
    </w:rPr>
  </w:style>
  <w:style w:type="numbering" w:customStyle="1" w:styleId="Recommendations">
    <w:name w:val="Recommendations"/>
    <w:uiPriority w:val="99"/>
    <w:rsid w:val="00593975"/>
    <w:pPr>
      <w:numPr>
        <w:numId w:val="27"/>
      </w:numPr>
    </w:pPr>
  </w:style>
  <w:style w:type="paragraph" w:customStyle="1" w:styleId="BodyText1">
    <w:name w:val="Body Text1"/>
    <w:basedOn w:val="Normal"/>
    <w:qFormat/>
    <w:rsid w:val="00A74E29"/>
    <w:pPr>
      <w:spacing w:before="0" w:beforeAutospacing="0" w:after="200" w:afterAutospacing="0" w:line="276" w:lineRule="auto"/>
    </w:pPr>
    <w:rPr>
      <w:rFonts w:asciiTheme="minorHAnsi" w:eastAsia="Calibri" w:hAnsiTheme="minorHAnsi" w:cstheme="minorHAnsi"/>
      <w:color w:val="000000"/>
      <w:lang w:eastAsia="en-US"/>
    </w:rPr>
  </w:style>
  <w:style w:type="character" w:styleId="UnresolvedMention">
    <w:name w:val="Unresolved Mention"/>
    <w:basedOn w:val="DefaultParagraphFont"/>
    <w:uiPriority w:val="99"/>
    <w:semiHidden/>
    <w:unhideWhenUsed/>
    <w:rsid w:val="006952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295648">
      <w:bodyDiv w:val="1"/>
      <w:marLeft w:val="0"/>
      <w:marRight w:val="0"/>
      <w:marTop w:val="0"/>
      <w:marBottom w:val="0"/>
      <w:divBdr>
        <w:top w:val="none" w:sz="0" w:space="0" w:color="auto"/>
        <w:left w:val="none" w:sz="0" w:space="0" w:color="auto"/>
        <w:bottom w:val="none" w:sz="0" w:space="0" w:color="auto"/>
        <w:right w:val="none" w:sz="0" w:space="0" w:color="auto"/>
      </w:divBdr>
    </w:div>
    <w:div w:id="341933097">
      <w:bodyDiv w:val="1"/>
      <w:marLeft w:val="0"/>
      <w:marRight w:val="0"/>
      <w:marTop w:val="0"/>
      <w:marBottom w:val="0"/>
      <w:divBdr>
        <w:top w:val="none" w:sz="0" w:space="0" w:color="auto"/>
        <w:left w:val="none" w:sz="0" w:space="0" w:color="auto"/>
        <w:bottom w:val="none" w:sz="0" w:space="0" w:color="auto"/>
        <w:right w:val="none" w:sz="0" w:space="0" w:color="auto"/>
      </w:divBdr>
    </w:div>
    <w:div w:id="472481714">
      <w:bodyDiv w:val="1"/>
      <w:marLeft w:val="0"/>
      <w:marRight w:val="0"/>
      <w:marTop w:val="0"/>
      <w:marBottom w:val="0"/>
      <w:divBdr>
        <w:top w:val="none" w:sz="0" w:space="0" w:color="auto"/>
        <w:left w:val="none" w:sz="0" w:space="0" w:color="auto"/>
        <w:bottom w:val="none" w:sz="0" w:space="0" w:color="auto"/>
        <w:right w:val="none" w:sz="0" w:space="0" w:color="auto"/>
      </w:divBdr>
    </w:div>
    <w:div w:id="552665421">
      <w:bodyDiv w:val="1"/>
      <w:marLeft w:val="0"/>
      <w:marRight w:val="0"/>
      <w:marTop w:val="0"/>
      <w:marBottom w:val="0"/>
      <w:divBdr>
        <w:top w:val="none" w:sz="0" w:space="0" w:color="auto"/>
        <w:left w:val="none" w:sz="0" w:space="0" w:color="auto"/>
        <w:bottom w:val="none" w:sz="0" w:space="0" w:color="auto"/>
        <w:right w:val="none" w:sz="0" w:space="0" w:color="auto"/>
      </w:divBdr>
    </w:div>
    <w:div w:id="788621578">
      <w:bodyDiv w:val="1"/>
      <w:marLeft w:val="0"/>
      <w:marRight w:val="0"/>
      <w:marTop w:val="0"/>
      <w:marBottom w:val="0"/>
      <w:divBdr>
        <w:top w:val="none" w:sz="0" w:space="0" w:color="auto"/>
        <w:left w:val="none" w:sz="0" w:space="0" w:color="auto"/>
        <w:bottom w:val="none" w:sz="0" w:space="0" w:color="auto"/>
        <w:right w:val="none" w:sz="0" w:space="0" w:color="auto"/>
      </w:divBdr>
    </w:div>
    <w:div w:id="808398297">
      <w:bodyDiv w:val="1"/>
      <w:marLeft w:val="0"/>
      <w:marRight w:val="0"/>
      <w:marTop w:val="0"/>
      <w:marBottom w:val="0"/>
      <w:divBdr>
        <w:top w:val="none" w:sz="0" w:space="0" w:color="auto"/>
        <w:left w:val="none" w:sz="0" w:space="0" w:color="auto"/>
        <w:bottom w:val="none" w:sz="0" w:space="0" w:color="auto"/>
        <w:right w:val="none" w:sz="0" w:space="0" w:color="auto"/>
      </w:divBdr>
    </w:div>
    <w:div w:id="2055228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ccan.org.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elayservice.gov.au/"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hyperlink" Target="http://relayservice.gov.au/"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www.alrc.gov.au/publication/for-your-information-australian-privacy-law-and-practice-alrc-report-108/40-employee-records-exemption/alrcs-view-3/" TargetMode="External"/><Relationship Id="rId18" Type="http://schemas.openxmlformats.org/officeDocument/2006/relationships/hyperlink" Target="http://www.accc.gov.au/system/files/OfficeoftheAustralianInformationCommissioner%28May2019%29.pdf" TargetMode="External"/><Relationship Id="rId26" Type="http://schemas.openxmlformats.org/officeDocument/2006/relationships/hyperlink" Target="https://www.oaic.gov.au/privacy/your-privacy-rights/your-personal-information/consent-to-the-handling-of-personal-information/" TargetMode="External"/><Relationship Id="rId3" Type="http://schemas.openxmlformats.org/officeDocument/2006/relationships/hyperlink" Target="https://www.oaic.gov.au/privacy/guidance-and-advice/guide-to-data-analytics-and-the-australian-privacy-principles/" TargetMode="External"/><Relationship Id="rId21" Type="http://schemas.openxmlformats.org/officeDocument/2006/relationships/hyperlink" Target="https://vig.cdn.sos.ca.gov/2020/general/pdf/topl-prop24.pdf" TargetMode="External"/><Relationship Id="rId34" Type="http://schemas.openxmlformats.org/officeDocument/2006/relationships/hyperlink" Target="https://www.twobirds.com/en/news/articles/2019/global/digital-platforms-and-proposed-amendments-to-privacy-laws" TargetMode="External"/><Relationship Id="rId7" Type="http://schemas.openxmlformats.org/officeDocument/2006/relationships/hyperlink" Target="http://www.ucl.ac.uk/data-protection/guidance-staff-students-and-researchers/practical-data-protection-guidance-notices/anonymisation-and" TargetMode="External"/><Relationship Id="rId12" Type="http://schemas.openxmlformats.org/officeDocument/2006/relationships/hyperlink" Target="http://www.allens.com.au/insights-news/insights/2020/11/privacy-act-review-what-you-need-to-know/" TargetMode="External"/><Relationship Id="rId17" Type="http://schemas.openxmlformats.org/officeDocument/2006/relationships/hyperlink" Target="http://www.accc.gov.au/system/files/OfficeoftheAustralianInformationCommissioner-October2019.pdf" TargetMode="External"/><Relationship Id="rId25" Type="http://schemas.openxmlformats.org/officeDocument/2006/relationships/hyperlink" Target="https://www.privacy-regulation.eu/en/article-8-conditions-applicable-to-child%27s-consent-in-relation-to-information-society-services-GDPR.htm" TargetMode="External"/><Relationship Id="rId33" Type="http://schemas.openxmlformats.org/officeDocument/2006/relationships/hyperlink" Target="https://ico.org.uk/for-organisations/guide-to-data-protection/guide-to-the-general-data-protection-regulation-gdpr/individual-rights/right-to-erasure/" TargetMode="External"/><Relationship Id="rId2" Type="http://schemas.openxmlformats.org/officeDocument/2006/relationships/hyperlink" Target="http://www.accc.gov.au/focus-areas/consumer-data-right-cdr-0/consultation-on-proposed-changes-to-the-cdr-rules" TargetMode="External"/><Relationship Id="rId16" Type="http://schemas.openxmlformats.org/officeDocument/2006/relationships/hyperlink" Target="http://www.oaic.gov.au/assets/updates/news-and-media/facebook-federal-court-concise-statement.pdf" TargetMode="External"/><Relationship Id="rId20" Type="http://schemas.openxmlformats.org/officeDocument/2006/relationships/hyperlink" Target="https://www.nature.com/articles/srep01376?ial=1" TargetMode="External"/><Relationship Id="rId29" Type="http://schemas.openxmlformats.org/officeDocument/2006/relationships/hyperlink" Target="https://www.oaic.gov.au/privacy/australian-privacy-principles-guidelines/chapter-7-app-7-direct-marketing/" TargetMode="External"/><Relationship Id="rId1" Type="http://schemas.openxmlformats.org/officeDocument/2006/relationships/hyperlink" Target="http://www.oaic.gov.au/updates/speeches/2020-vision-challenges-and-opportunities-for-privacy-regulation/" TargetMode="External"/><Relationship Id="rId6" Type="http://schemas.openxmlformats.org/officeDocument/2006/relationships/hyperlink" Target="https://dataprivacymanager.net/pseudonymization-according-to-the-gdpr/" TargetMode="External"/><Relationship Id="rId11" Type="http://schemas.openxmlformats.org/officeDocument/2006/relationships/hyperlink" Target="http://www.accc.gov.au/system/files/CDR%20rules%20expansion%20amendments%20-%20consultation%20paper%20-%2030%20September%202020.pdf" TargetMode="External"/><Relationship Id="rId24" Type="http://schemas.openxmlformats.org/officeDocument/2006/relationships/hyperlink" Target="https://ico.org.uk/for-organisations/guide-to-data-protection/guide-to-the-general-data-protection-regulation-gdpr/controllers-and-processors/what-are-controllers-and-processors/" TargetMode="External"/><Relationship Id="rId32" Type="http://schemas.openxmlformats.org/officeDocument/2006/relationships/hyperlink" Target="https://ico.org.uk/for-organisations/guide-to-data-protection/guide-to-the-general-data-protection-regulation-gdpr/consent/what-is-valid-consent/" TargetMode="External"/><Relationship Id="rId5" Type="http://schemas.openxmlformats.org/officeDocument/2006/relationships/hyperlink" Target="https://www.accc.gov.au/system/files/Dr%20Katharine%20Kemp%20%2826%20April%202020%29.pdf" TargetMode="External"/><Relationship Id="rId15" Type="http://schemas.openxmlformats.org/officeDocument/2006/relationships/hyperlink" Target="https://dl.acm.org/doi/10.1145/3319535.3354212" TargetMode="External"/><Relationship Id="rId23" Type="http://schemas.openxmlformats.org/officeDocument/2006/relationships/hyperlink" Target="https://www.unicef.org.au/Upload/UNICEF/Media/Our%20work/childfriendlycrc.pdf" TargetMode="External"/><Relationship Id="rId28" Type="http://schemas.openxmlformats.org/officeDocument/2006/relationships/hyperlink" Target="https://www.cbp.com.au/insights/insights/2019/november/what-is-real-consent-to-data-collection" TargetMode="External"/><Relationship Id="rId10" Type="http://schemas.openxmlformats.org/officeDocument/2006/relationships/hyperlink" Target="http://www.alrc.gov.au/publication/for-your-information-australian-privacy-law-and-practice-alrc-report-108/71-telecommunications-act/small-business-exemption-2/" TargetMode="External"/><Relationship Id="rId19" Type="http://schemas.openxmlformats.org/officeDocument/2006/relationships/hyperlink" Target="http://www.oaic.gov.au/engage-with-us/submissions/customer-loyalty-schemes-review-submission-to-the-accc/" TargetMode="External"/><Relationship Id="rId31" Type="http://schemas.openxmlformats.org/officeDocument/2006/relationships/hyperlink" Target="https://theconversation.com/we-need-a-code-to-protect-our-online-privacy-and-wipe-out-dark-patterns-in-digital-design-145622" TargetMode="External"/><Relationship Id="rId4" Type="http://schemas.openxmlformats.org/officeDocument/2006/relationships/hyperlink" Target="https://www.oaic.gov.au/privacy/guidance-and-advice/de-identification-and-the-privacy-act/" TargetMode="External"/><Relationship Id="rId9" Type="http://schemas.openxmlformats.org/officeDocument/2006/relationships/hyperlink" Target="http://www5.austlii.edu.au/au/journals/PrivLawPRpr/2002/39.html" TargetMode="External"/><Relationship Id="rId14" Type="http://schemas.openxmlformats.org/officeDocument/2006/relationships/hyperlink" Target="http://www.alrc.gov.au/publication/for-your-information-australian-privacy-law-and-practice-alrc-report-108/40-employee-records-exemption/alrcs-view-3/" TargetMode="External"/><Relationship Id="rId22" Type="http://schemas.openxmlformats.org/officeDocument/2006/relationships/hyperlink" Target="https://www.accc.gov.au/system/files/OfficeoftheAustralianInformationCommissioner%28May2019%29.pdf" TargetMode="External"/><Relationship Id="rId27" Type="http://schemas.openxmlformats.org/officeDocument/2006/relationships/hyperlink" Target="https://www.oaic.gov.au/privacy/your-privacy-rights/children-and-young-people/" TargetMode="External"/><Relationship Id="rId30" Type="http://schemas.openxmlformats.org/officeDocument/2006/relationships/hyperlink" Target="https://theconversation.com/we-street-proof-our-kids-why-arent-we-data-proofing-them-123415" TargetMode="External"/><Relationship Id="rId35" Type="http://schemas.openxmlformats.org/officeDocument/2006/relationships/hyperlink" Target="https://financialrights.org.au/wpontent/uploads/2020/10/201029_ACCCCDRRulesexpansion_Sub_FINAL-1.pdf" TargetMode="External"/><Relationship Id="rId8" Type="http://schemas.openxmlformats.org/officeDocument/2006/relationships/hyperlink" Target="https://techcrunch.com/2019/07/24/researchers-spotlight-the-lie-of-anonymous-dat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accan-dc1\ACCAN%20DOCS\Templates%20&amp;%20Originals\Templates%202018\Submiss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9A2B3-F461-41DB-BB94-4800B6C68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Submission template.dotx</Template>
  <TotalTime>8</TotalTime>
  <Pages>20</Pages>
  <Words>5352</Words>
  <Characters>30508</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Whitelock</dc:creator>
  <cp:lastModifiedBy>Una Lawrence</cp:lastModifiedBy>
  <cp:revision>3</cp:revision>
  <cp:lastPrinted>2020-12-17T23:16:00Z</cp:lastPrinted>
  <dcterms:created xsi:type="dcterms:W3CDTF">2020-12-17T23:15:00Z</dcterms:created>
  <dcterms:modified xsi:type="dcterms:W3CDTF">2020-12-17T23:16:00Z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