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1DBE" w14:textId="5A0F764E" w:rsidR="002F4FBA" w:rsidRDefault="002F4FBA" w:rsidP="00F014D6">
      <w:pPr>
        <w:rPr>
          <w:color w:val="FF0000"/>
          <w:sz w:val="28"/>
        </w:rPr>
      </w:pPr>
    </w:p>
    <w:p w14:paraId="1E3A6541" w14:textId="414B3D10" w:rsidR="00655EB8" w:rsidRDefault="00655EB8" w:rsidP="00F014D6">
      <w:pPr>
        <w:rPr>
          <w:color w:val="FF0000"/>
          <w:sz w:val="28"/>
        </w:rPr>
      </w:pPr>
    </w:p>
    <w:p w14:paraId="7E726F77" w14:textId="790061E8" w:rsidR="00655EB8" w:rsidRDefault="001622D7" w:rsidP="001622D7">
      <w:r>
        <w:t>1 November 2021</w:t>
      </w:r>
    </w:p>
    <w:p w14:paraId="7222ABFB" w14:textId="66151599" w:rsidR="00CB19F4" w:rsidRDefault="0062441F" w:rsidP="00B752FC">
      <w:pPr>
        <w:spacing w:after="0"/>
      </w:pPr>
      <w:r>
        <w:t xml:space="preserve">Senate </w:t>
      </w:r>
      <w:r w:rsidR="009147FC">
        <w:t>Environment and Communications Legislation Committee</w:t>
      </w:r>
    </w:p>
    <w:p w14:paraId="51EA6D11" w14:textId="7D5C4A4C" w:rsidR="00B752FC" w:rsidRDefault="00B752FC" w:rsidP="00B752FC">
      <w:pPr>
        <w:spacing w:after="0"/>
      </w:pPr>
      <w:hyperlink r:id="rId11" w:history="1">
        <w:r w:rsidRPr="00B671D9">
          <w:rPr>
            <w:rStyle w:val="Hyperlink"/>
          </w:rPr>
          <w:t>ec.sen@aph.gov.au</w:t>
        </w:r>
      </w:hyperlink>
    </w:p>
    <w:p w14:paraId="1FF8634F" w14:textId="77777777" w:rsidR="00B752FC" w:rsidRDefault="00B752FC" w:rsidP="00B752FC">
      <w:pPr>
        <w:spacing w:after="0"/>
      </w:pPr>
    </w:p>
    <w:p w14:paraId="372CB199" w14:textId="72D774C6" w:rsidR="00CB19F4" w:rsidRPr="002969B7" w:rsidRDefault="00AD6A38" w:rsidP="009147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Re: </w:t>
      </w:r>
      <w:r w:rsidR="009147FC" w:rsidRPr="002969B7">
        <w:rPr>
          <w:b/>
          <w:bCs/>
          <w:sz w:val="24"/>
          <w:szCs w:val="24"/>
        </w:rPr>
        <w:t xml:space="preserve">Telstra Corporation and Other Legislation Amendment Bill </w:t>
      </w:r>
      <w:r w:rsidR="002969B7" w:rsidRPr="002969B7">
        <w:rPr>
          <w:b/>
          <w:bCs/>
          <w:sz w:val="24"/>
          <w:szCs w:val="24"/>
        </w:rPr>
        <w:t>2021</w:t>
      </w:r>
      <w:r w:rsidR="00542B6A">
        <w:rPr>
          <w:b/>
          <w:bCs/>
          <w:sz w:val="24"/>
          <w:szCs w:val="24"/>
        </w:rPr>
        <w:t xml:space="preserve"> Inquiry</w:t>
      </w:r>
    </w:p>
    <w:p w14:paraId="48A60656" w14:textId="33C1AF17" w:rsidR="00CB19F4" w:rsidRDefault="00836B6A" w:rsidP="008F46B1">
      <w:r>
        <w:t>The Australian Communications Consumer Action Network (</w:t>
      </w:r>
      <w:r w:rsidR="008F46B1">
        <w:t>ACCAN</w:t>
      </w:r>
      <w:r>
        <w:t>)</w:t>
      </w:r>
      <w:r w:rsidR="008F46B1">
        <w:t xml:space="preserve"> thanks the </w:t>
      </w:r>
      <w:r w:rsidR="00905B1D">
        <w:t xml:space="preserve">Committee for the opportunity to comment on the </w:t>
      </w:r>
      <w:r w:rsidR="00DF0D51" w:rsidRPr="004559E1">
        <w:rPr>
          <w:i/>
          <w:iCs/>
        </w:rPr>
        <w:t>Telstra Cor</w:t>
      </w:r>
      <w:r w:rsidR="004559E1" w:rsidRPr="004559E1">
        <w:rPr>
          <w:i/>
          <w:iCs/>
        </w:rPr>
        <w:t xml:space="preserve">poration and Other Legislation Amendment </w:t>
      </w:r>
      <w:r w:rsidR="00905B1D" w:rsidRPr="004559E1">
        <w:rPr>
          <w:i/>
          <w:iCs/>
        </w:rPr>
        <w:t>Bill</w:t>
      </w:r>
      <w:r w:rsidR="00905B1D">
        <w:t xml:space="preserve"> </w:t>
      </w:r>
      <w:r w:rsidR="0052386E">
        <w:t xml:space="preserve">(the Bill) </w:t>
      </w:r>
      <w:r w:rsidR="00905B1D">
        <w:t>currently under consideration</w:t>
      </w:r>
      <w:r>
        <w:t xml:space="preserve"> by the Parliament. </w:t>
      </w:r>
    </w:p>
    <w:p w14:paraId="5498D98A" w14:textId="3ACCC0DE" w:rsidR="001F259D" w:rsidRDefault="004559E1" w:rsidP="001F259D">
      <w:pPr>
        <w:spacing w:before="100" w:beforeAutospacing="1" w:after="100" w:afterAutospacing="1" w:line="240" w:lineRule="auto"/>
        <w:rPr>
          <w:rFonts w:cstheme="minorHAnsi"/>
        </w:rPr>
      </w:pPr>
      <w:r>
        <w:t xml:space="preserve">ACCAN is the peak </w:t>
      </w:r>
      <w:r w:rsidR="001F259D" w:rsidRPr="001F259D">
        <w:rPr>
          <w:rFonts w:cstheme="minorHAnsi"/>
        </w:rPr>
        <w:t>body represent</w:t>
      </w:r>
      <w:r w:rsidR="00002E4B">
        <w:rPr>
          <w:rFonts w:cstheme="minorHAnsi"/>
        </w:rPr>
        <w:t>ing</w:t>
      </w:r>
      <w:r w:rsidR="001F259D" w:rsidRPr="001F259D">
        <w:rPr>
          <w:rFonts w:cstheme="minorHAnsi"/>
        </w:rPr>
        <w:t xml:space="preserve"> all consumers on communications issues including telecommunications, broadband and emerging services. ACCAN provides a strong unified voice to industry and government as consumers work towards communications services that are trusted, inclusive and available for all. </w:t>
      </w:r>
    </w:p>
    <w:p w14:paraId="0D9041FA" w14:textId="116F590B" w:rsidR="00FB1918" w:rsidRDefault="00D666FB" w:rsidP="00B14CE5">
      <w:pPr>
        <w:spacing w:after="0" w:line="240" w:lineRule="auto"/>
        <w:rPr>
          <w:rFonts w:eastAsia="Times New Roman"/>
        </w:rPr>
      </w:pPr>
      <w:r w:rsidRPr="00B14CE5">
        <w:rPr>
          <w:rFonts w:cstheme="minorHAnsi"/>
        </w:rPr>
        <w:t>ACCAN w</w:t>
      </w:r>
      <w:r w:rsidR="004371B0" w:rsidRPr="00B14CE5">
        <w:rPr>
          <w:rFonts w:cstheme="minorHAnsi"/>
        </w:rPr>
        <w:t>elcome</w:t>
      </w:r>
      <w:r w:rsidRPr="00B14CE5">
        <w:rPr>
          <w:rFonts w:cstheme="minorHAnsi"/>
        </w:rPr>
        <w:t>s</w:t>
      </w:r>
      <w:r w:rsidR="004371B0" w:rsidRPr="00B14CE5">
        <w:rPr>
          <w:rFonts w:cstheme="minorHAnsi"/>
        </w:rPr>
        <w:t xml:space="preserve"> </w:t>
      </w:r>
      <w:r w:rsidR="00C9684F">
        <w:rPr>
          <w:rFonts w:cstheme="minorHAnsi"/>
        </w:rPr>
        <w:t>the</w:t>
      </w:r>
      <w:r w:rsidR="004371B0" w:rsidRPr="00B14CE5">
        <w:rPr>
          <w:rFonts w:cstheme="minorHAnsi"/>
        </w:rPr>
        <w:t xml:space="preserve"> Bill because </w:t>
      </w:r>
      <w:r w:rsidR="00F773BC" w:rsidRPr="00B14CE5">
        <w:rPr>
          <w:rFonts w:cstheme="minorHAnsi"/>
        </w:rPr>
        <w:t xml:space="preserve">it transfers important consumer safeguards that </w:t>
      </w:r>
      <w:r w:rsidR="00F35997">
        <w:rPr>
          <w:rFonts w:cstheme="minorHAnsi"/>
        </w:rPr>
        <w:t xml:space="preserve">currently </w:t>
      </w:r>
      <w:r w:rsidR="00F773BC" w:rsidRPr="00B14CE5">
        <w:rPr>
          <w:rFonts w:cstheme="minorHAnsi"/>
        </w:rPr>
        <w:t xml:space="preserve">apply to Telstra to the restructured </w:t>
      </w:r>
      <w:r w:rsidR="00765CF2">
        <w:rPr>
          <w:rFonts w:cstheme="minorHAnsi"/>
        </w:rPr>
        <w:t xml:space="preserve">Telstra </w:t>
      </w:r>
      <w:r w:rsidR="00F773BC" w:rsidRPr="00B14CE5">
        <w:rPr>
          <w:rFonts w:cstheme="minorHAnsi"/>
        </w:rPr>
        <w:t>compan</w:t>
      </w:r>
      <w:r w:rsidR="007B7C9F" w:rsidRPr="00B14CE5">
        <w:rPr>
          <w:rFonts w:cstheme="minorHAnsi"/>
        </w:rPr>
        <w:t xml:space="preserve">ies, and directs the obligations to the most appropriate entities within the group. </w:t>
      </w:r>
      <w:r w:rsidR="00A95856" w:rsidRPr="00B14CE5">
        <w:rPr>
          <w:rFonts w:eastAsia="Times New Roman"/>
        </w:rPr>
        <w:t xml:space="preserve">It seeks to maintain ‘regulatory equivalency’ of obligations across the restructured Telstra group, to make sure that there is no lessening of Telstra’s public interest roles. This means that </w:t>
      </w:r>
      <w:r w:rsidR="00F43AB1">
        <w:rPr>
          <w:rFonts w:eastAsia="Times New Roman"/>
        </w:rPr>
        <w:t xml:space="preserve">the following </w:t>
      </w:r>
      <w:r w:rsidR="00A95856" w:rsidRPr="00B14CE5">
        <w:rPr>
          <w:rFonts w:eastAsia="Times New Roman"/>
        </w:rPr>
        <w:t xml:space="preserve">Telstra obligations </w:t>
      </w:r>
      <w:r w:rsidR="008770CE">
        <w:rPr>
          <w:rFonts w:eastAsia="Times New Roman"/>
        </w:rPr>
        <w:t xml:space="preserve">will continue to apply to the restructured companies: </w:t>
      </w:r>
    </w:p>
    <w:p w14:paraId="73369859" w14:textId="77777777" w:rsidR="00FB4EAB" w:rsidRDefault="00FB4EAB" w:rsidP="00B14CE5">
      <w:pPr>
        <w:spacing w:after="0" w:line="240" w:lineRule="auto"/>
        <w:rPr>
          <w:rFonts w:eastAsia="Times New Roman"/>
        </w:rPr>
      </w:pPr>
    </w:p>
    <w:p w14:paraId="479DA22E" w14:textId="19D0415C" w:rsidR="00FB1918" w:rsidRDefault="000931DA" w:rsidP="00FB191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</w:t>
      </w:r>
      <w:r w:rsidR="00A95856" w:rsidRPr="00FB1918">
        <w:rPr>
          <w:rFonts w:eastAsia="Times New Roman"/>
        </w:rPr>
        <w:t>he U</w:t>
      </w:r>
      <w:r w:rsidR="00F73BA4" w:rsidRPr="00FB1918">
        <w:rPr>
          <w:rFonts w:eastAsia="Times New Roman"/>
        </w:rPr>
        <w:t xml:space="preserve">niversal </w:t>
      </w:r>
      <w:r w:rsidR="00A95856" w:rsidRPr="00FB1918">
        <w:rPr>
          <w:rFonts w:eastAsia="Times New Roman"/>
        </w:rPr>
        <w:t>S</w:t>
      </w:r>
      <w:r w:rsidR="00F73BA4" w:rsidRPr="00FB1918">
        <w:rPr>
          <w:rFonts w:eastAsia="Times New Roman"/>
        </w:rPr>
        <w:t xml:space="preserve">ervice </w:t>
      </w:r>
      <w:r w:rsidR="00A95856" w:rsidRPr="00FB1918">
        <w:rPr>
          <w:rFonts w:eastAsia="Times New Roman"/>
        </w:rPr>
        <w:t>O</w:t>
      </w:r>
      <w:r w:rsidR="00F73BA4" w:rsidRPr="00FB1918">
        <w:rPr>
          <w:rFonts w:eastAsia="Times New Roman"/>
        </w:rPr>
        <w:t xml:space="preserve">bligation </w:t>
      </w:r>
      <w:r w:rsidR="00BE7247" w:rsidRPr="00FB1918">
        <w:rPr>
          <w:rFonts w:eastAsia="Times New Roman"/>
        </w:rPr>
        <w:t xml:space="preserve">to provide </w:t>
      </w:r>
      <w:r w:rsidR="00F73BA4" w:rsidRPr="00FB1918">
        <w:rPr>
          <w:rFonts w:eastAsia="Times New Roman"/>
        </w:rPr>
        <w:t>fixed voice services</w:t>
      </w:r>
      <w:r w:rsidR="00A95856" w:rsidRPr="00FB1918">
        <w:rPr>
          <w:rFonts w:eastAsia="Times New Roman"/>
        </w:rPr>
        <w:t xml:space="preserve"> </w:t>
      </w:r>
      <w:r w:rsidR="008776C3">
        <w:rPr>
          <w:rFonts w:eastAsia="Times New Roman"/>
        </w:rPr>
        <w:t>on request</w:t>
      </w:r>
    </w:p>
    <w:p w14:paraId="31C0B6A8" w14:textId="6813BD95" w:rsidR="00DE0858" w:rsidRDefault="00DE0858" w:rsidP="00FB191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Telstra’s</w:t>
      </w:r>
      <w:r w:rsidR="003103EF" w:rsidRPr="00FB1918">
        <w:rPr>
          <w:rFonts w:eastAsia="Times New Roman"/>
        </w:rPr>
        <w:t xml:space="preserve"> role as the Emergency Call </w:t>
      </w:r>
      <w:r w:rsidR="00E24A3D" w:rsidRPr="00FB1918">
        <w:rPr>
          <w:rFonts w:eastAsia="Times New Roman"/>
        </w:rPr>
        <w:t xml:space="preserve">Person under </w:t>
      </w:r>
      <w:r w:rsidR="00A95856" w:rsidRPr="00FB1918">
        <w:rPr>
          <w:rFonts w:eastAsia="Times New Roman"/>
        </w:rPr>
        <w:t>emergency call services arrangements</w:t>
      </w:r>
    </w:p>
    <w:p w14:paraId="2A39C807" w14:textId="585CD9AA" w:rsidR="00DF008C" w:rsidRDefault="00DE0858" w:rsidP="00FB191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obligation to </w:t>
      </w:r>
      <w:r w:rsidR="00F43AB1" w:rsidRPr="00FB1918">
        <w:rPr>
          <w:rFonts w:eastAsia="Times New Roman"/>
        </w:rPr>
        <w:t xml:space="preserve">provide </w:t>
      </w:r>
      <w:r w:rsidR="008776C3">
        <w:rPr>
          <w:rFonts w:eastAsia="Times New Roman"/>
        </w:rPr>
        <w:t>P</w:t>
      </w:r>
      <w:r w:rsidR="00A95856" w:rsidRPr="00FB1918">
        <w:rPr>
          <w:rFonts w:eastAsia="Times New Roman"/>
        </w:rPr>
        <w:t xml:space="preserve">riority </w:t>
      </w:r>
      <w:r w:rsidR="008776C3">
        <w:rPr>
          <w:rFonts w:eastAsia="Times New Roman"/>
        </w:rPr>
        <w:t>A</w:t>
      </w:r>
      <w:r w:rsidR="00A95856" w:rsidRPr="00FB1918">
        <w:rPr>
          <w:rFonts w:eastAsia="Times New Roman"/>
        </w:rPr>
        <w:t>ssistance</w:t>
      </w:r>
      <w:r w:rsidR="006C58F1">
        <w:rPr>
          <w:rFonts w:eastAsia="Times New Roman"/>
        </w:rPr>
        <w:t>,</w:t>
      </w:r>
      <w:r w:rsidR="00BE7247" w:rsidRPr="00FB1918">
        <w:rPr>
          <w:rFonts w:eastAsia="Times New Roman"/>
        </w:rPr>
        <w:t xml:space="preserve"> </w:t>
      </w:r>
      <w:r w:rsidR="0008292E" w:rsidRPr="00FB1918">
        <w:rPr>
          <w:rFonts w:eastAsia="Times New Roman"/>
        </w:rPr>
        <w:t xml:space="preserve">ensuring shorter repair times for customers </w:t>
      </w:r>
      <w:r w:rsidR="00DF4783" w:rsidRPr="00FB1918">
        <w:rPr>
          <w:rFonts w:eastAsia="Times New Roman"/>
        </w:rPr>
        <w:t xml:space="preserve">with greater dependency on </w:t>
      </w:r>
      <w:r w:rsidR="00DF008C">
        <w:rPr>
          <w:rFonts w:eastAsia="Times New Roman"/>
        </w:rPr>
        <w:t>fixed voice</w:t>
      </w:r>
      <w:r w:rsidR="00DF4783" w:rsidRPr="00FB1918">
        <w:rPr>
          <w:rFonts w:eastAsia="Times New Roman"/>
        </w:rPr>
        <w:t xml:space="preserve"> service</w:t>
      </w:r>
      <w:r w:rsidR="00DF008C">
        <w:rPr>
          <w:rFonts w:eastAsia="Times New Roman"/>
        </w:rPr>
        <w:t>s</w:t>
      </w:r>
    </w:p>
    <w:p w14:paraId="4A42D472" w14:textId="51178874" w:rsidR="008776C3" w:rsidRDefault="00B95970" w:rsidP="00FB191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FB1918">
        <w:rPr>
          <w:rFonts w:eastAsia="Times New Roman"/>
        </w:rPr>
        <w:t>Customer Service Guarantee</w:t>
      </w:r>
      <w:r w:rsidR="008C562F" w:rsidRPr="00FB1918">
        <w:rPr>
          <w:rFonts w:eastAsia="Times New Roman"/>
        </w:rPr>
        <w:t xml:space="preserve"> </w:t>
      </w:r>
      <w:r w:rsidR="00C66462" w:rsidRPr="00FB1918">
        <w:rPr>
          <w:rFonts w:eastAsia="Times New Roman"/>
        </w:rPr>
        <w:t xml:space="preserve">and Network Reliability Framework </w:t>
      </w:r>
      <w:r w:rsidR="008C562F" w:rsidRPr="00FB1918">
        <w:rPr>
          <w:rFonts w:eastAsia="Times New Roman"/>
        </w:rPr>
        <w:t xml:space="preserve">arrangements </w:t>
      </w:r>
      <w:r w:rsidR="00DF4783" w:rsidRPr="00FB1918">
        <w:rPr>
          <w:rFonts w:eastAsia="Times New Roman"/>
        </w:rPr>
        <w:t xml:space="preserve"> </w:t>
      </w:r>
    </w:p>
    <w:p w14:paraId="417C9F41" w14:textId="14AA9C63" w:rsidR="00A95856" w:rsidRPr="00FB1918" w:rsidRDefault="000931DA" w:rsidP="00FB1918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</w:t>
      </w:r>
      <w:r w:rsidR="00A95856" w:rsidRPr="00FB1918">
        <w:rPr>
          <w:rFonts w:eastAsia="Times New Roman"/>
        </w:rPr>
        <w:t>acilities access sharing of transmission towers</w:t>
      </w:r>
      <w:r w:rsidR="00FB4EAB">
        <w:rPr>
          <w:rFonts w:eastAsia="Times New Roman"/>
        </w:rPr>
        <w:t xml:space="preserve"> with other mobile network operators</w:t>
      </w:r>
    </w:p>
    <w:p w14:paraId="2678B5AF" w14:textId="77777777" w:rsidR="008C54AD" w:rsidRPr="00B14CE5" w:rsidRDefault="008C54AD" w:rsidP="00B14CE5">
      <w:pPr>
        <w:spacing w:after="0" w:line="240" w:lineRule="auto"/>
        <w:rPr>
          <w:rFonts w:eastAsia="Times New Roman"/>
        </w:rPr>
      </w:pPr>
    </w:p>
    <w:p w14:paraId="64F65FFF" w14:textId="17561909" w:rsidR="00A95856" w:rsidRDefault="00A95856" w:rsidP="00B14CE5">
      <w:pPr>
        <w:spacing w:after="0" w:line="240" w:lineRule="auto"/>
        <w:rPr>
          <w:rFonts w:eastAsia="Times New Roman"/>
        </w:rPr>
      </w:pPr>
      <w:r w:rsidRPr="00B14CE5">
        <w:rPr>
          <w:rFonts w:eastAsia="Times New Roman"/>
        </w:rPr>
        <w:t>If the Bill is</w:t>
      </w:r>
      <w:r w:rsidR="000041E7">
        <w:rPr>
          <w:rFonts w:eastAsia="Times New Roman"/>
        </w:rPr>
        <w:t xml:space="preserve"> </w:t>
      </w:r>
      <w:r w:rsidRPr="00B14CE5">
        <w:rPr>
          <w:rFonts w:eastAsia="Times New Roman"/>
        </w:rPr>
        <w:t>n</w:t>
      </w:r>
      <w:r w:rsidR="000041E7">
        <w:rPr>
          <w:rFonts w:eastAsia="Times New Roman"/>
        </w:rPr>
        <w:t>o</w:t>
      </w:r>
      <w:r w:rsidRPr="00B14CE5">
        <w:rPr>
          <w:rFonts w:eastAsia="Times New Roman"/>
        </w:rPr>
        <w:t xml:space="preserve">t passed, then there </w:t>
      </w:r>
      <w:r w:rsidR="000041E7">
        <w:rPr>
          <w:rFonts w:eastAsia="Times New Roman"/>
        </w:rPr>
        <w:t xml:space="preserve">would </w:t>
      </w:r>
      <w:r w:rsidRPr="00B14CE5">
        <w:rPr>
          <w:rFonts w:eastAsia="Times New Roman"/>
        </w:rPr>
        <w:t xml:space="preserve">be a </w:t>
      </w:r>
      <w:r w:rsidR="000041E7">
        <w:rPr>
          <w:rFonts w:eastAsia="Times New Roman"/>
        </w:rPr>
        <w:t xml:space="preserve">significant </w:t>
      </w:r>
      <w:r w:rsidRPr="00B14CE5">
        <w:rPr>
          <w:rFonts w:eastAsia="Times New Roman"/>
        </w:rPr>
        <w:t xml:space="preserve">negative </w:t>
      </w:r>
      <w:r w:rsidR="00A64AF2">
        <w:rPr>
          <w:rFonts w:eastAsia="Times New Roman"/>
        </w:rPr>
        <w:t xml:space="preserve">nationwide </w:t>
      </w:r>
      <w:r w:rsidRPr="00B14CE5">
        <w:rPr>
          <w:rFonts w:eastAsia="Times New Roman"/>
        </w:rPr>
        <w:t>impact on consumers</w:t>
      </w:r>
      <w:r w:rsidR="004E44B5">
        <w:rPr>
          <w:rFonts w:eastAsia="Times New Roman"/>
        </w:rPr>
        <w:t xml:space="preserve"> as </w:t>
      </w:r>
      <w:r w:rsidR="00493567">
        <w:rPr>
          <w:rFonts w:eastAsia="Times New Roman"/>
        </w:rPr>
        <w:t xml:space="preserve">it is reasonable to expect </w:t>
      </w:r>
      <w:r w:rsidR="00723E89">
        <w:rPr>
          <w:rFonts w:eastAsia="Times New Roman"/>
        </w:rPr>
        <w:t xml:space="preserve">a </w:t>
      </w:r>
      <w:r w:rsidR="008E7FFD">
        <w:rPr>
          <w:rFonts w:eastAsia="Times New Roman"/>
        </w:rPr>
        <w:t>progressive</w:t>
      </w:r>
      <w:r w:rsidR="00644316">
        <w:rPr>
          <w:rFonts w:eastAsia="Times New Roman"/>
        </w:rPr>
        <w:t xml:space="preserve"> det</w:t>
      </w:r>
      <w:r w:rsidR="001B728C">
        <w:rPr>
          <w:rFonts w:eastAsia="Times New Roman"/>
        </w:rPr>
        <w:t xml:space="preserve">erioration in </w:t>
      </w:r>
      <w:r w:rsidR="008E7FFD">
        <w:rPr>
          <w:rFonts w:eastAsia="Times New Roman"/>
        </w:rPr>
        <w:t>Telstra’s</w:t>
      </w:r>
      <w:r w:rsidR="00957DC7">
        <w:rPr>
          <w:rFonts w:eastAsia="Times New Roman"/>
        </w:rPr>
        <w:t xml:space="preserve"> performance of these important obligations. </w:t>
      </w:r>
      <w:r w:rsidR="00F7270A">
        <w:rPr>
          <w:rFonts w:eastAsia="Times New Roman"/>
        </w:rPr>
        <w:t xml:space="preserve">Any reduction in performance against the Customer Service Guarantee and </w:t>
      </w:r>
      <w:r w:rsidR="00B679AB">
        <w:rPr>
          <w:rFonts w:eastAsia="Times New Roman"/>
        </w:rPr>
        <w:t xml:space="preserve">Network </w:t>
      </w:r>
      <w:r w:rsidR="00330C7F">
        <w:rPr>
          <w:rFonts w:eastAsia="Times New Roman"/>
        </w:rPr>
        <w:t>Reliability</w:t>
      </w:r>
      <w:r w:rsidR="00B679AB">
        <w:rPr>
          <w:rFonts w:eastAsia="Times New Roman"/>
        </w:rPr>
        <w:t xml:space="preserve"> Framework would disproportionately affect regional Australia, due to </w:t>
      </w:r>
      <w:r w:rsidR="007B015E">
        <w:rPr>
          <w:rFonts w:eastAsia="Times New Roman"/>
        </w:rPr>
        <w:t xml:space="preserve">the increased reliance on Telstra’s voice services relative to </w:t>
      </w:r>
      <w:r w:rsidR="0018361A">
        <w:rPr>
          <w:rFonts w:eastAsia="Times New Roman"/>
        </w:rPr>
        <w:t xml:space="preserve">urban </w:t>
      </w:r>
      <w:r w:rsidR="0018361A">
        <w:rPr>
          <w:rFonts w:eastAsia="Times New Roman"/>
        </w:rPr>
        <w:t xml:space="preserve">areas and </w:t>
      </w:r>
      <w:r w:rsidR="0018361A">
        <w:rPr>
          <w:rFonts w:eastAsia="Times New Roman"/>
        </w:rPr>
        <w:t xml:space="preserve">regional centres, where mobile coverage is available. </w:t>
      </w:r>
      <w:r w:rsidR="0087545D">
        <w:rPr>
          <w:rFonts w:eastAsia="Times New Roman"/>
        </w:rPr>
        <w:t xml:space="preserve">Similarly, reduced </w:t>
      </w:r>
      <w:r w:rsidR="009802D5">
        <w:rPr>
          <w:rFonts w:eastAsia="Times New Roman"/>
        </w:rPr>
        <w:t>sharing of mobile transmission towers with other network operators would dampen</w:t>
      </w:r>
      <w:r w:rsidR="00773E4C">
        <w:rPr>
          <w:rFonts w:eastAsia="Times New Roman"/>
        </w:rPr>
        <w:t xml:space="preserve"> mobile competition, and further entrench Telstra’s dominance in the market, particularly in regional and rural areas. </w:t>
      </w:r>
    </w:p>
    <w:p w14:paraId="34FB33A0" w14:textId="23F84DDB" w:rsidR="00F56B2D" w:rsidRDefault="00F56B2D" w:rsidP="00B14CE5">
      <w:pPr>
        <w:spacing w:after="0" w:line="240" w:lineRule="auto"/>
        <w:rPr>
          <w:rFonts w:eastAsia="Times New Roman"/>
        </w:rPr>
      </w:pPr>
    </w:p>
    <w:p w14:paraId="07CF7E0A" w14:textId="2AF6B98E" w:rsidR="00F56B2D" w:rsidRDefault="00F56B2D" w:rsidP="00B14CE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note that the Bill includes safeguards </w:t>
      </w:r>
      <w:r w:rsidR="00055015">
        <w:rPr>
          <w:rFonts w:eastAsia="Times New Roman"/>
        </w:rPr>
        <w:t xml:space="preserve">that would </w:t>
      </w:r>
      <w:r w:rsidR="00573701">
        <w:rPr>
          <w:rFonts w:eastAsia="Times New Roman"/>
        </w:rPr>
        <w:t xml:space="preserve">apply in the event of further Telstra restructures, such as </w:t>
      </w:r>
      <w:r w:rsidR="00D16728">
        <w:rPr>
          <w:rFonts w:eastAsia="Times New Roman"/>
        </w:rPr>
        <w:t xml:space="preserve">requirements to advise the Minister of any such plans, and </w:t>
      </w:r>
      <w:r w:rsidR="00E173C2">
        <w:rPr>
          <w:rFonts w:eastAsia="Times New Roman"/>
        </w:rPr>
        <w:t xml:space="preserve">directions powers </w:t>
      </w:r>
      <w:r w:rsidR="00EB5887">
        <w:rPr>
          <w:rFonts w:eastAsia="Times New Roman"/>
        </w:rPr>
        <w:lastRenderedPageBreak/>
        <w:t>for the Minister and the Australian</w:t>
      </w:r>
      <w:r w:rsidR="004741BB">
        <w:rPr>
          <w:rFonts w:eastAsia="Times New Roman"/>
        </w:rPr>
        <w:t xml:space="preserve"> Communications and Media Authority that would apply the obligations to other entities within the Telstra group</w:t>
      </w:r>
      <w:r w:rsidR="00542B6A">
        <w:rPr>
          <w:rFonts w:eastAsia="Times New Roman"/>
        </w:rPr>
        <w:t xml:space="preserve"> if required</w:t>
      </w:r>
      <w:r w:rsidR="004741BB">
        <w:rPr>
          <w:rFonts w:eastAsia="Times New Roman"/>
        </w:rPr>
        <w:t xml:space="preserve">. </w:t>
      </w:r>
      <w:r w:rsidR="00215A86">
        <w:rPr>
          <w:rFonts w:eastAsia="Times New Roman"/>
        </w:rPr>
        <w:t>These provisions are important as they build in flexibility</w:t>
      </w:r>
      <w:r w:rsidR="00FE646C">
        <w:rPr>
          <w:rFonts w:eastAsia="Times New Roman"/>
        </w:rPr>
        <w:t>,</w:t>
      </w:r>
      <w:r w:rsidR="00463F56">
        <w:rPr>
          <w:rFonts w:eastAsia="Times New Roman"/>
        </w:rPr>
        <w:t xml:space="preserve"> allowing the government to respond to </w:t>
      </w:r>
      <w:r w:rsidR="00AD66A6">
        <w:rPr>
          <w:rFonts w:eastAsia="Times New Roman"/>
        </w:rPr>
        <w:t>conditions that</w:t>
      </w:r>
      <w:r w:rsidR="00F1281D">
        <w:rPr>
          <w:rFonts w:eastAsia="Times New Roman"/>
        </w:rPr>
        <w:t xml:space="preserve"> potentially</w:t>
      </w:r>
      <w:r w:rsidR="00AD66A6">
        <w:rPr>
          <w:rFonts w:eastAsia="Times New Roman"/>
        </w:rPr>
        <w:t xml:space="preserve"> could reduce Telstra’s obligations. </w:t>
      </w:r>
      <w:r w:rsidR="00463F56">
        <w:rPr>
          <w:rFonts w:eastAsia="Times New Roman"/>
        </w:rPr>
        <w:t xml:space="preserve"> </w:t>
      </w:r>
    </w:p>
    <w:p w14:paraId="708DBA40" w14:textId="77777777" w:rsidR="00F73BA4" w:rsidRPr="00B14CE5" w:rsidRDefault="00F73BA4" w:rsidP="00B14CE5">
      <w:pPr>
        <w:spacing w:after="0" w:line="240" w:lineRule="auto"/>
        <w:rPr>
          <w:rFonts w:eastAsia="Times New Roman"/>
        </w:rPr>
      </w:pPr>
    </w:p>
    <w:p w14:paraId="1CEFD1DD" w14:textId="2EAD0C41" w:rsidR="00A95856" w:rsidRDefault="00F967A7" w:rsidP="00A95856">
      <w:pPr>
        <w:rPr>
          <w:rFonts w:eastAsiaTheme="minorHAnsi"/>
        </w:rPr>
      </w:pPr>
      <w:r>
        <w:rPr>
          <w:rFonts w:eastAsiaTheme="minorHAnsi"/>
        </w:rPr>
        <w:t xml:space="preserve">We </w:t>
      </w:r>
      <w:r w:rsidR="00922B12">
        <w:rPr>
          <w:rFonts w:eastAsiaTheme="minorHAnsi"/>
        </w:rPr>
        <w:t>urge the Committee to support the smooth passage of the Bill</w:t>
      </w:r>
      <w:r w:rsidR="00922B12">
        <w:rPr>
          <w:rFonts w:eastAsiaTheme="minorHAnsi"/>
        </w:rPr>
        <w:t xml:space="preserve">, and </w:t>
      </w:r>
      <w:r>
        <w:rPr>
          <w:rFonts w:eastAsiaTheme="minorHAnsi"/>
        </w:rPr>
        <w:t xml:space="preserve">would be happy to discuss the above points </w:t>
      </w:r>
      <w:r w:rsidR="00F56B2D">
        <w:rPr>
          <w:rFonts w:eastAsiaTheme="minorHAnsi"/>
        </w:rPr>
        <w:t>furth</w:t>
      </w:r>
      <w:r w:rsidR="00F75129">
        <w:rPr>
          <w:rFonts w:eastAsiaTheme="minorHAnsi"/>
        </w:rPr>
        <w:t xml:space="preserve">er </w:t>
      </w:r>
      <w:r w:rsidR="00F56B2D">
        <w:rPr>
          <w:rFonts w:eastAsiaTheme="minorHAnsi"/>
        </w:rPr>
        <w:t>at your convenience</w:t>
      </w:r>
      <w:r w:rsidR="00922B12">
        <w:rPr>
          <w:rFonts w:eastAsiaTheme="minorHAnsi"/>
        </w:rPr>
        <w:t>.</w:t>
      </w:r>
      <w:r w:rsidR="00F56B2D">
        <w:rPr>
          <w:rFonts w:eastAsiaTheme="minorHAnsi"/>
        </w:rPr>
        <w:t xml:space="preserve"> </w:t>
      </w:r>
    </w:p>
    <w:p w14:paraId="4DD9F682" w14:textId="77777777" w:rsidR="002F4FBA" w:rsidRDefault="002F4FBA" w:rsidP="002F4FB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p w14:paraId="3DD2B038" w14:textId="73DDA736" w:rsidR="002F4FBA" w:rsidRDefault="001678B9" w:rsidP="001678B9">
      <w:pPr>
        <w:rPr>
          <w:lang w:eastAsia="en-US"/>
        </w:rPr>
      </w:pPr>
      <w:r>
        <w:rPr>
          <w:lang w:eastAsia="en-US"/>
        </w:rPr>
        <w:t>Yours sincerely</w:t>
      </w:r>
    </w:p>
    <w:p w14:paraId="1964B27D" w14:textId="05ED7D34" w:rsidR="003A5E92" w:rsidRDefault="003A5E92" w:rsidP="001678B9">
      <w:pPr>
        <w:rPr>
          <w:lang w:eastAsia="en-US"/>
        </w:rPr>
      </w:pPr>
      <w:r w:rsidRPr="00D61881">
        <w:rPr>
          <w:noProof/>
        </w:rPr>
        <w:drawing>
          <wp:inline distT="0" distB="0" distL="0" distR="0" wp14:anchorId="02E8F9BA" wp14:editId="25E98C36">
            <wp:extent cx="1445207" cy="9766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1743" cy="98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14177" w14:textId="3F806AD9" w:rsidR="003A5E92" w:rsidRPr="00F1281D" w:rsidRDefault="003A5E92" w:rsidP="003A5E92">
      <w:pPr>
        <w:spacing w:after="0"/>
        <w:rPr>
          <w:b/>
          <w:bCs/>
          <w:lang w:eastAsia="en-US"/>
        </w:rPr>
      </w:pPr>
      <w:r w:rsidRPr="00F1281D">
        <w:rPr>
          <w:b/>
          <w:bCs/>
          <w:lang w:eastAsia="en-US"/>
        </w:rPr>
        <w:t>Andrew Williams</w:t>
      </w:r>
    </w:p>
    <w:p w14:paraId="3C8FE431" w14:textId="70614A31" w:rsidR="003A5E92" w:rsidRPr="00F1281D" w:rsidRDefault="003A5E92" w:rsidP="003A5E92">
      <w:pPr>
        <w:spacing w:after="0"/>
        <w:rPr>
          <w:b/>
          <w:bCs/>
          <w:lang w:eastAsia="en-US"/>
        </w:rPr>
      </w:pPr>
      <w:r w:rsidRPr="00F1281D">
        <w:rPr>
          <w:b/>
          <w:bCs/>
          <w:lang w:eastAsia="en-US"/>
        </w:rPr>
        <w:t>Acting Chief Executive Officer</w:t>
      </w:r>
    </w:p>
    <w:p w14:paraId="56BF29C3" w14:textId="0165C041" w:rsidR="002F4FBA" w:rsidRDefault="002F4FBA" w:rsidP="002F4FB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</w:p>
    <w:sectPr w:rsidR="002F4FBA" w:rsidSect="0082329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24161" w14:textId="77777777" w:rsidR="00655EB8" w:rsidRDefault="00655EB8" w:rsidP="0082329E">
      <w:pPr>
        <w:spacing w:after="0" w:line="240" w:lineRule="auto"/>
      </w:pPr>
      <w:r>
        <w:separator/>
      </w:r>
    </w:p>
  </w:endnote>
  <w:endnote w:type="continuationSeparator" w:id="0">
    <w:p w14:paraId="2688ADA6" w14:textId="77777777" w:rsidR="00655EB8" w:rsidRDefault="00655EB8" w:rsidP="0082329E">
      <w:pPr>
        <w:spacing w:after="0" w:line="240" w:lineRule="auto"/>
      </w:pPr>
      <w:r>
        <w:continuationSeparator/>
      </w:r>
    </w:p>
  </w:endnote>
  <w:endnote w:type="continuationNotice" w:id="1">
    <w:p w14:paraId="4C7A4EFA" w14:textId="77777777" w:rsidR="00C51756" w:rsidRDefault="00C51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13AE4" w14:textId="77777777" w:rsidR="0082329E" w:rsidRPr="0082329E" w:rsidRDefault="0082329E" w:rsidP="0082329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014D6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92BB" w14:textId="77777777" w:rsidR="00F014D6" w:rsidRPr="00026E5B" w:rsidRDefault="00F014D6" w:rsidP="00F014D6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20EBD266" w14:textId="77777777" w:rsidR="00F014D6" w:rsidRPr="00026E5B" w:rsidRDefault="00F014D6" w:rsidP="00F014D6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11F34AF4" w14:textId="77777777" w:rsidR="00F014D6" w:rsidRPr="00026E5B" w:rsidRDefault="00F014D6" w:rsidP="00F014D6">
    <w:pPr>
      <w:pStyle w:val="Footerpage1"/>
      <w:ind w:right="-1440"/>
      <w:rPr>
        <w:i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646AEE" wp14:editId="2566FAEA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81B99" id="Straight Connector 1" o:spid="_x0000_s102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 strokecolor="#23b0e6" strokeweight="3pt"/>
          </w:pict>
        </mc:Fallback>
      </mc:AlternateContent>
    </w:r>
  </w:p>
  <w:p w14:paraId="3D8F3973" w14:textId="77777777" w:rsidR="00F014D6" w:rsidRPr="00026E5B" w:rsidRDefault="00F014D6" w:rsidP="00F014D6">
    <w:pPr>
      <w:pStyle w:val="Footerpage1"/>
    </w:pPr>
    <w:r>
      <w:t xml:space="preserve">  </w:t>
    </w:r>
    <w:r w:rsidRPr="00026E5B">
      <w:t xml:space="preserve">PO Box </w:t>
    </w:r>
    <w:r w:rsidR="00334A3F">
      <w:t>A1158</w:t>
    </w:r>
    <w:r w:rsidRPr="00026E5B">
      <w:t xml:space="preserve">, </w:t>
    </w:r>
    <w:r w:rsidR="00334A3F">
      <w:t>Sydney South</w:t>
    </w:r>
    <w:r w:rsidRPr="00026E5B">
      <w:t xml:space="preserve"> NSW </w:t>
    </w:r>
    <w:r w:rsidR="00334A3F">
      <w:t>1235</w:t>
    </w:r>
  </w:p>
  <w:p w14:paraId="3A9BBD34" w14:textId="77777777" w:rsidR="00F014D6" w:rsidRPr="00026E5B" w:rsidRDefault="00F014D6" w:rsidP="00F014D6">
    <w:pPr>
      <w:pStyle w:val="Footerpage1"/>
      <w:rPr>
        <w:color w:val="00B0F0"/>
      </w:rPr>
    </w:pPr>
    <w:r>
      <w:t xml:space="preserve">  </w:t>
    </w:r>
    <w:r w:rsidRPr="00026E5B">
      <w:t xml:space="preserve">Tel: (02) 9288 4000 </w:t>
    </w:r>
  </w:p>
  <w:p w14:paraId="03B65839" w14:textId="77777777" w:rsidR="00F014D6" w:rsidRPr="004D706D" w:rsidRDefault="00F014D6" w:rsidP="00F014D6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  <w:p w14:paraId="05633E81" w14:textId="77777777" w:rsidR="00F014D6" w:rsidRDefault="00F0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971B" w14:textId="77777777" w:rsidR="00655EB8" w:rsidRDefault="00655EB8" w:rsidP="0082329E">
      <w:pPr>
        <w:spacing w:after="0" w:line="240" w:lineRule="auto"/>
      </w:pPr>
      <w:r>
        <w:separator/>
      </w:r>
    </w:p>
  </w:footnote>
  <w:footnote w:type="continuationSeparator" w:id="0">
    <w:p w14:paraId="699BC3EF" w14:textId="77777777" w:rsidR="00655EB8" w:rsidRDefault="00655EB8" w:rsidP="0082329E">
      <w:pPr>
        <w:spacing w:after="0" w:line="240" w:lineRule="auto"/>
      </w:pPr>
      <w:r>
        <w:continuationSeparator/>
      </w:r>
    </w:p>
  </w:footnote>
  <w:footnote w:type="continuationNotice" w:id="1">
    <w:p w14:paraId="209D3708" w14:textId="77777777" w:rsidR="00C51756" w:rsidRDefault="00C51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29E2" w14:textId="77777777" w:rsidR="0082329E" w:rsidRDefault="0082329E" w:rsidP="00DE28B4">
    <w:pPr>
      <w:pStyle w:val="Header"/>
      <w:tabs>
        <w:tab w:val="clear" w:pos="9026"/>
      </w:tabs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E45C907" wp14:editId="163DD61B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E701" w14:textId="77777777" w:rsidR="00004C7D" w:rsidRDefault="00004C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1" behindDoc="1" locked="0" layoutInCell="1" allowOverlap="1" wp14:anchorId="5D4B8500" wp14:editId="353A3DDF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B1"/>
    <w:multiLevelType w:val="hybridMultilevel"/>
    <w:tmpl w:val="98B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3C3"/>
    <w:multiLevelType w:val="hybridMultilevel"/>
    <w:tmpl w:val="9CF03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2ED9"/>
    <w:multiLevelType w:val="hybridMultilevel"/>
    <w:tmpl w:val="B56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2454F"/>
    <w:multiLevelType w:val="hybridMultilevel"/>
    <w:tmpl w:val="30545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DA6"/>
    <w:multiLevelType w:val="hybridMultilevel"/>
    <w:tmpl w:val="637A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A6C62"/>
    <w:multiLevelType w:val="hybridMultilevel"/>
    <w:tmpl w:val="648EF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4DE5"/>
    <w:multiLevelType w:val="hybridMultilevel"/>
    <w:tmpl w:val="2B500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B8"/>
    <w:rsid w:val="00002E4B"/>
    <w:rsid w:val="000041E7"/>
    <w:rsid w:val="00004C7D"/>
    <w:rsid w:val="00007A97"/>
    <w:rsid w:val="0003469E"/>
    <w:rsid w:val="00055015"/>
    <w:rsid w:val="00066BE9"/>
    <w:rsid w:val="0008292E"/>
    <w:rsid w:val="000931DA"/>
    <w:rsid w:val="000D5E57"/>
    <w:rsid w:val="001106BF"/>
    <w:rsid w:val="001622D7"/>
    <w:rsid w:val="001678B9"/>
    <w:rsid w:val="0018361A"/>
    <w:rsid w:val="00183DAD"/>
    <w:rsid w:val="001B728C"/>
    <w:rsid w:val="001F259D"/>
    <w:rsid w:val="00215A86"/>
    <w:rsid w:val="0025178F"/>
    <w:rsid w:val="002969B7"/>
    <w:rsid w:val="002C4F1D"/>
    <w:rsid w:val="002F4FBA"/>
    <w:rsid w:val="003103EF"/>
    <w:rsid w:val="00315533"/>
    <w:rsid w:val="00330C7F"/>
    <w:rsid w:val="00334A3F"/>
    <w:rsid w:val="0035450A"/>
    <w:rsid w:val="00364D68"/>
    <w:rsid w:val="0039759C"/>
    <w:rsid w:val="003A5E92"/>
    <w:rsid w:val="003D0593"/>
    <w:rsid w:val="00405F7A"/>
    <w:rsid w:val="00433D63"/>
    <w:rsid w:val="004371B0"/>
    <w:rsid w:val="004559E1"/>
    <w:rsid w:val="00463F56"/>
    <w:rsid w:val="004741BB"/>
    <w:rsid w:val="00484C01"/>
    <w:rsid w:val="00493567"/>
    <w:rsid w:val="004A3ABE"/>
    <w:rsid w:val="004E44B5"/>
    <w:rsid w:val="0051422E"/>
    <w:rsid w:val="0052386E"/>
    <w:rsid w:val="00542B6A"/>
    <w:rsid w:val="00573701"/>
    <w:rsid w:val="005755BA"/>
    <w:rsid w:val="005D51CD"/>
    <w:rsid w:val="005F487D"/>
    <w:rsid w:val="0062441F"/>
    <w:rsid w:val="00644316"/>
    <w:rsid w:val="006541E1"/>
    <w:rsid w:val="00655EB8"/>
    <w:rsid w:val="00674AE2"/>
    <w:rsid w:val="006C58F1"/>
    <w:rsid w:val="006D0C6F"/>
    <w:rsid w:val="00723E89"/>
    <w:rsid w:val="0073160E"/>
    <w:rsid w:val="0074032E"/>
    <w:rsid w:val="00765CF2"/>
    <w:rsid w:val="00773E4C"/>
    <w:rsid w:val="007B015E"/>
    <w:rsid w:val="007B7C9F"/>
    <w:rsid w:val="0081343C"/>
    <w:rsid w:val="0082329E"/>
    <w:rsid w:val="00825331"/>
    <w:rsid w:val="0082670F"/>
    <w:rsid w:val="00836B6A"/>
    <w:rsid w:val="00851EB8"/>
    <w:rsid w:val="00864B0C"/>
    <w:rsid w:val="0087545D"/>
    <w:rsid w:val="008770CE"/>
    <w:rsid w:val="008776C3"/>
    <w:rsid w:val="00883644"/>
    <w:rsid w:val="008C54AD"/>
    <w:rsid w:val="008C562F"/>
    <w:rsid w:val="008E5CB0"/>
    <w:rsid w:val="008E7FFD"/>
    <w:rsid w:val="008F46B1"/>
    <w:rsid w:val="00905B1D"/>
    <w:rsid w:val="009147FC"/>
    <w:rsid w:val="00922B12"/>
    <w:rsid w:val="00940A00"/>
    <w:rsid w:val="00957DC7"/>
    <w:rsid w:val="00970C95"/>
    <w:rsid w:val="009802D5"/>
    <w:rsid w:val="009A217F"/>
    <w:rsid w:val="009B4641"/>
    <w:rsid w:val="00A6018B"/>
    <w:rsid w:val="00A64AF2"/>
    <w:rsid w:val="00A95856"/>
    <w:rsid w:val="00AD66A6"/>
    <w:rsid w:val="00AD6A38"/>
    <w:rsid w:val="00AF157F"/>
    <w:rsid w:val="00AF4F55"/>
    <w:rsid w:val="00B03640"/>
    <w:rsid w:val="00B14CE5"/>
    <w:rsid w:val="00B679AB"/>
    <w:rsid w:val="00B752FC"/>
    <w:rsid w:val="00B95970"/>
    <w:rsid w:val="00BB363F"/>
    <w:rsid w:val="00BE7247"/>
    <w:rsid w:val="00C51756"/>
    <w:rsid w:val="00C66462"/>
    <w:rsid w:val="00C73186"/>
    <w:rsid w:val="00C858C6"/>
    <w:rsid w:val="00C9684F"/>
    <w:rsid w:val="00CB19F4"/>
    <w:rsid w:val="00CB202E"/>
    <w:rsid w:val="00CD4233"/>
    <w:rsid w:val="00D16728"/>
    <w:rsid w:val="00D345E0"/>
    <w:rsid w:val="00D40CEB"/>
    <w:rsid w:val="00D666FB"/>
    <w:rsid w:val="00D97C17"/>
    <w:rsid w:val="00DE0858"/>
    <w:rsid w:val="00DE28B4"/>
    <w:rsid w:val="00DF008C"/>
    <w:rsid w:val="00DF0D51"/>
    <w:rsid w:val="00DF4783"/>
    <w:rsid w:val="00E173C2"/>
    <w:rsid w:val="00E24A3D"/>
    <w:rsid w:val="00E816CA"/>
    <w:rsid w:val="00E914F8"/>
    <w:rsid w:val="00E917D4"/>
    <w:rsid w:val="00EB3FF6"/>
    <w:rsid w:val="00EB5887"/>
    <w:rsid w:val="00F014D6"/>
    <w:rsid w:val="00F1281D"/>
    <w:rsid w:val="00F35997"/>
    <w:rsid w:val="00F43AB1"/>
    <w:rsid w:val="00F56B2D"/>
    <w:rsid w:val="00F7270A"/>
    <w:rsid w:val="00F73BA4"/>
    <w:rsid w:val="00F75129"/>
    <w:rsid w:val="00F773BC"/>
    <w:rsid w:val="00F967A7"/>
    <w:rsid w:val="00FA287E"/>
    <w:rsid w:val="00FB1918"/>
    <w:rsid w:val="00FB4EAB"/>
    <w:rsid w:val="00FE533B"/>
    <w:rsid w:val="00FE646C"/>
    <w:rsid w:val="0BF933E1"/>
    <w:rsid w:val="15350819"/>
    <w:rsid w:val="22748E9E"/>
    <w:rsid w:val="27155B87"/>
    <w:rsid w:val="4636E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378F2"/>
  <w15:docId w15:val="{71B6DC09-C6BE-4450-9467-F2671365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9E"/>
  </w:style>
  <w:style w:type="paragraph" w:styleId="Footer">
    <w:name w:val="footer"/>
    <w:basedOn w:val="Normal"/>
    <w:link w:val="Foot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9E"/>
  </w:style>
  <w:style w:type="character" w:styleId="Hyperlink">
    <w:name w:val="Hyperlink"/>
    <w:basedOn w:val="DefaultParagraphFont"/>
    <w:uiPriority w:val="99"/>
    <w:unhideWhenUsed/>
    <w:rsid w:val="0082329E"/>
    <w:rPr>
      <w:color w:val="0000FF" w:themeColor="hyperlink"/>
      <w:u w:val="single"/>
    </w:rPr>
  </w:style>
  <w:style w:type="paragraph" w:customStyle="1" w:styleId="Footerpage1">
    <w:name w:val="Footer page 1"/>
    <w:rsid w:val="00FE533B"/>
    <w:pPr>
      <w:spacing w:line="240" w:lineRule="auto"/>
      <w:ind w:left="-754"/>
      <w:contextualSpacing/>
    </w:pPr>
    <w:rPr>
      <w:rFonts w:eastAsiaTheme="minorHAnsi"/>
      <w:sz w:val="20"/>
      <w:szCs w:val="20"/>
      <w:lang w:eastAsia="en-US"/>
    </w:rPr>
  </w:style>
  <w:style w:type="paragraph" w:customStyle="1" w:styleId="Normal0">
    <w:name w:val="Normal 0"/>
    <w:rsid w:val="00D40CEB"/>
    <w:pPr>
      <w:widowControl w:val="0"/>
      <w:autoSpaceDE w:val="0"/>
      <w:autoSpaceDN w:val="0"/>
      <w:adjustRightInd w:val="0"/>
      <w:spacing w:after="0" w:line="240" w:lineRule="auto"/>
      <w:ind w:left="1224" w:firstLine="504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2F4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F4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4FBA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2F4FB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F4FB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45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52F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F1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157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157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.sen@aph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a.Lawrence\Australian%20Communications%20Consumer%20Action%20Network\ACCAN%20-%20ACCAN%20Docs\Templates%20&amp;%20Originals\Templates%202021\Draft%20Letterhead%202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fa1a33-c191-48ee-b288-192490d33fec">
      <UserInfo>
        <DisplayName>Andrew Williams</DisplayName>
        <AccountId>17</AccountId>
        <AccountType/>
      </UserInfo>
      <UserInfo>
        <DisplayName>Meredith Lea</DisplayName>
        <AccountId>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85908D-7470-484D-87D4-7F15C368C7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211212-B407-41F6-ADC3-FAF17DBE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99CCC-232D-4AEA-8886-23FEDD532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4D4FD-12F6-4408-A0BC-C1A7BA68D7C6}">
  <ds:schemaRefs>
    <ds:schemaRef ds:uri="http://schemas.microsoft.com/office/2006/metadata/properties"/>
    <ds:schemaRef ds:uri="http://schemas.microsoft.com/office/infopath/2007/PartnerControls"/>
    <ds:schemaRef ds:uri="2afa1a33-c191-48ee-b288-192490d33f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Letterhead 2 Page</Template>
  <TotalTime>1213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Una Lawrence</cp:lastModifiedBy>
  <cp:revision>101</cp:revision>
  <dcterms:created xsi:type="dcterms:W3CDTF">2021-11-01T04:34:00Z</dcterms:created>
  <dcterms:modified xsi:type="dcterms:W3CDTF">2021-11-02T03:29:00Z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