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B5D9" w14:textId="45632EFE" w:rsidR="00C7127B" w:rsidRPr="00A15D7A" w:rsidRDefault="00EF2EBC" w:rsidP="00A15D7A">
      <w:pPr>
        <w:spacing w:before="240"/>
        <w:rPr>
          <w:sz w:val="23"/>
          <w:szCs w:val="23"/>
        </w:rPr>
      </w:pPr>
      <w:r w:rsidRPr="00E819E7">
        <w:rPr>
          <w:sz w:val="23"/>
          <w:szCs w:val="23"/>
        </w:rPr>
        <w:t>8</w:t>
      </w:r>
      <w:r w:rsidRPr="00E819E7">
        <w:rPr>
          <w:sz w:val="23"/>
          <w:szCs w:val="23"/>
          <w:vertAlign w:val="superscript"/>
        </w:rPr>
        <w:t>th</w:t>
      </w:r>
      <w:r w:rsidRPr="00E819E7">
        <w:rPr>
          <w:sz w:val="23"/>
          <w:szCs w:val="23"/>
        </w:rPr>
        <w:t xml:space="preserve"> November 2021</w:t>
      </w:r>
    </w:p>
    <w:p w14:paraId="278FE361" w14:textId="5034640A" w:rsidR="00C7127B" w:rsidRDefault="00EF2EBC" w:rsidP="00A15D7A">
      <w:pPr>
        <w:pStyle w:val="NoSpacing"/>
      </w:pPr>
      <w:r>
        <w:t>Universal Service Guarantee Taskforce</w:t>
      </w:r>
    </w:p>
    <w:p w14:paraId="7A17B887" w14:textId="7B0EFBDD" w:rsidR="00EF2EBC" w:rsidRDefault="00EF2EBC" w:rsidP="00A15D7A">
      <w:pPr>
        <w:pStyle w:val="NoSpacing"/>
      </w:pPr>
      <w:r>
        <w:t xml:space="preserve">Department of Infrastructure, Transport, Regional Development and Communications </w:t>
      </w:r>
    </w:p>
    <w:p w14:paraId="5612C2EC" w14:textId="1554C31A" w:rsidR="00C7127B" w:rsidRDefault="00EF2EBC" w:rsidP="00A15D7A">
      <w:pPr>
        <w:pStyle w:val="NoSpacing"/>
      </w:pPr>
      <w:r>
        <w:t>GPO Box 594</w:t>
      </w:r>
    </w:p>
    <w:p w14:paraId="28CCCAE7" w14:textId="67C5A4C9" w:rsidR="00C7127B" w:rsidRDefault="00EF2EBC" w:rsidP="00A15D7A">
      <w:pPr>
        <w:pStyle w:val="NoSpacing"/>
      </w:pPr>
      <w:r>
        <w:t>Canberra ACT 2601</w:t>
      </w:r>
    </w:p>
    <w:p w14:paraId="5390BA5C" w14:textId="24EA216F" w:rsidR="00C7127B" w:rsidRDefault="00C7127B" w:rsidP="00A15D7A">
      <w:pPr>
        <w:pStyle w:val="NoSpacing"/>
      </w:pPr>
      <w:r>
        <w:t>Via email:</w:t>
      </w:r>
      <w:r w:rsidR="00EF2EBC">
        <w:t xml:space="preserve"> </w:t>
      </w:r>
      <w:hyperlink r:id="rId11" w:history="1">
        <w:r w:rsidR="00EF2EBC" w:rsidRPr="00E141F1">
          <w:rPr>
            <w:rStyle w:val="Hyperlink"/>
            <w:sz w:val="23"/>
            <w:szCs w:val="23"/>
          </w:rPr>
          <w:t>USG@infrastructure.gov.au</w:t>
        </w:r>
      </w:hyperlink>
      <w:r w:rsidR="00EF2EBC">
        <w:t xml:space="preserve"> </w:t>
      </w:r>
    </w:p>
    <w:p w14:paraId="724A4F55" w14:textId="763BDBE6" w:rsidR="00C7127B" w:rsidRDefault="00C7127B" w:rsidP="00C7127B">
      <w:pPr>
        <w:spacing w:after="0"/>
        <w:rPr>
          <w:rFonts w:cstheme="minorHAnsi"/>
        </w:rPr>
      </w:pPr>
    </w:p>
    <w:p w14:paraId="159452DE" w14:textId="32877723" w:rsidR="00EF2EBC" w:rsidRPr="00F5439C" w:rsidRDefault="00EF2EBC" w:rsidP="00F5439C">
      <w:pPr>
        <w:rPr>
          <w:b/>
          <w:bCs/>
        </w:rPr>
      </w:pPr>
      <w:r>
        <w:rPr>
          <w:rStyle w:val="Strong"/>
        </w:rPr>
        <w:t>Re: Telecommunications (Carrier Licence Conditions – Telstra Corporation Limited) Amendment (Regional Service Information) Instrument 2021</w:t>
      </w:r>
    </w:p>
    <w:p w14:paraId="4F1FC794" w14:textId="35EB662D" w:rsidR="00C7127B" w:rsidRDefault="00C7127B" w:rsidP="00C0410E">
      <w:pPr>
        <w:jc w:val="both"/>
      </w:pPr>
      <w:r w:rsidRPr="00EF2EBC">
        <w:t xml:space="preserve">ACCAN thanks the </w:t>
      </w:r>
      <w:r w:rsidR="00EF2EBC">
        <w:t>Department</w:t>
      </w:r>
      <w:r w:rsidRPr="00EF2EBC">
        <w:t xml:space="preserve"> for the opportunity to contribute to </w:t>
      </w:r>
      <w:r w:rsidR="00EF2EBC">
        <w:t xml:space="preserve">its consultation on the proposed amendments to Telstra’s carrier licence conditions. </w:t>
      </w:r>
      <w:r w:rsidR="00980C6A">
        <w:t>ACCAN has been calling for improvements to Telstra’s Network Reliability Framework for some time</w:t>
      </w:r>
      <w:r w:rsidR="00BE7F69">
        <w:t>,</w:t>
      </w:r>
      <w:r w:rsidR="00BE7F69">
        <w:rPr>
          <w:rStyle w:val="FootnoteReference"/>
        </w:rPr>
        <w:footnoteReference w:id="2"/>
      </w:r>
      <w:r w:rsidR="00BE7F69">
        <w:t xml:space="preserve"> </w:t>
      </w:r>
      <w:r w:rsidR="00980C6A">
        <w:t xml:space="preserve">and is very supportive of the proposed reporting rules on Telstra in relation to voice services provided under the Universal Service Obligation regime. </w:t>
      </w:r>
    </w:p>
    <w:p w14:paraId="5C28E32A" w14:textId="71CA7F5A" w:rsidR="001D1082" w:rsidRDefault="00980C6A" w:rsidP="00C0410E">
      <w:pPr>
        <w:spacing w:after="0"/>
        <w:jc w:val="both"/>
      </w:pPr>
      <w:r>
        <w:t xml:space="preserve">Consumers </w:t>
      </w:r>
      <w:r w:rsidR="00F5439C">
        <w:t>residing</w:t>
      </w:r>
      <w:r>
        <w:t xml:space="preserve"> outside of NBN’s fixed line footprint are heavily reliant on voice services provided over Telstra’s network.</w:t>
      </w:r>
      <w:r w:rsidR="003B3362">
        <w:t xml:space="preserve"> </w:t>
      </w:r>
      <w:r w:rsidR="00BE7F69">
        <w:t>Residents in</w:t>
      </w:r>
      <w:r>
        <w:t xml:space="preserve"> regional, rural and remote (RRR) Australia </w:t>
      </w:r>
      <w:r w:rsidR="00BE7F69">
        <w:t>often live in mobile</w:t>
      </w:r>
      <w:r>
        <w:t xml:space="preserve"> black</w:t>
      </w:r>
      <w:r w:rsidR="0045697D">
        <w:t xml:space="preserve"> </w:t>
      </w:r>
      <w:r>
        <w:t>spots</w:t>
      </w:r>
      <w:r w:rsidR="00BE7F69">
        <w:t xml:space="preserve"> or entirely outside of mobile coverage areas</w:t>
      </w:r>
      <w:r w:rsidR="0045697D">
        <w:t>. These consumers</w:t>
      </w:r>
      <w:r w:rsidR="00BE7F69">
        <w:t xml:space="preserve"> may receive a</w:t>
      </w:r>
      <w:r w:rsidR="0045697D">
        <w:t>n</w:t>
      </w:r>
      <w:r w:rsidR="00BE7F69">
        <w:t xml:space="preserve"> NBN Sky Muster Satellite connection which can be weather </w:t>
      </w:r>
      <w:r w:rsidR="004742F0">
        <w:t>affected</w:t>
      </w:r>
      <w:r>
        <w:t>,</w:t>
      </w:r>
      <w:r w:rsidR="00BE7F69">
        <w:t xml:space="preserve"> </w:t>
      </w:r>
      <w:r>
        <w:t xml:space="preserve">meaning that the voice services supplied over Telstra’s </w:t>
      </w:r>
      <w:r w:rsidR="00315880">
        <w:t xml:space="preserve">network </w:t>
      </w:r>
      <w:r>
        <w:t xml:space="preserve">are often the only form of communication available. It is a matter of safety that this form of communication </w:t>
      </w:r>
      <w:r w:rsidR="00F5439C">
        <w:t>remains</w:t>
      </w:r>
      <w:r>
        <w:t xml:space="preserve"> </w:t>
      </w:r>
      <w:r w:rsidR="00BE7F69">
        <w:t>available at all times</w:t>
      </w:r>
      <w:r>
        <w:t xml:space="preserve">. Without sufficient reporting, it is difficult to assess Telstra’s performance when it comes to </w:t>
      </w:r>
      <w:r w:rsidR="007A5E8F">
        <w:t xml:space="preserve">the </w:t>
      </w:r>
      <w:r>
        <w:t>reliability</w:t>
      </w:r>
      <w:r w:rsidR="007A5E8F">
        <w:t xml:space="preserve"> of these services</w:t>
      </w:r>
      <w:r>
        <w:t xml:space="preserve">. Anecdotally we </w:t>
      </w:r>
      <w:r w:rsidR="001C4EF5">
        <w:t xml:space="preserve">have </w:t>
      </w:r>
      <w:r>
        <w:t>hear</w:t>
      </w:r>
      <w:r w:rsidR="001C4EF5">
        <w:t>d</w:t>
      </w:r>
      <w:r>
        <w:t xml:space="preserve"> from consumers in RRR areas </w:t>
      </w:r>
      <w:r w:rsidR="00F5439C">
        <w:t>who</w:t>
      </w:r>
      <w:r>
        <w:t xml:space="preserve"> experience significant delays to fault </w:t>
      </w:r>
      <w:r w:rsidR="00F5439C">
        <w:t>rectification</w:t>
      </w:r>
      <w:r>
        <w:t xml:space="preserve">, </w:t>
      </w:r>
      <w:r w:rsidR="001C4EF5">
        <w:t xml:space="preserve">and </w:t>
      </w:r>
      <w:r w:rsidR="00F5439C">
        <w:t>as a consequence</w:t>
      </w:r>
      <w:r>
        <w:t xml:space="preserve"> they are left without forms of communication for </w:t>
      </w:r>
      <w:r w:rsidR="00315880">
        <w:t xml:space="preserve">substantial </w:t>
      </w:r>
      <w:r>
        <w:t>amounts of time.</w:t>
      </w:r>
      <w:r w:rsidR="001D1082">
        <w:t xml:space="preserve"> </w:t>
      </w:r>
    </w:p>
    <w:p w14:paraId="700256EF" w14:textId="0C4CBC56" w:rsidR="00F5439C" w:rsidRDefault="00F5439C" w:rsidP="00C0410E">
      <w:pPr>
        <w:spacing w:after="0"/>
        <w:jc w:val="both"/>
      </w:pPr>
      <w:r>
        <w:t>__________________________________________________________________________________</w:t>
      </w:r>
    </w:p>
    <w:p w14:paraId="68802519" w14:textId="496E5FE1" w:rsidR="00F5439C" w:rsidRDefault="001D1082" w:rsidP="00C0410E">
      <w:pPr>
        <w:spacing w:after="0"/>
        <w:jc w:val="both"/>
        <w:rPr>
          <w:rFonts w:cstheme="minorHAnsi"/>
        </w:rPr>
      </w:pPr>
      <w:r w:rsidRPr="001D1082">
        <w:rPr>
          <w:b/>
          <w:bCs/>
        </w:rPr>
        <w:t>Case study:</w:t>
      </w:r>
      <w:r>
        <w:t xml:space="preserve"> ACCAN </w:t>
      </w:r>
      <w:r w:rsidR="00F5439C">
        <w:t>was</w:t>
      </w:r>
      <w:r>
        <w:t xml:space="preserve"> contacted a few months ago by a group of community organisations that provide a variety of services to the </w:t>
      </w:r>
      <w:r w:rsidR="00F5439C">
        <w:t>g</w:t>
      </w:r>
      <w:r>
        <w:t>reater</w:t>
      </w:r>
      <w:r>
        <w:rPr>
          <w:rFonts w:cstheme="minorHAnsi"/>
        </w:rPr>
        <w:t xml:space="preserve"> Tablelands region in Far North Queensland. Their clients range from </w:t>
      </w:r>
      <w:r>
        <w:rPr>
          <w:lang w:val="en-US"/>
        </w:rPr>
        <w:t xml:space="preserve">families at risk of entering child protection services, individuals with substance abuse issues, seniors, and people experiencing domestic and family violence or homelessness. </w:t>
      </w:r>
      <w:r>
        <w:rPr>
          <w:rFonts w:cstheme="minorHAnsi"/>
        </w:rPr>
        <w:t xml:space="preserve">The communities they work with </w:t>
      </w:r>
      <w:r w:rsidR="00C374FF">
        <w:rPr>
          <w:rFonts w:cstheme="minorHAnsi"/>
        </w:rPr>
        <w:t xml:space="preserve">often </w:t>
      </w:r>
      <w:r>
        <w:rPr>
          <w:rFonts w:cstheme="minorHAnsi"/>
        </w:rPr>
        <w:t>reside in mobile black</w:t>
      </w:r>
      <w:r w:rsidR="004504D0">
        <w:rPr>
          <w:rFonts w:cstheme="minorHAnsi"/>
        </w:rPr>
        <w:t xml:space="preserve"> </w:t>
      </w:r>
      <w:r>
        <w:rPr>
          <w:rFonts w:cstheme="minorHAnsi"/>
        </w:rPr>
        <w:t>spots and the copper phone lines have degraded. They report that the telephone lines are attached to barb</w:t>
      </w:r>
      <w:r w:rsidR="00922DC0">
        <w:rPr>
          <w:rFonts w:cstheme="minorHAnsi"/>
        </w:rPr>
        <w:t>ed</w:t>
      </w:r>
      <w:r w:rsidR="00406534">
        <w:rPr>
          <w:rFonts w:cstheme="minorHAnsi"/>
        </w:rPr>
        <w:t xml:space="preserve"> </w:t>
      </w:r>
      <w:r>
        <w:rPr>
          <w:rFonts w:cstheme="minorHAnsi"/>
        </w:rPr>
        <w:t xml:space="preserve">wire </w:t>
      </w:r>
      <w:r w:rsidR="00F5439C">
        <w:rPr>
          <w:rFonts w:cstheme="minorHAnsi"/>
        </w:rPr>
        <w:t>fences and</w:t>
      </w:r>
      <w:r>
        <w:rPr>
          <w:rFonts w:cstheme="minorHAnsi"/>
        </w:rPr>
        <w:t xml:space="preserve"> are not being weatherproofed which is particularly problematic given the high volume of rainfall the region receives. The community organisations are extremely concerned because their clients are uncontactable which can prevent them from </w:t>
      </w:r>
      <w:r w:rsidR="00F5439C">
        <w:rPr>
          <w:rFonts w:cstheme="minorHAnsi"/>
        </w:rPr>
        <w:t>accessing</w:t>
      </w:r>
      <w:r>
        <w:rPr>
          <w:rFonts w:cstheme="minorHAnsi"/>
        </w:rPr>
        <w:t xml:space="preserve"> the services they need.</w:t>
      </w:r>
    </w:p>
    <w:p w14:paraId="01DCEC9F" w14:textId="51F58811" w:rsidR="00F5439C" w:rsidRPr="001D1082" w:rsidRDefault="00F5439C" w:rsidP="00C0410E">
      <w:pPr>
        <w:jc w:val="both"/>
      </w:pPr>
      <w:r>
        <w:rPr>
          <w:rFonts w:cstheme="minorHAnsi"/>
        </w:rPr>
        <w:t>__________________________________________________________________________________</w:t>
      </w:r>
    </w:p>
    <w:p w14:paraId="1D2B568F" w14:textId="323BBC33" w:rsidR="00874297" w:rsidRDefault="001D1082" w:rsidP="00C0410E">
      <w:pPr>
        <w:pStyle w:val="BodyText1"/>
        <w:jc w:val="both"/>
        <w:rPr>
          <w:rFonts w:asciiTheme="minorHAnsi" w:hAnsiTheme="minorHAnsi" w:cstheme="minorHAnsi"/>
          <w:color w:val="auto"/>
        </w:rPr>
      </w:pPr>
      <w:r>
        <w:rPr>
          <w:rFonts w:asciiTheme="minorHAnsi" w:hAnsiTheme="minorHAnsi" w:cstheme="minorHAnsi"/>
          <w:color w:val="auto"/>
        </w:rPr>
        <w:t>Telstra has a Universal Service Obligation to ensure standard telephone services are reasonabl</w:t>
      </w:r>
      <w:r w:rsidR="00F5439C">
        <w:rPr>
          <w:rFonts w:asciiTheme="minorHAnsi" w:hAnsiTheme="minorHAnsi" w:cstheme="minorHAnsi"/>
          <w:color w:val="auto"/>
        </w:rPr>
        <w:t>y</w:t>
      </w:r>
      <w:r>
        <w:rPr>
          <w:rFonts w:asciiTheme="minorHAnsi" w:hAnsiTheme="minorHAnsi" w:cstheme="minorHAnsi"/>
          <w:color w:val="auto"/>
        </w:rPr>
        <w:t xml:space="preserve"> accessible to all people in Australia, wherever they work or live. </w:t>
      </w:r>
      <w:r w:rsidR="00F5439C">
        <w:rPr>
          <w:rFonts w:asciiTheme="minorHAnsi" w:hAnsiTheme="minorHAnsi" w:cstheme="minorHAnsi"/>
          <w:color w:val="auto"/>
        </w:rPr>
        <w:t xml:space="preserve">Currently Telstra’s reporting </w:t>
      </w:r>
      <w:r w:rsidR="00F5439C">
        <w:rPr>
          <w:rFonts w:asciiTheme="minorHAnsi" w:hAnsiTheme="minorHAnsi" w:cstheme="minorHAnsi"/>
          <w:color w:val="auto"/>
        </w:rPr>
        <w:lastRenderedPageBreak/>
        <w:t xml:space="preserve">requirements are opaque and do not allow for sufficient examination to understand whether Telstra is meeting its obligations </w:t>
      </w:r>
      <w:r w:rsidR="00C374FF">
        <w:rPr>
          <w:rFonts w:asciiTheme="minorHAnsi" w:hAnsiTheme="minorHAnsi" w:cstheme="minorHAnsi"/>
          <w:color w:val="auto"/>
        </w:rPr>
        <w:t>to ensure</w:t>
      </w:r>
      <w:r w:rsidR="00F5439C">
        <w:rPr>
          <w:rFonts w:asciiTheme="minorHAnsi" w:hAnsiTheme="minorHAnsi" w:cstheme="minorHAnsi"/>
          <w:color w:val="auto"/>
        </w:rPr>
        <w:t xml:space="preserve"> connections and faults are undertaken and repaired within a reasonable time. </w:t>
      </w:r>
      <w:r w:rsidR="00232C12">
        <w:rPr>
          <w:rFonts w:asciiTheme="minorHAnsi" w:hAnsiTheme="minorHAnsi" w:cstheme="minorHAnsi"/>
          <w:color w:val="auto"/>
        </w:rPr>
        <w:t xml:space="preserve">For example, the </w:t>
      </w:r>
      <w:r w:rsidR="007E3A4A">
        <w:rPr>
          <w:rFonts w:asciiTheme="minorHAnsi" w:hAnsiTheme="minorHAnsi" w:cstheme="minorHAnsi"/>
          <w:color w:val="auto"/>
        </w:rPr>
        <w:t>Network Reliability Framework provides information</w:t>
      </w:r>
      <w:r w:rsidR="00232C12">
        <w:rPr>
          <w:rFonts w:asciiTheme="minorHAnsi" w:hAnsiTheme="minorHAnsi" w:cstheme="minorHAnsi"/>
          <w:color w:val="auto"/>
        </w:rPr>
        <w:t xml:space="preserve"> at an aggregate level, yet we cannot see how faults are distributed </w:t>
      </w:r>
      <w:r w:rsidR="00387E0B">
        <w:rPr>
          <w:rFonts w:asciiTheme="minorHAnsi" w:hAnsiTheme="minorHAnsi" w:cstheme="minorHAnsi"/>
          <w:color w:val="auto"/>
        </w:rPr>
        <w:t xml:space="preserve">within regions or the distribution of repair times. </w:t>
      </w:r>
      <w:r w:rsidR="00F5439C">
        <w:rPr>
          <w:rFonts w:asciiTheme="minorHAnsi" w:hAnsiTheme="minorHAnsi" w:cstheme="minorHAnsi"/>
          <w:color w:val="auto"/>
        </w:rPr>
        <w:t>The proposed instrument will p</w:t>
      </w:r>
      <w:r w:rsidR="00874297">
        <w:rPr>
          <w:rFonts w:asciiTheme="minorHAnsi" w:hAnsiTheme="minorHAnsi" w:cstheme="minorHAnsi"/>
          <w:color w:val="auto"/>
        </w:rPr>
        <w:t xml:space="preserve">rovide </w:t>
      </w:r>
      <w:r w:rsidR="00C374FF">
        <w:rPr>
          <w:rFonts w:asciiTheme="minorHAnsi" w:hAnsiTheme="minorHAnsi" w:cstheme="minorHAnsi"/>
          <w:color w:val="auto"/>
        </w:rPr>
        <w:t>a much needed</w:t>
      </w:r>
      <w:r w:rsidR="00874297">
        <w:rPr>
          <w:rFonts w:asciiTheme="minorHAnsi" w:hAnsiTheme="minorHAnsi" w:cstheme="minorHAnsi"/>
          <w:color w:val="auto"/>
        </w:rPr>
        <w:t xml:space="preserve"> evidence base of Telstra’s performance in delivering the </w:t>
      </w:r>
      <w:r w:rsidR="00A25A52">
        <w:rPr>
          <w:rFonts w:asciiTheme="minorHAnsi" w:hAnsiTheme="minorHAnsi" w:cstheme="minorHAnsi"/>
          <w:color w:val="auto"/>
        </w:rPr>
        <w:t>U</w:t>
      </w:r>
      <w:r w:rsidR="00874297">
        <w:rPr>
          <w:rFonts w:asciiTheme="minorHAnsi" w:hAnsiTheme="minorHAnsi" w:cstheme="minorHAnsi"/>
          <w:color w:val="auto"/>
        </w:rPr>
        <w:t xml:space="preserve">niversal </w:t>
      </w:r>
      <w:r w:rsidR="00A25A52">
        <w:rPr>
          <w:rFonts w:asciiTheme="minorHAnsi" w:hAnsiTheme="minorHAnsi" w:cstheme="minorHAnsi"/>
          <w:color w:val="auto"/>
        </w:rPr>
        <w:t>S</w:t>
      </w:r>
      <w:r w:rsidR="00874297">
        <w:rPr>
          <w:rFonts w:asciiTheme="minorHAnsi" w:hAnsiTheme="minorHAnsi" w:cstheme="minorHAnsi"/>
          <w:color w:val="auto"/>
        </w:rPr>
        <w:t xml:space="preserve">ervice </w:t>
      </w:r>
      <w:r w:rsidR="00A25A52">
        <w:rPr>
          <w:rFonts w:asciiTheme="minorHAnsi" w:hAnsiTheme="minorHAnsi" w:cstheme="minorHAnsi"/>
          <w:color w:val="auto"/>
        </w:rPr>
        <w:t>O</w:t>
      </w:r>
      <w:r w:rsidR="00874297">
        <w:rPr>
          <w:rFonts w:asciiTheme="minorHAnsi" w:hAnsiTheme="minorHAnsi" w:cstheme="minorHAnsi"/>
          <w:color w:val="auto"/>
        </w:rPr>
        <w:t>bligation</w:t>
      </w:r>
      <w:r w:rsidR="00F5439C">
        <w:rPr>
          <w:rFonts w:asciiTheme="minorHAnsi" w:hAnsiTheme="minorHAnsi" w:cstheme="minorHAnsi"/>
          <w:color w:val="auto"/>
        </w:rPr>
        <w:t>.</w:t>
      </w:r>
      <w:r w:rsidR="00E819E7">
        <w:rPr>
          <w:rFonts w:asciiTheme="minorHAnsi" w:hAnsiTheme="minorHAnsi" w:cstheme="minorHAnsi"/>
          <w:color w:val="auto"/>
        </w:rPr>
        <w:t xml:space="preserve"> Furthermore, deregulatory changes </w:t>
      </w:r>
      <w:r w:rsidR="00167DC3">
        <w:rPr>
          <w:rFonts w:asciiTheme="minorHAnsi" w:hAnsiTheme="minorHAnsi" w:cstheme="minorHAnsi"/>
          <w:color w:val="auto"/>
        </w:rPr>
        <w:t xml:space="preserve">in recent years </w:t>
      </w:r>
      <w:r w:rsidR="00E819E7">
        <w:rPr>
          <w:rFonts w:asciiTheme="minorHAnsi" w:hAnsiTheme="minorHAnsi" w:cstheme="minorHAnsi"/>
          <w:color w:val="auto"/>
        </w:rPr>
        <w:t xml:space="preserve">have resulted in </w:t>
      </w:r>
      <w:r w:rsidR="00167DC3">
        <w:rPr>
          <w:rFonts w:asciiTheme="minorHAnsi" w:hAnsiTheme="minorHAnsi" w:cstheme="minorHAnsi"/>
          <w:color w:val="auto"/>
        </w:rPr>
        <w:t xml:space="preserve">changes </w:t>
      </w:r>
      <w:r w:rsidR="00E819E7">
        <w:rPr>
          <w:rFonts w:asciiTheme="minorHAnsi" w:hAnsiTheme="minorHAnsi" w:cstheme="minorHAnsi"/>
          <w:color w:val="auto"/>
        </w:rPr>
        <w:t>to the ACMA’s annual reporting</w:t>
      </w:r>
      <w:r w:rsidR="00167DC3">
        <w:rPr>
          <w:rFonts w:asciiTheme="minorHAnsi" w:hAnsiTheme="minorHAnsi" w:cstheme="minorHAnsi"/>
          <w:color w:val="auto"/>
        </w:rPr>
        <w:t xml:space="preserve"> on Customer Service Guarantee </w:t>
      </w:r>
      <w:r w:rsidR="00497CF8">
        <w:rPr>
          <w:rFonts w:asciiTheme="minorHAnsi" w:hAnsiTheme="minorHAnsi" w:cstheme="minorHAnsi"/>
          <w:color w:val="auto"/>
        </w:rPr>
        <w:t xml:space="preserve">(CSG) </w:t>
      </w:r>
      <w:r w:rsidR="00167DC3">
        <w:rPr>
          <w:rFonts w:asciiTheme="minorHAnsi" w:hAnsiTheme="minorHAnsi" w:cstheme="minorHAnsi"/>
          <w:color w:val="auto"/>
        </w:rPr>
        <w:t xml:space="preserve">services contributing to a reduction in transparency of CSG services. </w:t>
      </w:r>
    </w:p>
    <w:p w14:paraId="44A4B89B" w14:textId="09F5042A" w:rsidR="006950A8" w:rsidRDefault="006950A8" w:rsidP="00C0410E">
      <w:pPr>
        <w:pStyle w:val="BodyText1"/>
        <w:jc w:val="both"/>
        <w:rPr>
          <w:rFonts w:asciiTheme="minorHAnsi" w:hAnsiTheme="minorHAnsi" w:cstheme="minorHAnsi"/>
          <w:color w:val="auto"/>
        </w:rPr>
      </w:pPr>
      <w:r>
        <w:rPr>
          <w:rFonts w:asciiTheme="minorHAnsi" w:hAnsiTheme="minorHAnsi" w:cstheme="minorHAnsi"/>
          <w:color w:val="auto"/>
        </w:rPr>
        <w:t xml:space="preserve">ACCAN supports the proposal for a system which will allow the general public to identify which exchange service area (ESA) their service is connected to. Providing consumers </w:t>
      </w:r>
      <w:r w:rsidR="00450559">
        <w:rPr>
          <w:rFonts w:asciiTheme="minorHAnsi" w:hAnsiTheme="minorHAnsi" w:cstheme="minorHAnsi"/>
          <w:color w:val="auto"/>
        </w:rPr>
        <w:t xml:space="preserve">with </w:t>
      </w:r>
      <w:r>
        <w:rPr>
          <w:rFonts w:asciiTheme="minorHAnsi" w:hAnsiTheme="minorHAnsi" w:cstheme="minorHAnsi"/>
          <w:color w:val="auto"/>
        </w:rPr>
        <w:t xml:space="preserve">the ability to understand </w:t>
      </w:r>
      <w:r w:rsidR="00B114B4">
        <w:rPr>
          <w:rFonts w:asciiTheme="minorHAnsi" w:hAnsiTheme="minorHAnsi" w:cstheme="minorHAnsi"/>
          <w:color w:val="auto"/>
        </w:rPr>
        <w:t>how the network is</w:t>
      </w:r>
      <w:r>
        <w:rPr>
          <w:rFonts w:asciiTheme="minorHAnsi" w:hAnsiTheme="minorHAnsi" w:cstheme="minorHAnsi"/>
          <w:color w:val="auto"/>
        </w:rPr>
        <w:t xml:space="preserve"> perf</w:t>
      </w:r>
      <w:r w:rsidR="00B114B4">
        <w:rPr>
          <w:rFonts w:asciiTheme="minorHAnsi" w:hAnsiTheme="minorHAnsi" w:cstheme="minorHAnsi"/>
          <w:color w:val="auto"/>
        </w:rPr>
        <w:t xml:space="preserve">orming </w:t>
      </w:r>
      <w:r>
        <w:rPr>
          <w:rFonts w:asciiTheme="minorHAnsi" w:hAnsiTheme="minorHAnsi" w:cstheme="minorHAnsi"/>
          <w:color w:val="auto"/>
        </w:rPr>
        <w:t>in their area</w:t>
      </w:r>
      <w:r w:rsidR="003B3362">
        <w:rPr>
          <w:rFonts w:asciiTheme="minorHAnsi" w:hAnsiTheme="minorHAnsi" w:cstheme="minorHAnsi"/>
          <w:color w:val="auto"/>
        </w:rPr>
        <w:t xml:space="preserve"> will be valued by consumers</w:t>
      </w:r>
      <w:r>
        <w:rPr>
          <w:rFonts w:asciiTheme="minorHAnsi" w:hAnsiTheme="minorHAnsi" w:cstheme="minorHAnsi"/>
          <w:color w:val="auto"/>
        </w:rPr>
        <w:t xml:space="preserve">. It is important that this system is simple, free and easy to use. However we are concerned regarding the feature which will allow an individual to find the relevant ESA based on a telephone number. Depending on the size of the ESA, this could provide quite a specific location such as a township with a small population. This raises privacy and safety concerns, for example if it provides opportunity for perpetrators of domestic and family violence to find the area where a survivor resides based off their telephone number. </w:t>
      </w:r>
      <w:r w:rsidR="003B3362">
        <w:rPr>
          <w:rFonts w:asciiTheme="minorHAnsi" w:hAnsiTheme="minorHAnsi" w:cstheme="minorHAnsi"/>
          <w:color w:val="auto"/>
        </w:rPr>
        <w:t>Whilst ACCAN would like to see the system implemented, t</w:t>
      </w:r>
      <w:r>
        <w:rPr>
          <w:rFonts w:asciiTheme="minorHAnsi" w:hAnsiTheme="minorHAnsi" w:cstheme="minorHAnsi"/>
          <w:color w:val="auto"/>
        </w:rPr>
        <w:t xml:space="preserve">here should be </w:t>
      </w:r>
      <w:r w:rsidR="00CA790D">
        <w:rPr>
          <w:rFonts w:asciiTheme="minorHAnsi" w:hAnsiTheme="minorHAnsi" w:cstheme="minorHAnsi"/>
          <w:color w:val="auto"/>
        </w:rPr>
        <w:t xml:space="preserve">further </w:t>
      </w:r>
      <w:r>
        <w:rPr>
          <w:rFonts w:asciiTheme="minorHAnsi" w:hAnsiTheme="minorHAnsi" w:cstheme="minorHAnsi"/>
          <w:color w:val="auto"/>
        </w:rPr>
        <w:t xml:space="preserve">consideration </w:t>
      </w:r>
      <w:r w:rsidR="00CA790D">
        <w:rPr>
          <w:rFonts w:asciiTheme="minorHAnsi" w:hAnsiTheme="minorHAnsi" w:cstheme="minorHAnsi"/>
          <w:color w:val="auto"/>
        </w:rPr>
        <w:t xml:space="preserve">of </w:t>
      </w:r>
      <w:r>
        <w:rPr>
          <w:rFonts w:asciiTheme="minorHAnsi" w:hAnsiTheme="minorHAnsi" w:cstheme="minorHAnsi"/>
          <w:color w:val="auto"/>
        </w:rPr>
        <w:t xml:space="preserve">the benefits of </w:t>
      </w:r>
      <w:r w:rsidR="003B3362">
        <w:rPr>
          <w:rFonts w:asciiTheme="minorHAnsi" w:hAnsiTheme="minorHAnsi" w:cstheme="minorHAnsi"/>
          <w:color w:val="auto"/>
        </w:rPr>
        <w:t>using a phone number to find the relevant ESA</w:t>
      </w:r>
      <w:r>
        <w:rPr>
          <w:rFonts w:asciiTheme="minorHAnsi" w:hAnsiTheme="minorHAnsi" w:cstheme="minorHAnsi"/>
          <w:color w:val="auto"/>
        </w:rPr>
        <w:t>, and whether simply provid</w:t>
      </w:r>
      <w:r w:rsidR="003B3362">
        <w:rPr>
          <w:rFonts w:asciiTheme="minorHAnsi" w:hAnsiTheme="minorHAnsi" w:cstheme="minorHAnsi"/>
          <w:color w:val="auto"/>
        </w:rPr>
        <w:t>ing</w:t>
      </w:r>
      <w:r>
        <w:rPr>
          <w:rFonts w:asciiTheme="minorHAnsi" w:hAnsiTheme="minorHAnsi" w:cstheme="minorHAnsi"/>
          <w:color w:val="auto"/>
        </w:rPr>
        <w:t xml:space="preserve"> </w:t>
      </w:r>
      <w:r w:rsidR="003B3362">
        <w:rPr>
          <w:rFonts w:asciiTheme="minorHAnsi" w:hAnsiTheme="minorHAnsi" w:cstheme="minorHAnsi"/>
          <w:color w:val="auto"/>
        </w:rPr>
        <w:t>a relevant</w:t>
      </w:r>
      <w:r>
        <w:rPr>
          <w:rFonts w:asciiTheme="minorHAnsi" w:hAnsiTheme="minorHAnsi" w:cstheme="minorHAnsi"/>
          <w:color w:val="auto"/>
        </w:rPr>
        <w:t xml:space="preserve"> address is adequate. </w:t>
      </w:r>
    </w:p>
    <w:p w14:paraId="02351C3F" w14:textId="34824295" w:rsidR="006A70DC" w:rsidRDefault="007F7213" w:rsidP="00C0410E">
      <w:pPr>
        <w:pStyle w:val="BodyText1"/>
        <w:jc w:val="both"/>
        <w:rPr>
          <w:rFonts w:asciiTheme="minorHAnsi" w:hAnsiTheme="minorHAnsi" w:cstheme="minorHAnsi"/>
          <w:color w:val="auto"/>
        </w:rPr>
      </w:pPr>
      <w:r>
        <w:rPr>
          <w:rFonts w:asciiTheme="minorHAnsi" w:hAnsiTheme="minorHAnsi" w:cstheme="minorHAnsi"/>
          <w:color w:val="auto"/>
        </w:rPr>
        <w:t>In addition, t</w:t>
      </w:r>
      <w:r w:rsidR="000B696D">
        <w:rPr>
          <w:rFonts w:asciiTheme="minorHAnsi" w:hAnsiTheme="minorHAnsi" w:cstheme="minorHAnsi"/>
          <w:color w:val="auto"/>
        </w:rPr>
        <w:t xml:space="preserve">he proposed amendment </w:t>
      </w:r>
      <w:r w:rsidR="006A70DC">
        <w:rPr>
          <w:rFonts w:asciiTheme="minorHAnsi" w:hAnsiTheme="minorHAnsi" w:cstheme="minorHAnsi"/>
          <w:color w:val="auto"/>
        </w:rPr>
        <w:t>sh</w:t>
      </w:r>
      <w:r w:rsidR="000B696D">
        <w:rPr>
          <w:rFonts w:asciiTheme="minorHAnsi" w:hAnsiTheme="minorHAnsi" w:cstheme="minorHAnsi"/>
          <w:color w:val="auto"/>
        </w:rPr>
        <w:t>ould be strengthened further by</w:t>
      </w:r>
      <w:r w:rsidR="006A70DC">
        <w:rPr>
          <w:rFonts w:asciiTheme="minorHAnsi" w:hAnsiTheme="minorHAnsi" w:cstheme="minorHAnsi"/>
          <w:color w:val="auto"/>
        </w:rPr>
        <w:t>:</w:t>
      </w:r>
    </w:p>
    <w:p w14:paraId="49368B29" w14:textId="04412606" w:rsidR="006A70DC" w:rsidRDefault="006A70DC" w:rsidP="006A70DC">
      <w:pPr>
        <w:pStyle w:val="BodyText1"/>
        <w:numPr>
          <w:ilvl w:val="0"/>
          <w:numId w:val="5"/>
        </w:numPr>
        <w:jc w:val="both"/>
        <w:rPr>
          <w:rFonts w:asciiTheme="minorHAnsi" w:hAnsiTheme="minorHAnsi" w:cstheme="minorHAnsi"/>
          <w:color w:val="auto"/>
        </w:rPr>
      </w:pPr>
      <w:r>
        <w:rPr>
          <w:rFonts w:asciiTheme="minorHAnsi" w:hAnsiTheme="minorHAnsi" w:cstheme="minorHAnsi"/>
          <w:color w:val="auto"/>
        </w:rPr>
        <w:t>requiring Telstra to make public the number and amount of CSG compensation payments made to customers each quarter. This data is no longer reported by the ACMA in their Annual Communications Report, however ACCAN considers that there is benefit from ensuring this information remains public in order to maintain transparency of the CSG standard.</w:t>
      </w:r>
    </w:p>
    <w:p w14:paraId="073BEC38" w14:textId="20787BEA" w:rsidR="006A70DC" w:rsidRDefault="000B696D" w:rsidP="006A70DC">
      <w:pPr>
        <w:pStyle w:val="BodyText1"/>
        <w:numPr>
          <w:ilvl w:val="0"/>
          <w:numId w:val="5"/>
        </w:numPr>
        <w:jc w:val="both"/>
        <w:rPr>
          <w:rFonts w:asciiTheme="minorHAnsi" w:hAnsiTheme="minorHAnsi" w:cstheme="minorHAnsi"/>
          <w:color w:val="auto"/>
        </w:rPr>
      </w:pPr>
      <w:r>
        <w:rPr>
          <w:rFonts w:asciiTheme="minorHAnsi" w:hAnsiTheme="minorHAnsi" w:cstheme="minorHAnsi"/>
          <w:color w:val="auto"/>
        </w:rPr>
        <w:t>adding the requirement that Telstra make public the number of complaints by complaint category under section 13C</w:t>
      </w:r>
      <w:r w:rsidR="0096179A">
        <w:rPr>
          <w:rFonts w:asciiTheme="minorHAnsi" w:hAnsiTheme="minorHAnsi" w:cstheme="minorHAnsi"/>
          <w:color w:val="auto"/>
        </w:rPr>
        <w:t xml:space="preserve"> of the exposure draft</w:t>
      </w:r>
      <w:r>
        <w:rPr>
          <w:rFonts w:asciiTheme="minorHAnsi" w:hAnsiTheme="minorHAnsi" w:cstheme="minorHAnsi"/>
          <w:color w:val="auto"/>
        </w:rPr>
        <w:t xml:space="preserve">. </w:t>
      </w:r>
      <w:r w:rsidR="00623773">
        <w:rPr>
          <w:rFonts w:asciiTheme="minorHAnsi" w:hAnsiTheme="minorHAnsi" w:cstheme="minorHAnsi"/>
          <w:color w:val="auto"/>
        </w:rPr>
        <w:t xml:space="preserve">We note </w:t>
      </w:r>
      <w:r>
        <w:rPr>
          <w:rFonts w:asciiTheme="minorHAnsi" w:hAnsiTheme="minorHAnsi" w:cstheme="minorHAnsi"/>
          <w:color w:val="auto"/>
        </w:rPr>
        <w:t xml:space="preserve">that this information will already be collected and reported to the </w:t>
      </w:r>
      <w:proofErr w:type="gramStart"/>
      <w:r w:rsidR="0096179A">
        <w:rPr>
          <w:rFonts w:asciiTheme="minorHAnsi" w:hAnsiTheme="minorHAnsi" w:cstheme="minorHAnsi"/>
          <w:color w:val="auto"/>
        </w:rPr>
        <w:t>ACMA</w:t>
      </w:r>
      <w:proofErr w:type="gramEnd"/>
      <w:r>
        <w:rPr>
          <w:rFonts w:asciiTheme="minorHAnsi" w:hAnsiTheme="minorHAnsi" w:cstheme="minorHAnsi"/>
          <w:color w:val="auto"/>
        </w:rPr>
        <w:t xml:space="preserve"> and the Department as required in section 13D. </w:t>
      </w:r>
      <w:r w:rsidR="0096179A">
        <w:rPr>
          <w:rFonts w:asciiTheme="minorHAnsi" w:hAnsiTheme="minorHAnsi" w:cstheme="minorHAnsi"/>
          <w:color w:val="auto"/>
        </w:rPr>
        <w:t xml:space="preserve">Making this information public will </w:t>
      </w:r>
      <w:r w:rsidR="0092713C">
        <w:rPr>
          <w:rFonts w:asciiTheme="minorHAnsi" w:hAnsiTheme="minorHAnsi" w:cstheme="minorHAnsi"/>
          <w:color w:val="auto"/>
        </w:rPr>
        <w:t xml:space="preserve">drive public accountability and </w:t>
      </w:r>
      <w:r w:rsidR="0096179A">
        <w:rPr>
          <w:rFonts w:asciiTheme="minorHAnsi" w:hAnsiTheme="minorHAnsi" w:cstheme="minorHAnsi"/>
          <w:color w:val="auto"/>
        </w:rPr>
        <w:t xml:space="preserve">assist ACCAN in identifying </w:t>
      </w:r>
      <w:r w:rsidR="005E0746">
        <w:rPr>
          <w:rFonts w:asciiTheme="minorHAnsi" w:hAnsiTheme="minorHAnsi" w:cstheme="minorHAnsi"/>
          <w:color w:val="auto"/>
        </w:rPr>
        <w:t>types</w:t>
      </w:r>
      <w:r w:rsidR="0096179A">
        <w:rPr>
          <w:rFonts w:asciiTheme="minorHAnsi" w:hAnsiTheme="minorHAnsi" w:cstheme="minorHAnsi"/>
          <w:color w:val="auto"/>
        </w:rPr>
        <w:t xml:space="preserve"> of issues consumers are facing, ultimately aiding us to advocate for improved services.</w:t>
      </w:r>
    </w:p>
    <w:p w14:paraId="1C30A669" w14:textId="13DF9B7C" w:rsidR="00874297" w:rsidRPr="0029485F" w:rsidRDefault="00497CF8" w:rsidP="00C0410E">
      <w:pPr>
        <w:pStyle w:val="BodyText1"/>
        <w:numPr>
          <w:ilvl w:val="0"/>
          <w:numId w:val="5"/>
        </w:numPr>
        <w:jc w:val="both"/>
        <w:rPr>
          <w:rFonts w:asciiTheme="minorHAnsi" w:hAnsiTheme="minorHAnsi" w:cstheme="minorHAnsi"/>
          <w:color w:val="auto"/>
        </w:rPr>
      </w:pPr>
      <w:r>
        <w:rPr>
          <w:rFonts w:asciiTheme="minorHAnsi" w:hAnsiTheme="minorHAnsi" w:cstheme="minorHAnsi"/>
          <w:color w:val="auto"/>
        </w:rPr>
        <w:t>i</w:t>
      </w:r>
      <w:r w:rsidR="006A70DC">
        <w:rPr>
          <w:rFonts w:asciiTheme="minorHAnsi" w:hAnsiTheme="minorHAnsi" w:cstheme="minorHAnsi"/>
          <w:color w:val="auto"/>
        </w:rPr>
        <w:t>ncluding</w:t>
      </w:r>
      <w:r w:rsidR="000B696D">
        <w:rPr>
          <w:rFonts w:asciiTheme="minorHAnsi" w:hAnsiTheme="minorHAnsi" w:cstheme="minorHAnsi"/>
          <w:color w:val="auto"/>
        </w:rPr>
        <w:t xml:space="preserve"> in section 13D</w:t>
      </w:r>
      <w:r w:rsidR="0096179A">
        <w:rPr>
          <w:rFonts w:asciiTheme="minorHAnsi" w:hAnsiTheme="minorHAnsi" w:cstheme="minorHAnsi"/>
          <w:color w:val="auto"/>
        </w:rPr>
        <w:t xml:space="preserve"> of the exposure draft</w:t>
      </w:r>
      <w:r w:rsidR="000B696D">
        <w:rPr>
          <w:rFonts w:asciiTheme="minorHAnsi" w:hAnsiTheme="minorHAnsi" w:cstheme="minorHAnsi"/>
          <w:color w:val="auto"/>
        </w:rPr>
        <w:t>, table 10 the requirement to provide information on the number of complaints which are escalated to the TIO. This would provide greater insight into how well Telstra is responding to the complaints made on reportable services.</w:t>
      </w:r>
    </w:p>
    <w:p w14:paraId="2C931B01" w14:textId="5A3C6BE2" w:rsidR="00036D29" w:rsidRPr="008248ED" w:rsidRDefault="0096179A" w:rsidP="00C0410E">
      <w:pPr>
        <w:pStyle w:val="BodyText1"/>
        <w:jc w:val="both"/>
        <w:rPr>
          <w:rFonts w:asciiTheme="minorHAnsi" w:hAnsiTheme="minorHAnsi" w:cstheme="minorHAnsi"/>
          <w:b/>
          <w:bCs/>
          <w:color w:val="auto"/>
        </w:rPr>
      </w:pPr>
      <w:r>
        <w:rPr>
          <w:rFonts w:asciiTheme="minorHAnsi" w:hAnsiTheme="minorHAnsi" w:cstheme="minorHAnsi"/>
          <w:color w:val="auto"/>
        </w:rPr>
        <w:t>Overall ACCAN welcomes the proposed amendment. If you have any further questions regarding our submission, please do not hesitate to contact me.</w:t>
      </w:r>
    </w:p>
    <w:p w14:paraId="76E9E2E2" w14:textId="0B95446F" w:rsidR="00036D29" w:rsidRDefault="00036D29" w:rsidP="00C0410E">
      <w:pPr>
        <w:pStyle w:val="BodyText1"/>
        <w:jc w:val="both"/>
        <w:rPr>
          <w:rFonts w:asciiTheme="minorHAnsi" w:hAnsiTheme="minorHAnsi" w:cstheme="minorHAnsi"/>
          <w:color w:val="auto"/>
        </w:rPr>
      </w:pPr>
      <w:r>
        <w:rPr>
          <w:rFonts w:asciiTheme="minorHAnsi" w:hAnsiTheme="minorHAnsi" w:cstheme="minorHAnsi"/>
          <w:color w:val="auto"/>
        </w:rPr>
        <w:t>Sincerely</w:t>
      </w:r>
      <w:r w:rsidR="0029485F">
        <w:rPr>
          <w:rFonts w:asciiTheme="minorHAnsi" w:hAnsiTheme="minorHAnsi" w:cstheme="minorHAnsi"/>
          <w:color w:val="auto"/>
        </w:rPr>
        <w:t>,</w:t>
      </w:r>
    </w:p>
    <w:p w14:paraId="05B1FA7B" w14:textId="77777777" w:rsidR="00036D29" w:rsidRDefault="00036D29" w:rsidP="0029485F">
      <w:pPr>
        <w:pStyle w:val="BodyText1"/>
        <w:spacing w:after="0"/>
        <w:jc w:val="both"/>
        <w:rPr>
          <w:rFonts w:asciiTheme="minorHAnsi" w:hAnsiTheme="minorHAnsi" w:cstheme="minorHAnsi"/>
          <w:color w:val="auto"/>
        </w:rPr>
      </w:pPr>
      <w:r>
        <w:rPr>
          <w:rFonts w:asciiTheme="minorHAnsi" w:hAnsiTheme="minorHAnsi" w:cstheme="minorHAnsi"/>
          <w:color w:val="auto"/>
        </w:rPr>
        <w:t>Megan Ward</w:t>
      </w:r>
    </w:p>
    <w:p w14:paraId="604BA1AF" w14:textId="7A22DBBF" w:rsidR="00545597" w:rsidRPr="0029485F" w:rsidRDefault="00036D29" w:rsidP="0029485F">
      <w:pPr>
        <w:pStyle w:val="BodyText1"/>
        <w:spacing w:after="0"/>
        <w:jc w:val="both"/>
        <w:rPr>
          <w:rFonts w:asciiTheme="minorHAnsi" w:hAnsiTheme="minorHAnsi" w:cstheme="minorHAnsi"/>
          <w:color w:val="auto"/>
        </w:rPr>
      </w:pPr>
      <w:r>
        <w:rPr>
          <w:rFonts w:asciiTheme="minorHAnsi" w:hAnsiTheme="minorHAnsi" w:cstheme="minorHAnsi"/>
          <w:color w:val="auto"/>
        </w:rPr>
        <w:lastRenderedPageBreak/>
        <w:t>Economic Adviser</w:t>
      </w:r>
    </w:p>
    <w:sectPr w:rsidR="00545597" w:rsidRPr="0029485F" w:rsidSect="00C7127B">
      <w:headerReference w:type="even" r:id="rId12"/>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3032" w14:textId="77777777" w:rsidR="009A1E19" w:rsidRDefault="009A1E19" w:rsidP="00C7127B">
      <w:pPr>
        <w:spacing w:after="0" w:line="240" w:lineRule="auto"/>
      </w:pPr>
      <w:r>
        <w:separator/>
      </w:r>
    </w:p>
  </w:endnote>
  <w:endnote w:type="continuationSeparator" w:id="0">
    <w:p w14:paraId="6D896704" w14:textId="77777777" w:rsidR="009A1E19" w:rsidRDefault="009A1E19" w:rsidP="00C7127B">
      <w:pPr>
        <w:spacing w:after="0" w:line="240" w:lineRule="auto"/>
      </w:pPr>
      <w:r>
        <w:continuationSeparator/>
      </w:r>
    </w:p>
  </w:endnote>
  <w:endnote w:type="continuationNotice" w:id="1">
    <w:p w14:paraId="3D8300BF" w14:textId="77777777" w:rsidR="009A1E19" w:rsidRDefault="009A1E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E3790"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6A068805"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C4C4"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253A8270"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50AABBC8"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58242" behindDoc="0" locked="0" layoutInCell="1" allowOverlap="1" wp14:anchorId="16D63D4A" wp14:editId="33F9F250">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06024E77"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40F2D13B" w14:textId="77777777" w:rsidR="007949B6" w:rsidRDefault="007949B6" w:rsidP="007949B6">
    <w:pPr>
      <w:spacing w:after="0"/>
      <w:ind w:hanging="567"/>
    </w:pPr>
    <w:r>
      <w:t xml:space="preserve">PO Box </w:t>
    </w:r>
    <w:r w:rsidR="00BD15EE">
      <w:t>A1158</w:t>
    </w:r>
    <w:r>
      <w:t xml:space="preserve">, </w:t>
    </w:r>
    <w:r w:rsidR="00BD15EE">
      <w:t>Sydney South</w:t>
    </w:r>
    <w:r>
      <w:t xml:space="preserve"> NSW </w:t>
    </w:r>
    <w:r w:rsidR="00BD15EE">
      <w:t>1235</w:t>
    </w:r>
  </w:p>
  <w:p w14:paraId="3E519BA7" w14:textId="77777777" w:rsidR="007949B6" w:rsidRDefault="007949B6" w:rsidP="007949B6">
    <w:pPr>
      <w:spacing w:after="0"/>
      <w:ind w:hanging="567"/>
    </w:pPr>
    <w:r>
      <w:t xml:space="preserve">Tel: (02) 9288 4000 </w:t>
    </w:r>
  </w:p>
  <w:p w14:paraId="5BCD19A0"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2092" w14:textId="77777777" w:rsidR="009A1E19" w:rsidRDefault="009A1E19" w:rsidP="00C7127B">
      <w:pPr>
        <w:spacing w:after="0" w:line="240" w:lineRule="auto"/>
      </w:pPr>
      <w:r>
        <w:separator/>
      </w:r>
    </w:p>
  </w:footnote>
  <w:footnote w:type="continuationSeparator" w:id="0">
    <w:p w14:paraId="29BCB195" w14:textId="77777777" w:rsidR="009A1E19" w:rsidRDefault="009A1E19" w:rsidP="00C7127B">
      <w:pPr>
        <w:spacing w:after="0" w:line="240" w:lineRule="auto"/>
      </w:pPr>
      <w:r>
        <w:continuationSeparator/>
      </w:r>
    </w:p>
  </w:footnote>
  <w:footnote w:type="continuationNotice" w:id="1">
    <w:p w14:paraId="51789967" w14:textId="77777777" w:rsidR="009A1E19" w:rsidRDefault="009A1E19">
      <w:pPr>
        <w:spacing w:after="0" w:line="240" w:lineRule="auto"/>
      </w:pPr>
    </w:p>
  </w:footnote>
  <w:footnote w:id="2">
    <w:p w14:paraId="23E32727" w14:textId="77777777" w:rsidR="00BE7F69" w:rsidRPr="00980C6A" w:rsidRDefault="00BE7F69" w:rsidP="00BE7F69">
      <w:pPr>
        <w:pStyle w:val="FootnoteText"/>
        <w:rPr>
          <w:lang w:val="en-US"/>
        </w:rPr>
      </w:pPr>
      <w:r>
        <w:rPr>
          <w:rStyle w:val="FootnoteReference"/>
        </w:rPr>
        <w:footnoteRef/>
      </w:r>
      <w:hyperlink r:id="rId1" w:history="1">
        <w:r w:rsidRPr="00B01D27">
          <w:rPr>
            <w:rStyle w:val="Hyperlink"/>
            <w:rFonts w:cstheme="minorHAnsi"/>
          </w:rPr>
          <w:t>https://accan.org.au/files/Submissions/ACCAN%20submission%20on%20Telstra%20CLC_21%20February%202019.pdf</w:t>
        </w:r>
      </w:hyperlink>
      <w:r>
        <w:rPr>
          <w:rStyle w:val="Hyperlink"/>
          <w:rFonts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1869" w14:textId="262C474F" w:rsidR="001D4509" w:rsidRDefault="001D45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3E11" w14:textId="0BB861C4" w:rsidR="00C7127B" w:rsidRDefault="00C7127B" w:rsidP="00983739">
    <w:pPr>
      <w:pStyle w:val="Header"/>
    </w:pPr>
    <w:r>
      <w:rPr>
        <w:noProof/>
      </w:rPr>
      <w:drawing>
        <wp:anchor distT="0" distB="0" distL="114300" distR="114300" simplePos="0" relativeHeight="251658240" behindDoc="1" locked="0" layoutInCell="1" allowOverlap="1" wp14:anchorId="6B673DEE" wp14:editId="72BFBE15">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3253" w14:textId="1D8C3079" w:rsidR="00C7127B" w:rsidRDefault="00C7127B" w:rsidP="007949B6">
    <w:pPr>
      <w:pStyle w:val="Header"/>
      <w:jc w:val="right"/>
    </w:pPr>
    <w:r>
      <w:rPr>
        <w:noProof/>
      </w:rPr>
      <w:drawing>
        <wp:anchor distT="0" distB="0" distL="114300" distR="114300" simplePos="0" relativeHeight="251658241" behindDoc="1" locked="0" layoutInCell="1" allowOverlap="1" wp14:anchorId="40EC17C0" wp14:editId="3C57FEC9">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7568"/>
    <w:multiLevelType w:val="hybridMultilevel"/>
    <w:tmpl w:val="B72C889C"/>
    <w:lvl w:ilvl="0" w:tplc="E4344BC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B1172D"/>
    <w:multiLevelType w:val="hybridMultilevel"/>
    <w:tmpl w:val="9D265B74"/>
    <w:lvl w:ilvl="0" w:tplc="3354771A">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B94AA4"/>
    <w:multiLevelType w:val="hybridMultilevel"/>
    <w:tmpl w:val="60CCF4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73D92F0F"/>
    <w:multiLevelType w:val="hybridMultilevel"/>
    <w:tmpl w:val="1E6A1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0C59D7"/>
    <w:multiLevelType w:val="hybridMultilevel"/>
    <w:tmpl w:val="9780B6F6"/>
    <w:lvl w:ilvl="0" w:tplc="3354771A">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FFB"/>
    <w:rsid w:val="00035A55"/>
    <w:rsid w:val="00036D29"/>
    <w:rsid w:val="000931B7"/>
    <w:rsid w:val="000B696D"/>
    <w:rsid w:val="00137FFB"/>
    <w:rsid w:val="00155FA9"/>
    <w:rsid w:val="00167DC3"/>
    <w:rsid w:val="001A6F4F"/>
    <w:rsid w:val="001C4EF5"/>
    <w:rsid w:val="001D1082"/>
    <w:rsid w:val="001D4509"/>
    <w:rsid w:val="001E0CC9"/>
    <w:rsid w:val="00232C12"/>
    <w:rsid w:val="00246E55"/>
    <w:rsid w:val="002705A5"/>
    <w:rsid w:val="0029485F"/>
    <w:rsid w:val="002B28E3"/>
    <w:rsid w:val="002D5C21"/>
    <w:rsid w:val="00315880"/>
    <w:rsid w:val="0032089D"/>
    <w:rsid w:val="00346164"/>
    <w:rsid w:val="00386718"/>
    <w:rsid w:val="00387E0B"/>
    <w:rsid w:val="003B3362"/>
    <w:rsid w:val="003C61B2"/>
    <w:rsid w:val="003D2F3F"/>
    <w:rsid w:val="00406534"/>
    <w:rsid w:val="004415DD"/>
    <w:rsid w:val="004504D0"/>
    <w:rsid w:val="00450559"/>
    <w:rsid w:val="0045697D"/>
    <w:rsid w:val="004742F0"/>
    <w:rsid w:val="00497CF8"/>
    <w:rsid w:val="004B29AC"/>
    <w:rsid w:val="004B74B0"/>
    <w:rsid w:val="004C29C4"/>
    <w:rsid w:val="004E3EE1"/>
    <w:rsid w:val="00545597"/>
    <w:rsid w:val="005465A6"/>
    <w:rsid w:val="005714EB"/>
    <w:rsid w:val="005715EC"/>
    <w:rsid w:val="005B68DC"/>
    <w:rsid w:val="005C7868"/>
    <w:rsid w:val="005E0746"/>
    <w:rsid w:val="005E525D"/>
    <w:rsid w:val="00612D02"/>
    <w:rsid w:val="00623773"/>
    <w:rsid w:val="006371D5"/>
    <w:rsid w:val="006667CA"/>
    <w:rsid w:val="0068258D"/>
    <w:rsid w:val="006950A8"/>
    <w:rsid w:val="006A70DC"/>
    <w:rsid w:val="006C08E4"/>
    <w:rsid w:val="006F6298"/>
    <w:rsid w:val="007358C7"/>
    <w:rsid w:val="007949B6"/>
    <w:rsid w:val="00795E42"/>
    <w:rsid w:val="007A5E8F"/>
    <w:rsid w:val="007E3A4A"/>
    <w:rsid w:val="007F2F8E"/>
    <w:rsid w:val="007F7213"/>
    <w:rsid w:val="008248ED"/>
    <w:rsid w:val="00874297"/>
    <w:rsid w:val="00883212"/>
    <w:rsid w:val="008A1141"/>
    <w:rsid w:val="008D0541"/>
    <w:rsid w:val="008D5BC9"/>
    <w:rsid w:val="00907A1B"/>
    <w:rsid w:val="00922DC0"/>
    <w:rsid w:val="0092713C"/>
    <w:rsid w:val="00933530"/>
    <w:rsid w:val="009442BE"/>
    <w:rsid w:val="00955554"/>
    <w:rsid w:val="0096179A"/>
    <w:rsid w:val="00980C6A"/>
    <w:rsid w:val="00981179"/>
    <w:rsid w:val="00983739"/>
    <w:rsid w:val="009A1E19"/>
    <w:rsid w:val="009C5344"/>
    <w:rsid w:val="00A15D7A"/>
    <w:rsid w:val="00A2086C"/>
    <w:rsid w:val="00A25A52"/>
    <w:rsid w:val="00A265E3"/>
    <w:rsid w:val="00B00060"/>
    <w:rsid w:val="00B114B4"/>
    <w:rsid w:val="00B3107F"/>
    <w:rsid w:val="00B42E53"/>
    <w:rsid w:val="00B637A2"/>
    <w:rsid w:val="00B673DD"/>
    <w:rsid w:val="00B80065"/>
    <w:rsid w:val="00B92196"/>
    <w:rsid w:val="00B9255E"/>
    <w:rsid w:val="00B928E6"/>
    <w:rsid w:val="00BD15EE"/>
    <w:rsid w:val="00BD23C7"/>
    <w:rsid w:val="00BE7F69"/>
    <w:rsid w:val="00BF5A08"/>
    <w:rsid w:val="00C0410E"/>
    <w:rsid w:val="00C3340E"/>
    <w:rsid w:val="00C374FF"/>
    <w:rsid w:val="00C7127B"/>
    <w:rsid w:val="00C85FDB"/>
    <w:rsid w:val="00CA790D"/>
    <w:rsid w:val="00CF3374"/>
    <w:rsid w:val="00CF3D5B"/>
    <w:rsid w:val="00D07C83"/>
    <w:rsid w:val="00D159CC"/>
    <w:rsid w:val="00D2076D"/>
    <w:rsid w:val="00D7577F"/>
    <w:rsid w:val="00DB7D33"/>
    <w:rsid w:val="00E43372"/>
    <w:rsid w:val="00E819E7"/>
    <w:rsid w:val="00EF2EBC"/>
    <w:rsid w:val="00F43434"/>
    <w:rsid w:val="00F43E48"/>
    <w:rsid w:val="00F5439C"/>
    <w:rsid w:val="00F67E46"/>
    <w:rsid w:val="00F873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9C1A5"/>
  <w15:docId w15:val="{87DF39B7-9978-4981-9E08-E3EC8DFB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248E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UnresolvedMention">
    <w:name w:val="Unresolved Mention"/>
    <w:basedOn w:val="DefaultParagraphFont"/>
    <w:uiPriority w:val="99"/>
    <w:semiHidden/>
    <w:unhideWhenUsed/>
    <w:rsid w:val="00EF2EBC"/>
    <w:rPr>
      <w:color w:val="605E5C"/>
      <w:shd w:val="clear" w:color="auto" w:fill="E1DFDD"/>
    </w:rPr>
  </w:style>
  <w:style w:type="character" w:styleId="Strong">
    <w:name w:val="Strong"/>
    <w:basedOn w:val="DefaultParagraphFont"/>
    <w:uiPriority w:val="22"/>
    <w:qFormat/>
    <w:rsid w:val="00EF2EBC"/>
    <w:rPr>
      <w:b/>
      <w:bCs/>
    </w:rPr>
  </w:style>
  <w:style w:type="paragraph" w:styleId="ListParagraph">
    <w:name w:val="List Paragraph"/>
    <w:basedOn w:val="Normal"/>
    <w:uiPriority w:val="34"/>
    <w:qFormat/>
    <w:rsid w:val="002705A5"/>
    <w:pPr>
      <w:spacing w:after="160" w:line="259" w:lineRule="auto"/>
      <w:ind w:left="720"/>
      <w:contextualSpacing/>
    </w:pPr>
    <w:rPr>
      <w:rFonts w:eastAsiaTheme="minorHAnsi"/>
      <w:lang w:eastAsia="en-US"/>
    </w:rPr>
  </w:style>
  <w:style w:type="table" w:styleId="TableGrid">
    <w:name w:val="Table Grid"/>
    <w:basedOn w:val="TableNormal"/>
    <w:uiPriority w:val="39"/>
    <w:rsid w:val="002705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48ED"/>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980C6A"/>
    <w:rPr>
      <w:color w:val="800080" w:themeColor="followedHyperlink"/>
      <w:u w:val="single"/>
    </w:rPr>
  </w:style>
  <w:style w:type="paragraph" w:styleId="FootnoteText">
    <w:name w:val="footnote text"/>
    <w:basedOn w:val="Normal"/>
    <w:link w:val="FootnoteTextChar"/>
    <w:uiPriority w:val="99"/>
    <w:semiHidden/>
    <w:unhideWhenUsed/>
    <w:rsid w:val="00980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C6A"/>
    <w:rPr>
      <w:sz w:val="20"/>
      <w:szCs w:val="20"/>
    </w:rPr>
  </w:style>
  <w:style w:type="character" w:styleId="FootnoteReference">
    <w:name w:val="footnote reference"/>
    <w:basedOn w:val="DefaultParagraphFont"/>
    <w:uiPriority w:val="99"/>
    <w:semiHidden/>
    <w:unhideWhenUsed/>
    <w:rsid w:val="00980C6A"/>
    <w:rPr>
      <w:vertAlign w:val="superscript"/>
    </w:rPr>
  </w:style>
  <w:style w:type="character" w:styleId="CommentReference">
    <w:name w:val="annotation reference"/>
    <w:basedOn w:val="DefaultParagraphFont"/>
    <w:uiPriority w:val="99"/>
    <w:semiHidden/>
    <w:unhideWhenUsed/>
    <w:rsid w:val="000B696D"/>
    <w:rPr>
      <w:sz w:val="16"/>
      <w:szCs w:val="16"/>
    </w:rPr>
  </w:style>
  <w:style w:type="paragraph" w:styleId="CommentText">
    <w:name w:val="annotation text"/>
    <w:basedOn w:val="Normal"/>
    <w:link w:val="CommentTextChar"/>
    <w:uiPriority w:val="99"/>
    <w:semiHidden/>
    <w:unhideWhenUsed/>
    <w:rsid w:val="000B696D"/>
    <w:pPr>
      <w:spacing w:line="240" w:lineRule="auto"/>
    </w:pPr>
    <w:rPr>
      <w:sz w:val="20"/>
      <w:szCs w:val="20"/>
    </w:rPr>
  </w:style>
  <w:style w:type="character" w:customStyle="1" w:styleId="CommentTextChar">
    <w:name w:val="Comment Text Char"/>
    <w:basedOn w:val="DefaultParagraphFont"/>
    <w:link w:val="CommentText"/>
    <w:uiPriority w:val="99"/>
    <w:semiHidden/>
    <w:rsid w:val="000B696D"/>
    <w:rPr>
      <w:sz w:val="20"/>
      <w:szCs w:val="20"/>
    </w:rPr>
  </w:style>
  <w:style w:type="paragraph" w:styleId="CommentSubject">
    <w:name w:val="annotation subject"/>
    <w:basedOn w:val="CommentText"/>
    <w:next w:val="CommentText"/>
    <w:link w:val="CommentSubjectChar"/>
    <w:uiPriority w:val="99"/>
    <w:semiHidden/>
    <w:unhideWhenUsed/>
    <w:rsid w:val="000B696D"/>
    <w:rPr>
      <w:b/>
      <w:bCs/>
    </w:rPr>
  </w:style>
  <w:style w:type="character" w:customStyle="1" w:styleId="CommentSubjectChar">
    <w:name w:val="Comment Subject Char"/>
    <w:basedOn w:val="CommentTextChar"/>
    <w:link w:val="CommentSubject"/>
    <w:uiPriority w:val="99"/>
    <w:semiHidden/>
    <w:rsid w:val="000B696D"/>
    <w:rPr>
      <w:b/>
      <w:bCs/>
      <w:sz w:val="20"/>
      <w:szCs w:val="20"/>
    </w:rPr>
  </w:style>
  <w:style w:type="paragraph" w:styleId="Revision">
    <w:name w:val="Revision"/>
    <w:hidden/>
    <w:uiPriority w:val="99"/>
    <w:semiHidden/>
    <w:rsid w:val="000931B7"/>
    <w:pPr>
      <w:spacing w:after="0" w:line="240" w:lineRule="auto"/>
    </w:pPr>
  </w:style>
  <w:style w:type="paragraph" w:styleId="NoSpacing">
    <w:name w:val="No Spacing"/>
    <w:uiPriority w:val="1"/>
    <w:qFormat/>
    <w:rsid w:val="00A15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SG@infrastructure.gov.au"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accan.org.au/files/Submissions/ACCAN%20submission%20on%20Telstra%20CLC_21%20February%20201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ward\Desktop\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customXml/itemProps2.xml><?xml version="1.0" encoding="utf-8"?>
<ds:datastoreItem xmlns:ds="http://schemas.openxmlformats.org/officeDocument/2006/customXml" ds:itemID="{2C2D84F5-95E9-42F2-AF45-698A72B4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A17D71-806E-4097-9937-8C64B2D31D3E}">
  <ds:schemaRefs>
    <ds:schemaRef ds:uri="http://schemas.microsoft.com/sharepoint/v3/contenttype/forms"/>
  </ds:schemaRefs>
</ds:datastoreItem>
</file>

<file path=customXml/itemProps4.xml><?xml version="1.0" encoding="utf-8"?>
<ds:datastoreItem xmlns:ds="http://schemas.openxmlformats.org/officeDocument/2006/customXml" ds:itemID="{E82307A1-F5D4-4283-9365-D84505CA02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240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5995</CharactersWithSpaces>
  <SharedDoc>false</SharedDoc>
  <HLinks>
    <vt:vector size="12" baseType="variant">
      <vt:variant>
        <vt:i4>196711</vt:i4>
      </vt:variant>
      <vt:variant>
        <vt:i4>0</vt:i4>
      </vt:variant>
      <vt:variant>
        <vt:i4>0</vt:i4>
      </vt:variant>
      <vt:variant>
        <vt:i4>5</vt:i4>
      </vt:variant>
      <vt:variant>
        <vt:lpwstr>mailto:USG@infrastructure.gov.au</vt:lpwstr>
      </vt:variant>
      <vt:variant>
        <vt:lpwstr/>
      </vt:variant>
      <vt:variant>
        <vt:i4>6619159</vt:i4>
      </vt:variant>
      <vt:variant>
        <vt:i4>0</vt:i4>
      </vt:variant>
      <vt:variant>
        <vt:i4>0</vt:i4>
      </vt:variant>
      <vt:variant>
        <vt:i4>5</vt:i4>
      </vt:variant>
      <vt:variant>
        <vt:lpwstr>https://accan.org.au/files/Submissions/ACCAN submission on Telstra CLC_21 February 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cp:lastModifiedBy>Megan Ward</cp:lastModifiedBy>
  <cp:revision>53</cp:revision>
  <cp:lastPrinted>2021-11-08T05:49:00Z</cp:lastPrinted>
  <dcterms:created xsi:type="dcterms:W3CDTF">2021-10-29T18:25:00Z</dcterms:created>
  <dcterms:modified xsi:type="dcterms:W3CDTF">2021-11-08T05:50:00Z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