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7D" w:rsidRPr="00647B7D" w:rsidRDefault="00553750" w:rsidP="00647B7D">
      <w:pPr>
        <w:pStyle w:val="Title"/>
        <w:rPr>
          <w:lang w:val="en-AU"/>
        </w:rPr>
      </w:pPr>
      <w:bookmarkStart w:id="0" w:name="_GoBack"/>
      <w:bookmarkEnd w:id="0"/>
      <w:r w:rsidRPr="00647B7D">
        <w:rPr>
          <w:sz w:val="48"/>
          <w:szCs w:val="48"/>
          <w:lang w:val="en-AU"/>
        </w:rPr>
        <w:t xml:space="preserve">ACCAN </w:t>
      </w:r>
      <w:r w:rsidR="001A17CB" w:rsidRPr="00647B7D">
        <w:rPr>
          <w:sz w:val="48"/>
          <w:szCs w:val="48"/>
          <w:lang w:val="en-AU"/>
        </w:rPr>
        <w:t xml:space="preserve">Small business </w:t>
      </w:r>
      <w:r w:rsidRPr="00647B7D">
        <w:rPr>
          <w:sz w:val="48"/>
          <w:szCs w:val="48"/>
          <w:lang w:val="en-AU"/>
        </w:rPr>
        <w:t xml:space="preserve">telecommunications </w:t>
      </w:r>
      <w:r w:rsidR="001A17CB" w:rsidRPr="00647B7D">
        <w:rPr>
          <w:sz w:val="48"/>
          <w:szCs w:val="48"/>
          <w:lang w:val="en-AU"/>
        </w:rPr>
        <w:t>survey 2016</w:t>
      </w:r>
      <w:r w:rsidR="005E469E" w:rsidRPr="00647B7D">
        <w:rPr>
          <w:sz w:val="48"/>
          <w:szCs w:val="48"/>
          <w:lang w:val="en-AU"/>
        </w:rPr>
        <w:t xml:space="preserve"> </w:t>
      </w:r>
      <w:r w:rsidR="00647B7D">
        <w:rPr>
          <w:sz w:val="48"/>
          <w:szCs w:val="48"/>
          <w:lang w:val="en-AU"/>
        </w:rPr>
        <w:t>–</w:t>
      </w:r>
      <w:r w:rsidR="005E469E" w:rsidRPr="00647B7D">
        <w:rPr>
          <w:sz w:val="48"/>
          <w:szCs w:val="48"/>
          <w:lang w:val="en-AU"/>
        </w:rPr>
        <w:t xml:space="preserve"> Report</w:t>
      </w:r>
    </w:p>
    <w:p w:rsidR="00CB5035" w:rsidRDefault="00CB5035" w:rsidP="00563F87">
      <w:pPr>
        <w:pStyle w:val="Heading1"/>
        <w:rPr>
          <w:lang w:val="en-AU"/>
        </w:rPr>
      </w:pPr>
    </w:p>
    <w:p w:rsidR="00647B7D" w:rsidRDefault="00FE59EF" w:rsidP="00563F87">
      <w:pPr>
        <w:pStyle w:val="Heading1"/>
        <w:rPr>
          <w:lang w:val="en-AU"/>
        </w:rPr>
      </w:pPr>
      <w:r>
        <w:rPr>
          <w:noProof/>
        </w:rPr>
        <w:drawing>
          <wp:inline distT="0" distB="0" distL="0" distR="0" wp14:anchorId="63803B33" wp14:editId="496BECB1">
            <wp:extent cx="6201508" cy="6201508"/>
            <wp:effectExtent l="0" t="0" r="8890" b="8890"/>
            <wp:docPr id="9" name="Picture 9" descr="S:\Small Business\Small business survey 2016\SMB inf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mall Business\Small business survey 2016\SMB info-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1508" cy="6201508"/>
                    </a:xfrm>
                    <a:prstGeom prst="rect">
                      <a:avLst/>
                    </a:prstGeom>
                    <a:noFill/>
                    <a:ln>
                      <a:noFill/>
                    </a:ln>
                  </pic:spPr>
                </pic:pic>
              </a:graphicData>
            </a:graphic>
          </wp:inline>
        </w:drawing>
      </w:r>
      <w:r w:rsidR="005E7DE7">
        <w:rPr>
          <w:noProof/>
        </w:rPr>
        <mc:AlternateContent>
          <mc:Choice Requires="wps">
            <w:drawing>
              <wp:anchor distT="0" distB="0" distL="114300" distR="114300" simplePos="0" relativeHeight="251659264" behindDoc="0" locked="0" layoutInCell="1" allowOverlap="1" wp14:anchorId="4C6421FC" wp14:editId="387898AA">
                <wp:simplePos x="0" y="0"/>
                <wp:positionH relativeFrom="column">
                  <wp:posOffset>667669</wp:posOffset>
                </wp:positionH>
                <wp:positionV relativeFrom="paragraph">
                  <wp:posOffset>2073142</wp:posOffset>
                </wp:positionV>
                <wp:extent cx="5382668" cy="1391184"/>
                <wp:effectExtent l="1252855" t="0" r="1337945" b="0"/>
                <wp:wrapNone/>
                <wp:docPr id="7" name="Text Box 7"/>
                <wp:cNvGraphicFramePr/>
                <a:graphic xmlns:a="http://schemas.openxmlformats.org/drawingml/2006/main">
                  <a:graphicData uri="http://schemas.microsoft.com/office/word/2010/wordprocessingShape">
                    <wps:wsp>
                      <wps:cNvSpPr txBox="1"/>
                      <wps:spPr>
                        <a:xfrm rot="14130181" flipV="1">
                          <a:off x="0" y="0"/>
                          <a:ext cx="5382668" cy="1391184"/>
                        </a:xfrm>
                        <a:prstGeom prst="rect">
                          <a:avLst/>
                        </a:prstGeom>
                        <a:noFill/>
                        <a:ln>
                          <a:noFill/>
                        </a:ln>
                        <a:effectLst/>
                      </wps:spPr>
                      <wps:txbx>
                        <w:txbxContent>
                          <w:p w:rsidR="002947C9" w:rsidRDefault="002947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2.55pt;margin-top:163.25pt;width:423.85pt;height:109.55pt;rotation:8159034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" filled="f" stroked="f">
                <v:textbox>
                  <w:txbxContent/>
                </v:textbox>
              </v:shape>
            </w:pict>
          </mc:Fallback>
        </mc:AlternateContent>
      </w:r>
    </w:p>
    <w:p w:rsidR="00647B7D" w:rsidRPr="00EA770D" w:rsidRDefault="00647B7D" w:rsidP="00EA770D">
      <w:pPr>
        <w:jc w:val="right"/>
        <w:rPr>
          <w:rFonts w:asciiTheme="majorHAnsi" w:eastAsiaTheme="majorEastAsia" w:hAnsiTheme="majorHAnsi" w:cstheme="majorBidi"/>
          <w:b/>
          <w:bCs/>
          <w:color w:val="365F91" w:themeColor="accent1" w:themeShade="BF"/>
          <w:sz w:val="16"/>
          <w:szCs w:val="16"/>
          <w:lang w:val="en-AU"/>
        </w:rPr>
      </w:pPr>
    </w:p>
    <w:p w:rsidR="00563F87" w:rsidRDefault="00563F87" w:rsidP="00563F87">
      <w:pPr>
        <w:pStyle w:val="Heading1"/>
        <w:rPr>
          <w:lang w:val="en-AU"/>
        </w:rPr>
      </w:pPr>
      <w:r>
        <w:rPr>
          <w:lang w:val="en-AU"/>
        </w:rPr>
        <w:lastRenderedPageBreak/>
        <w:t>Background</w:t>
      </w:r>
    </w:p>
    <w:p w:rsidR="00E62F7F" w:rsidRDefault="00E62F7F" w:rsidP="00563F87">
      <w:pPr>
        <w:rPr>
          <w:lang w:val="en-AU"/>
        </w:rPr>
      </w:pPr>
    </w:p>
    <w:p w:rsidR="00563F87" w:rsidRDefault="00563F87" w:rsidP="00563F87">
      <w:pPr>
        <w:rPr>
          <w:lang w:val="en-AU"/>
        </w:rPr>
      </w:pPr>
      <w:r>
        <w:rPr>
          <w:lang w:val="en-AU"/>
        </w:rPr>
        <w:t>This research was undertaken by ACCAN to collect information regarding small business</w:t>
      </w:r>
      <w:r w:rsidR="00EC2D3C">
        <w:rPr>
          <w:lang w:val="en-AU"/>
        </w:rPr>
        <w:t>es</w:t>
      </w:r>
      <w:r>
        <w:rPr>
          <w:lang w:val="en-AU"/>
        </w:rPr>
        <w:t xml:space="preserve"> </w:t>
      </w:r>
      <w:r w:rsidR="00372BC3">
        <w:rPr>
          <w:lang w:val="en-AU"/>
        </w:rPr>
        <w:t xml:space="preserve">experiences whilst </w:t>
      </w:r>
      <w:r>
        <w:rPr>
          <w:lang w:val="en-AU"/>
        </w:rPr>
        <w:t>us</w:t>
      </w:r>
      <w:r w:rsidR="00372BC3">
        <w:rPr>
          <w:lang w:val="en-AU"/>
        </w:rPr>
        <w:t>ing</w:t>
      </w:r>
      <w:r>
        <w:rPr>
          <w:lang w:val="en-AU"/>
        </w:rPr>
        <w:t xml:space="preserve"> </w:t>
      </w:r>
      <w:r w:rsidR="00EC2D3C">
        <w:rPr>
          <w:lang w:val="en-AU"/>
        </w:rPr>
        <w:t>telecommunications to conduct</w:t>
      </w:r>
      <w:r>
        <w:rPr>
          <w:lang w:val="en-AU"/>
        </w:rPr>
        <w:t xml:space="preserve"> </w:t>
      </w:r>
      <w:r w:rsidR="00165116">
        <w:rPr>
          <w:lang w:val="en-AU"/>
        </w:rPr>
        <w:t xml:space="preserve">their </w:t>
      </w:r>
      <w:r>
        <w:rPr>
          <w:lang w:val="en-AU"/>
        </w:rPr>
        <w:t xml:space="preserve">business. The survey was conducted using </w:t>
      </w:r>
      <w:r w:rsidR="00372BC3">
        <w:rPr>
          <w:lang w:val="en-AU"/>
        </w:rPr>
        <w:t>hard copy surveys</w:t>
      </w:r>
      <w:r>
        <w:rPr>
          <w:lang w:val="en-AU"/>
        </w:rPr>
        <w:t xml:space="preserve"> at the NSW Farmers </w:t>
      </w:r>
      <w:r w:rsidR="00262FCA">
        <w:rPr>
          <w:lang w:val="en-AU"/>
        </w:rPr>
        <w:t xml:space="preserve">2016 Annual </w:t>
      </w:r>
      <w:r>
        <w:rPr>
          <w:lang w:val="en-AU"/>
        </w:rPr>
        <w:t xml:space="preserve">Conference and also via an on-line survey targeting small businesses across Australia. </w:t>
      </w:r>
      <w:r w:rsidR="00016295">
        <w:rPr>
          <w:lang w:val="en-AU"/>
        </w:rPr>
        <w:t>100 small businesses took part</w:t>
      </w:r>
      <w:r w:rsidR="00CB3BF8">
        <w:rPr>
          <w:lang w:val="en-AU"/>
        </w:rPr>
        <w:t xml:space="preserve"> in the survey and it</w:t>
      </w:r>
      <w:r>
        <w:rPr>
          <w:lang w:val="en-AU"/>
        </w:rPr>
        <w:t xml:space="preserve"> was active from </w:t>
      </w:r>
      <w:r w:rsidR="00054543">
        <w:rPr>
          <w:lang w:val="en-AU"/>
        </w:rPr>
        <w:t>August</w:t>
      </w:r>
      <w:r>
        <w:rPr>
          <w:lang w:val="en-AU"/>
        </w:rPr>
        <w:t xml:space="preserve"> to October 2016.</w:t>
      </w:r>
    </w:p>
    <w:p w:rsidR="004A0847" w:rsidRDefault="004A0847" w:rsidP="00563F87">
      <w:pPr>
        <w:rPr>
          <w:lang w:val="en-AU"/>
        </w:rPr>
      </w:pPr>
    </w:p>
    <w:p w:rsidR="006E13D5" w:rsidRPr="00563F87" w:rsidRDefault="00EF45F5" w:rsidP="00563F87">
      <w:pPr>
        <w:rPr>
          <w:lang w:val="en-AU"/>
        </w:rPr>
      </w:pPr>
      <w:r>
        <w:rPr>
          <w:noProof/>
        </w:rPr>
        <w:drawing>
          <wp:inline distT="0" distB="0" distL="0" distR="0" wp14:anchorId="05857C9D" wp14:editId="6D0A581E">
            <wp:extent cx="5943600" cy="4654062"/>
            <wp:effectExtent l="0" t="0" r="19050" b="13335"/>
            <wp:docPr id="15" name="Chart 15" descr="Results showing - accommodation and food services 3%, agriculture 47%, arts &amp; recreation 4%, construction 2%, did not nominate business type 2%, education &amp; training 6%, financial services 2%, health 2%, IT services 6%, manufacturing 1%, support services 3%, professional services 10%, public &amp; government relations 1%, retail 6%, social assistance 2%, technical services 1% and transport 2%" title="Graph - types of small businesses survey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3C09" w:rsidRDefault="00503C09">
      <w:pPr>
        <w:rPr>
          <w:rFonts w:asciiTheme="majorHAnsi" w:eastAsiaTheme="majorEastAsia" w:hAnsiTheme="majorHAnsi" w:cstheme="majorBidi"/>
          <w:b/>
          <w:bCs/>
          <w:color w:val="365F91" w:themeColor="accent1" w:themeShade="BF"/>
          <w:sz w:val="28"/>
          <w:szCs w:val="28"/>
        </w:rPr>
      </w:pPr>
      <w:r>
        <w:br w:type="page"/>
      </w:r>
    </w:p>
    <w:p w:rsidR="001A17CB" w:rsidRPr="00563F87" w:rsidRDefault="00CB3BF8" w:rsidP="00563F87">
      <w:pPr>
        <w:pStyle w:val="Heading1"/>
      </w:pPr>
      <w:r>
        <w:lastRenderedPageBreak/>
        <w:t>Highlights</w:t>
      </w:r>
      <w:r w:rsidR="00553750">
        <w:t xml:space="preserve"> from the survey</w:t>
      </w:r>
    </w:p>
    <w:p w:rsidR="006B4FD8" w:rsidRDefault="004A53AC" w:rsidP="00647B7D">
      <w:pPr>
        <w:pStyle w:val="Heading2"/>
        <w:rPr>
          <w:lang w:val="en-AU"/>
        </w:rPr>
      </w:pPr>
      <w:r>
        <w:rPr>
          <w:lang w:val="en-AU"/>
        </w:rPr>
        <w:t>9</w:t>
      </w:r>
      <w:r w:rsidR="007D0FA9">
        <w:rPr>
          <w:lang w:val="en-AU"/>
        </w:rPr>
        <w:t>6</w:t>
      </w:r>
      <w:r w:rsidR="008C1695">
        <w:rPr>
          <w:lang w:val="en-AU"/>
        </w:rPr>
        <w:t xml:space="preserve"> out of 100 </w:t>
      </w:r>
      <w:r w:rsidR="007D0FA9">
        <w:rPr>
          <w:lang w:val="en-AU"/>
        </w:rPr>
        <w:t xml:space="preserve">small businesses </w:t>
      </w:r>
      <w:r w:rsidR="00CB3BF8">
        <w:rPr>
          <w:lang w:val="en-AU"/>
        </w:rPr>
        <w:t xml:space="preserve">surveyed </w:t>
      </w:r>
      <w:r w:rsidR="007D0FA9">
        <w:rPr>
          <w:lang w:val="en-AU"/>
        </w:rPr>
        <w:t>stated that they have</w:t>
      </w:r>
      <w:r w:rsidR="008C1695">
        <w:rPr>
          <w:lang w:val="en-AU"/>
        </w:rPr>
        <w:t xml:space="preserve"> at least 1 </w:t>
      </w:r>
      <w:r w:rsidR="007D0FA9">
        <w:rPr>
          <w:lang w:val="en-AU"/>
        </w:rPr>
        <w:t xml:space="preserve">issue with their telecommunications </w:t>
      </w:r>
      <w:r w:rsidR="00647B7D">
        <w:rPr>
          <w:lang w:val="en-AU"/>
        </w:rPr>
        <w:t>s</w:t>
      </w:r>
      <w:r w:rsidR="007D0FA9">
        <w:rPr>
          <w:lang w:val="en-AU"/>
        </w:rPr>
        <w:t>ervices</w:t>
      </w:r>
      <w:r w:rsidR="00E246B0">
        <w:rPr>
          <w:lang w:val="en-AU"/>
        </w:rPr>
        <w:t xml:space="preserve">. </w:t>
      </w:r>
    </w:p>
    <w:p w:rsidR="00CC0D66" w:rsidRPr="00CC0D66" w:rsidRDefault="007358C8" w:rsidP="00CC0D66">
      <w:pPr>
        <w:rPr>
          <w:lang w:val="en-AU"/>
        </w:rPr>
      </w:pPr>
      <w:r>
        <w:rPr>
          <w:lang w:val="en-AU"/>
        </w:rPr>
        <w:t>Only 4 out of 100 respondents listed no issues with their telecommunications services.</w:t>
      </w:r>
    </w:p>
    <w:p w:rsidR="00CC0D66" w:rsidRPr="00CC0D66" w:rsidRDefault="007358C8" w:rsidP="00CC0D66">
      <w:pPr>
        <w:rPr>
          <w:lang w:val="en-AU"/>
        </w:rPr>
      </w:pPr>
      <w:r>
        <w:rPr>
          <w:noProof/>
        </w:rPr>
        <w:drawing>
          <wp:inline distT="0" distB="0" distL="0" distR="0" wp14:anchorId="40E362DF" wp14:editId="6E54D51C">
            <wp:extent cx="5943600" cy="6400800"/>
            <wp:effectExtent l="0" t="0" r="19050" b="19050"/>
            <wp:docPr id="1" name="Chart 1" descr="Respondents could choose more that one issue - Chart shows no issues 4, outages 43, speed 73, congestion during peak times 52, Cost 47, dropouts 40, decline/degradation of service 28, technically complicated and hard to use 10, other 9" title="Graph - Respondents with telecommunications services issu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0D66" w:rsidRPr="00872BBA" w:rsidRDefault="00CC0D66" w:rsidP="00CC0D66">
      <w:pPr>
        <w:pStyle w:val="ListParagraph"/>
        <w:ind w:left="0"/>
        <w:jc w:val="right"/>
        <w:rPr>
          <w:i/>
          <w:sz w:val="16"/>
          <w:szCs w:val="16"/>
          <w:lang w:val="en-AU"/>
        </w:rPr>
      </w:pPr>
      <w:r w:rsidRPr="00872BBA">
        <w:rPr>
          <w:i/>
          <w:sz w:val="16"/>
          <w:szCs w:val="16"/>
          <w:lang w:val="en-AU"/>
        </w:rPr>
        <w:t xml:space="preserve">Respondents could choose more than one </w:t>
      </w:r>
      <w:r>
        <w:rPr>
          <w:i/>
          <w:sz w:val="16"/>
          <w:szCs w:val="16"/>
          <w:lang w:val="en-AU"/>
        </w:rPr>
        <w:t>issue</w:t>
      </w:r>
      <w:r w:rsidRPr="00872BBA">
        <w:rPr>
          <w:i/>
          <w:sz w:val="16"/>
          <w:szCs w:val="16"/>
          <w:lang w:val="en-AU"/>
        </w:rPr>
        <w:t>.</w:t>
      </w:r>
    </w:p>
    <w:p w:rsidR="00A50F21" w:rsidRDefault="00A50F21" w:rsidP="007D0FA9">
      <w:pPr>
        <w:rPr>
          <w:lang w:val="en-AU"/>
        </w:rPr>
      </w:pPr>
    </w:p>
    <w:p w:rsidR="00725944" w:rsidRDefault="00A50F21" w:rsidP="007D0FA9">
      <w:pPr>
        <w:rPr>
          <w:lang w:val="en-AU"/>
        </w:rPr>
      </w:pPr>
      <w:r>
        <w:rPr>
          <w:lang w:val="en-AU"/>
        </w:rPr>
        <w:lastRenderedPageBreak/>
        <w:t>Of 100 respondents, t</w:t>
      </w:r>
      <w:r w:rsidR="00580E2D">
        <w:rPr>
          <w:lang w:val="en-AU"/>
        </w:rPr>
        <w:t>he top four</w:t>
      </w:r>
      <w:r w:rsidR="006E13D5">
        <w:rPr>
          <w:lang w:val="en-AU"/>
        </w:rPr>
        <w:t xml:space="preserve"> single</w:t>
      </w:r>
      <w:r w:rsidR="00580E2D">
        <w:rPr>
          <w:lang w:val="en-AU"/>
        </w:rPr>
        <w:t xml:space="preserve"> issues</w:t>
      </w:r>
      <w:r w:rsidR="006E13D5">
        <w:rPr>
          <w:lang w:val="en-AU"/>
        </w:rPr>
        <w:t xml:space="preserve"> listed w</w:t>
      </w:r>
      <w:r w:rsidR="00580E2D">
        <w:rPr>
          <w:lang w:val="en-AU"/>
        </w:rPr>
        <w:t>ere:</w:t>
      </w:r>
      <w:r w:rsidR="00CB3BF8">
        <w:rPr>
          <w:lang w:val="en-AU"/>
        </w:rPr>
        <w:t xml:space="preserve"> </w:t>
      </w:r>
    </w:p>
    <w:p w:rsidR="00725944" w:rsidRDefault="00CC4FCE" w:rsidP="00725944">
      <w:pPr>
        <w:pStyle w:val="ListParagraph"/>
        <w:numPr>
          <w:ilvl w:val="0"/>
          <w:numId w:val="6"/>
        </w:numPr>
        <w:rPr>
          <w:lang w:val="en-AU"/>
        </w:rPr>
      </w:pPr>
      <w:r>
        <w:rPr>
          <w:lang w:val="en-AU"/>
        </w:rPr>
        <w:t xml:space="preserve">Internet </w:t>
      </w:r>
      <w:r w:rsidR="0051715A">
        <w:rPr>
          <w:lang w:val="en-AU"/>
        </w:rPr>
        <w:t>S</w:t>
      </w:r>
      <w:r w:rsidR="007D0FA9" w:rsidRPr="00725944">
        <w:rPr>
          <w:lang w:val="en-AU"/>
        </w:rPr>
        <w:t>peed</w:t>
      </w:r>
      <w:r w:rsidR="00725944">
        <w:rPr>
          <w:lang w:val="en-AU"/>
        </w:rPr>
        <w:t xml:space="preserve">  - 73</w:t>
      </w:r>
      <w:r w:rsidR="0051715A">
        <w:rPr>
          <w:lang w:val="en-AU"/>
        </w:rPr>
        <w:t xml:space="preserve"> </w:t>
      </w:r>
      <w:r w:rsidR="00725944">
        <w:rPr>
          <w:lang w:val="en-AU"/>
        </w:rPr>
        <w:t>respondents</w:t>
      </w:r>
    </w:p>
    <w:p w:rsidR="00725944" w:rsidRDefault="00CC4FCE" w:rsidP="00725944">
      <w:pPr>
        <w:pStyle w:val="ListParagraph"/>
        <w:numPr>
          <w:ilvl w:val="0"/>
          <w:numId w:val="6"/>
        </w:numPr>
        <w:rPr>
          <w:lang w:val="en-AU"/>
        </w:rPr>
      </w:pPr>
      <w:r>
        <w:rPr>
          <w:lang w:val="en-AU"/>
        </w:rPr>
        <w:t>Internet service c</w:t>
      </w:r>
      <w:r w:rsidR="007D0FA9" w:rsidRPr="00725944">
        <w:rPr>
          <w:lang w:val="en-AU"/>
        </w:rPr>
        <w:t>ongestion during peak times</w:t>
      </w:r>
      <w:r w:rsidR="00E246B0" w:rsidRPr="00725944">
        <w:rPr>
          <w:lang w:val="en-AU"/>
        </w:rPr>
        <w:t xml:space="preserve"> </w:t>
      </w:r>
      <w:r w:rsidR="00725944">
        <w:rPr>
          <w:lang w:val="en-AU"/>
        </w:rPr>
        <w:t xml:space="preserve"> - 52 respondents</w:t>
      </w:r>
    </w:p>
    <w:p w:rsidR="007358C8" w:rsidRPr="00775808" w:rsidRDefault="007358C8" w:rsidP="007358C8">
      <w:pPr>
        <w:pStyle w:val="ListParagraph"/>
        <w:numPr>
          <w:ilvl w:val="0"/>
          <w:numId w:val="6"/>
        </w:numPr>
        <w:rPr>
          <w:lang w:val="en-AU"/>
        </w:rPr>
      </w:pPr>
      <w:r w:rsidRPr="00775808">
        <w:rPr>
          <w:lang w:val="en-AU"/>
        </w:rPr>
        <w:t>Cost – 47 respondents</w:t>
      </w:r>
    </w:p>
    <w:p w:rsidR="00725944" w:rsidRDefault="0051715A" w:rsidP="00725944">
      <w:pPr>
        <w:pStyle w:val="ListParagraph"/>
        <w:numPr>
          <w:ilvl w:val="0"/>
          <w:numId w:val="6"/>
        </w:numPr>
        <w:rPr>
          <w:lang w:val="en-AU"/>
        </w:rPr>
      </w:pPr>
      <w:r>
        <w:rPr>
          <w:lang w:val="en-AU"/>
        </w:rPr>
        <w:t>O</w:t>
      </w:r>
      <w:r w:rsidR="00E246B0" w:rsidRPr="00725944">
        <w:rPr>
          <w:lang w:val="en-AU"/>
        </w:rPr>
        <w:t>utages</w:t>
      </w:r>
      <w:r w:rsidR="00725944">
        <w:rPr>
          <w:lang w:val="en-AU"/>
        </w:rPr>
        <w:t xml:space="preserve"> – 43 respondents</w:t>
      </w:r>
    </w:p>
    <w:p w:rsidR="00CC0D66" w:rsidRPr="00CC0D66" w:rsidRDefault="00CC0D66" w:rsidP="00CC0D66">
      <w:pPr>
        <w:rPr>
          <w:lang w:val="en-AU"/>
        </w:rPr>
      </w:pPr>
      <w:r w:rsidRPr="00CC0D66">
        <w:rPr>
          <w:lang w:val="en-AU"/>
        </w:rPr>
        <w:t>73</w:t>
      </w:r>
      <w:r w:rsidR="004A53AC">
        <w:rPr>
          <w:lang w:val="en-AU"/>
        </w:rPr>
        <w:t xml:space="preserve"> out of the 100</w:t>
      </w:r>
      <w:r w:rsidRPr="00CC0D66">
        <w:rPr>
          <w:lang w:val="en-AU"/>
        </w:rPr>
        <w:t xml:space="preserve"> respondents </w:t>
      </w:r>
      <w:r w:rsidR="004A53AC">
        <w:rPr>
          <w:lang w:val="en-AU"/>
        </w:rPr>
        <w:t xml:space="preserve">surveyed </w:t>
      </w:r>
      <w:r w:rsidRPr="00CC0D66">
        <w:rPr>
          <w:lang w:val="en-AU"/>
        </w:rPr>
        <w:t xml:space="preserve">reported slow data speed as an issue, making this the most prevalent single issue. </w:t>
      </w:r>
    </w:p>
    <w:p w:rsidR="006E13D5" w:rsidRPr="002B2AB9" w:rsidRDefault="00CC4FCE" w:rsidP="007D0FA9">
      <w:pPr>
        <w:rPr>
          <w:b/>
          <w:noProof/>
        </w:rPr>
      </w:pPr>
      <w:r>
        <w:rPr>
          <w:lang w:val="en-AU"/>
        </w:rPr>
        <w:t xml:space="preserve">Many respondents reported multiple issues. </w:t>
      </w:r>
      <w:r w:rsidR="002364EC">
        <w:rPr>
          <w:lang w:val="en-AU"/>
        </w:rPr>
        <w:t xml:space="preserve">The </w:t>
      </w:r>
      <w:r>
        <w:rPr>
          <w:lang w:val="en-AU"/>
        </w:rPr>
        <w:t xml:space="preserve">largest </w:t>
      </w:r>
      <w:r w:rsidR="002364EC">
        <w:rPr>
          <w:lang w:val="en-AU"/>
        </w:rPr>
        <w:t xml:space="preserve"> </w:t>
      </w:r>
      <w:r w:rsidR="00171061">
        <w:rPr>
          <w:lang w:val="en-AU"/>
        </w:rPr>
        <w:t xml:space="preserve">multiple </w:t>
      </w:r>
      <w:r w:rsidR="002364EC">
        <w:rPr>
          <w:lang w:val="en-AU"/>
        </w:rPr>
        <w:t xml:space="preserve"> was 48 respondents experiencing issues with</w:t>
      </w:r>
      <w:r w:rsidR="0092779C">
        <w:rPr>
          <w:lang w:val="en-AU"/>
        </w:rPr>
        <w:t xml:space="preserve"> both </w:t>
      </w:r>
      <w:r w:rsidR="002364EC">
        <w:rPr>
          <w:lang w:val="en-AU"/>
        </w:rPr>
        <w:t>slow speeds and congestion at peak times.</w:t>
      </w:r>
      <w:r w:rsidR="005D253E">
        <w:rPr>
          <w:lang w:val="en-AU"/>
        </w:rPr>
        <w:t xml:space="preserve"> </w:t>
      </w:r>
      <w:r w:rsidR="006E13D5" w:rsidRPr="002B2AB9">
        <w:rPr>
          <w:b/>
          <w:lang w:val="en-AU"/>
        </w:rPr>
        <w:t xml:space="preserve">Almost ¼ of </w:t>
      </w:r>
      <w:r w:rsidR="002364EC" w:rsidRPr="002B2AB9">
        <w:rPr>
          <w:b/>
          <w:lang w:val="en-AU"/>
        </w:rPr>
        <w:t>respondents</w:t>
      </w:r>
      <w:r w:rsidR="006E13D5" w:rsidRPr="002B2AB9">
        <w:rPr>
          <w:b/>
          <w:lang w:val="en-AU"/>
        </w:rPr>
        <w:t xml:space="preserve"> (22)</w:t>
      </w:r>
      <w:r w:rsidR="005D253E" w:rsidRPr="002B2AB9">
        <w:rPr>
          <w:b/>
          <w:lang w:val="en-AU"/>
        </w:rPr>
        <w:t xml:space="preserve"> </w:t>
      </w:r>
      <w:r w:rsidR="00CC00CC" w:rsidRPr="002B2AB9">
        <w:rPr>
          <w:b/>
          <w:lang w:val="en-AU"/>
        </w:rPr>
        <w:t xml:space="preserve">listed </w:t>
      </w:r>
      <w:r w:rsidR="005D253E" w:rsidRPr="002B2AB9">
        <w:rPr>
          <w:b/>
          <w:lang w:val="en-AU"/>
        </w:rPr>
        <w:t xml:space="preserve">having </w:t>
      </w:r>
      <w:r w:rsidR="002364EC" w:rsidRPr="002B2AB9">
        <w:rPr>
          <w:b/>
          <w:lang w:val="en-AU"/>
        </w:rPr>
        <w:t>all</w:t>
      </w:r>
      <w:r w:rsidR="00CC00CC" w:rsidRPr="002B2AB9">
        <w:rPr>
          <w:b/>
          <w:lang w:val="en-AU"/>
        </w:rPr>
        <w:t xml:space="preserve"> f</w:t>
      </w:r>
      <w:r w:rsidR="005D253E" w:rsidRPr="002B2AB9">
        <w:rPr>
          <w:b/>
          <w:lang w:val="en-AU"/>
        </w:rPr>
        <w:t>o</w:t>
      </w:r>
      <w:r w:rsidR="00CC00CC" w:rsidRPr="002B2AB9">
        <w:rPr>
          <w:b/>
          <w:lang w:val="en-AU"/>
        </w:rPr>
        <w:t xml:space="preserve">ur of the </w:t>
      </w:r>
      <w:r w:rsidR="002364EC" w:rsidRPr="002B2AB9">
        <w:rPr>
          <w:b/>
          <w:lang w:val="en-AU"/>
        </w:rPr>
        <w:t>top four issues</w:t>
      </w:r>
      <w:r w:rsidR="0092779C" w:rsidRPr="002B2AB9">
        <w:rPr>
          <w:b/>
          <w:lang w:val="en-AU"/>
        </w:rPr>
        <w:t>!</w:t>
      </w:r>
      <w:r w:rsidR="006E13D5" w:rsidRPr="002B2AB9">
        <w:rPr>
          <w:b/>
          <w:noProof/>
        </w:rPr>
        <w:t xml:space="preserve"> </w:t>
      </w:r>
    </w:p>
    <w:p w:rsidR="00C81522" w:rsidRDefault="006E13D5" w:rsidP="007D0FA9">
      <w:pPr>
        <w:rPr>
          <w:lang w:val="en-AU"/>
        </w:rPr>
      </w:pPr>
      <w:r>
        <w:rPr>
          <w:noProof/>
        </w:rPr>
        <w:drawing>
          <wp:inline distT="0" distB="0" distL="0" distR="0" wp14:anchorId="478073AE" wp14:editId="25E2B241">
            <wp:extent cx="5543550" cy="3981450"/>
            <wp:effectExtent l="0" t="0" r="19050" b="19050"/>
            <wp:docPr id="12" name="Chart 12" descr="Line graph showing 4 issues - speed + congestion + outages &amp; cost 22, 3 issues - speed + congestion + outages 31, 2 issues - speed + congestion" title="Graph - Number of respondents with multiple top 4 issu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2CE0" w:rsidRDefault="00E72CE0" w:rsidP="00054543">
      <w:pPr>
        <w:pStyle w:val="Heading2"/>
        <w:rPr>
          <w:lang w:val="en-AU"/>
        </w:rPr>
      </w:pPr>
    </w:p>
    <w:p w:rsidR="00503C09" w:rsidRDefault="00503C09">
      <w:pPr>
        <w:rPr>
          <w:rFonts w:asciiTheme="majorHAnsi" w:eastAsiaTheme="majorEastAsia" w:hAnsiTheme="majorHAnsi" w:cstheme="majorBidi"/>
          <w:b/>
          <w:bCs/>
          <w:color w:val="4F81BD" w:themeColor="accent1"/>
          <w:sz w:val="26"/>
          <w:szCs w:val="26"/>
          <w:lang w:val="en-AU"/>
        </w:rPr>
      </w:pPr>
      <w:r>
        <w:rPr>
          <w:lang w:val="en-AU"/>
        </w:rPr>
        <w:br w:type="page"/>
      </w:r>
    </w:p>
    <w:p w:rsidR="007D0FA9" w:rsidRDefault="00771A15" w:rsidP="00054543">
      <w:pPr>
        <w:pStyle w:val="Heading2"/>
        <w:rPr>
          <w:lang w:val="en-AU"/>
        </w:rPr>
      </w:pPr>
      <w:r>
        <w:rPr>
          <w:lang w:val="en-AU"/>
        </w:rPr>
        <w:lastRenderedPageBreak/>
        <w:t xml:space="preserve">64% of respondents indicated that it was </w:t>
      </w:r>
      <w:r w:rsidR="00553750">
        <w:rPr>
          <w:lang w:val="en-AU"/>
        </w:rPr>
        <w:t>difficult</w:t>
      </w:r>
      <w:r>
        <w:rPr>
          <w:lang w:val="en-AU"/>
        </w:rPr>
        <w:t xml:space="preserve"> to </w:t>
      </w:r>
      <w:r w:rsidR="00553750">
        <w:rPr>
          <w:lang w:val="en-AU"/>
        </w:rPr>
        <w:t>r</w:t>
      </w:r>
      <w:r w:rsidR="007D0FA9">
        <w:rPr>
          <w:lang w:val="en-AU"/>
        </w:rPr>
        <w:t>esolving the</w:t>
      </w:r>
      <w:r w:rsidR="00553750">
        <w:rPr>
          <w:lang w:val="en-AU"/>
        </w:rPr>
        <w:t>se</w:t>
      </w:r>
      <w:r w:rsidR="007D0FA9">
        <w:rPr>
          <w:lang w:val="en-AU"/>
        </w:rPr>
        <w:t xml:space="preserve"> issues</w:t>
      </w:r>
    </w:p>
    <w:p w:rsidR="00C70D4F" w:rsidRDefault="00771A15" w:rsidP="007D0FA9">
      <w:pPr>
        <w:rPr>
          <w:lang w:val="en-AU"/>
        </w:rPr>
      </w:pPr>
      <w:r>
        <w:rPr>
          <w:lang w:val="en-AU"/>
        </w:rPr>
        <w:t xml:space="preserve">Unfortunately, </w:t>
      </w:r>
      <w:r w:rsidR="007D0FA9">
        <w:rPr>
          <w:lang w:val="en-AU"/>
        </w:rPr>
        <w:t>6</w:t>
      </w:r>
      <w:r w:rsidR="00C70D4F">
        <w:rPr>
          <w:lang w:val="en-AU"/>
        </w:rPr>
        <w:t>4</w:t>
      </w:r>
      <w:r w:rsidR="007D0FA9">
        <w:rPr>
          <w:lang w:val="en-AU"/>
        </w:rPr>
        <w:t xml:space="preserve">% of respondents indicated that the issues with their service were difficult to resolve. </w:t>
      </w:r>
      <w:r w:rsidR="00CC4FCE">
        <w:rPr>
          <w:lang w:val="en-AU"/>
        </w:rPr>
        <w:t>O</w:t>
      </w:r>
      <w:r w:rsidR="00606C0A">
        <w:rPr>
          <w:lang w:val="en-AU"/>
        </w:rPr>
        <w:t>nly</w:t>
      </w:r>
      <w:r w:rsidR="007D0FA9">
        <w:rPr>
          <w:lang w:val="en-AU"/>
        </w:rPr>
        <w:t xml:space="preserve"> </w:t>
      </w:r>
      <w:r w:rsidR="00EC6DCE">
        <w:rPr>
          <w:lang w:val="en-AU"/>
        </w:rPr>
        <w:t>8</w:t>
      </w:r>
      <w:r w:rsidR="007D0FA9">
        <w:rPr>
          <w:lang w:val="en-AU"/>
        </w:rPr>
        <w:t>% stat</w:t>
      </w:r>
      <w:r w:rsidR="00CC4FCE">
        <w:rPr>
          <w:lang w:val="en-AU"/>
        </w:rPr>
        <w:t>ed</w:t>
      </w:r>
      <w:r w:rsidR="007D0FA9">
        <w:rPr>
          <w:lang w:val="en-AU"/>
        </w:rPr>
        <w:t xml:space="preserve"> that it was easy to resolve.</w:t>
      </w:r>
      <w:r w:rsidR="007D0FA9" w:rsidRPr="00AE6895">
        <w:rPr>
          <w:lang w:val="en-AU"/>
        </w:rPr>
        <w:t xml:space="preserve"> </w:t>
      </w:r>
    </w:p>
    <w:p w:rsidR="00D64766" w:rsidRDefault="00EB1003" w:rsidP="007D0FA9">
      <w:pPr>
        <w:rPr>
          <w:lang w:val="en-AU"/>
        </w:rPr>
      </w:pPr>
      <w:r>
        <w:rPr>
          <w:noProof/>
        </w:rPr>
        <w:drawing>
          <wp:inline distT="0" distB="0" distL="0" distR="0" wp14:anchorId="04DD2B81" wp14:editId="33DA96B5">
            <wp:extent cx="5486400" cy="4478215"/>
            <wp:effectExtent l="0" t="0" r="19050" b="17780"/>
            <wp:docPr id="16" name="Chart 16" descr="Results - Easy 8%, difficult 64%, something else 28% " title="Graph - How easy were these issues to resolv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7787" w:rsidRDefault="00F27787" w:rsidP="00AA637F">
      <w:pPr>
        <w:pStyle w:val="NormalWeb"/>
        <w:spacing w:before="0" w:beforeAutospacing="0" w:after="225" w:afterAutospacing="0" w:line="360" w:lineRule="atLeast"/>
        <w:rPr>
          <w:rFonts w:asciiTheme="minorHAnsi" w:eastAsiaTheme="minorHAnsi" w:hAnsiTheme="minorHAnsi" w:cstheme="minorBidi"/>
          <w:sz w:val="22"/>
          <w:szCs w:val="22"/>
          <w:lang w:val="en-AU"/>
        </w:rPr>
      </w:pPr>
    </w:p>
    <w:p w:rsidR="00A51A9D" w:rsidRDefault="00572DF2" w:rsidP="00AA637F">
      <w:pPr>
        <w:pStyle w:val="NormalWeb"/>
        <w:spacing w:before="0" w:beforeAutospacing="0" w:after="225" w:afterAutospacing="0" w:line="360" w:lineRule="atLeast"/>
        <w:rPr>
          <w:rFonts w:asciiTheme="minorHAnsi" w:eastAsiaTheme="minorHAnsi" w:hAnsiTheme="minorHAnsi" w:cstheme="minorBidi"/>
          <w:sz w:val="22"/>
          <w:szCs w:val="22"/>
          <w:lang w:val="en-AU"/>
        </w:rPr>
      </w:pPr>
      <w:r w:rsidRPr="00AA637F">
        <w:rPr>
          <w:rFonts w:asciiTheme="minorHAnsi" w:eastAsiaTheme="minorHAnsi" w:hAnsiTheme="minorHAnsi" w:cstheme="minorBidi"/>
          <w:sz w:val="22"/>
          <w:szCs w:val="22"/>
          <w:lang w:val="en-AU"/>
        </w:rPr>
        <w:t>Th</w:t>
      </w:r>
      <w:r w:rsidR="00C160FA" w:rsidRPr="00AA637F">
        <w:rPr>
          <w:rFonts w:asciiTheme="minorHAnsi" w:eastAsiaTheme="minorHAnsi" w:hAnsiTheme="minorHAnsi" w:cstheme="minorBidi"/>
          <w:sz w:val="22"/>
          <w:szCs w:val="22"/>
          <w:lang w:val="en-AU"/>
        </w:rPr>
        <w:t>e number of issues</w:t>
      </w:r>
      <w:r w:rsidR="00C70D4F" w:rsidRPr="00AA637F">
        <w:rPr>
          <w:rFonts w:asciiTheme="minorHAnsi" w:eastAsiaTheme="minorHAnsi" w:hAnsiTheme="minorHAnsi" w:cstheme="minorBidi"/>
          <w:sz w:val="22"/>
          <w:szCs w:val="22"/>
          <w:lang w:val="en-AU"/>
        </w:rPr>
        <w:t xml:space="preserve"> and the </w:t>
      </w:r>
      <w:r w:rsidR="00DC556B" w:rsidRPr="00AA637F">
        <w:rPr>
          <w:rFonts w:asciiTheme="minorHAnsi" w:eastAsiaTheme="minorHAnsi" w:hAnsiTheme="minorHAnsi" w:cstheme="minorBidi"/>
          <w:sz w:val="22"/>
          <w:szCs w:val="22"/>
          <w:lang w:val="en-AU"/>
        </w:rPr>
        <w:t>difficulties</w:t>
      </w:r>
      <w:r w:rsidR="00C70D4F" w:rsidRPr="00AA637F">
        <w:rPr>
          <w:rFonts w:asciiTheme="minorHAnsi" w:eastAsiaTheme="minorHAnsi" w:hAnsiTheme="minorHAnsi" w:cstheme="minorBidi"/>
          <w:sz w:val="22"/>
          <w:szCs w:val="22"/>
          <w:lang w:val="en-AU"/>
        </w:rPr>
        <w:t xml:space="preserve"> that small businesses</w:t>
      </w:r>
      <w:r w:rsidR="006042F7" w:rsidRPr="00AA637F">
        <w:rPr>
          <w:rFonts w:asciiTheme="minorHAnsi" w:eastAsiaTheme="minorHAnsi" w:hAnsiTheme="minorHAnsi" w:cstheme="minorBidi"/>
          <w:sz w:val="22"/>
          <w:szCs w:val="22"/>
          <w:lang w:val="en-AU"/>
        </w:rPr>
        <w:t xml:space="preserve"> </w:t>
      </w:r>
      <w:r w:rsidR="00C70D4F" w:rsidRPr="00AA637F">
        <w:rPr>
          <w:rFonts w:asciiTheme="minorHAnsi" w:eastAsiaTheme="minorHAnsi" w:hAnsiTheme="minorHAnsi" w:cstheme="minorBidi"/>
          <w:sz w:val="22"/>
          <w:szCs w:val="22"/>
          <w:lang w:val="en-AU"/>
        </w:rPr>
        <w:t xml:space="preserve">are </w:t>
      </w:r>
      <w:r w:rsidR="006042F7" w:rsidRPr="00AA637F">
        <w:rPr>
          <w:rFonts w:asciiTheme="minorHAnsi" w:eastAsiaTheme="minorHAnsi" w:hAnsiTheme="minorHAnsi" w:cstheme="minorBidi"/>
          <w:sz w:val="22"/>
          <w:szCs w:val="22"/>
          <w:lang w:val="en-AU"/>
        </w:rPr>
        <w:t>experiencing</w:t>
      </w:r>
      <w:r w:rsidR="00C70D4F" w:rsidRPr="00AA637F">
        <w:rPr>
          <w:rFonts w:asciiTheme="minorHAnsi" w:eastAsiaTheme="minorHAnsi" w:hAnsiTheme="minorHAnsi" w:cstheme="minorBidi"/>
          <w:sz w:val="22"/>
          <w:szCs w:val="22"/>
          <w:lang w:val="en-AU"/>
        </w:rPr>
        <w:t xml:space="preserve"> to get them resolved</w:t>
      </w:r>
      <w:r w:rsidR="00C160FA" w:rsidRPr="00AA637F">
        <w:rPr>
          <w:rFonts w:asciiTheme="minorHAnsi" w:eastAsiaTheme="minorHAnsi" w:hAnsiTheme="minorHAnsi" w:cstheme="minorBidi"/>
          <w:sz w:val="22"/>
          <w:szCs w:val="22"/>
          <w:lang w:val="en-AU"/>
        </w:rPr>
        <w:t xml:space="preserve"> </w:t>
      </w:r>
      <w:r w:rsidRPr="00AA637F">
        <w:rPr>
          <w:rFonts w:asciiTheme="minorHAnsi" w:eastAsiaTheme="minorHAnsi" w:hAnsiTheme="minorHAnsi" w:cstheme="minorBidi"/>
          <w:sz w:val="22"/>
          <w:szCs w:val="22"/>
          <w:lang w:val="en-AU"/>
        </w:rPr>
        <w:t xml:space="preserve">is very </w:t>
      </w:r>
      <w:r w:rsidR="006042F7" w:rsidRPr="00AA637F">
        <w:rPr>
          <w:rFonts w:asciiTheme="minorHAnsi" w:eastAsiaTheme="minorHAnsi" w:hAnsiTheme="minorHAnsi" w:cstheme="minorBidi"/>
          <w:sz w:val="22"/>
          <w:szCs w:val="22"/>
          <w:lang w:val="en-AU"/>
        </w:rPr>
        <w:t xml:space="preserve">concerning. </w:t>
      </w:r>
      <w:r w:rsidR="001536B2" w:rsidRPr="00AA637F">
        <w:rPr>
          <w:rFonts w:asciiTheme="minorHAnsi" w:eastAsiaTheme="minorHAnsi" w:hAnsiTheme="minorHAnsi" w:cstheme="minorBidi"/>
          <w:sz w:val="22"/>
          <w:szCs w:val="22"/>
          <w:lang w:val="en-AU"/>
        </w:rPr>
        <w:t xml:space="preserve">Several </w:t>
      </w:r>
      <w:r w:rsidR="004955EC" w:rsidRPr="00AA637F">
        <w:rPr>
          <w:rFonts w:asciiTheme="minorHAnsi" w:eastAsiaTheme="minorHAnsi" w:hAnsiTheme="minorHAnsi" w:cstheme="minorBidi"/>
          <w:sz w:val="22"/>
          <w:szCs w:val="22"/>
          <w:lang w:val="en-AU"/>
        </w:rPr>
        <w:t>service providers</w:t>
      </w:r>
      <w:r w:rsidR="00AE3F62">
        <w:rPr>
          <w:rFonts w:asciiTheme="minorHAnsi" w:eastAsiaTheme="minorHAnsi" w:hAnsiTheme="minorHAnsi" w:cstheme="minorBidi"/>
          <w:sz w:val="22"/>
          <w:szCs w:val="22"/>
          <w:lang w:val="en-AU"/>
        </w:rPr>
        <w:t xml:space="preserve"> over the past 2 years have issued media releases aimed at s</w:t>
      </w:r>
      <w:r w:rsidR="001536B2" w:rsidRPr="00AA637F">
        <w:rPr>
          <w:rFonts w:asciiTheme="minorHAnsi" w:eastAsiaTheme="minorHAnsi" w:hAnsiTheme="minorHAnsi" w:cstheme="minorBidi"/>
          <w:sz w:val="22"/>
          <w:szCs w:val="22"/>
          <w:lang w:val="en-AU"/>
        </w:rPr>
        <w:t>mall business</w:t>
      </w:r>
      <w:r w:rsidR="001A44B1" w:rsidRPr="00AA637F">
        <w:rPr>
          <w:rFonts w:asciiTheme="minorHAnsi" w:eastAsiaTheme="minorHAnsi" w:hAnsiTheme="minorHAnsi" w:cstheme="minorBidi"/>
          <w:sz w:val="22"/>
          <w:szCs w:val="22"/>
          <w:lang w:val="en-AU"/>
        </w:rPr>
        <w:t>,</w:t>
      </w:r>
      <w:r w:rsidR="001536B2" w:rsidRPr="00AA637F">
        <w:rPr>
          <w:rFonts w:asciiTheme="minorHAnsi" w:eastAsiaTheme="minorHAnsi" w:hAnsiTheme="minorHAnsi" w:cstheme="minorBidi"/>
          <w:sz w:val="22"/>
          <w:szCs w:val="22"/>
          <w:lang w:val="en-AU"/>
        </w:rPr>
        <w:t xml:space="preserve"> stating that they are providing </w:t>
      </w:r>
      <w:r w:rsidR="00A51A9D">
        <w:rPr>
          <w:rFonts w:asciiTheme="minorHAnsi" w:eastAsiaTheme="minorHAnsi" w:hAnsiTheme="minorHAnsi" w:cstheme="minorBidi"/>
          <w:sz w:val="22"/>
          <w:szCs w:val="22"/>
          <w:lang w:val="en-AU"/>
        </w:rPr>
        <w:t>specialised business</w:t>
      </w:r>
      <w:r w:rsidR="001536B2" w:rsidRPr="00AA637F">
        <w:rPr>
          <w:rFonts w:asciiTheme="minorHAnsi" w:eastAsiaTheme="minorHAnsi" w:hAnsiTheme="minorHAnsi" w:cstheme="minorBidi"/>
          <w:sz w:val="22"/>
          <w:szCs w:val="22"/>
          <w:lang w:val="en-AU"/>
        </w:rPr>
        <w:t xml:space="preserve"> service</w:t>
      </w:r>
      <w:r w:rsidR="00A51A9D">
        <w:rPr>
          <w:rFonts w:asciiTheme="minorHAnsi" w:eastAsiaTheme="minorHAnsi" w:hAnsiTheme="minorHAnsi" w:cstheme="minorBidi"/>
          <w:sz w:val="22"/>
          <w:szCs w:val="22"/>
          <w:lang w:val="en-AU"/>
        </w:rPr>
        <w:t>s</w:t>
      </w:r>
      <w:r w:rsidR="001536B2" w:rsidRPr="00AA637F">
        <w:rPr>
          <w:rFonts w:asciiTheme="minorHAnsi" w:eastAsiaTheme="minorHAnsi" w:hAnsiTheme="minorHAnsi" w:cstheme="minorBidi"/>
          <w:sz w:val="22"/>
          <w:szCs w:val="22"/>
          <w:lang w:val="en-AU"/>
        </w:rPr>
        <w:t xml:space="preserve"> and have a dedicated team of small business professionals to help navigate their telecommunications </w:t>
      </w:r>
      <w:r w:rsidR="006E6D67" w:rsidRPr="00AA637F">
        <w:rPr>
          <w:rFonts w:asciiTheme="minorHAnsi" w:eastAsiaTheme="minorHAnsi" w:hAnsiTheme="minorHAnsi" w:cstheme="minorBidi"/>
          <w:sz w:val="22"/>
          <w:szCs w:val="22"/>
          <w:lang w:val="en-AU"/>
        </w:rPr>
        <w:t xml:space="preserve">issues and </w:t>
      </w:r>
      <w:r w:rsidR="001536B2" w:rsidRPr="00AA637F">
        <w:rPr>
          <w:rFonts w:asciiTheme="minorHAnsi" w:eastAsiaTheme="minorHAnsi" w:hAnsiTheme="minorHAnsi" w:cstheme="minorBidi"/>
          <w:sz w:val="22"/>
          <w:szCs w:val="22"/>
          <w:lang w:val="en-AU"/>
        </w:rPr>
        <w:t>solutions.</w:t>
      </w:r>
      <w:r w:rsidR="002E0776" w:rsidRPr="00AA637F">
        <w:rPr>
          <w:rFonts w:asciiTheme="minorHAnsi" w:eastAsiaTheme="minorHAnsi" w:hAnsiTheme="minorHAnsi" w:cstheme="minorBidi"/>
          <w:sz w:val="22"/>
          <w:szCs w:val="22"/>
          <w:lang w:val="en-AU"/>
        </w:rPr>
        <w:t xml:space="preserve"> </w:t>
      </w:r>
    </w:p>
    <w:p w:rsidR="00A51A9D" w:rsidRDefault="00B821D9" w:rsidP="00AA637F">
      <w:pPr>
        <w:pStyle w:val="NormalWeb"/>
        <w:spacing w:before="0" w:beforeAutospacing="0" w:after="225" w:afterAutospacing="0" w:line="360" w:lineRule="atLeast"/>
        <w:rPr>
          <w:sz w:val="22"/>
          <w:szCs w:val="22"/>
          <w:lang w:val="en-AU"/>
        </w:rPr>
      </w:pPr>
      <w:r w:rsidRPr="00AA637F">
        <w:rPr>
          <w:rFonts w:asciiTheme="minorHAnsi" w:eastAsiaTheme="minorHAnsi" w:hAnsiTheme="minorHAnsi" w:cstheme="minorBidi"/>
          <w:sz w:val="22"/>
          <w:szCs w:val="22"/>
          <w:lang w:val="en-AU"/>
        </w:rPr>
        <w:t xml:space="preserve">In May 2016, Optus issued a </w:t>
      </w:r>
      <w:r w:rsidR="002E0776" w:rsidRPr="00AA637F">
        <w:rPr>
          <w:rFonts w:asciiTheme="minorHAnsi" w:eastAsiaTheme="minorHAnsi" w:hAnsiTheme="minorHAnsi" w:cstheme="minorBidi"/>
          <w:sz w:val="22"/>
          <w:szCs w:val="22"/>
          <w:lang w:val="en-AU"/>
        </w:rPr>
        <w:t>media release</w:t>
      </w:r>
      <w:r w:rsidR="002E0776">
        <w:rPr>
          <w:lang w:val="en-AU"/>
        </w:rPr>
        <w:t xml:space="preserve"> </w:t>
      </w:r>
      <w:hyperlink r:id="rId14" w:history="1">
        <w:r w:rsidR="002E0776" w:rsidRPr="00481C77">
          <w:rPr>
            <w:rStyle w:val="Hyperlink"/>
            <w:rFonts w:asciiTheme="minorHAnsi" w:hAnsiTheme="minorHAnsi"/>
            <w:sz w:val="22"/>
            <w:szCs w:val="22"/>
            <w:lang w:val="en-AU"/>
          </w:rPr>
          <w:t>Optus sharpens focus on smbs</w:t>
        </w:r>
      </w:hyperlink>
      <w:r w:rsidR="002E0776" w:rsidRPr="00481C77">
        <w:rPr>
          <w:rFonts w:asciiTheme="minorHAnsi" w:hAnsiTheme="minorHAnsi"/>
          <w:sz w:val="22"/>
          <w:szCs w:val="22"/>
          <w:lang w:val="en-AU"/>
        </w:rPr>
        <w:t xml:space="preserve"> </w:t>
      </w:r>
      <w:r w:rsidRPr="00AA637F">
        <w:rPr>
          <w:rFonts w:asciiTheme="minorHAnsi" w:eastAsiaTheme="minorHAnsi" w:hAnsiTheme="minorHAnsi" w:cstheme="minorBidi"/>
          <w:sz w:val="22"/>
          <w:szCs w:val="22"/>
          <w:lang w:val="en-AU"/>
        </w:rPr>
        <w:t>that s</w:t>
      </w:r>
      <w:r w:rsidR="00AA637F">
        <w:rPr>
          <w:rFonts w:asciiTheme="minorHAnsi" w:eastAsiaTheme="minorHAnsi" w:hAnsiTheme="minorHAnsi" w:cstheme="minorBidi"/>
          <w:sz w:val="22"/>
          <w:szCs w:val="22"/>
          <w:lang w:val="en-AU"/>
        </w:rPr>
        <w:t>tated,</w:t>
      </w:r>
      <w:r>
        <w:rPr>
          <w:lang w:val="en-AU"/>
        </w:rPr>
        <w:t xml:space="preserve"> </w:t>
      </w:r>
      <w:r w:rsidRPr="00481C77">
        <w:rPr>
          <w:rFonts w:asciiTheme="minorHAnsi" w:hAnsiTheme="minorHAnsi" w:cs="Helvetica"/>
          <w:i/>
          <w:color w:val="191919"/>
          <w:sz w:val="22"/>
          <w:szCs w:val="22"/>
          <w:shd w:val="clear" w:color="auto" w:fill="FFFFFF"/>
        </w:rPr>
        <w:t>Optus has announced it will refocus attention on delivering tailored solutions for Australia’s two million plus small business owners, supported by 126 new small business specialist stores, a dedicated Adelaide-based SMB call centre team, in addition to 26 existing business centres.</w:t>
      </w:r>
      <w:r w:rsidR="001536B2" w:rsidRPr="00481C77">
        <w:rPr>
          <w:sz w:val="22"/>
          <w:szCs w:val="22"/>
          <w:lang w:val="en-AU"/>
        </w:rPr>
        <w:t xml:space="preserve"> </w:t>
      </w:r>
    </w:p>
    <w:p w:rsidR="00F27787" w:rsidRDefault="00F27787" w:rsidP="00AA637F">
      <w:pPr>
        <w:pStyle w:val="NormalWeb"/>
        <w:spacing w:before="0" w:beforeAutospacing="0" w:after="225" w:afterAutospacing="0" w:line="360" w:lineRule="atLeast"/>
        <w:rPr>
          <w:rFonts w:asciiTheme="minorHAnsi" w:eastAsiaTheme="minorHAnsi" w:hAnsiTheme="minorHAnsi" w:cstheme="minorBidi"/>
          <w:sz w:val="22"/>
          <w:szCs w:val="22"/>
          <w:lang w:val="en-AU"/>
        </w:rPr>
      </w:pPr>
    </w:p>
    <w:p w:rsidR="00AA637F" w:rsidRPr="00952A72" w:rsidRDefault="00AA637F" w:rsidP="00AA637F">
      <w:pPr>
        <w:pStyle w:val="NormalWeb"/>
        <w:spacing w:before="0" w:beforeAutospacing="0" w:after="225" w:afterAutospacing="0" w:line="360" w:lineRule="atLeast"/>
        <w:rPr>
          <w:rFonts w:asciiTheme="minorHAnsi" w:hAnsiTheme="minorHAnsi" w:cs="Arial"/>
          <w:i/>
          <w:color w:val="333333"/>
          <w:sz w:val="22"/>
          <w:szCs w:val="22"/>
        </w:rPr>
      </w:pPr>
      <w:r w:rsidRPr="00481C77">
        <w:rPr>
          <w:rFonts w:asciiTheme="minorHAnsi" w:eastAsiaTheme="minorHAnsi" w:hAnsiTheme="minorHAnsi" w:cstheme="minorBidi"/>
          <w:sz w:val="22"/>
          <w:szCs w:val="22"/>
          <w:lang w:val="en-AU"/>
        </w:rPr>
        <w:lastRenderedPageBreak/>
        <w:t xml:space="preserve">In July 2015, Vodafone issued a media </w:t>
      </w:r>
      <w:r w:rsidRPr="00952A72">
        <w:rPr>
          <w:rFonts w:asciiTheme="minorHAnsi" w:eastAsiaTheme="minorHAnsi" w:hAnsiTheme="minorHAnsi" w:cstheme="minorBidi"/>
          <w:sz w:val="22"/>
          <w:szCs w:val="22"/>
          <w:lang w:val="en-AU"/>
        </w:rPr>
        <w:t xml:space="preserve">release </w:t>
      </w:r>
      <w:hyperlink r:id="rId15" w:history="1">
        <w:r w:rsidR="005D7DD9">
          <w:rPr>
            <w:rStyle w:val="Hyperlink"/>
            <w:rFonts w:asciiTheme="minorHAnsi" w:hAnsiTheme="minorHAnsi"/>
            <w:sz w:val="22"/>
            <w:szCs w:val="22"/>
            <w:lang w:val="en-AU"/>
          </w:rPr>
          <w:t>Vodafone launches mobile-centric retail outlets to better service Australian small business</w:t>
        </w:r>
      </w:hyperlink>
      <w:r w:rsidR="005D7DD9">
        <w:rPr>
          <w:rFonts w:asciiTheme="minorHAnsi" w:hAnsiTheme="minorHAnsi"/>
          <w:sz w:val="22"/>
          <w:szCs w:val="22"/>
          <w:lang w:val="en-AU"/>
        </w:rPr>
        <w:t xml:space="preserve">, </w:t>
      </w:r>
      <w:r w:rsidRPr="00952A72">
        <w:rPr>
          <w:rFonts w:asciiTheme="minorHAnsi" w:hAnsiTheme="minorHAnsi"/>
          <w:sz w:val="22"/>
          <w:szCs w:val="22"/>
          <w:lang w:val="en-AU"/>
        </w:rPr>
        <w:t xml:space="preserve">promising </w:t>
      </w:r>
      <w:r w:rsidRPr="00952A72">
        <w:rPr>
          <w:rFonts w:asciiTheme="minorHAnsi" w:hAnsiTheme="minorHAnsi" w:cs="Arial"/>
          <w:i/>
          <w:color w:val="333333"/>
          <w:sz w:val="22"/>
          <w:szCs w:val="22"/>
        </w:rPr>
        <w:t>Vodafone’s new VBC, located at 206 Greenhill Rd, at Eastwood in Adelaide, will offer the company’s extensive range of business plans, smartphones, tablet computers, mobile broadband products and accessories. In another first for the company, Vodafone will begin selling tailored machine-to-machine (M2M) solutions to small businesses from its business centres.</w:t>
      </w:r>
      <w:r w:rsidR="00481C77">
        <w:rPr>
          <w:rFonts w:asciiTheme="minorHAnsi" w:hAnsiTheme="minorHAnsi" w:cs="Arial"/>
          <w:i/>
          <w:color w:val="333333"/>
          <w:sz w:val="22"/>
          <w:szCs w:val="22"/>
        </w:rPr>
        <w:t xml:space="preserve"> </w:t>
      </w:r>
      <w:r w:rsidRPr="00952A72">
        <w:rPr>
          <w:rFonts w:asciiTheme="minorHAnsi" w:hAnsiTheme="minorHAnsi" w:cs="Arial"/>
          <w:i/>
          <w:color w:val="333333"/>
          <w:sz w:val="22"/>
          <w:szCs w:val="22"/>
        </w:rPr>
        <w:t>Vodafone’s Executive General Manager Enterprise, Stuart Kelly, said the company wants to get up close and personal with small businesses.</w:t>
      </w:r>
      <w:r w:rsidR="00481C77">
        <w:rPr>
          <w:rFonts w:asciiTheme="minorHAnsi" w:hAnsiTheme="minorHAnsi" w:cs="Arial"/>
          <w:i/>
          <w:color w:val="333333"/>
          <w:sz w:val="22"/>
          <w:szCs w:val="22"/>
        </w:rPr>
        <w:t xml:space="preserve"> </w:t>
      </w:r>
      <w:r w:rsidRPr="00952A72">
        <w:rPr>
          <w:rFonts w:asciiTheme="minorHAnsi" w:hAnsiTheme="minorHAnsi" w:cs="Arial"/>
          <w:i/>
          <w:color w:val="333333"/>
          <w:sz w:val="22"/>
          <w:szCs w:val="22"/>
        </w:rPr>
        <w:t>“Every business is different and needs tailored solutions to suit their needs,” said Mr Kelly.</w:t>
      </w:r>
    </w:p>
    <w:p w:rsidR="007D0FA9" w:rsidRDefault="00D64766" w:rsidP="007D0FA9">
      <w:pPr>
        <w:rPr>
          <w:lang w:val="en-AU"/>
        </w:rPr>
      </w:pPr>
      <w:r>
        <w:rPr>
          <w:lang w:val="en-AU"/>
        </w:rPr>
        <w:t>T</w:t>
      </w:r>
      <w:r w:rsidR="00C70D4F">
        <w:rPr>
          <w:lang w:val="en-AU"/>
        </w:rPr>
        <w:t>he Survey results</w:t>
      </w:r>
      <w:r>
        <w:rPr>
          <w:lang w:val="en-AU"/>
        </w:rPr>
        <w:t xml:space="preserve"> indicate that the</w:t>
      </w:r>
      <w:r w:rsidR="0035134C">
        <w:rPr>
          <w:lang w:val="en-AU"/>
        </w:rPr>
        <w:t>se</w:t>
      </w:r>
      <w:r>
        <w:rPr>
          <w:lang w:val="en-AU"/>
        </w:rPr>
        <w:t xml:space="preserve"> </w:t>
      </w:r>
      <w:r w:rsidR="001040DD">
        <w:rPr>
          <w:lang w:val="en-AU"/>
        </w:rPr>
        <w:t>service providers</w:t>
      </w:r>
      <w:r w:rsidR="00CC4FCE">
        <w:rPr>
          <w:lang w:val="en-AU"/>
        </w:rPr>
        <w:t>, and Telstra,</w:t>
      </w:r>
      <w:r w:rsidR="001040DD">
        <w:rPr>
          <w:lang w:val="en-AU"/>
        </w:rPr>
        <w:t xml:space="preserve"> </w:t>
      </w:r>
      <w:r w:rsidR="002C4B10">
        <w:rPr>
          <w:lang w:val="en-AU"/>
        </w:rPr>
        <w:t>c</w:t>
      </w:r>
      <w:r w:rsidR="001040DD">
        <w:rPr>
          <w:lang w:val="en-AU"/>
        </w:rPr>
        <w:t>ould consider</w:t>
      </w:r>
      <w:r w:rsidR="0035134C">
        <w:rPr>
          <w:lang w:val="en-AU"/>
        </w:rPr>
        <w:t xml:space="preserve"> </w:t>
      </w:r>
      <w:r w:rsidR="00C37CAE">
        <w:rPr>
          <w:lang w:val="en-AU"/>
        </w:rPr>
        <w:t xml:space="preserve">the opportunity to </w:t>
      </w:r>
      <w:r w:rsidR="0035134C">
        <w:rPr>
          <w:lang w:val="en-AU"/>
        </w:rPr>
        <w:t>provid</w:t>
      </w:r>
      <w:r w:rsidR="00C37CAE">
        <w:rPr>
          <w:lang w:val="en-AU"/>
        </w:rPr>
        <w:t>e</w:t>
      </w:r>
      <w:r w:rsidR="001040DD">
        <w:rPr>
          <w:lang w:val="en-AU"/>
        </w:rPr>
        <w:t xml:space="preserve"> additional support for their small business customers </w:t>
      </w:r>
      <w:r w:rsidR="0035134C">
        <w:rPr>
          <w:lang w:val="en-AU"/>
        </w:rPr>
        <w:t xml:space="preserve">and include a commitment towards a timely </w:t>
      </w:r>
      <w:r w:rsidR="00373457" w:rsidRPr="00A51A9D">
        <w:rPr>
          <w:lang w:val="en-AU"/>
        </w:rPr>
        <w:t xml:space="preserve">resolution </w:t>
      </w:r>
      <w:r w:rsidR="00373457">
        <w:rPr>
          <w:lang w:val="en-AU"/>
        </w:rPr>
        <w:t xml:space="preserve">of </w:t>
      </w:r>
      <w:r w:rsidR="0035134C">
        <w:rPr>
          <w:lang w:val="en-AU"/>
        </w:rPr>
        <w:t>small business customer’s</w:t>
      </w:r>
      <w:r w:rsidR="00373457">
        <w:rPr>
          <w:lang w:val="en-AU"/>
        </w:rPr>
        <w:t xml:space="preserve"> telecommunications </w:t>
      </w:r>
      <w:r w:rsidR="001040DD">
        <w:rPr>
          <w:lang w:val="en-AU"/>
        </w:rPr>
        <w:t>issues</w:t>
      </w:r>
      <w:r w:rsidR="004A53AC">
        <w:rPr>
          <w:lang w:val="en-AU"/>
        </w:rPr>
        <w:t xml:space="preserve"> </w:t>
      </w:r>
      <w:r w:rsidR="00C37CAE">
        <w:rPr>
          <w:lang w:val="en-AU"/>
        </w:rPr>
        <w:t xml:space="preserve">as </w:t>
      </w:r>
      <w:r w:rsidR="004A53AC">
        <w:rPr>
          <w:lang w:val="en-AU"/>
        </w:rPr>
        <w:t>they occur</w:t>
      </w:r>
      <w:r w:rsidR="001040DD">
        <w:rPr>
          <w:lang w:val="en-AU"/>
        </w:rPr>
        <w:t>.</w:t>
      </w:r>
      <w:r w:rsidR="00C70D4F">
        <w:rPr>
          <w:lang w:val="en-AU"/>
        </w:rPr>
        <w:t xml:space="preserve"> </w:t>
      </w:r>
      <w:r>
        <w:rPr>
          <w:lang w:val="en-AU"/>
        </w:rPr>
        <w:t xml:space="preserve"> </w:t>
      </w:r>
    </w:p>
    <w:p w:rsidR="00C37CAE" w:rsidRDefault="00C37CAE">
      <w:pPr>
        <w:rPr>
          <w:rFonts w:asciiTheme="majorHAnsi" w:eastAsiaTheme="majorEastAsia" w:hAnsiTheme="majorHAnsi" w:cstheme="majorBidi"/>
          <w:b/>
          <w:bCs/>
          <w:color w:val="4F81BD" w:themeColor="accent1"/>
          <w:sz w:val="26"/>
          <w:szCs w:val="26"/>
          <w:lang w:val="en-AU"/>
        </w:rPr>
      </w:pPr>
      <w:r>
        <w:rPr>
          <w:lang w:val="en-AU"/>
        </w:rPr>
        <w:br w:type="page"/>
      </w:r>
    </w:p>
    <w:p w:rsidR="00D64766" w:rsidRDefault="007B4396" w:rsidP="00D64766">
      <w:pPr>
        <w:pStyle w:val="Heading2"/>
        <w:rPr>
          <w:lang w:val="en-AU"/>
        </w:rPr>
      </w:pPr>
      <w:r>
        <w:rPr>
          <w:lang w:val="en-AU"/>
        </w:rPr>
        <w:lastRenderedPageBreak/>
        <w:t>Complaints</w:t>
      </w:r>
    </w:p>
    <w:p w:rsidR="00D64766" w:rsidRPr="00D64766" w:rsidRDefault="00D64766" w:rsidP="00D64766">
      <w:pPr>
        <w:pStyle w:val="NoSpacing"/>
        <w:rPr>
          <w:lang w:val="en-AU"/>
        </w:rPr>
      </w:pPr>
    </w:p>
    <w:p w:rsidR="007D0FA9" w:rsidRDefault="004A53AC" w:rsidP="007D0FA9">
      <w:pPr>
        <w:rPr>
          <w:lang w:val="en-AU"/>
        </w:rPr>
      </w:pPr>
      <w:r>
        <w:rPr>
          <w:lang w:val="en-AU"/>
        </w:rPr>
        <w:t>Whilst the number of issues is</w:t>
      </w:r>
      <w:r w:rsidR="00DD5F86">
        <w:rPr>
          <w:lang w:val="en-AU"/>
        </w:rPr>
        <w:t xml:space="preserve"> large</w:t>
      </w:r>
      <w:r w:rsidR="0035134C">
        <w:rPr>
          <w:lang w:val="en-AU"/>
        </w:rPr>
        <w:t>,</w:t>
      </w:r>
      <w:r w:rsidR="00DD5F86">
        <w:rPr>
          <w:lang w:val="en-AU"/>
        </w:rPr>
        <w:t xml:space="preserve"> it </w:t>
      </w:r>
      <w:r w:rsidR="00171061">
        <w:rPr>
          <w:lang w:val="en-AU"/>
        </w:rPr>
        <w:t>i</w:t>
      </w:r>
      <w:r w:rsidR="00DD5F86">
        <w:rPr>
          <w:lang w:val="en-AU"/>
        </w:rPr>
        <w:t>s e</w:t>
      </w:r>
      <w:r w:rsidR="00606C0A">
        <w:rPr>
          <w:lang w:val="en-AU"/>
        </w:rPr>
        <w:t>ncouraging</w:t>
      </w:r>
      <w:r w:rsidR="00DD5F86">
        <w:rPr>
          <w:lang w:val="en-AU"/>
        </w:rPr>
        <w:t xml:space="preserve"> to see that </w:t>
      </w:r>
      <w:r w:rsidR="007D0FA9">
        <w:rPr>
          <w:lang w:val="en-AU"/>
        </w:rPr>
        <w:t>84% of respondents contacted the</w:t>
      </w:r>
      <w:r w:rsidR="00505FFA">
        <w:rPr>
          <w:lang w:val="en-AU"/>
        </w:rPr>
        <w:t>i</w:t>
      </w:r>
      <w:r w:rsidR="007D0FA9">
        <w:rPr>
          <w:lang w:val="en-AU"/>
        </w:rPr>
        <w:t>r provider regarding their issues</w:t>
      </w:r>
      <w:r w:rsidR="001C7978">
        <w:rPr>
          <w:lang w:val="en-AU"/>
        </w:rPr>
        <w:t xml:space="preserve">. </w:t>
      </w:r>
      <w:r w:rsidR="005D7DD9">
        <w:rPr>
          <w:lang w:val="en-AU"/>
        </w:rPr>
        <w:t xml:space="preserve">16% did not pursue the issue with their provider at all. </w:t>
      </w:r>
    </w:p>
    <w:p w:rsidR="00905C3E" w:rsidRDefault="00905C3E" w:rsidP="007D0FA9">
      <w:pPr>
        <w:rPr>
          <w:lang w:val="en-AU"/>
        </w:rPr>
      </w:pPr>
    </w:p>
    <w:p w:rsidR="00C160FA" w:rsidRDefault="00B914C8" w:rsidP="00D64766">
      <w:pPr>
        <w:jc w:val="center"/>
        <w:rPr>
          <w:lang w:val="en-AU"/>
        </w:rPr>
      </w:pPr>
      <w:r>
        <w:rPr>
          <w:noProof/>
        </w:rPr>
        <w:drawing>
          <wp:inline distT="0" distB="0" distL="0" distR="0" wp14:anchorId="63D462FC" wp14:editId="65E65774">
            <wp:extent cx="3829050" cy="2457450"/>
            <wp:effectExtent l="0" t="0" r="19050" b="19050"/>
            <wp:docPr id="5" name="Chart 5" descr="Results - Yes 84%, No 16%" title="Graph - Did you contact your service provi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5C3E" w:rsidRDefault="00905C3E" w:rsidP="005D7DD9">
      <w:pPr>
        <w:rPr>
          <w:lang w:val="en-AU"/>
        </w:rPr>
      </w:pPr>
    </w:p>
    <w:p w:rsidR="00C37CAE" w:rsidRDefault="005D7DD9" w:rsidP="005D7DD9">
      <w:pPr>
        <w:rPr>
          <w:lang w:val="en-AU"/>
        </w:rPr>
      </w:pPr>
      <w:r>
        <w:rPr>
          <w:lang w:val="en-AU"/>
        </w:rPr>
        <w:t xml:space="preserve">Despite this effort on behalf of the small businesses to resolve their issue, 64% of respondents reported that it was difficult to resolve. </w:t>
      </w:r>
      <w:r w:rsidR="00C37CAE">
        <w:rPr>
          <w:lang w:val="en-AU"/>
        </w:rPr>
        <w:t xml:space="preserve"> In 2013, ACCAN commissioned Market Clarity to undertake research  about small business telecommunications use, </w:t>
      </w:r>
      <w:r w:rsidR="00C37CAE" w:rsidRPr="000E01C4">
        <w:rPr>
          <w:i/>
          <w:lang w:val="en-AU"/>
        </w:rPr>
        <w:t>Small Business Telecommunications Service Use and Experience</w:t>
      </w:r>
      <w:r w:rsidR="00C37CAE">
        <w:rPr>
          <w:rStyle w:val="FootnoteReference"/>
          <w:lang w:val="en-AU"/>
        </w:rPr>
        <w:footnoteReference w:id="1"/>
      </w:r>
      <w:r w:rsidR="00C37CAE">
        <w:rPr>
          <w:lang w:val="en-AU"/>
        </w:rPr>
        <w:t xml:space="preserve">. This research highlighted that an impact of a one-hour service fault varies by the type of service and a respondent’s business requirements. The results from that survey showed that 25% of fixed voice users reported that they would experience a serious or catastrophic impact; as would 32% of fixed broadband users; 24% of mobile voice users; 19% of mobile broadband users and 26% of EFTPOS users. </w:t>
      </w:r>
    </w:p>
    <w:p w:rsidR="00A0762F" w:rsidRDefault="005D7DD9" w:rsidP="005D7DD9">
      <w:pPr>
        <w:rPr>
          <w:lang w:val="en-AU"/>
        </w:rPr>
      </w:pPr>
      <w:r>
        <w:rPr>
          <w:lang w:val="en-AU"/>
        </w:rPr>
        <w:t>Further research is needed to ascertain the reasons for these difficulties</w:t>
      </w:r>
      <w:r w:rsidR="00C37CAE">
        <w:rPr>
          <w:lang w:val="en-AU"/>
        </w:rPr>
        <w:t xml:space="preserve"> to identify strategies for minimising the impact of these issues.</w:t>
      </w:r>
    </w:p>
    <w:p w:rsidR="00503C09" w:rsidRDefault="00503C09">
      <w:pPr>
        <w:rPr>
          <w:rFonts w:asciiTheme="majorHAnsi" w:eastAsiaTheme="majorEastAsia" w:hAnsiTheme="majorHAnsi" w:cstheme="majorBidi"/>
          <w:b/>
          <w:bCs/>
          <w:color w:val="4F81BD" w:themeColor="accent1"/>
          <w:lang w:val="en-AU"/>
        </w:rPr>
      </w:pPr>
      <w:r>
        <w:rPr>
          <w:lang w:val="en-AU"/>
        </w:rPr>
        <w:br w:type="page"/>
      </w:r>
    </w:p>
    <w:p w:rsidR="000D22D8" w:rsidRDefault="00071BED" w:rsidP="00054543">
      <w:pPr>
        <w:pStyle w:val="Heading3"/>
        <w:rPr>
          <w:lang w:val="en-AU"/>
        </w:rPr>
      </w:pPr>
      <w:r>
        <w:rPr>
          <w:lang w:val="en-AU"/>
        </w:rPr>
        <w:lastRenderedPageBreak/>
        <w:t>P</w:t>
      </w:r>
      <w:r w:rsidR="00F139F9">
        <w:rPr>
          <w:lang w:val="en-AU"/>
        </w:rPr>
        <w:t xml:space="preserve">ercentage contacting the </w:t>
      </w:r>
      <w:r w:rsidR="000D22D8">
        <w:rPr>
          <w:lang w:val="en-AU"/>
        </w:rPr>
        <w:t>TIO</w:t>
      </w:r>
      <w:r w:rsidR="00125FF2">
        <w:rPr>
          <w:lang w:val="en-AU"/>
        </w:rPr>
        <w:t xml:space="preserve"> </w:t>
      </w:r>
    </w:p>
    <w:p w:rsidR="001C7978" w:rsidRDefault="0000465F" w:rsidP="001C7978">
      <w:pPr>
        <w:rPr>
          <w:lang w:val="en-AU"/>
        </w:rPr>
      </w:pPr>
      <w:r>
        <w:rPr>
          <w:lang w:val="en-AU"/>
        </w:rPr>
        <w:t>While</w:t>
      </w:r>
      <w:r w:rsidR="000D22D8">
        <w:rPr>
          <w:lang w:val="en-AU"/>
        </w:rPr>
        <w:t xml:space="preserve"> 64% of respondents stat</w:t>
      </w:r>
      <w:r>
        <w:rPr>
          <w:lang w:val="en-AU"/>
        </w:rPr>
        <w:t>ed</w:t>
      </w:r>
      <w:r w:rsidR="000D22D8">
        <w:rPr>
          <w:lang w:val="en-AU"/>
        </w:rPr>
        <w:t xml:space="preserve">  they ha</w:t>
      </w:r>
      <w:r w:rsidR="00D1655D">
        <w:rPr>
          <w:lang w:val="en-AU"/>
        </w:rPr>
        <w:t>d</w:t>
      </w:r>
      <w:r w:rsidR="000D22D8">
        <w:rPr>
          <w:lang w:val="en-AU"/>
        </w:rPr>
        <w:t xml:space="preserve"> found it difficu</w:t>
      </w:r>
      <w:r w:rsidR="00597ADE">
        <w:rPr>
          <w:lang w:val="en-AU"/>
        </w:rPr>
        <w:t xml:space="preserve">lt to resolve their issues, </w:t>
      </w:r>
      <w:r w:rsidR="000D22D8">
        <w:rPr>
          <w:lang w:val="en-AU"/>
        </w:rPr>
        <w:t>19% had contacted the TIO</w:t>
      </w:r>
      <w:r w:rsidR="006E3AFD">
        <w:rPr>
          <w:lang w:val="en-AU"/>
        </w:rPr>
        <w:t xml:space="preserve"> for assistance</w:t>
      </w:r>
      <w:r w:rsidR="000D22D8">
        <w:rPr>
          <w:lang w:val="en-AU"/>
        </w:rPr>
        <w:t xml:space="preserve">. </w:t>
      </w:r>
    </w:p>
    <w:p w:rsidR="00905C3E" w:rsidRDefault="00905C3E" w:rsidP="001C7978">
      <w:pPr>
        <w:rPr>
          <w:lang w:val="en-AU"/>
        </w:rPr>
      </w:pPr>
    </w:p>
    <w:p w:rsidR="006E3AFD" w:rsidRDefault="006E3AFD" w:rsidP="00503C09">
      <w:pPr>
        <w:jc w:val="center"/>
        <w:rPr>
          <w:lang w:val="en-AU"/>
        </w:rPr>
      </w:pPr>
      <w:r>
        <w:rPr>
          <w:noProof/>
        </w:rPr>
        <w:drawing>
          <wp:inline distT="0" distB="0" distL="0" distR="0" wp14:anchorId="50B5EB49" wp14:editId="6E1029CE">
            <wp:extent cx="4219575" cy="2619375"/>
            <wp:effectExtent l="0" t="0" r="9525" b="9525"/>
            <wp:docPr id="6" name="Chart 6" descr="Results - No 81%, Yes 19%" title="Graph - Did you contact the TIO?"/>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5C3E" w:rsidRDefault="00905C3E" w:rsidP="006E3AFD">
      <w:pPr>
        <w:rPr>
          <w:lang w:val="en-AU"/>
        </w:rPr>
      </w:pPr>
    </w:p>
    <w:p w:rsidR="006E3AFD" w:rsidRDefault="006E3AFD" w:rsidP="006E3AFD">
      <w:pPr>
        <w:rPr>
          <w:lang w:val="en-AU"/>
        </w:rPr>
      </w:pPr>
      <w:r>
        <w:rPr>
          <w:lang w:val="en-AU"/>
        </w:rPr>
        <w:t>It is interesting to compare these results with those from an ACCAN Galaxy Survey</w:t>
      </w:r>
      <w:r>
        <w:rPr>
          <w:rStyle w:val="FootnoteReference"/>
          <w:b/>
          <w:i/>
          <w:lang w:val="en-AU"/>
        </w:rPr>
        <w:footnoteReference w:id="2"/>
      </w:r>
      <w:r>
        <w:rPr>
          <w:lang w:val="en-AU"/>
        </w:rPr>
        <w:t xml:space="preserve"> conducted in 2015. The 2015 survey found that 46% of respondents had problems with their telco in the last 12 months. Of these, 64% had complained to their </w:t>
      </w:r>
      <w:r w:rsidR="00411C54">
        <w:rPr>
          <w:lang w:val="en-AU"/>
        </w:rPr>
        <w:t>service provider</w:t>
      </w:r>
      <w:r>
        <w:rPr>
          <w:lang w:val="en-AU"/>
        </w:rPr>
        <w:t>, 38% were dissatisfied with the outcome, but only 5% of those dissatisfied pursued their complaint by taking it to the TIO.</w:t>
      </w:r>
    </w:p>
    <w:p w:rsidR="006E3AFD" w:rsidRPr="00662D8A" w:rsidRDefault="006E3AFD" w:rsidP="006E3AFD">
      <w:pPr>
        <w:rPr>
          <w:lang w:val="en-AU"/>
        </w:rPr>
      </w:pPr>
      <w:r>
        <w:rPr>
          <w:lang w:val="en-AU"/>
        </w:rPr>
        <w:t>It is encouraging that the small businesses participating in the current survey were significantly more proactive in pursuing their complaint with the TIO than general consumers surveyed in 2015.</w:t>
      </w:r>
    </w:p>
    <w:p w:rsidR="00411C54" w:rsidRDefault="00411C54" w:rsidP="00373F9C">
      <w:pPr>
        <w:pStyle w:val="Heading2"/>
        <w:rPr>
          <w:lang w:val="en-AU"/>
        </w:rPr>
      </w:pPr>
    </w:p>
    <w:p w:rsidR="00503C09" w:rsidRDefault="00503C09">
      <w:pPr>
        <w:rPr>
          <w:rFonts w:asciiTheme="majorHAnsi" w:eastAsiaTheme="majorEastAsia" w:hAnsiTheme="majorHAnsi" w:cstheme="majorBidi"/>
          <w:b/>
          <w:bCs/>
          <w:color w:val="4F81BD" w:themeColor="accent1"/>
          <w:sz w:val="26"/>
          <w:szCs w:val="26"/>
          <w:lang w:val="en-AU"/>
        </w:rPr>
      </w:pPr>
      <w:r>
        <w:rPr>
          <w:lang w:val="en-AU"/>
        </w:rPr>
        <w:br w:type="page"/>
      </w:r>
    </w:p>
    <w:p w:rsidR="001536B2" w:rsidRDefault="00F868F1" w:rsidP="002B2AB9">
      <w:pPr>
        <w:pStyle w:val="Heading2"/>
        <w:rPr>
          <w:lang w:val="en-AU"/>
        </w:rPr>
      </w:pPr>
      <w:r>
        <w:rPr>
          <w:lang w:val="en-AU"/>
        </w:rPr>
        <w:lastRenderedPageBreak/>
        <w:t>B</w:t>
      </w:r>
      <w:r w:rsidR="00A37DE4">
        <w:rPr>
          <w:lang w:val="en-AU"/>
        </w:rPr>
        <w:t>arrier</w:t>
      </w:r>
      <w:r w:rsidR="00071BED">
        <w:rPr>
          <w:lang w:val="en-AU"/>
        </w:rPr>
        <w:t>s to</w:t>
      </w:r>
      <w:r w:rsidR="00373F9C">
        <w:rPr>
          <w:lang w:val="en-AU"/>
        </w:rPr>
        <w:t xml:space="preserve"> </w:t>
      </w:r>
      <w:r w:rsidR="00071BED">
        <w:rPr>
          <w:lang w:val="en-AU"/>
        </w:rPr>
        <w:t xml:space="preserve">getting </w:t>
      </w:r>
      <w:r w:rsidR="00373F9C">
        <w:rPr>
          <w:lang w:val="en-AU"/>
        </w:rPr>
        <w:t>resolutions for small business</w:t>
      </w:r>
    </w:p>
    <w:p w:rsidR="008050DE" w:rsidRDefault="008050DE" w:rsidP="00B721CF">
      <w:pPr>
        <w:pStyle w:val="Heading5"/>
        <w:rPr>
          <w:lang w:val="en-AU"/>
        </w:rPr>
      </w:pPr>
      <w:r>
        <w:rPr>
          <w:lang w:val="en-AU"/>
        </w:rPr>
        <w:t xml:space="preserve">Respondents were asked to </w:t>
      </w:r>
      <w:r w:rsidR="00790611">
        <w:rPr>
          <w:lang w:val="en-AU"/>
        </w:rPr>
        <w:t>add comment</w:t>
      </w:r>
      <w:r w:rsidR="00373F9C">
        <w:rPr>
          <w:lang w:val="en-AU"/>
        </w:rPr>
        <w:t>s</w:t>
      </w:r>
      <w:r w:rsidR="00790611">
        <w:rPr>
          <w:lang w:val="en-AU"/>
        </w:rPr>
        <w:t xml:space="preserve"> to their answer</w:t>
      </w:r>
      <w:r w:rsidR="00373F9C">
        <w:rPr>
          <w:lang w:val="en-AU"/>
        </w:rPr>
        <w:t>s</w:t>
      </w:r>
      <w:r w:rsidR="00790611">
        <w:rPr>
          <w:lang w:val="en-AU"/>
        </w:rPr>
        <w:t xml:space="preserve"> concerning the level of difficulty in getting their issue resolved. </w:t>
      </w:r>
      <w:r w:rsidR="00373F9C">
        <w:rPr>
          <w:lang w:val="en-AU"/>
        </w:rPr>
        <w:t xml:space="preserve">After </w:t>
      </w:r>
      <w:r w:rsidR="00503C09">
        <w:rPr>
          <w:lang w:val="en-AU"/>
        </w:rPr>
        <w:t>reviewing</w:t>
      </w:r>
      <w:r w:rsidR="00373F9C">
        <w:rPr>
          <w:lang w:val="en-AU"/>
        </w:rPr>
        <w:t xml:space="preserve"> these comments</w:t>
      </w:r>
      <w:r w:rsidR="00503C09">
        <w:rPr>
          <w:lang w:val="en-AU"/>
        </w:rPr>
        <w:t xml:space="preserve"> individually</w:t>
      </w:r>
      <w:r w:rsidR="00373F9C">
        <w:rPr>
          <w:lang w:val="en-AU"/>
        </w:rPr>
        <w:t>, th</w:t>
      </w:r>
      <w:r w:rsidR="003835AA">
        <w:rPr>
          <w:lang w:val="en-AU"/>
        </w:rPr>
        <w:t>r</w:t>
      </w:r>
      <w:r w:rsidR="00373F9C">
        <w:rPr>
          <w:lang w:val="en-AU"/>
        </w:rPr>
        <w:t>e</w:t>
      </w:r>
      <w:r w:rsidR="003835AA">
        <w:rPr>
          <w:lang w:val="en-AU"/>
        </w:rPr>
        <w:t>e</w:t>
      </w:r>
      <w:r w:rsidR="00373F9C">
        <w:rPr>
          <w:lang w:val="en-AU"/>
        </w:rPr>
        <w:t xml:space="preserve"> common themes </w:t>
      </w:r>
      <w:r w:rsidR="003835AA">
        <w:rPr>
          <w:lang w:val="en-AU"/>
        </w:rPr>
        <w:t>emerge:</w:t>
      </w:r>
    </w:p>
    <w:p w:rsidR="00B721CF" w:rsidRDefault="00B721CF" w:rsidP="002B2AB9">
      <w:pPr>
        <w:pStyle w:val="Heading3"/>
        <w:rPr>
          <w:lang w:val="en-AU"/>
        </w:rPr>
      </w:pPr>
      <w:r>
        <w:rPr>
          <w:lang w:val="en-AU"/>
        </w:rPr>
        <w:t>Infrastructure</w:t>
      </w:r>
    </w:p>
    <w:p w:rsidR="008029B6" w:rsidRDefault="00F868F1" w:rsidP="00F868F1">
      <w:pPr>
        <w:rPr>
          <w:lang w:val="en-AU"/>
        </w:rPr>
      </w:pPr>
      <w:r w:rsidRPr="00F868F1">
        <w:rPr>
          <w:lang w:val="en-AU"/>
        </w:rPr>
        <w:t xml:space="preserve">Many of the </w:t>
      </w:r>
      <w:r>
        <w:rPr>
          <w:lang w:val="en-AU"/>
        </w:rPr>
        <w:t xml:space="preserve">comments from respondents about the </w:t>
      </w:r>
      <w:r w:rsidR="00373F9C">
        <w:rPr>
          <w:lang w:val="en-AU"/>
        </w:rPr>
        <w:t>difficulties</w:t>
      </w:r>
      <w:r>
        <w:rPr>
          <w:lang w:val="en-AU"/>
        </w:rPr>
        <w:t xml:space="preserve"> faced we</w:t>
      </w:r>
      <w:r w:rsidR="00241417">
        <w:rPr>
          <w:lang w:val="en-AU"/>
        </w:rPr>
        <w:t>re</w:t>
      </w:r>
      <w:r>
        <w:rPr>
          <w:lang w:val="en-AU"/>
        </w:rPr>
        <w:t xml:space="preserve"> about the telecommunications infrastructure</w:t>
      </w:r>
      <w:r w:rsidR="00F06548">
        <w:rPr>
          <w:lang w:val="en-AU"/>
        </w:rPr>
        <w:t xml:space="preserve"> experienced</w:t>
      </w:r>
      <w:r>
        <w:rPr>
          <w:lang w:val="en-AU"/>
        </w:rPr>
        <w:t xml:space="preserve">. </w:t>
      </w:r>
      <w:r w:rsidR="00FB3E33">
        <w:rPr>
          <w:lang w:val="en-AU"/>
        </w:rPr>
        <w:t>Samples of the comments include</w:t>
      </w:r>
      <w:r>
        <w:rPr>
          <w:lang w:val="en-AU"/>
        </w:rPr>
        <w:t>;</w:t>
      </w:r>
    </w:p>
    <w:tbl>
      <w:tblPr>
        <w:tblStyle w:val="TableGrid"/>
        <w:tblW w:w="0" w:type="auto"/>
        <w:tblLook w:val="04A0" w:firstRow="1" w:lastRow="0" w:firstColumn="1" w:lastColumn="0" w:noHBand="0" w:noVBand="1"/>
      </w:tblPr>
      <w:tblGrid>
        <w:gridCol w:w="1951"/>
        <w:gridCol w:w="7625"/>
      </w:tblGrid>
      <w:tr w:rsidR="00453E94" w:rsidTr="008050DE">
        <w:tc>
          <w:tcPr>
            <w:tcW w:w="1951" w:type="dxa"/>
            <w:shd w:val="clear" w:color="auto" w:fill="C6D9F1" w:themeFill="text2" w:themeFillTint="33"/>
          </w:tcPr>
          <w:p w:rsidR="00453E94" w:rsidRPr="00453E94" w:rsidRDefault="00453E94" w:rsidP="00453E94">
            <w:pPr>
              <w:jc w:val="center"/>
              <w:rPr>
                <w:b/>
                <w:lang w:val="en-AU"/>
              </w:rPr>
            </w:pPr>
            <w:r w:rsidRPr="00453E94">
              <w:rPr>
                <w:b/>
                <w:lang w:val="en-AU"/>
              </w:rPr>
              <w:t>Respondent No.</w:t>
            </w:r>
          </w:p>
        </w:tc>
        <w:tc>
          <w:tcPr>
            <w:tcW w:w="7625" w:type="dxa"/>
            <w:shd w:val="clear" w:color="auto" w:fill="C6D9F1" w:themeFill="text2" w:themeFillTint="33"/>
          </w:tcPr>
          <w:p w:rsidR="00453E94" w:rsidRPr="00453E94" w:rsidRDefault="00453E94" w:rsidP="00F868F1">
            <w:pPr>
              <w:rPr>
                <w:b/>
                <w:lang w:val="en-AU"/>
              </w:rPr>
            </w:pPr>
            <w:r w:rsidRPr="00453E94">
              <w:rPr>
                <w:b/>
                <w:lang w:val="en-AU"/>
              </w:rPr>
              <w:t>Comment</w:t>
            </w:r>
          </w:p>
        </w:tc>
      </w:tr>
      <w:tr w:rsidR="00F868F1" w:rsidTr="00453E94">
        <w:tc>
          <w:tcPr>
            <w:tcW w:w="1951" w:type="dxa"/>
          </w:tcPr>
          <w:p w:rsidR="00F868F1" w:rsidRDefault="00453E94" w:rsidP="00453E94">
            <w:pPr>
              <w:jc w:val="center"/>
              <w:rPr>
                <w:lang w:val="en-AU"/>
              </w:rPr>
            </w:pPr>
            <w:r>
              <w:rPr>
                <w:lang w:val="en-AU"/>
              </w:rPr>
              <w:t>17</w:t>
            </w:r>
          </w:p>
        </w:tc>
        <w:tc>
          <w:tcPr>
            <w:tcW w:w="7625" w:type="dxa"/>
          </w:tcPr>
          <w:p w:rsidR="00F868F1" w:rsidRPr="00865FE6" w:rsidRDefault="00453E94" w:rsidP="00F868F1">
            <w:pPr>
              <w:rPr>
                <w:i/>
                <w:lang w:val="en-AU"/>
              </w:rPr>
            </w:pPr>
            <w:r w:rsidRPr="00865FE6">
              <w:rPr>
                <w:i/>
                <w:lang w:val="en-AU"/>
              </w:rPr>
              <w:t>adsl only option</w:t>
            </w:r>
          </w:p>
        </w:tc>
      </w:tr>
      <w:tr w:rsidR="00F868F1" w:rsidTr="00453E94">
        <w:tc>
          <w:tcPr>
            <w:tcW w:w="1951" w:type="dxa"/>
          </w:tcPr>
          <w:p w:rsidR="00F868F1" w:rsidRDefault="00453E94" w:rsidP="00453E94">
            <w:pPr>
              <w:jc w:val="center"/>
              <w:rPr>
                <w:lang w:val="en-AU"/>
              </w:rPr>
            </w:pPr>
            <w:r>
              <w:rPr>
                <w:lang w:val="en-AU"/>
              </w:rPr>
              <w:t>18</w:t>
            </w:r>
          </w:p>
        </w:tc>
        <w:tc>
          <w:tcPr>
            <w:tcW w:w="7625" w:type="dxa"/>
          </w:tcPr>
          <w:p w:rsidR="00F868F1" w:rsidRPr="00865FE6" w:rsidRDefault="00453E94" w:rsidP="00F868F1">
            <w:pPr>
              <w:rPr>
                <w:i/>
                <w:lang w:val="en-AU"/>
              </w:rPr>
            </w:pPr>
            <w:r w:rsidRPr="00865FE6">
              <w:rPr>
                <w:i/>
                <w:lang w:val="en-AU"/>
              </w:rPr>
              <w:t>have to wait for nbn before any chance of improvement</w:t>
            </w:r>
          </w:p>
        </w:tc>
      </w:tr>
      <w:tr w:rsidR="00F868F1" w:rsidTr="00453E94">
        <w:tc>
          <w:tcPr>
            <w:tcW w:w="1951" w:type="dxa"/>
          </w:tcPr>
          <w:p w:rsidR="00F868F1" w:rsidRDefault="00453E94" w:rsidP="00453E94">
            <w:pPr>
              <w:jc w:val="center"/>
              <w:rPr>
                <w:lang w:val="en-AU"/>
              </w:rPr>
            </w:pPr>
            <w:r>
              <w:rPr>
                <w:lang w:val="en-AU"/>
              </w:rPr>
              <w:t>19</w:t>
            </w:r>
          </w:p>
        </w:tc>
        <w:tc>
          <w:tcPr>
            <w:tcW w:w="7625" w:type="dxa"/>
          </w:tcPr>
          <w:p w:rsidR="00F868F1" w:rsidRPr="00865FE6" w:rsidRDefault="00453E94" w:rsidP="00F868F1">
            <w:pPr>
              <w:rPr>
                <w:i/>
                <w:lang w:val="en-AU"/>
              </w:rPr>
            </w:pPr>
            <w:r w:rsidRPr="00865FE6">
              <w:rPr>
                <w:i/>
                <w:lang w:val="en-AU"/>
              </w:rPr>
              <w:t>distance from exchange is approx. 15km</w:t>
            </w:r>
          </w:p>
        </w:tc>
      </w:tr>
      <w:tr w:rsidR="00F868F1" w:rsidTr="00453E94">
        <w:tc>
          <w:tcPr>
            <w:tcW w:w="1951" w:type="dxa"/>
          </w:tcPr>
          <w:p w:rsidR="00F868F1" w:rsidRDefault="0088050E" w:rsidP="00453E94">
            <w:pPr>
              <w:jc w:val="center"/>
              <w:rPr>
                <w:lang w:val="en-AU"/>
              </w:rPr>
            </w:pPr>
            <w:r>
              <w:rPr>
                <w:lang w:val="en-AU"/>
              </w:rPr>
              <w:t>21</w:t>
            </w:r>
          </w:p>
        </w:tc>
        <w:tc>
          <w:tcPr>
            <w:tcW w:w="7625" w:type="dxa"/>
          </w:tcPr>
          <w:p w:rsidR="00F868F1" w:rsidRPr="00865FE6" w:rsidRDefault="0088050E" w:rsidP="0088050E">
            <w:pPr>
              <w:rPr>
                <w:i/>
                <w:lang w:val="en-AU"/>
              </w:rPr>
            </w:pPr>
            <w:r w:rsidRPr="00865FE6">
              <w:rPr>
                <w:rFonts w:cs="Segoe UI"/>
                <w:i/>
              </w:rPr>
              <w:t>Telstra knows we are in a black spot for mobile reception and we need more towers for nbn wireless  Satellite is cheaper and faster when it is working (affected by weather)  We pay $165/mth Telstra mobile broadband  $55/mth to activ8  Huge cost relative to metro people and very average service ( can't watch movies/no internet tv and on occasions have to drive into town to submit bas returns and do Internet banking)</w:t>
            </w:r>
          </w:p>
        </w:tc>
      </w:tr>
      <w:tr w:rsidR="00F868F1" w:rsidTr="00453E94">
        <w:tc>
          <w:tcPr>
            <w:tcW w:w="1951" w:type="dxa"/>
          </w:tcPr>
          <w:p w:rsidR="00F868F1" w:rsidRDefault="00453E94" w:rsidP="00453E94">
            <w:pPr>
              <w:jc w:val="center"/>
              <w:rPr>
                <w:lang w:val="en-AU"/>
              </w:rPr>
            </w:pPr>
            <w:r>
              <w:rPr>
                <w:lang w:val="en-AU"/>
              </w:rPr>
              <w:t>23</w:t>
            </w:r>
          </w:p>
        </w:tc>
        <w:tc>
          <w:tcPr>
            <w:tcW w:w="7625" w:type="dxa"/>
          </w:tcPr>
          <w:p w:rsidR="00F868F1" w:rsidRPr="00865FE6" w:rsidRDefault="00453E94" w:rsidP="00453E94">
            <w:pPr>
              <w:rPr>
                <w:i/>
                <w:lang w:val="en-AU"/>
              </w:rPr>
            </w:pPr>
            <w:r w:rsidRPr="00865FE6">
              <w:rPr>
                <w:rFonts w:cs="Segoe UI"/>
                <w:i/>
              </w:rPr>
              <w:t xml:space="preserve">Have had </w:t>
            </w:r>
            <w:r w:rsidR="00FE5355" w:rsidRPr="00865FE6">
              <w:rPr>
                <w:rFonts w:cs="Segoe UI"/>
                <w:i/>
              </w:rPr>
              <w:t>Telstra</w:t>
            </w:r>
            <w:r w:rsidRPr="00865FE6">
              <w:rPr>
                <w:rFonts w:cs="Segoe UI"/>
                <w:i/>
              </w:rPr>
              <w:t xml:space="preserve"> here on several </w:t>
            </w:r>
            <w:r w:rsidR="00FE5355" w:rsidRPr="00865FE6">
              <w:rPr>
                <w:rFonts w:cs="Segoe UI"/>
                <w:i/>
              </w:rPr>
              <w:t>occasions</w:t>
            </w:r>
            <w:r w:rsidRPr="00865FE6">
              <w:rPr>
                <w:rFonts w:cs="Segoe UI"/>
                <w:i/>
              </w:rPr>
              <w:t xml:space="preserve"> &amp; the problem is never really fixed as its the old lines that get moisture in them.  Lines need to be upgraded or we need to be on NBN list ASAP.</w:t>
            </w:r>
          </w:p>
        </w:tc>
      </w:tr>
      <w:tr w:rsidR="00F868F1" w:rsidTr="00453E94">
        <w:tc>
          <w:tcPr>
            <w:tcW w:w="1951" w:type="dxa"/>
          </w:tcPr>
          <w:p w:rsidR="00F868F1" w:rsidRDefault="008050DE" w:rsidP="00453E94">
            <w:pPr>
              <w:jc w:val="center"/>
              <w:rPr>
                <w:lang w:val="en-AU"/>
              </w:rPr>
            </w:pPr>
            <w:r>
              <w:rPr>
                <w:lang w:val="en-AU"/>
              </w:rPr>
              <w:t>41</w:t>
            </w:r>
          </w:p>
        </w:tc>
        <w:tc>
          <w:tcPr>
            <w:tcW w:w="7625" w:type="dxa"/>
          </w:tcPr>
          <w:p w:rsidR="008050DE" w:rsidRPr="00865FE6" w:rsidRDefault="008050DE" w:rsidP="00F868F1">
            <w:pPr>
              <w:rPr>
                <w:i/>
                <w:lang w:val="en-AU"/>
              </w:rPr>
            </w:pPr>
            <w:r w:rsidRPr="00865FE6">
              <w:rPr>
                <w:i/>
                <w:lang w:val="en-AU"/>
              </w:rPr>
              <w:t>Did apply twice for ADSL Internet on farm but was told there are not enough Telstra Internet Ports available in my area.</w:t>
            </w:r>
          </w:p>
        </w:tc>
      </w:tr>
      <w:tr w:rsidR="008050DE" w:rsidTr="00453E94">
        <w:tc>
          <w:tcPr>
            <w:tcW w:w="1951" w:type="dxa"/>
          </w:tcPr>
          <w:p w:rsidR="008050DE" w:rsidRDefault="008050DE" w:rsidP="00453E94">
            <w:pPr>
              <w:jc w:val="center"/>
              <w:rPr>
                <w:lang w:val="en-AU"/>
              </w:rPr>
            </w:pPr>
            <w:r>
              <w:rPr>
                <w:lang w:val="en-AU"/>
              </w:rPr>
              <w:t>45</w:t>
            </w:r>
          </w:p>
        </w:tc>
        <w:tc>
          <w:tcPr>
            <w:tcW w:w="7625" w:type="dxa"/>
          </w:tcPr>
          <w:p w:rsidR="008050DE" w:rsidRPr="00865FE6" w:rsidRDefault="008050DE" w:rsidP="00F868F1">
            <w:pPr>
              <w:rPr>
                <w:i/>
                <w:lang w:val="en-AU"/>
              </w:rPr>
            </w:pPr>
            <w:r w:rsidRPr="00865FE6">
              <w:rPr>
                <w:i/>
                <w:lang w:val="en-AU"/>
              </w:rPr>
              <w:t>Poor NBN and Telstra coverage. That said Optus coverage is worse and Vodo non-existent.</w:t>
            </w:r>
          </w:p>
        </w:tc>
      </w:tr>
      <w:tr w:rsidR="008050DE" w:rsidTr="00453E94">
        <w:tc>
          <w:tcPr>
            <w:tcW w:w="1951" w:type="dxa"/>
          </w:tcPr>
          <w:p w:rsidR="008050DE" w:rsidRDefault="008050DE" w:rsidP="00453E94">
            <w:pPr>
              <w:jc w:val="center"/>
              <w:rPr>
                <w:lang w:val="en-AU"/>
              </w:rPr>
            </w:pPr>
            <w:r>
              <w:rPr>
                <w:lang w:val="en-AU"/>
              </w:rPr>
              <w:t>96</w:t>
            </w:r>
          </w:p>
        </w:tc>
        <w:tc>
          <w:tcPr>
            <w:tcW w:w="7625" w:type="dxa"/>
          </w:tcPr>
          <w:p w:rsidR="008050DE" w:rsidRPr="00865FE6" w:rsidRDefault="008050DE" w:rsidP="00F868F1">
            <w:pPr>
              <w:rPr>
                <w:i/>
                <w:lang w:val="en-AU"/>
              </w:rPr>
            </w:pPr>
            <w:r w:rsidRPr="00865FE6">
              <w:rPr>
                <w:i/>
                <w:lang w:val="en-AU"/>
              </w:rPr>
              <w:t>Providers unable to provide fixed broadband due to insufficient capacity at the exchange (?) NBN have advised a significant delay to our address due to 'heritage' issues.</w:t>
            </w:r>
          </w:p>
        </w:tc>
      </w:tr>
    </w:tbl>
    <w:p w:rsidR="00F868F1" w:rsidRPr="00F868F1" w:rsidRDefault="00F868F1" w:rsidP="00F868F1">
      <w:pPr>
        <w:rPr>
          <w:lang w:val="en-AU"/>
        </w:rPr>
      </w:pPr>
    </w:p>
    <w:p w:rsidR="008050DE" w:rsidRDefault="00EC15C7" w:rsidP="002B2AB9">
      <w:pPr>
        <w:pStyle w:val="Heading3"/>
      </w:pPr>
      <w:r>
        <w:t xml:space="preserve">Committing </w:t>
      </w:r>
      <w:r w:rsidR="008050DE">
        <w:t>Resources</w:t>
      </w:r>
    </w:p>
    <w:p w:rsidR="00865FE6" w:rsidRPr="00865FE6" w:rsidRDefault="00373F9C" w:rsidP="00865FE6">
      <w:r>
        <w:t>There were several comments regarding the commitment of resources to fix the issues and the associated costs to business. Some of the comments include;</w:t>
      </w:r>
    </w:p>
    <w:tbl>
      <w:tblPr>
        <w:tblStyle w:val="TableGrid"/>
        <w:tblW w:w="0" w:type="auto"/>
        <w:tblLook w:val="04A0" w:firstRow="1" w:lastRow="0" w:firstColumn="1" w:lastColumn="0" w:noHBand="0" w:noVBand="1"/>
      </w:tblPr>
      <w:tblGrid>
        <w:gridCol w:w="1951"/>
        <w:gridCol w:w="7625"/>
      </w:tblGrid>
      <w:tr w:rsidR="008050DE" w:rsidTr="008050DE">
        <w:tc>
          <w:tcPr>
            <w:tcW w:w="1951" w:type="dxa"/>
            <w:shd w:val="clear" w:color="auto" w:fill="C6D9F1" w:themeFill="text2" w:themeFillTint="33"/>
          </w:tcPr>
          <w:p w:rsidR="008050DE" w:rsidRPr="00453E94" w:rsidRDefault="008050DE" w:rsidP="008050DE">
            <w:pPr>
              <w:jc w:val="center"/>
              <w:rPr>
                <w:b/>
                <w:lang w:val="en-AU"/>
              </w:rPr>
            </w:pPr>
            <w:r w:rsidRPr="00453E94">
              <w:rPr>
                <w:b/>
                <w:lang w:val="en-AU"/>
              </w:rPr>
              <w:t>Respondent No.</w:t>
            </w:r>
          </w:p>
        </w:tc>
        <w:tc>
          <w:tcPr>
            <w:tcW w:w="7625" w:type="dxa"/>
            <w:shd w:val="clear" w:color="auto" w:fill="C6D9F1" w:themeFill="text2" w:themeFillTint="33"/>
          </w:tcPr>
          <w:p w:rsidR="008050DE" w:rsidRPr="00453E94" w:rsidRDefault="008050DE" w:rsidP="008050DE">
            <w:pPr>
              <w:rPr>
                <w:b/>
                <w:lang w:val="en-AU"/>
              </w:rPr>
            </w:pPr>
            <w:r w:rsidRPr="00453E94">
              <w:rPr>
                <w:b/>
                <w:lang w:val="en-AU"/>
              </w:rPr>
              <w:t>Comment</w:t>
            </w:r>
          </w:p>
        </w:tc>
      </w:tr>
      <w:tr w:rsidR="008050DE" w:rsidTr="008050DE">
        <w:tc>
          <w:tcPr>
            <w:tcW w:w="1951" w:type="dxa"/>
          </w:tcPr>
          <w:p w:rsidR="008050DE" w:rsidRDefault="00790611" w:rsidP="008050DE">
            <w:pPr>
              <w:jc w:val="center"/>
              <w:rPr>
                <w:lang w:val="en-AU"/>
              </w:rPr>
            </w:pPr>
            <w:r>
              <w:rPr>
                <w:lang w:val="en-AU"/>
              </w:rPr>
              <w:t>26</w:t>
            </w:r>
          </w:p>
        </w:tc>
        <w:tc>
          <w:tcPr>
            <w:tcW w:w="7625" w:type="dxa"/>
          </w:tcPr>
          <w:p w:rsidR="008050DE" w:rsidRPr="00865FE6" w:rsidRDefault="00790611" w:rsidP="00790611">
            <w:pPr>
              <w:rPr>
                <w:i/>
                <w:lang w:val="en-AU"/>
              </w:rPr>
            </w:pPr>
            <w:r w:rsidRPr="00865FE6">
              <w:rPr>
                <w:rFonts w:cs="Segoe UI"/>
                <w:i/>
              </w:rPr>
              <w:t xml:space="preserve">At times a private technician is required at great cost to fix the problem. The down  time to the business is also an expense.   </w:t>
            </w:r>
          </w:p>
        </w:tc>
      </w:tr>
      <w:tr w:rsidR="008050DE" w:rsidTr="008050DE">
        <w:tc>
          <w:tcPr>
            <w:tcW w:w="1951" w:type="dxa"/>
          </w:tcPr>
          <w:p w:rsidR="008050DE" w:rsidRDefault="00790611" w:rsidP="008050DE">
            <w:pPr>
              <w:jc w:val="center"/>
              <w:rPr>
                <w:lang w:val="en-AU"/>
              </w:rPr>
            </w:pPr>
            <w:r>
              <w:rPr>
                <w:lang w:val="en-AU"/>
              </w:rPr>
              <w:t>83</w:t>
            </w:r>
          </w:p>
        </w:tc>
        <w:tc>
          <w:tcPr>
            <w:tcW w:w="7625" w:type="dxa"/>
          </w:tcPr>
          <w:p w:rsidR="008050DE" w:rsidRPr="00865FE6" w:rsidRDefault="00790611" w:rsidP="008050DE">
            <w:pPr>
              <w:rPr>
                <w:i/>
                <w:lang w:val="en-AU"/>
              </w:rPr>
            </w:pPr>
            <w:r w:rsidRPr="00865FE6">
              <w:rPr>
                <w:i/>
                <w:lang w:val="en-AU"/>
              </w:rPr>
              <w:t>Pay the $3000 they want to run a 6 foot cable to out building for NBN!!</w:t>
            </w:r>
          </w:p>
        </w:tc>
      </w:tr>
      <w:tr w:rsidR="008050DE" w:rsidTr="008050DE">
        <w:tc>
          <w:tcPr>
            <w:tcW w:w="1951" w:type="dxa"/>
          </w:tcPr>
          <w:p w:rsidR="008050DE" w:rsidRDefault="007019FB" w:rsidP="008050DE">
            <w:pPr>
              <w:jc w:val="center"/>
              <w:rPr>
                <w:lang w:val="en-AU"/>
              </w:rPr>
            </w:pPr>
            <w:r>
              <w:rPr>
                <w:lang w:val="en-AU"/>
              </w:rPr>
              <w:t>94</w:t>
            </w:r>
          </w:p>
        </w:tc>
        <w:tc>
          <w:tcPr>
            <w:tcW w:w="7625" w:type="dxa"/>
          </w:tcPr>
          <w:p w:rsidR="008050DE" w:rsidRPr="00865FE6" w:rsidRDefault="007019FB" w:rsidP="007019FB">
            <w:pPr>
              <w:rPr>
                <w:i/>
                <w:lang w:val="en-AU"/>
              </w:rPr>
            </w:pPr>
            <w:r w:rsidRPr="00865FE6">
              <w:rPr>
                <w:rFonts w:cs="Segoe UI"/>
                <w:i/>
              </w:rPr>
              <w:t>Up</w:t>
            </w:r>
            <w:r w:rsidR="00EC15C7" w:rsidRPr="00865FE6">
              <w:rPr>
                <w:rFonts w:cs="Segoe UI"/>
                <w:i/>
              </w:rPr>
              <w:t xml:space="preserve"> </w:t>
            </w:r>
            <w:r w:rsidRPr="00865FE6">
              <w:rPr>
                <w:rFonts w:cs="Segoe UI"/>
                <w:i/>
              </w:rPr>
              <w:t>to about 30min to 3hrs on the phone too service provider to sort out issues each time called.</w:t>
            </w:r>
          </w:p>
        </w:tc>
      </w:tr>
    </w:tbl>
    <w:p w:rsidR="008050DE" w:rsidRDefault="008050DE" w:rsidP="008050DE"/>
    <w:p w:rsidR="00BB39E6" w:rsidRDefault="00BB39E6" w:rsidP="002B2AB9">
      <w:pPr>
        <w:pStyle w:val="Heading3"/>
      </w:pPr>
    </w:p>
    <w:p w:rsidR="003D0862" w:rsidRDefault="003D0862" w:rsidP="002B2AB9">
      <w:pPr>
        <w:pStyle w:val="Heading3"/>
      </w:pPr>
      <w:r>
        <w:t>Frustration</w:t>
      </w:r>
    </w:p>
    <w:p w:rsidR="00865FE6" w:rsidRPr="00865FE6" w:rsidRDefault="00373F9C" w:rsidP="00865FE6">
      <w:r>
        <w:t>A number of respondents expressed their frustrations in resolving their issues.  These concerns include;</w:t>
      </w:r>
    </w:p>
    <w:tbl>
      <w:tblPr>
        <w:tblStyle w:val="TableGrid"/>
        <w:tblW w:w="0" w:type="auto"/>
        <w:tblLook w:val="04A0" w:firstRow="1" w:lastRow="0" w:firstColumn="1" w:lastColumn="0" w:noHBand="0" w:noVBand="1"/>
      </w:tblPr>
      <w:tblGrid>
        <w:gridCol w:w="1951"/>
        <w:gridCol w:w="7625"/>
      </w:tblGrid>
      <w:tr w:rsidR="00373F9C" w:rsidTr="00373F9C">
        <w:tc>
          <w:tcPr>
            <w:tcW w:w="1951" w:type="dxa"/>
            <w:shd w:val="clear" w:color="auto" w:fill="C6D9F1" w:themeFill="text2" w:themeFillTint="33"/>
          </w:tcPr>
          <w:p w:rsidR="00373F9C" w:rsidRPr="00453E94" w:rsidRDefault="00373F9C" w:rsidP="00FE59EF">
            <w:pPr>
              <w:jc w:val="center"/>
              <w:rPr>
                <w:b/>
                <w:lang w:val="en-AU"/>
              </w:rPr>
            </w:pPr>
            <w:r w:rsidRPr="00453E94">
              <w:rPr>
                <w:b/>
                <w:lang w:val="en-AU"/>
              </w:rPr>
              <w:t>Respondent No.</w:t>
            </w:r>
          </w:p>
        </w:tc>
        <w:tc>
          <w:tcPr>
            <w:tcW w:w="7625" w:type="dxa"/>
            <w:shd w:val="clear" w:color="auto" w:fill="C6D9F1" w:themeFill="text2" w:themeFillTint="33"/>
          </w:tcPr>
          <w:p w:rsidR="00373F9C" w:rsidRPr="00453E94" w:rsidRDefault="00373F9C" w:rsidP="00FE59EF">
            <w:pPr>
              <w:rPr>
                <w:b/>
                <w:lang w:val="en-AU"/>
              </w:rPr>
            </w:pPr>
            <w:r w:rsidRPr="00453E94">
              <w:rPr>
                <w:b/>
                <w:lang w:val="en-AU"/>
              </w:rPr>
              <w:t>Comment</w:t>
            </w:r>
          </w:p>
        </w:tc>
      </w:tr>
      <w:tr w:rsidR="00865FE6" w:rsidRPr="008050DE" w:rsidTr="00FE59EF">
        <w:tc>
          <w:tcPr>
            <w:tcW w:w="1951" w:type="dxa"/>
          </w:tcPr>
          <w:p w:rsidR="00865FE6" w:rsidRDefault="00865FE6" w:rsidP="00FE59EF">
            <w:pPr>
              <w:jc w:val="center"/>
              <w:rPr>
                <w:lang w:val="en-AU"/>
              </w:rPr>
            </w:pPr>
            <w:r>
              <w:rPr>
                <w:lang w:val="en-AU"/>
              </w:rPr>
              <w:t>36</w:t>
            </w:r>
          </w:p>
        </w:tc>
        <w:tc>
          <w:tcPr>
            <w:tcW w:w="7625" w:type="dxa"/>
          </w:tcPr>
          <w:p w:rsidR="00865FE6" w:rsidRPr="00865FE6" w:rsidRDefault="00865FE6" w:rsidP="00865FE6">
            <w:pPr>
              <w:rPr>
                <w:i/>
                <w:lang w:val="en-AU"/>
              </w:rPr>
            </w:pPr>
            <w:r w:rsidRPr="00865FE6">
              <w:rPr>
                <w:rFonts w:cs="Segoe UI"/>
                <w:i/>
              </w:rPr>
              <w:t xml:space="preserve">Telstra staff had difficult to understand Indian accents and had no </w:t>
            </w:r>
            <w:r w:rsidR="00FE5355" w:rsidRPr="00865FE6">
              <w:rPr>
                <w:rFonts w:cs="Segoe UI"/>
                <w:i/>
              </w:rPr>
              <w:t>understanding</w:t>
            </w:r>
            <w:r w:rsidRPr="00865FE6">
              <w:rPr>
                <w:rFonts w:cs="Segoe UI"/>
                <w:i/>
              </w:rPr>
              <w:t xml:space="preserve"> of our Australian rural situation, and kept offering deals on mobile phones, they couldn't grasp that we don't have mobile cover.</w:t>
            </w:r>
            <w:r w:rsidR="00373F9C">
              <w:rPr>
                <w:rFonts w:cs="Segoe UI"/>
                <w:i/>
              </w:rPr>
              <w:t xml:space="preserve"> </w:t>
            </w:r>
            <w:r w:rsidRPr="00865FE6">
              <w:rPr>
                <w:rFonts w:cs="Segoe UI"/>
                <w:i/>
              </w:rPr>
              <w:t>We had the full run around until we were at length referred to a Melbourne telephone number from some belated and slow action was finally obtained.</w:t>
            </w:r>
          </w:p>
        </w:tc>
      </w:tr>
      <w:tr w:rsidR="00865FE6" w:rsidRPr="008050DE" w:rsidTr="00FE59EF">
        <w:tc>
          <w:tcPr>
            <w:tcW w:w="1951" w:type="dxa"/>
          </w:tcPr>
          <w:p w:rsidR="00865FE6" w:rsidRDefault="00865FE6" w:rsidP="00FE59EF">
            <w:pPr>
              <w:jc w:val="center"/>
              <w:rPr>
                <w:lang w:val="en-AU"/>
              </w:rPr>
            </w:pPr>
            <w:r>
              <w:rPr>
                <w:lang w:val="en-AU"/>
              </w:rPr>
              <w:t>85</w:t>
            </w:r>
          </w:p>
        </w:tc>
        <w:tc>
          <w:tcPr>
            <w:tcW w:w="7625" w:type="dxa"/>
          </w:tcPr>
          <w:p w:rsidR="00865FE6" w:rsidRPr="00865FE6" w:rsidRDefault="00865FE6" w:rsidP="00865FE6">
            <w:pPr>
              <w:rPr>
                <w:i/>
                <w:lang w:val="en-AU"/>
              </w:rPr>
            </w:pPr>
            <w:r w:rsidRPr="00865FE6">
              <w:rPr>
                <w:rFonts w:cs="Segoe UI"/>
                <w:i/>
              </w:rPr>
              <w:t>Phone can be out for days as there is no technician I. Our area 4 - 10 days. Internet can be very slow or all data eaten up? Not much help from company</w:t>
            </w:r>
          </w:p>
        </w:tc>
      </w:tr>
      <w:tr w:rsidR="00373F9C" w:rsidRPr="008050DE" w:rsidTr="00FE59EF">
        <w:tc>
          <w:tcPr>
            <w:tcW w:w="1951" w:type="dxa"/>
          </w:tcPr>
          <w:p w:rsidR="00373F9C" w:rsidRDefault="00373F9C" w:rsidP="00FE59EF">
            <w:pPr>
              <w:jc w:val="center"/>
              <w:rPr>
                <w:lang w:val="en-AU"/>
              </w:rPr>
            </w:pPr>
            <w:r>
              <w:rPr>
                <w:lang w:val="en-AU"/>
              </w:rPr>
              <w:t>86</w:t>
            </w:r>
          </w:p>
        </w:tc>
        <w:tc>
          <w:tcPr>
            <w:tcW w:w="7625" w:type="dxa"/>
          </w:tcPr>
          <w:p w:rsidR="00373F9C" w:rsidRPr="00373F9C" w:rsidRDefault="00373F9C" w:rsidP="00373F9C">
            <w:pPr>
              <w:rPr>
                <w:rFonts w:ascii="Segoe UI" w:hAnsi="Segoe UI" w:cs="Segoe UI"/>
                <w:i/>
                <w:sz w:val="20"/>
                <w:szCs w:val="20"/>
              </w:rPr>
            </w:pPr>
            <w:r w:rsidRPr="00373F9C">
              <w:rPr>
                <w:rFonts w:ascii="Segoe UI" w:hAnsi="Segoe UI" w:cs="Segoe UI"/>
                <w:i/>
                <w:sz w:val="20"/>
                <w:szCs w:val="20"/>
              </w:rPr>
              <w:t>I couldn't resolve it - we get told it's the area... well know problem around here!</w:t>
            </w:r>
          </w:p>
        </w:tc>
      </w:tr>
      <w:tr w:rsidR="00373F9C" w:rsidRPr="008050DE" w:rsidTr="00FE59EF">
        <w:tc>
          <w:tcPr>
            <w:tcW w:w="1951" w:type="dxa"/>
          </w:tcPr>
          <w:p w:rsidR="00373F9C" w:rsidRDefault="00373F9C" w:rsidP="00FE59EF">
            <w:pPr>
              <w:jc w:val="center"/>
              <w:rPr>
                <w:lang w:val="en-AU"/>
              </w:rPr>
            </w:pPr>
            <w:r>
              <w:rPr>
                <w:lang w:val="en-AU"/>
              </w:rPr>
              <w:t>100</w:t>
            </w:r>
          </w:p>
        </w:tc>
        <w:tc>
          <w:tcPr>
            <w:tcW w:w="7625" w:type="dxa"/>
          </w:tcPr>
          <w:p w:rsidR="00373F9C" w:rsidRPr="00373F9C" w:rsidRDefault="00373F9C" w:rsidP="00373F9C">
            <w:pPr>
              <w:rPr>
                <w:rFonts w:cs="Segoe UI"/>
                <w:i/>
              </w:rPr>
            </w:pPr>
            <w:r w:rsidRPr="00373F9C">
              <w:rPr>
                <w:rFonts w:ascii="Segoe UI" w:hAnsi="Segoe UI" w:cs="Segoe UI"/>
                <w:i/>
                <w:sz w:val="20"/>
                <w:szCs w:val="20"/>
              </w:rPr>
              <w:t>Wait it out</w:t>
            </w:r>
          </w:p>
        </w:tc>
      </w:tr>
    </w:tbl>
    <w:p w:rsidR="00EE056B" w:rsidRDefault="00EE056B" w:rsidP="00EE056B"/>
    <w:p w:rsidR="008050DE" w:rsidRPr="00EE056B" w:rsidRDefault="00EE056B" w:rsidP="00EE056B">
      <w:r>
        <w:t xml:space="preserve">These barriers </w:t>
      </w:r>
      <w:r w:rsidR="00D1655D">
        <w:t xml:space="preserve">can </w:t>
      </w:r>
      <w:r w:rsidR="00BB39E6">
        <w:t>often</w:t>
      </w:r>
      <w:r>
        <w:t xml:space="preserve"> lead small business operators to abandon the complaint, or to work around the issue. </w:t>
      </w:r>
      <w:r w:rsidR="00D1655D">
        <w:t xml:space="preserve">As </w:t>
      </w:r>
      <w:r w:rsidR="00E87831">
        <w:t xml:space="preserve">Respondent 21 </w:t>
      </w:r>
      <w:r>
        <w:t>stated “</w:t>
      </w:r>
      <w:r w:rsidRPr="00865FE6">
        <w:rPr>
          <w:rFonts w:cs="Segoe UI"/>
          <w:i/>
        </w:rPr>
        <w:t xml:space="preserve">on occasions have to drive into town to submit bas </w:t>
      </w:r>
      <w:r>
        <w:rPr>
          <w:rFonts w:cs="Segoe UI"/>
          <w:i/>
        </w:rPr>
        <w:t>returns and do Internet banking”</w:t>
      </w:r>
      <w:r w:rsidR="00D1655D">
        <w:rPr>
          <w:rFonts w:cs="Segoe UI"/>
          <w:i/>
        </w:rPr>
        <w:t>.</w:t>
      </w:r>
      <w:r>
        <w:rPr>
          <w:rFonts w:cs="Segoe UI"/>
          <w:i/>
        </w:rPr>
        <w:t xml:space="preserve"> </w:t>
      </w:r>
      <w:r>
        <w:rPr>
          <w:rFonts w:cs="Segoe UI"/>
        </w:rPr>
        <w:t xml:space="preserve">This is not an ideal business practice, however the banking and BAS returns get done, at the expense of time and money that </w:t>
      </w:r>
      <w:r w:rsidRPr="00D1655D">
        <w:rPr>
          <w:rFonts w:cs="Segoe UI"/>
        </w:rPr>
        <w:t>could</w:t>
      </w:r>
      <w:r>
        <w:rPr>
          <w:rFonts w:cs="Segoe UI"/>
        </w:rPr>
        <w:t xml:space="preserve"> have been better used on revenue earning activities.</w:t>
      </w:r>
    </w:p>
    <w:p w:rsidR="00503C09" w:rsidRDefault="00503C09">
      <w:pPr>
        <w:rPr>
          <w:rFonts w:asciiTheme="majorHAnsi" w:eastAsiaTheme="majorEastAsia" w:hAnsiTheme="majorHAnsi" w:cstheme="majorBidi"/>
          <w:b/>
          <w:bCs/>
          <w:color w:val="4F81BD" w:themeColor="accent1"/>
          <w:sz w:val="26"/>
          <w:szCs w:val="26"/>
          <w:lang w:val="en-AU"/>
        </w:rPr>
      </w:pPr>
      <w:r>
        <w:rPr>
          <w:lang w:val="en-AU"/>
        </w:rPr>
        <w:br w:type="page"/>
      </w:r>
    </w:p>
    <w:p w:rsidR="00777A18" w:rsidRDefault="00777A18" w:rsidP="00054543">
      <w:pPr>
        <w:pStyle w:val="Heading2"/>
        <w:rPr>
          <w:lang w:val="en-AU"/>
        </w:rPr>
      </w:pPr>
      <w:r>
        <w:rPr>
          <w:lang w:val="en-AU"/>
        </w:rPr>
        <w:lastRenderedPageBreak/>
        <w:t>Use of telecommunications</w:t>
      </w:r>
    </w:p>
    <w:p w:rsidR="0048352B" w:rsidRPr="0048352B" w:rsidRDefault="0048352B" w:rsidP="0048352B">
      <w:pPr>
        <w:rPr>
          <w:lang w:val="en-AU"/>
        </w:rPr>
      </w:pPr>
    </w:p>
    <w:p w:rsidR="008A270F" w:rsidRDefault="00514268" w:rsidP="00777A18">
      <w:pPr>
        <w:rPr>
          <w:lang w:val="en-AU"/>
        </w:rPr>
      </w:pPr>
      <w:r>
        <w:rPr>
          <w:noProof/>
        </w:rPr>
        <w:drawing>
          <wp:inline distT="0" distB="0" distL="0" distR="0" wp14:anchorId="7D20BF50" wp14:editId="6C586D73">
            <wp:extent cx="5943600" cy="4255135"/>
            <wp:effectExtent l="0" t="0" r="19050" b="12065"/>
            <wp:docPr id="3" name="Chart 3" descr="Graph showing results where respondents were allowed multiple responses - Fixed line phone 76, mobile phone 93, fixed broadband 54, mobile broadband 41, satellite phone 2, satellite broadband 22, fixed wireless phone 6, fixed wireless broadband 14, EFTPOS 17 &amp; WiFi 53" title="Graph - Types of communication services used for your small busines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4268" w:rsidRPr="00E20F71" w:rsidRDefault="00514268" w:rsidP="00514268">
      <w:pPr>
        <w:jc w:val="right"/>
        <w:rPr>
          <w:sz w:val="16"/>
          <w:szCs w:val="16"/>
          <w:lang w:val="en-AU"/>
        </w:rPr>
      </w:pPr>
      <w:r w:rsidRPr="00E20F71">
        <w:rPr>
          <w:sz w:val="16"/>
          <w:szCs w:val="16"/>
          <w:lang w:val="en-AU"/>
        </w:rPr>
        <w:t>Respondents were allowed multiple responses.</w:t>
      </w:r>
    </w:p>
    <w:p w:rsidR="007D0FA9" w:rsidRDefault="00777A18" w:rsidP="00777A18">
      <w:pPr>
        <w:rPr>
          <w:lang w:val="en-AU"/>
        </w:rPr>
      </w:pPr>
      <w:r>
        <w:rPr>
          <w:lang w:val="en-AU"/>
        </w:rPr>
        <w:t xml:space="preserve">Small businesses typically use a mix of </w:t>
      </w:r>
      <w:r w:rsidR="007D0FA9">
        <w:rPr>
          <w:lang w:val="en-AU"/>
        </w:rPr>
        <w:t xml:space="preserve">telecommunications </w:t>
      </w:r>
      <w:r>
        <w:rPr>
          <w:lang w:val="en-AU"/>
        </w:rPr>
        <w:t xml:space="preserve">services to run their business. </w:t>
      </w:r>
      <w:r w:rsidR="00F139F9">
        <w:rPr>
          <w:lang w:val="en-AU"/>
        </w:rPr>
        <w:t xml:space="preserve">A notable outcome of the Survey is that there is a </w:t>
      </w:r>
      <w:r>
        <w:rPr>
          <w:lang w:val="en-AU"/>
        </w:rPr>
        <w:t xml:space="preserve">heavy </w:t>
      </w:r>
      <w:r w:rsidR="0008315C">
        <w:rPr>
          <w:lang w:val="en-AU"/>
        </w:rPr>
        <w:t>use</w:t>
      </w:r>
      <w:r>
        <w:rPr>
          <w:lang w:val="en-AU"/>
        </w:rPr>
        <w:t xml:space="preserve"> </w:t>
      </w:r>
      <w:r w:rsidR="0008315C">
        <w:rPr>
          <w:lang w:val="en-AU"/>
        </w:rPr>
        <w:t xml:space="preserve">of </w:t>
      </w:r>
      <w:r>
        <w:rPr>
          <w:lang w:val="en-AU"/>
        </w:rPr>
        <w:t>mobile phone networks</w:t>
      </w:r>
      <w:r w:rsidR="0008315C">
        <w:rPr>
          <w:lang w:val="en-AU"/>
        </w:rPr>
        <w:t>,</w:t>
      </w:r>
      <w:r w:rsidR="003262DE">
        <w:rPr>
          <w:lang w:val="en-AU"/>
        </w:rPr>
        <w:t xml:space="preserve"> with</w:t>
      </w:r>
      <w:r w:rsidR="002805E0">
        <w:rPr>
          <w:lang w:val="en-AU"/>
        </w:rPr>
        <w:t xml:space="preserve"> 93</w:t>
      </w:r>
      <w:r w:rsidR="00514268">
        <w:rPr>
          <w:lang w:val="en-AU"/>
        </w:rPr>
        <w:t xml:space="preserve"> out of 100</w:t>
      </w:r>
      <w:r w:rsidR="002805E0">
        <w:rPr>
          <w:lang w:val="en-AU"/>
        </w:rPr>
        <w:t xml:space="preserve"> respondents</w:t>
      </w:r>
      <w:r w:rsidR="003262DE">
        <w:rPr>
          <w:lang w:val="en-AU"/>
        </w:rPr>
        <w:t xml:space="preserve"> </w:t>
      </w:r>
      <w:r w:rsidR="007D0FA9">
        <w:rPr>
          <w:lang w:val="en-AU"/>
        </w:rPr>
        <w:t>indicat</w:t>
      </w:r>
      <w:r w:rsidR="0078670E">
        <w:rPr>
          <w:lang w:val="en-AU"/>
        </w:rPr>
        <w:t>ing</w:t>
      </w:r>
      <w:r w:rsidR="007D0FA9">
        <w:rPr>
          <w:lang w:val="en-AU"/>
        </w:rPr>
        <w:t xml:space="preserve"> that they use a </w:t>
      </w:r>
      <w:r w:rsidR="003262DE">
        <w:rPr>
          <w:lang w:val="en-AU"/>
        </w:rPr>
        <w:t>mobile phone</w:t>
      </w:r>
      <w:r w:rsidR="0008315C">
        <w:rPr>
          <w:lang w:val="en-AU"/>
        </w:rPr>
        <w:t xml:space="preserve"> for their business</w:t>
      </w:r>
      <w:r w:rsidR="003262DE">
        <w:rPr>
          <w:lang w:val="en-AU"/>
        </w:rPr>
        <w:t>.</w:t>
      </w:r>
      <w:r>
        <w:rPr>
          <w:lang w:val="en-AU"/>
        </w:rPr>
        <w:t xml:space="preserve"> </w:t>
      </w:r>
      <w:r w:rsidR="002167A8">
        <w:rPr>
          <w:lang w:val="en-AU"/>
        </w:rPr>
        <w:t xml:space="preserve">This is not surprising given the </w:t>
      </w:r>
      <w:r w:rsidR="00D1655D">
        <w:rPr>
          <w:lang w:val="en-AU"/>
        </w:rPr>
        <w:t>important</w:t>
      </w:r>
      <w:r w:rsidR="00514268">
        <w:rPr>
          <w:lang w:val="en-AU"/>
        </w:rPr>
        <w:t xml:space="preserve"> </w:t>
      </w:r>
      <w:r w:rsidR="002167A8">
        <w:rPr>
          <w:lang w:val="en-AU"/>
        </w:rPr>
        <w:t xml:space="preserve">flexibility that mobile networks offer. </w:t>
      </w:r>
    </w:p>
    <w:p w:rsidR="00863FE3" w:rsidRDefault="002167A8" w:rsidP="00777A18">
      <w:pPr>
        <w:rPr>
          <w:lang w:val="en-AU"/>
        </w:rPr>
      </w:pPr>
      <w:r>
        <w:rPr>
          <w:lang w:val="en-AU"/>
        </w:rPr>
        <w:t>D</w:t>
      </w:r>
      <w:r w:rsidR="0008315C">
        <w:rPr>
          <w:lang w:val="en-AU"/>
        </w:rPr>
        <w:t xml:space="preserve">espite </w:t>
      </w:r>
      <w:r>
        <w:rPr>
          <w:lang w:val="en-AU"/>
        </w:rPr>
        <w:t xml:space="preserve">this heavy </w:t>
      </w:r>
      <w:r w:rsidR="0008315C">
        <w:rPr>
          <w:lang w:val="en-AU"/>
        </w:rPr>
        <w:t>mobile phone use</w:t>
      </w:r>
      <w:r>
        <w:rPr>
          <w:lang w:val="en-AU"/>
        </w:rPr>
        <w:t>,</w:t>
      </w:r>
      <w:r w:rsidR="0008315C">
        <w:rPr>
          <w:lang w:val="en-AU"/>
        </w:rPr>
        <w:t xml:space="preserve"> </w:t>
      </w:r>
      <w:r w:rsidR="00547F9B">
        <w:rPr>
          <w:lang w:val="en-AU"/>
        </w:rPr>
        <w:t>76 respondents are still usin</w:t>
      </w:r>
      <w:r w:rsidR="00A46092">
        <w:rPr>
          <w:lang w:val="en-AU"/>
        </w:rPr>
        <w:t>g</w:t>
      </w:r>
      <w:r w:rsidR="00547F9B">
        <w:rPr>
          <w:lang w:val="en-AU"/>
        </w:rPr>
        <w:t xml:space="preserve"> a fixed line phone. </w:t>
      </w:r>
      <w:r>
        <w:rPr>
          <w:lang w:val="en-AU"/>
        </w:rPr>
        <w:t xml:space="preserve">One of </w:t>
      </w:r>
      <w:r w:rsidR="00517D5C">
        <w:rPr>
          <w:lang w:val="en-AU"/>
        </w:rPr>
        <w:t>the reasons</w:t>
      </w:r>
      <w:r w:rsidR="0048352B">
        <w:rPr>
          <w:lang w:val="en-AU"/>
        </w:rPr>
        <w:t xml:space="preserve"> for this is possibly </w:t>
      </w:r>
      <w:r w:rsidR="00DC5B25">
        <w:rPr>
          <w:lang w:val="en-AU"/>
        </w:rPr>
        <w:t xml:space="preserve">a result </w:t>
      </w:r>
      <w:r w:rsidR="000E01C4">
        <w:rPr>
          <w:lang w:val="en-AU"/>
        </w:rPr>
        <w:t xml:space="preserve">of a </w:t>
      </w:r>
      <w:r w:rsidR="001C46D3">
        <w:rPr>
          <w:lang w:val="en-AU"/>
        </w:rPr>
        <w:t>trend</w:t>
      </w:r>
      <w:r w:rsidR="000E01C4">
        <w:rPr>
          <w:lang w:val="en-AU"/>
        </w:rPr>
        <w:t xml:space="preserve"> by small businesses to use </w:t>
      </w:r>
      <w:r w:rsidR="0078670E">
        <w:rPr>
          <w:lang w:val="en-AU"/>
        </w:rPr>
        <w:t>bundle</w:t>
      </w:r>
      <w:r w:rsidR="000E01C4">
        <w:rPr>
          <w:lang w:val="en-AU"/>
        </w:rPr>
        <w:t>d services</w:t>
      </w:r>
      <w:r w:rsidR="00DC5B25">
        <w:rPr>
          <w:lang w:val="en-AU"/>
        </w:rPr>
        <w:t xml:space="preserve">. </w:t>
      </w:r>
      <w:r w:rsidR="00AA1578">
        <w:rPr>
          <w:lang w:val="en-AU"/>
        </w:rPr>
        <w:t xml:space="preserve">The research report </w:t>
      </w:r>
      <w:r w:rsidR="001A66CD" w:rsidRPr="000E01C4">
        <w:rPr>
          <w:i/>
          <w:lang w:val="en-AU"/>
        </w:rPr>
        <w:t>Small Business Telecommunications Service Use and Experience</w:t>
      </w:r>
      <w:r w:rsidR="001A66CD">
        <w:rPr>
          <w:rStyle w:val="FootnoteReference"/>
          <w:lang w:val="en-AU"/>
        </w:rPr>
        <w:footnoteReference w:id="3"/>
      </w:r>
      <w:r w:rsidR="00AA1578">
        <w:rPr>
          <w:i/>
          <w:lang w:val="en-AU"/>
        </w:rPr>
        <w:t xml:space="preserve"> </w:t>
      </w:r>
      <w:r w:rsidR="001A66CD">
        <w:rPr>
          <w:lang w:val="en-AU"/>
        </w:rPr>
        <w:t xml:space="preserve"> found that 54% of the sample (260 businesses)</w:t>
      </w:r>
      <w:r w:rsidR="000E01C4">
        <w:rPr>
          <w:lang w:val="en-AU"/>
        </w:rPr>
        <w:t xml:space="preserve">, </w:t>
      </w:r>
      <w:r w:rsidR="001A66CD">
        <w:rPr>
          <w:lang w:val="en-AU"/>
        </w:rPr>
        <w:t>bundle their telecommunications services.</w:t>
      </w:r>
      <w:r w:rsidR="00D1655D">
        <w:rPr>
          <w:lang w:val="en-AU"/>
        </w:rPr>
        <w:t xml:space="preserve"> Another reason could be that the largest single small business sector </w:t>
      </w:r>
      <w:r w:rsidR="00704253">
        <w:rPr>
          <w:lang w:val="en-AU"/>
        </w:rPr>
        <w:t>represented in the Survey is agriculture</w:t>
      </w:r>
      <w:r w:rsidR="00114313">
        <w:rPr>
          <w:lang w:val="en-AU"/>
        </w:rPr>
        <w:t xml:space="preserve"> (47%). I</w:t>
      </w:r>
      <w:r w:rsidR="00704253">
        <w:rPr>
          <w:lang w:val="en-AU"/>
        </w:rPr>
        <w:t xml:space="preserve">t is likely that </w:t>
      </w:r>
      <w:r w:rsidR="00114313">
        <w:rPr>
          <w:lang w:val="en-AU"/>
        </w:rPr>
        <w:t xml:space="preserve">these </w:t>
      </w:r>
      <w:r w:rsidR="00704253">
        <w:rPr>
          <w:lang w:val="en-AU"/>
        </w:rPr>
        <w:t xml:space="preserve">respondents experience patchy mobile coverage </w:t>
      </w:r>
      <w:r w:rsidR="00114313">
        <w:rPr>
          <w:lang w:val="en-AU"/>
        </w:rPr>
        <w:t>where they work and live</w:t>
      </w:r>
      <w:r w:rsidR="00704253">
        <w:rPr>
          <w:lang w:val="en-AU"/>
        </w:rPr>
        <w:t xml:space="preserve">, necessitating the use of a fixed voice service. </w:t>
      </w:r>
    </w:p>
    <w:p w:rsidR="00AC599F" w:rsidRDefault="00AC599F">
      <w:pPr>
        <w:rPr>
          <w:rFonts w:asciiTheme="majorHAnsi" w:eastAsiaTheme="majorEastAsia" w:hAnsiTheme="majorHAnsi" w:cstheme="majorBidi"/>
          <w:b/>
          <w:bCs/>
          <w:color w:val="4F81BD" w:themeColor="accent1"/>
          <w:sz w:val="26"/>
          <w:szCs w:val="26"/>
          <w:lang w:val="en-AU"/>
        </w:rPr>
      </w:pPr>
      <w:r>
        <w:rPr>
          <w:lang w:val="en-AU"/>
        </w:rPr>
        <w:br w:type="page"/>
      </w:r>
    </w:p>
    <w:p w:rsidR="00AE6895" w:rsidRDefault="006F1CAD" w:rsidP="00054543">
      <w:pPr>
        <w:pStyle w:val="Heading2"/>
        <w:rPr>
          <w:lang w:val="en-AU"/>
        </w:rPr>
      </w:pPr>
      <w:r>
        <w:rPr>
          <w:lang w:val="en-AU"/>
        </w:rPr>
        <w:lastRenderedPageBreak/>
        <w:t>T</w:t>
      </w:r>
      <w:r w:rsidR="000F49F4">
        <w:rPr>
          <w:lang w:val="en-AU"/>
        </w:rPr>
        <w:t xml:space="preserve">elecommunications </w:t>
      </w:r>
      <w:r w:rsidR="00D83DFA">
        <w:rPr>
          <w:lang w:val="en-AU"/>
        </w:rPr>
        <w:t>issues</w:t>
      </w:r>
      <w:r>
        <w:rPr>
          <w:lang w:val="en-AU"/>
        </w:rPr>
        <w:t xml:space="preserve"> causing </w:t>
      </w:r>
      <w:r w:rsidR="00037EF1">
        <w:rPr>
          <w:lang w:val="en-AU"/>
        </w:rPr>
        <w:t>barriers to business</w:t>
      </w:r>
    </w:p>
    <w:p w:rsidR="00A0762F" w:rsidRDefault="00A0762F" w:rsidP="00A0762F">
      <w:pPr>
        <w:pStyle w:val="NoSpacing"/>
        <w:rPr>
          <w:lang w:val="en-AU"/>
        </w:rPr>
      </w:pPr>
    </w:p>
    <w:p w:rsidR="00921FD0" w:rsidRDefault="000A2E4E" w:rsidP="00A0762F">
      <w:pPr>
        <w:pStyle w:val="NoSpacing"/>
        <w:rPr>
          <w:noProof/>
        </w:rPr>
      </w:pPr>
      <w:r>
        <w:rPr>
          <w:lang w:val="en-AU"/>
        </w:rPr>
        <w:t xml:space="preserve">When surveyed about the limitations that these issues are causing, </w:t>
      </w:r>
      <w:r w:rsidR="007B1A80">
        <w:rPr>
          <w:lang w:val="en-AU"/>
        </w:rPr>
        <w:t>91</w:t>
      </w:r>
      <w:r w:rsidR="00A33B66">
        <w:rPr>
          <w:lang w:val="en-AU"/>
        </w:rPr>
        <w:t xml:space="preserve"> out of 100 </w:t>
      </w:r>
      <w:r>
        <w:rPr>
          <w:lang w:val="en-AU"/>
        </w:rPr>
        <w:t>respon</w:t>
      </w:r>
      <w:r w:rsidR="00A33B66">
        <w:rPr>
          <w:lang w:val="en-AU"/>
        </w:rPr>
        <w:t>dents</w:t>
      </w:r>
      <w:r>
        <w:rPr>
          <w:lang w:val="en-AU"/>
        </w:rPr>
        <w:t xml:space="preserve"> highlighted </w:t>
      </w:r>
      <w:r w:rsidR="00037EF1">
        <w:rPr>
          <w:lang w:val="en-AU"/>
        </w:rPr>
        <w:t xml:space="preserve">issues </w:t>
      </w:r>
      <w:r w:rsidR="00921FD0">
        <w:rPr>
          <w:lang w:val="en-AU"/>
        </w:rPr>
        <w:t>that are disrupting</w:t>
      </w:r>
      <w:r>
        <w:rPr>
          <w:lang w:val="en-AU"/>
        </w:rPr>
        <w:t xml:space="preserve"> best practice and innovation</w:t>
      </w:r>
      <w:r w:rsidR="00037EF1">
        <w:rPr>
          <w:lang w:val="en-AU"/>
        </w:rPr>
        <w:t xml:space="preserve"> amongst small businesses.</w:t>
      </w:r>
    </w:p>
    <w:p w:rsidR="00A0762F" w:rsidRDefault="00A33B66" w:rsidP="00A0762F">
      <w:pPr>
        <w:rPr>
          <w:lang w:val="en-AU"/>
        </w:rPr>
      </w:pPr>
      <w:r>
        <w:rPr>
          <w:lang w:val="en-AU"/>
        </w:rPr>
        <w:t>These</w:t>
      </w:r>
      <w:r w:rsidR="00A0762F">
        <w:rPr>
          <w:lang w:val="en-AU"/>
        </w:rPr>
        <w:t xml:space="preserve"> businesses are </w:t>
      </w:r>
      <w:r>
        <w:rPr>
          <w:lang w:val="en-AU"/>
        </w:rPr>
        <w:t>at a disadvantage when they are trying to par</w:t>
      </w:r>
      <w:r w:rsidR="00A0762F">
        <w:rPr>
          <w:lang w:val="en-AU"/>
        </w:rPr>
        <w:t xml:space="preserve">ticipate or compete in a global digital economy due to </w:t>
      </w:r>
      <w:r w:rsidR="00037EF1">
        <w:rPr>
          <w:lang w:val="en-AU"/>
        </w:rPr>
        <w:t xml:space="preserve">barriers such as </w:t>
      </w:r>
      <w:r w:rsidR="00A0762F">
        <w:rPr>
          <w:lang w:val="en-AU"/>
        </w:rPr>
        <w:t xml:space="preserve">unreliable speed, connectivity or data restrictions. Of the small businesses surveyed, the top </w:t>
      </w:r>
      <w:r w:rsidR="005E60AB">
        <w:rPr>
          <w:lang w:val="en-AU"/>
        </w:rPr>
        <w:t>3</w:t>
      </w:r>
      <w:r w:rsidR="00A0762F">
        <w:rPr>
          <w:lang w:val="en-AU"/>
        </w:rPr>
        <w:t xml:space="preserve"> </w:t>
      </w:r>
      <w:r w:rsidR="00A65B77">
        <w:rPr>
          <w:lang w:val="en-AU"/>
        </w:rPr>
        <w:t xml:space="preserve">services considered desirable but not currently possible </w:t>
      </w:r>
      <w:r w:rsidR="005E60AB">
        <w:rPr>
          <w:lang w:val="en-AU"/>
        </w:rPr>
        <w:t>were t</w:t>
      </w:r>
      <w:r w:rsidR="00A0762F">
        <w:rPr>
          <w:lang w:val="en-AU"/>
        </w:rPr>
        <w:t>eleconferencing</w:t>
      </w:r>
      <w:r w:rsidR="005E60AB">
        <w:rPr>
          <w:lang w:val="en-AU"/>
        </w:rPr>
        <w:t>, p</w:t>
      </w:r>
      <w:r w:rsidR="00A0762F">
        <w:rPr>
          <w:lang w:val="en-AU"/>
        </w:rPr>
        <w:t>rofessional development / training / study</w:t>
      </w:r>
      <w:r w:rsidR="005E60AB">
        <w:rPr>
          <w:lang w:val="en-AU"/>
        </w:rPr>
        <w:t xml:space="preserve"> and the use of cloud services.</w:t>
      </w:r>
    </w:p>
    <w:p w:rsidR="000A2E4E" w:rsidRDefault="004C73AC" w:rsidP="00AE6895">
      <w:pPr>
        <w:rPr>
          <w:lang w:val="en-AU"/>
        </w:rPr>
      </w:pPr>
      <w:r>
        <w:rPr>
          <w:noProof/>
        </w:rPr>
        <w:drawing>
          <wp:inline distT="0" distB="0" distL="0" distR="0" wp14:anchorId="176BCBB1" wp14:editId="1D7202F8">
            <wp:extent cx="5486400" cy="4501661"/>
            <wp:effectExtent l="0" t="0" r="19050" b="13335"/>
            <wp:docPr id="2" name="Chart 2" descr="Results of respondents being allowed multiple responses - Cloud services 27, machine to machine technology 15, mobile payments19, professional development/training/study 36, teleconferencing 36" title="Graph - Number of respondents unable to use features or technology due to issues with their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E1BBC" w:rsidRPr="00E20F71" w:rsidRDefault="00E20F71" w:rsidP="00905EDF">
      <w:pPr>
        <w:ind w:left="3600" w:firstLine="720"/>
        <w:jc w:val="center"/>
        <w:rPr>
          <w:sz w:val="16"/>
          <w:szCs w:val="16"/>
          <w:lang w:val="en-AU"/>
        </w:rPr>
      </w:pPr>
      <w:r w:rsidRPr="00E20F71">
        <w:rPr>
          <w:sz w:val="16"/>
          <w:szCs w:val="16"/>
          <w:lang w:val="en-AU"/>
        </w:rPr>
        <w:t>Respondents were allowed multiple responses.</w:t>
      </w:r>
    </w:p>
    <w:p w:rsidR="00791FD9" w:rsidRDefault="00791FD9" w:rsidP="001A17CB">
      <w:pPr>
        <w:rPr>
          <w:lang w:val="en-AU"/>
        </w:rPr>
      </w:pPr>
    </w:p>
    <w:p w:rsidR="00A0762F" w:rsidRDefault="00A0762F">
      <w:pPr>
        <w:rPr>
          <w:rFonts w:asciiTheme="majorHAnsi" w:eastAsiaTheme="majorEastAsia" w:hAnsiTheme="majorHAnsi" w:cstheme="majorBidi"/>
          <w:b/>
          <w:bCs/>
          <w:color w:val="4F81BD" w:themeColor="accent1"/>
          <w:sz w:val="26"/>
          <w:szCs w:val="26"/>
          <w:lang w:val="en-AU"/>
        </w:rPr>
      </w:pPr>
      <w:r>
        <w:rPr>
          <w:lang w:val="en-AU"/>
        </w:rPr>
        <w:br w:type="page"/>
      </w:r>
    </w:p>
    <w:p w:rsidR="00E24255" w:rsidRDefault="009A5491" w:rsidP="00054543">
      <w:pPr>
        <w:pStyle w:val="Heading2"/>
        <w:rPr>
          <w:lang w:val="en-AU"/>
        </w:rPr>
      </w:pPr>
      <w:r>
        <w:rPr>
          <w:lang w:val="en-AU"/>
        </w:rPr>
        <w:lastRenderedPageBreak/>
        <w:t>Elements that are w</w:t>
      </w:r>
      <w:r w:rsidR="00E24255">
        <w:rPr>
          <w:lang w:val="en-AU"/>
        </w:rPr>
        <w:t>orking well</w:t>
      </w:r>
      <w:r w:rsidR="00F6208F">
        <w:rPr>
          <w:lang w:val="en-AU"/>
        </w:rPr>
        <w:t xml:space="preserve"> </w:t>
      </w:r>
    </w:p>
    <w:p w:rsidR="000F49F4" w:rsidRDefault="000F49F4" w:rsidP="000F49F4">
      <w:pPr>
        <w:rPr>
          <w:lang w:val="en-AU"/>
        </w:rPr>
      </w:pPr>
    </w:p>
    <w:p w:rsidR="003050D8" w:rsidRDefault="00357E5A" w:rsidP="000F49F4">
      <w:pPr>
        <w:rPr>
          <w:lang w:val="en-AU"/>
        </w:rPr>
      </w:pPr>
      <w:r>
        <w:rPr>
          <w:lang w:val="en-AU"/>
        </w:rPr>
        <w:t>The Survey asked small businesses</w:t>
      </w:r>
      <w:r w:rsidR="00A2417A">
        <w:rPr>
          <w:lang w:val="en-AU"/>
        </w:rPr>
        <w:t xml:space="preserve"> what </w:t>
      </w:r>
      <w:r>
        <w:rPr>
          <w:lang w:val="en-AU"/>
        </w:rPr>
        <w:t xml:space="preserve">elements of </w:t>
      </w:r>
      <w:r w:rsidR="009A5491">
        <w:rPr>
          <w:lang w:val="en-AU"/>
        </w:rPr>
        <w:t>their</w:t>
      </w:r>
      <w:r>
        <w:rPr>
          <w:lang w:val="en-AU"/>
        </w:rPr>
        <w:t xml:space="preserve"> telecommunications services we</w:t>
      </w:r>
      <w:r w:rsidR="00722DA3">
        <w:rPr>
          <w:lang w:val="en-AU"/>
        </w:rPr>
        <w:t>re working well for them. 61</w:t>
      </w:r>
      <w:r>
        <w:rPr>
          <w:lang w:val="en-AU"/>
        </w:rPr>
        <w:t xml:space="preserve"> </w:t>
      </w:r>
      <w:r w:rsidR="009A5491">
        <w:rPr>
          <w:lang w:val="en-AU"/>
        </w:rPr>
        <w:t>respondents</w:t>
      </w:r>
      <w:r>
        <w:rPr>
          <w:lang w:val="en-AU"/>
        </w:rPr>
        <w:t xml:space="preserve"> answered </w:t>
      </w:r>
      <w:r w:rsidR="002E585A">
        <w:rPr>
          <w:lang w:val="en-AU"/>
        </w:rPr>
        <w:t>by using multiple choice options as represented in the chart</w:t>
      </w:r>
      <w:r w:rsidR="00722DA3">
        <w:rPr>
          <w:lang w:val="en-AU"/>
        </w:rPr>
        <w:t xml:space="preserve"> below</w:t>
      </w:r>
      <w:r w:rsidR="002E585A">
        <w:rPr>
          <w:lang w:val="en-AU"/>
        </w:rPr>
        <w:t xml:space="preserve">.  </w:t>
      </w:r>
    </w:p>
    <w:p w:rsidR="003050D8" w:rsidRDefault="003050D8" w:rsidP="00A0762F">
      <w:pPr>
        <w:pStyle w:val="NoSpacing"/>
        <w:rPr>
          <w:lang w:val="en-AU"/>
        </w:rPr>
      </w:pPr>
    </w:p>
    <w:p w:rsidR="009A5491" w:rsidRDefault="00722DA3" w:rsidP="00A0762F">
      <w:pPr>
        <w:pStyle w:val="NoSpacing"/>
        <w:rPr>
          <w:lang w:val="en-AU"/>
        </w:rPr>
      </w:pPr>
      <w:r>
        <w:rPr>
          <w:noProof/>
        </w:rPr>
        <w:drawing>
          <wp:inline distT="0" distB="0" distL="0" distR="0" wp14:anchorId="39E8AA61" wp14:editId="2DDD0D40">
            <wp:extent cx="5486400" cy="3423139"/>
            <wp:effectExtent l="0" t="0" r="19050" b="25400"/>
            <wp:docPr id="13" name="Chart 13" descr="Results where respondents were allowed multiple responses - Customer service 7, nework availability 30, network reliability 25, flexibility 9, value for money 18, other 13" title="Graph - What telecommunications features and / or services are working well for your busines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9A5491">
        <w:rPr>
          <w:lang w:val="en-AU"/>
        </w:rPr>
        <w:t xml:space="preserve"> </w:t>
      </w:r>
    </w:p>
    <w:p w:rsidR="00E91301" w:rsidRPr="00E20F71" w:rsidRDefault="00E91301" w:rsidP="006A5EBE">
      <w:pPr>
        <w:ind w:left="3600" w:firstLine="720"/>
        <w:jc w:val="center"/>
        <w:rPr>
          <w:sz w:val="16"/>
          <w:szCs w:val="16"/>
          <w:lang w:val="en-AU"/>
        </w:rPr>
      </w:pPr>
      <w:r w:rsidRPr="00E20F71">
        <w:rPr>
          <w:sz w:val="16"/>
          <w:szCs w:val="16"/>
          <w:lang w:val="en-AU"/>
        </w:rPr>
        <w:t>Respondents were allowed multiple responses.</w:t>
      </w:r>
    </w:p>
    <w:p w:rsidR="006A5EBE" w:rsidRDefault="006A5EBE" w:rsidP="009A5491">
      <w:pPr>
        <w:rPr>
          <w:lang w:val="en-AU"/>
        </w:rPr>
      </w:pPr>
    </w:p>
    <w:p w:rsidR="000F49F4" w:rsidRDefault="000F49F4" w:rsidP="009A5491">
      <w:pPr>
        <w:rPr>
          <w:lang w:val="en-AU"/>
        </w:rPr>
      </w:pPr>
      <w:r>
        <w:rPr>
          <w:lang w:val="en-AU"/>
        </w:rPr>
        <w:t xml:space="preserve">With the sample group of respondents coming from urban and rural based small business operators in Australia, the Survey </w:t>
      </w:r>
      <w:r w:rsidR="00A65B77">
        <w:rPr>
          <w:lang w:val="en-AU"/>
        </w:rPr>
        <w:t xml:space="preserve">results </w:t>
      </w:r>
      <w:r>
        <w:rPr>
          <w:lang w:val="en-AU"/>
        </w:rPr>
        <w:t xml:space="preserve">indicate that there were some good experiences with network availability and reliability. Unfortunately, the number of issues being experienced with outages, congestion and speed identify that there </w:t>
      </w:r>
      <w:r w:rsidR="00F06548">
        <w:rPr>
          <w:lang w:val="en-AU"/>
        </w:rPr>
        <w:t>are</w:t>
      </w:r>
      <w:r>
        <w:rPr>
          <w:lang w:val="en-AU"/>
        </w:rPr>
        <w:t xml:space="preserve"> real </w:t>
      </w:r>
      <w:r w:rsidR="00F06548">
        <w:rPr>
          <w:lang w:val="en-AU"/>
        </w:rPr>
        <w:t xml:space="preserve">problems </w:t>
      </w:r>
      <w:r w:rsidR="004A1DFE">
        <w:rPr>
          <w:lang w:val="en-AU"/>
        </w:rPr>
        <w:t xml:space="preserve">in these areas </w:t>
      </w:r>
      <w:r>
        <w:rPr>
          <w:lang w:val="en-AU"/>
        </w:rPr>
        <w:t>amongst Australian</w:t>
      </w:r>
      <w:r w:rsidR="004A1DFE">
        <w:rPr>
          <w:lang w:val="en-AU"/>
        </w:rPr>
        <w:t xml:space="preserve"> small businesses.</w:t>
      </w:r>
    </w:p>
    <w:p w:rsidR="009A5491" w:rsidRDefault="009A5491" w:rsidP="009A5491">
      <w:pPr>
        <w:rPr>
          <w:lang w:val="en-AU"/>
        </w:rPr>
      </w:pPr>
      <w:r>
        <w:rPr>
          <w:lang w:val="en-AU"/>
        </w:rPr>
        <w:t>The</w:t>
      </w:r>
      <w:r w:rsidR="001E45B3">
        <w:rPr>
          <w:lang w:val="en-AU"/>
        </w:rPr>
        <w:t xml:space="preserve"> recent focus from </w:t>
      </w:r>
      <w:r w:rsidR="00921FD0">
        <w:rPr>
          <w:lang w:val="en-AU"/>
        </w:rPr>
        <w:t xml:space="preserve">some </w:t>
      </w:r>
      <w:r w:rsidR="001E45B3">
        <w:rPr>
          <w:lang w:val="en-AU"/>
        </w:rPr>
        <w:t xml:space="preserve">service providers to provide </w:t>
      </w:r>
      <w:r w:rsidR="00A16FF3">
        <w:rPr>
          <w:lang w:val="en-AU"/>
        </w:rPr>
        <w:t xml:space="preserve">qualifying </w:t>
      </w:r>
      <w:r w:rsidR="001E45B3">
        <w:rPr>
          <w:lang w:val="en-AU"/>
        </w:rPr>
        <w:t>small business customers with dedicated small business telecommunications professionals may be having</w:t>
      </w:r>
      <w:r w:rsidR="00A16FF3">
        <w:rPr>
          <w:lang w:val="en-AU"/>
        </w:rPr>
        <w:t xml:space="preserve"> </w:t>
      </w:r>
      <w:r w:rsidR="001E45B3">
        <w:rPr>
          <w:lang w:val="en-AU"/>
        </w:rPr>
        <w:t>an effect</w:t>
      </w:r>
      <w:r w:rsidR="0067373D">
        <w:rPr>
          <w:lang w:val="en-AU"/>
        </w:rPr>
        <w:t>. T</w:t>
      </w:r>
      <w:r w:rsidR="00921FD0">
        <w:rPr>
          <w:lang w:val="en-AU"/>
        </w:rPr>
        <w:t xml:space="preserve">his </w:t>
      </w:r>
      <w:r>
        <w:rPr>
          <w:lang w:val="en-AU"/>
        </w:rPr>
        <w:t>might account for the 11%</w:t>
      </w:r>
      <w:r w:rsidR="00921FD0">
        <w:rPr>
          <w:lang w:val="en-AU"/>
        </w:rPr>
        <w:t xml:space="preserve"> of respondents </w:t>
      </w:r>
      <w:r w:rsidR="0067373D">
        <w:rPr>
          <w:lang w:val="en-AU"/>
        </w:rPr>
        <w:t>who</w:t>
      </w:r>
      <w:r>
        <w:rPr>
          <w:lang w:val="en-AU"/>
        </w:rPr>
        <w:t xml:space="preserve"> </w:t>
      </w:r>
      <w:r w:rsidR="00921FD0">
        <w:rPr>
          <w:lang w:val="en-AU"/>
        </w:rPr>
        <w:t xml:space="preserve">have said </w:t>
      </w:r>
      <w:r w:rsidR="00122AEB">
        <w:rPr>
          <w:lang w:val="en-AU"/>
        </w:rPr>
        <w:t xml:space="preserve">that </w:t>
      </w:r>
      <w:r w:rsidR="00921FD0">
        <w:rPr>
          <w:lang w:val="en-AU"/>
        </w:rPr>
        <w:t xml:space="preserve">the customer service from their provider </w:t>
      </w:r>
      <w:r>
        <w:rPr>
          <w:lang w:val="en-AU"/>
        </w:rPr>
        <w:t>is working well</w:t>
      </w:r>
      <w:r w:rsidR="00122AEB">
        <w:rPr>
          <w:lang w:val="en-AU"/>
        </w:rPr>
        <w:t>.</w:t>
      </w:r>
    </w:p>
    <w:p w:rsidR="000F49F4" w:rsidRDefault="000F49F4" w:rsidP="009A5491">
      <w:pPr>
        <w:rPr>
          <w:lang w:val="en-AU"/>
        </w:rPr>
      </w:pPr>
    </w:p>
    <w:p w:rsidR="00373F9C" w:rsidRDefault="00373F9C">
      <w:pPr>
        <w:rPr>
          <w:rFonts w:asciiTheme="majorHAnsi" w:eastAsiaTheme="majorEastAsia" w:hAnsiTheme="majorHAnsi" w:cstheme="majorBidi"/>
          <w:b/>
          <w:bCs/>
          <w:color w:val="4F81BD" w:themeColor="accent1"/>
          <w:sz w:val="26"/>
          <w:szCs w:val="26"/>
          <w:lang w:val="en-AU"/>
        </w:rPr>
      </w:pPr>
      <w:r>
        <w:rPr>
          <w:lang w:val="en-AU"/>
        </w:rPr>
        <w:br w:type="page"/>
      </w:r>
    </w:p>
    <w:p w:rsidR="00EC2D3C" w:rsidRDefault="00EC2D3C" w:rsidP="00EC2D3C">
      <w:pPr>
        <w:pStyle w:val="Heading2"/>
        <w:rPr>
          <w:lang w:val="en-AU"/>
        </w:rPr>
      </w:pPr>
      <w:r>
        <w:rPr>
          <w:lang w:val="en-AU"/>
        </w:rPr>
        <w:lastRenderedPageBreak/>
        <w:t>Fu</w:t>
      </w:r>
      <w:r w:rsidR="00902458">
        <w:rPr>
          <w:lang w:val="en-AU"/>
        </w:rPr>
        <w:t>ture</w:t>
      </w:r>
      <w:r>
        <w:rPr>
          <w:lang w:val="en-AU"/>
        </w:rPr>
        <w:t xml:space="preserve"> </w:t>
      </w:r>
      <w:r w:rsidR="00A0762F">
        <w:rPr>
          <w:lang w:val="en-AU"/>
        </w:rPr>
        <w:t>work</w:t>
      </w:r>
      <w:r>
        <w:rPr>
          <w:lang w:val="en-AU"/>
        </w:rPr>
        <w:t xml:space="preserve"> </w:t>
      </w:r>
      <w:r w:rsidR="00A0762F">
        <w:rPr>
          <w:lang w:val="en-AU"/>
        </w:rPr>
        <w:t>for ACCAN</w:t>
      </w:r>
      <w:r w:rsidR="00902458">
        <w:rPr>
          <w:lang w:val="en-AU"/>
        </w:rPr>
        <w:t xml:space="preserve"> </w:t>
      </w:r>
    </w:p>
    <w:p w:rsidR="00A0762F" w:rsidRDefault="00A0762F" w:rsidP="00EC2D3C">
      <w:pPr>
        <w:pStyle w:val="Heading3"/>
        <w:rPr>
          <w:lang w:val="en-AU"/>
        </w:rPr>
      </w:pPr>
      <w:r>
        <w:rPr>
          <w:lang w:val="en-AU"/>
        </w:rPr>
        <w:t xml:space="preserve">Research </w:t>
      </w:r>
    </w:p>
    <w:p w:rsidR="00D32605" w:rsidRDefault="00E306A0" w:rsidP="00E306A0">
      <w:pPr>
        <w:ind w:left="45"/>
        <w:rPr>
          <w:lang w:val="en-AU"/>
        </w:rPr>
      </w:pPr>
      <w:r w:rsidRPr="001A22F6">
        <w:rPr>
          <w:lang w:val="en-AU"/>
        </w:rPr>
        <w:t>Further research</w:t>
      </w:r>
      <w:r>
        <w:rPr>
          <w:lang w:val="en-AU"/>
        </w:rPr>
        <w:t xml:space="preserve"> is needed to find out, for example, why some small businesses did not contact their service provider about an issue (16%)</w:t>
      </w:r>
      <w:r w:rsidR="0067373D">
        <w:rPr>
          <w:lang w:val="en-AU"/>
        </w:rPr>
        <w:t>;</w:t>
      </w:r>
      <w:r>
        <w:rPr>
          <w:lang w:val="en-AU"/>
        </w:rPr>
        <w:t xml:space="preserve"> why a majority of those who did had difficulty resolving the issue (64%); why 19% contacted the TIO despite 64% saying they had difficulty resolving their issue with their provider. This data </w:t>
      </w:r>
      <w:r w:rsidR="00EC2D3C">
        <w:rPr>
          <w:lang w:val="en-AU"/>
        </w:rPr>
        <w:t xml:space="preserve">will </w:t>
      </w:r>
      <w:r w:rsidR="00E613C8">
        <w:rPr>
          <w:lang w:val="en-AU"/>
        </w:rPr>
        <w:t xml:space="preserve">be important to assist </w:t>
      </w:r>
      <w:r>
        <w:rPr>
          <w:lang w:val="en-AU"/>
        </w:rPr>
        <w:t>small businesses</w:t>
      </w:r>
      <w:r w:rsidR="00E613C8">
        <w:rPr>
          <w:lang w:val="en-AU"/>
        </w:rPr>
        <w:t xml:space="preserve"> in the future.</w:t>
      </w:r>
      <w:r w:rsidR="00EC2D3C">
        <w:rPr>
          <w:lang w:val="en-AU"/>
        </w:rPr>
        <w:t xml:space="preserve"> </w:t>
      </w:r>
    </w:p>
    <w:p w:rsidR="00D32605" w:rsidRDefault="00E306A0" w:rsidP="00D32605">
      <w:pPr>
        <w:rPr>
          <w:lang w:val="en-AU"/>
        </w:rPr>
      </w:pPr>
      <w:r>
        <w:rPr>
          <w:lang w:val="en-AU"/>
        </w:rPr>
        <w:t>A further s</w:t>
      </w:r>
      <w:r w:rsidR="00614F4D">
        <w:rPr>
          <w:lang w:val="en-AU"/>
        </w:rPr>
        <w:t>urvey</w:t>
      </w:r>
      <w:r>
        <w:rPr>
          <w:lang w:val="en-AU"/>
        </w:rPr>
        <w:t xml:space="preserve"> could assist </w:t>
      </w:r>
      <w:r w:rsidR="0067373D">
        <w:rPr>
          <w:lang w:val="en-AU"/>
        </w:rPr>
        <w:t>in identifying</w:t>
      </w:r>
      <w:r>
        <w:rPr>
          <w:lang w:val="en-AU"/>
        </w:rPr>
        <w:t xml:space="preserve"> </w:t>
      </w:r>
      <w:r w:rsidR="00614F4D">
        <w:rPr>
          <w:lang w:val="en-AU"/>
        </w:rPr>
        <w:t xml:space="preserve">suggestions for </w:t>
      </w:r>
      <w:r w:rsidR="00D32605">
        <w:rPr>
          <w:lang w:val="en-AU"/>
        </w:rPr>
        <w:t>a more ‘small business friendly’ way to deal with these issues and to get them resolved in a</w:t>
      </w:r>
      <w:r w:rsidR="00614F4D">
        <w:rPr>
          <w:lang w:val="en-AU"/>
        </w:rPr>
        <w:t>n</w:t>
      </w:r>
      <w:r>
        <w:rPr>
          <w:lang w:val="en-AU"/>
        </w:rPr>
        <w:t xml:space="preserve"> efficient manner.</w:t>
      </w:r>
      <w:r w:rsidR="00D32605">
        <w:rPr>
          <w:lang w:val="en-AU"/>
        </w:rPr>
        <w:t xml:space="preserve"> </w:t>
      </w:r>
    </w:p>
    <w:p w:rsidR="00A0762F" w:rsidRPr="00503C09" w:rsidRDefault="00A0762F" w:rsidP="00503C09">
      <w:pPr>
        <w:pStyle w:val="Heading3"/>
      </w:pPr>
      <w:r w:rsidRPr="00503C09">
        <w:t>Consumer education</w:t>
      </w:r>
    </w:p>
    <w:p w:rsidR="00A0762F" w:rsidRDefault="00A0762F" w:rsidP="00A0762F">
      <w:pPr>
        <w:pStyle w:val="Heading4"/>
        <w:rPr>
          <w:lang w:val="en-AU"/>
        </w:rPr>
      </w:pPr>
      <w:r>
        <w:rPr>
          <w:lang w:val="en-AU"/>
        </w:rPr>
        <w:t>Awareness of the role of the TIO on behalf of small businesses</w:t>
      </w:r>
    </w:p>
    <w:p w:rsidR="00E613C8" w:rsidRDefault="002B2AB9" w:rsidP="00EC2D3C">
      <w:pPr>
        <w:rPr>
          <w:lang w:val="en-AU"/>
        </w:rPr>
      </w:pPr>
      <w:r>
        <w:rPr>
          <w:lang w:val="en-AU"/>
        </w:rPr>
        <w:t>ACCAN will continue to w</w:t>
      </w:r>
      <w:r w:rsidR="00373F9C">
        <w:rPr>
          <w:lang w:val="en-AU"/>
        </w:rPr>
        <w:t>ork towards e</w:t>
      </w:r>
      <w:r w:rsidR="00A0762F">
        <w:rPr>
          <w:lang w:val="en-AU"/>
        </w:rPr>
        <w:t xml:space="preserve">nsuring that </w:t>
      </w:r>
      <w:r w:rsidR="00E613C8">
        <w:rPr>
          <w:lang w:val="en-AU"/>
        </w:rPr>
        <w:t xml:space="preserve">small business consumers </w:t>
      </w:r>
      <w:r w:rsidR="00A16FF3">
        <w:rPr>
          <w:lang w:val="en-AU"/>
        </w:rPr>
        <w:t xml:space="preserve">are </w:t>
      </w:r>
      <w:r w:rsidR="00E613C8">
        <w:rPr>
          <w:lang w:val="en-AU"/>
        </w:rPr>
        <w:t>aware that they can a</w:t>
      </w:r>
      <w:r w:rsidR="00787F90">
        <w:rPr>
          <w:lang w:val="en-AU"/>
        </w:rPr>
        <w:t>cc</w:t>
      </w:r>
      <w:r w:rsidR="00D32605">
        <w:rPr>
          <w:lang w:val="en-AU"/>
        </w:rPr>
        <w:t xml:space="preserve">ess the TIO and </w:t>
      </w:r>
      <w:r w:rsidR="00A16FF3">
        <w:rPr>
          <w:lang w:val="en-AU"/>
        </w:rPr>
        <w:t xml:space="preserve">to continue to work with and support the TIO in </w:t>
      </w:r>
      <w:r w:rsidR="00D32605">
        <w:rPr>
          <w:lang w:val="en-AU"/>
        </w:rPr>
        <w:t>providing practical information about the TIO complaints process.</w:t>
      </w:r>
    </w:p>
    <w:p w:rsidR="00E0461D" w:rsidRDefault="00E0461D" w:rsidP="00E0461D">
      <w:pPr>
        <w:rPr>
          <w:lang w:val="en-AU"/>
        </w:rPr>
      </w:pPr>
    </w:p>
    <w:sectPr w:rsidR="00E0461D">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C9" w:rsidRDefault="002947C9" w:rsidP="006E3AFD">
      <w:pPr>
        <w:spacing w:after="0" w:line="240" w:lineRule="auto"/>
      </w:pPr>
      <w:r>
        <w:separator/>
      </w:r>
    </w:p>
  </w:endnote>
  <w:endnote w:type="continuationSeparator" w:id="0">
    <w:p w:rsidR="002947C9" w:rsidRDefault="002947C9" w:rsidP="006E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787205"/>
      <w:docPartObj>
        <w:docPartGallery w:val="Page Numbers (Bottom of Page)"/>
        <w:docPartUnique/>
      </w:docPartObj>
    </w:sdtPr>
    <w:sdtEndPr>
      <w:rPr>
        <w:noProof/>
      </w:rPr>
    </w:sdtEndPr>
    <w:sdtContent>
      <w:p w:rsidR="002947C9" w:rsidRDefault="002947C9">
        <w:pPr>
          <w:pStyle w:val="Footer"/>
          <w:jc w:val="right"/>
        </w:pPr>
        <w:r>
          <w:fldChar w:fldCharType="begin"/>
        </w:r>
        <w:r>
          <w:instrText xml:space="preserve"> PAGE   \* MERGEFORMAT </w:instrText>
        </w:r>
        <w:r>
          <w:fldChar w:fldCharType="separate"/>
        </w:r>
        <w:r w:rsidR="00B543B5">
          <w:rPr>
            <w:noProof/>
          </w:rPr>
          <w:t>2</w:t>
        </w:r>
        <w:r>
          <w:rPr>
            <w:noProof/>
          </w:rPr>
          <w:fldChar w:fldCharType="end"/>
        </w:r>
      </w:p>
    </w:sdtContent>
  </w:sdt>
  <w:p w:rsidR="002947C9" w:rsidRDefault="00294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C9" w:rsidRDefault="002947C9" w:rsidP="006E3AFD">
      <w:pPr>
        <w:spacing w:after="0" w:line="240" w:lineRule="auto"/>
      </w:pPr>
      <w:r>
        <w:separator/>
      </w:r>
    </w:p>
  </w:footnote>
  <w:footnote w:type="continuationSeparator" w:id="0">
    <w:p w:rsidR="002947C9" w:rsidRDefault="002947C9" w:rsidP="006E3AFD">
      <w:pPr>
        <w:spacing w:after="0" w:line="240" w:lineRule="auto"/>
      </w:pPr>
      <w:r>
        <w:continuationSeparator/>
      </w:r>
    </w:p>
  </w:footnote>
  <w:footnote w:id="1">
    <w:p w:rsidR="002947C9" w:rsidRPr="001A66CD" w:rsidRDefault="002947C9" w:rsidP="00C37CAE">
      <w:pPr>
        <w:pStyle w:val="FootnoteText"/>
        <w:rPr>
          <w:lang w:val="en-AU"/>
        </w:rPr>
      </w:pPr>
      <w:r>
        <w:rPr>
          <w:rStyle w:val="FootnoteReference"/>
        </w:rPr>
        <w:footnoteRef/>
      </w:r>
      <w:r>
        <w:t xml:space="preserve"> </w:t>
      </w:r>
      <w:hyperlink r:id="rId1" w:history="1">
        <w:r w:rsidRPr="00BE5A75">
          <w:rPr>
            <w:rStyle w:val="Hyperlink"/>
          </w:rPr>
          <w:t>https://accan.org.au/files/Market-Clarity-Small-Biz-Telecom-Service-Use-final.pdf</w:t>
        </w:r>
      </w:hyperlink>
      <w:r>
        <w:t xml:space="preserve"> </w:t>
      </w:r>
    </w:p>
  </w:footnote>
  <w:footnote w:id="2">
    <w:p w:rsidR="002947C9" w:rsidRPr="00700E9F" w:rsidRDefault="002947C9" w:rsidP="006E3AFD">
      <w:pPr>
        <w:pStyle w:val="FootnoteText"/>
        <w:rPr>
          <w:lang w:val="en-AU"/>
        </w:rPr>
      </w:pPr>
      <w:r>
        <w:rPr>
          <w:rStyle w:val="FootnoteReference"/>
        </w:rPr>
        <w:footnoteRef/>
      </w:r>
      <w:r>
        <w:t xml:space="preserve"> </w:t>
      </w:r>
      <w:hyperlink r:id="rId2" w:history="1">
        <w:r w:rsidRPr="004B0AFA">
          <w:rPr>
            <w:rStyle w:val="Hyperlink"/>
          </w:rPr>
          <w:t>http://accan.org.au/files/Reports/ACCAN%20Galaxy%20Survey%20May%202015.pdf</w:t>
        </w:r>
      </w:hyperlink>
      <w:r>
        <w:t xml:space="preserve"> </w:t>
      </w:r>
    </w:p>
  </w:footnote>
  <w:footnote w:id="3">
    <w:p w:rsidR="002947C9" w:rsidRPr="001A66CD" w:rsidRDefault="002947C9">
      <w:pPr>
        <w:pStyle w:val="FootnoteText"/>
        <w:rPr>
          <w:lang w:val="en-AU"/>
        </w:rPr>
      </w:pPr>
      <w:r>
        <w:rPr>
          <w:rStyle w:val="FootnoteReference"/>
        </w:rPr>
        <w:footnoteRef/>
      </w:r>
      <w:r>
        <w:t xml:space="preserve"> </w:t>
      </w:r>
      <w:hyperlink r:id="rId3" w:history="1">
        <w:r w:rsidRPr="00BE5A75">
          <w:rPr>
            <w:rStyle w:val="Hyperlink"/>
          </w:rPr>
          <w:t>https://accan.org.au/files/Market-Clarity-Small-Biz-Telecom-Service-Use-final.pdf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A53"/>
    <w:multiLevelType w:val="hybridMultilevel"/>
    <w:tmpl w:val="3866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625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67E0628"/>
    <w:multiLevelType w:val="hybridMultilevel"/>
    <w:tmpl w:val="6904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055BFD"/>
    <w:multiLevelType w:val="hybridMultilevel"/>
    <w:tmpl w:val="E44CDA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DD72195"/>
    <w:multiLevelType w:val="hybridMultilevel"/>
    <w:tmpl w:val="106443B6"/>
    <w:lvl w:ilvl="0" w:tplc="04EC22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820A3"/>
    <w:multiLevelType w:val="hybridMultilevel"/>
    <w:tmpl w:val="909C1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E5"/>
    <w:rsid w:val="00002EE3"/>
    <w:rsid w:val="0000465F"/>
    <w:rsid w:val="00007EB8"/>
    <w:rsid w:val="00011AB3"/>
    <w:rsid w:val="00016295"/>
    <w:rsid w:val="0003137A"/>
    <w:rsid w:val="00037EF1"/>
    <w:rsid w:val="000530CB"/>
    <w:rsid w:val="00054543"/>
    <w:rsid w:val="00055ED8"/>
    <w:rsid w:val="000675F5"/>
    <w:rsid w:val="00071BED"/>
    <w:rsid w:val="0008315C"/>
    <w:rsid w:val="0008773C"/>
    <w:rsid w:val="000A2E4E"/>
    <w:rsid w:val="000A30F7"/>
    <w:rsid w:val="000B27C3"/>
    <w:rsid w:val="000C0178"/>
    <w:rsid w:val="000D22D8"/>
    <w:rsid w:val="000E01C4"/>
    <w:rsid w:val="000F49F4"/>
    <w:rsid w:val="001040DD"/>
    <w:rsid w:val="0010567E"/>
    <w:rsid w:val="0010614E"/>
    <w:rsid w:val="00106F8D"/>
    <w:rsid w:val="00114313"/>
    <w:rsid w:val="00122AEB"/>
    <w:rsid w:val="00125FF2"/>
    <w:rsid w:val="00144A63"/>
    <w:rsid w:val="001536B2"/>
    <w:rsid w:val="00165116"/>
    <w:rsid w:val="00171061"/>
    <w:rsid w:val="001A17CB"/>
    <w:rsid w:val="001A22F6"/>
    <w:rsid w:val="001A44B1"/>
    <w:rsid w:val="001A66CD"/>
    <w:rsid w:val="001C46D3"/>
    <w:rsid w:val="001C7978"/>
    <w:rsid w:val="001E1BBC"/>
    <w:rsid w:val="001E45B3"/>
    <w:rsid w:val="001F1B23"/>
    <w:rsid w:val="001F5D9A"/>
    <w:rsid w:val="002167A8"/>
    <w:rsid w:val="002364EC"/>
    <w:rsid w:val="00241417"/>
    <w:rsid w:val="00243AFE"/>
    <w:rsid w:val="002557C0"/>
    <w:rsid w:val="00261916"/>
    <w:rsid w:val="00262FCA"/>
    <w:rsid w:val="00266474"/>
    <w:rsid w:val="002759E5"/>
    <w:rsid w:val="002805E0"/>
    <w:rsid w:val="00294461"/>
    <w:rsid w:val="002947C9"/>
    <w:rsid w:val="00295C5A"/>
    <w:rsid w:val="002B21E4"/>
    <w:rsid w:val="002B2AB9"/>
    <w:rsid w:val="002C4B10"/>
    <w:rsid w:val="002E069C"/>
    <w:rsid w:val="002E0776"/>
    <w:rsid w:val="002E585A"/>
    <w:rsid w:val="002E64A8"/>
    <w:rsid w:val="002F7EA1"/>
    <w:rsid w:val="003048F2"/>
    <w:rsid w:val="003050D8"/>
    <w:rsid w:val="003073D9"/>
    <w:rsid w:val="003262DE"/>
    <w:rsid w:val="00326B41"/>
    <w:rsid w:val="0035134C"/>
    <w:rsid w:val="0035715D"/>
    <w:rsid w:val="00357E5A"/>
    <w:rsid w:val="00372BC3"/>
    <w:rsid w:val="00373457"/>
    <w:rsid w:val="00373F9C"/>
    <w:rsid w:val="003835AA"/>
    <w:rsid w:val="00393E33"/>
    <w:rsid w:val="003C5DCA"/>
    <w:rsid w:val="003C7FC3"/>
    <w:rsid w:val="003D0862"/>
    <w:rsid w:val="003D3702"/>
    <w:rsid w:val="003F11FC"/>
    <w:rsid w:val="00411C54"/>
    <w:rsid w:val="004151FE"/>
    <w:rsid w:val="0045140E"/>
    <w:rsid w:val="00453E94"/>
    <w:rsid w:val="004760D6"/>
    <w:rsid w:val="00481C77"/>
    <w:rsid w:val="0048352B"/>
    <w:rsid w:val="004871AE"/>
    <w:rsid w:val="004955EC"/>
    <w:rsid w:val="004A0847"/>
    <w:rsid w:val="004A1DFE"/>
    <w:rsid w:val="004A53AC"/>
    <w:rsid w:val="004B08D2"/>
    <w:rsid w:val="004B6D06"/>
    <w:rsid w:val="004C73AC"/>
    <w:rsid w:val="004E3152"/>
    <w:rsid w:val="004F47F9"/>
    <w:rsid w:val="00503C09"/>
    <w:rsid w:val="00505FFA"/>
    <w:rsid w:val="00510A2B"/>
    <w:rsid w:val="00514268"/>
    <w:rsid w:val="00515BDA"/>
    <w:rsid w:val="0051715A"/>
    <w:rsid w:val="00517D5C"/>
    <w:rsid w:val="00545366"/>
    <w:rsid w:val="0054578C"/>
    <w:rsid w:val="00547F9B"/>
    <w:rsid w:val="00553750"/>
    <w:rsid w:val="00563F87"/>
    <w:rsid w:val="00572DF2"/>
    <w:rsid w:val="00575C14"/>
    <w:rsid w:val="00580C7F"/>
    <w:rsid w:val="00580E2D"/>
    <w:rsid w:val="00595EE5"/>
    <w:rsid w:val="00597ADE"/>
    <w:rsid w:val="005A7AF1"/>
    <w:rsid w:val="005D253E"/>
    <w:rsid w:val="005D7DD9"/>
    <w:rsid w:val="005E469E"/>
    <w:rsid w:val="005E60AB"/>
    <w:rsid w:val="005E69D7"/>
    <w:rsid w:val="005E7DE7"/>
    <w:rsid w:val="006042F7"/>
    <w:rsid w:val="00606C0A"/>
    <w:rsid w:val="006137F4"/>
    <w:rsid w:val="00614F4D"/>
    <w:rsid w:val="00647B7D"/>
    <w:rsid w:val="0067373D"/>
    <w:rsid w:val="006A08A5"/>
    <w:rsid w:val="006A5EBE"/>
    <w:rsid w:val="006B4FD8"/>
    <w:rsid w:val="006E13D5"/>
    <w:rsid w:val="006E3AFD"/>
    <w:rsid w:val="006E63AA"/>
    <w:rsid w:val="006E6D67"/>
    <w:rsid w:val="006F1CAD"/>
    <w:rsid w:val="007019FB"/>
    <w:rsid w:val="00704253"/>
    <w:rsid w:val="00722CD3"/>
    <w:rsid w:val="00722DA3"/>
    <w:rsid w:val="007256B1"/>
    <w:rsid w:val="00725944"/>
    <w:rsid w:val="007358C8"/>
    <w:rsid w:val="00771A15"/>
    <w:rsid w:val="00775808"/>
    <w:rsid w:val="00777A18"/>
    <w:rsid w:val="00786538"/>
    <w:rsid w:val="0078670E"/>
    <w:rsid w:val="00787F90"/>
    <w:rsid w:val="00790611"/>
    <w:rsid w:val="007906D2"/>
    <w:rsid w:val="00791FD9"/>
    <w:rsid w:val="007B1A80"/>
    <w:rsid w:val="007B4396"/>
    <w:rsid w:val="007D0FA9"/>
    <w:rsid w:val="007D30FF"/>
    <w:rsid w:val="007F3A20"/>
    <w:rsid w:val="007F5A8D"/>
    <w:rsid w:val="007F7281"/>
    <w:rsid w:val="00800451"/>
    <w:rsid w:val="008029B6"/>
    <w:rsid w:val="008050DE"/>
    <w:rsid w:val="00810B57"/>
    <w:rsid w:val="00823846"/>
    <w:rsid w:val="0084448B"/>
    <w:rsid w:val="008479DA"/>
    <w:rsid w:val="0085412B"/>
    <w:rsid w:val="00863FE3"/>
    <w:rsid w:val="00865FE6"/>
    <w:rsid w:val="00872BBA"/>
    <w:rsid w:val="0088050E"/>
    <w:rsid w:val="008911F3"/>
    <w:rsid w:val="008A0324"/>
    <w:rsid w:val="008A270F"/>
    <w:rsid w:val="008A2B0F"/>
    <w:rsid w:val="008C1695"/>
    <w:rsid w:val="008C3A43"/>
    <w:rsid w:val="008C7927"/>
    <w:rsid w:val="00902458"/>
    <w:rsid w:val="00905C3E"/>
    <w:rsid w:val="00905EDF"/>
    <w:rsid w:val="00911702"/>
    <w:rsid w:val="00921FD0"/>
    <w:rsid w:val="0092779C"/>
    <w:rsid w:val="00934709"/>
    <w:rsid w:val="00943348"/>
    <w:rsid w:val="00952A72"/>
    <w:rsid w:val="00984D01"/>
    <w:rsid w:val="009A5491"/>
    <w:rsid w:val="009E0722"/>
    <w:rsid w:val="009E5068"/>
    <w:rsid w:val="009F2685"/>
    <w:rsid w:val="00A0762F"/>
    <w:rsid w:val="00A16FF3"/>
    <w:rsid w:val="00A2417A"/>
    <w:rsid w:val="00A254C4"/>
    <w:rsid w:val="00A33B66"/>
    <w:rsid w:val="00A37DE4"/>
    <w:rsid w:val="00A46092"/>
    <w:rsid w:val="00A50F21"/>
    <w:rsid w:val="00A51A9D"/>
    <w:rsid w:val="00A5574B"/>
    <w:rsid w:val="00A65B77"/>
    <w:rsid w:val="00AA1578"/>
    <w:rsid w:val="00AA637F"/>
    <w:rsid w:val="00AC599F"/>
    <w:rsid w:val="00AC5CDC"/>
    <w:rsid w:val="00AD6D97"/>
    <w:rsid w:val="00AE3F62"/>
    <w:rsid w:val="00AE6895"/>
    <w:rsid w:val="00B13180"/>
    <w:rsid w:val="00B26057"/>
    <w:rsid w:val="00B538FB"/>
    <w:rsid w:val="00B543B5"/>
    <w:rsid w:val="00B60991"/>
    <w:rsid w:val="00B721CF"/>
    <w:rsid w:val="00B7784A"/>
    <w:rsid w:val="00B821D9"/>
    <w:rsid w:val="00B914C8"/>
    <w:rsid w:val="00B94760"/>
    <w:rsid w:val="00B96FCC"/>
    <w:rsid w:val="00BB39E6"/>
    <w:rsid w:val="00BD740F"/>
    <w:rsid w:val="00BF2CF2"/>
    <w:rsid w:val="00C160FA"/>
    <w:rsid w:val="00C37CAE"/>
    <w:rsid w:val="00C70D4F"/>
    <w:rsid w:val="00C81522"/>
    <w:rsid w:val="00C93286"/>
    <w:rsid w:val="00C97C89"/>
    <w:rsid w:val="00CB3BF8"/>
    <w:rsid w:val="00CB5035"/>
    <w:rsid w:val="00CB66EF"/>
    <w:rsid w:val="00CC00CC"/>
    <w:rsid w:val="00CC0D66"/>
    <w:rsid w:val="00CC4FCE"/>
    <w:rsid w:val="00D10686"/>
    <w:rsid w:val="00D1655D"/>
    <w:rsid w:val="00D32605"/>
    <w:rsid w:val="00D42F1C"/>
    <w:rsid w:val="00D52DF0"/>
    <w:rsid w:val="00D646D5"/>
    <w:rsid w:val="00D64766"/>
    <w:rsid w:val="00D82EE5"/>
    <w:rsid w:val="00D83DFA"/>
    <w:rsid w:val="00D85ED9"/>
    <w:rsid w:val="00D94A37"/>
    <w:rsid w:val="00DC17A1"/>
    <w:rsid w:val="00DC556B"/>
    <w:rsid w:val="00DC5B25"/>
    <w:rsid w:val="00DD5F86"/>
    <w:rsid w:val="00DE3D2A"/>
    <w:rsid w:val="00E0461D"/>
    <w:rsid w:val="00E20F71"/>
    <w:rsid w:val="00E24255"/>
    <w:rsid w:val="00E246B0"/>
    <w:rsid w:val="00E306A0"/>
    <w:rsid w:val="00E425C6"/>
    <w:rsid w:val="00E43638"/>
    <w:rsid w:val="00E47C30"/>
    <w:rsid w:val="00E613C8"/>
    <w:rsid w:val="00E61E75"/>
    <w:rsid w:val="00E62F7F"/>
    <w:rsid w:val="00E6356F"/>
    <w:rsid w:val="00E72CE0"/>
    <w:rsid w:val="00E74C17"/>
    <w:rsid w:val="00E84E71"/>
    <w:rsid w:val="00E87831"/>
    <w:rsid w:val="00E91301"/>
    <w:rsid w:val="00EA770D"/>
    <w:rsid w:val="00EB1003"/>
    <w:rsid w:val="00EB6E8F"/>
    <w:rsid w:val="00EC15C7"/>
    <w:rsid w:val="00EC2D3C"/>
    <w:rsid w:val="00EC6DCE"/>
    <w:rsid w:val="00EE056B"/>
    <w:rsid w:val="00EE582A"/>
    <w:rsid w:val="00EE642A"/>
    <w:rsid w:val="00EF45F5"/>
    <w:rsid w:val="00F02132"/>
    <w:rsid w:val="00F06548"/>
    <w:rsid w:val="00F07B78"/>
    <w:rsid w:val="00F139F9"/>
    <w:rsid w:val="00F27787"/>
    <w:rsid w:val="00F332CB"/>
    <w:rsid w:val="00F55BE7"/>
    <w:rsid w:val="00F6208F"/>
    <w:rsid w:val="00F6456C"/>
    <w:rsid w:val="00F75D35"/>
    <w:rsid w:val="00F868F1"/>
    <w:rsid w:val="00F92E42"/>
    <w:rsid w:val="00FB3E33"/>
    <w:rsid w:val="00FB77F9"/>
    <w:rsid w:val="00FD0366"/>
    <w:rsid w:val="00FE5355"/>
    <w:rsid w:val="00FE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17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1E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6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536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2E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2EE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A17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1E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461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0461D"/>
    <w:pPr>
      <w:ind w:left="720"/>
      <w:contextualSpacing/>
    </w:pPr>
  </w:style>
  <w:style w:type="paragraph" w:styleId="BalloonText">
    <w:name w:val="Balloon Text"/>
    <w:basedOn w:val="Normal"/>
    <w:link w:val="BalloonTextChar"/>
    <w:uiPriority w:val="99"/>
    <w:semiHidden/>
    <w:unhideWhenUsed/>
    <w:rsid w:val="003C7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C3"/>
    <w:rPr>
      <w:rFonts w:ascii="Tahoma" w:hAnsi="Tahoma" w:cs="Tahoma"/>
      <w:sz w:val="16"/>
      <w:szCs w:val="16"/>
    </w:rPr>
  </w:style>
  <w:style w:type="character" w:customStyle="1" w:styleId="Heading1Char">
    <w:name w:val="Heading 1 Char"/>
    <w:basedOn w:val="DefaultParagraphFont"/>
    <w:link w:val="Heading1"/>
    <w:uiPriority w:val="9"/>
    <w:rsid w:val="00563F8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A5491"/>
    <w:pPr>
      <w:spacing w:after="0" w:line="240" w:lineRule="auto"/>
    </w:pPr>
  </w:style>
  <w:style w:type="character" w:customStyle="1" w:styleId="Heading5Char">
    <w:name w:val="Heading 5 Char"/>
    <w:basedOn w:val="DefaultParagraphFont"/>
    <w:link w:val="Heading5"/>
    <w:uiPriority w:val="9"/>
    <w:rsid w:val="001536B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E0776"/>
    <w:rPr>
      <w:color w:val="0000FF" w:themeColor="hyperlink"/>
      <w:u w:val="single"/>
    </w:rPr>
  </w:style>
  <w:style w:type="paragraph" w:styleId="NormalWeb">
    <w:name w:val="Normal (Web)"/>
    <w:basedOn w:val="Normal"/>
    <w:uiPriority w:val="99"/>
    <w:semiHidden/>
    <w:unhideWhenUsed/>
    <w:rsid w:val="00AA637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D7DD9"/>
    <w:rPr>
      <w:color w:val="800080" w:themeColor="followedHyperlink"/>
      <w:u w:val="single"/>
    </w:rPr>
  </w:style>
  <w:style w:type="paragraph" w:styleId="FootnoteText">
    <w:name w:val="footnote text"/>
    <w:basedOn w:val="Normal"/>
    <w:link w:val="FootnoteTextChar"/>
    <w:uiPriority w:val="99"/>
    <w:semiHidden/>
    <w:unhideWhenUsed/>
    <w:rsid w:val="006E3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AFD"/>
    <w:rPr>
      <w:sz w:val="20"/>
      <w:szCs w:val="20"/>
    </w:rPr>
  </w:style>
  <w:style w:type="character" w:styleId="FootnoteReference">
    <w:name w:val="footnote reference"/>
    <w:basedOn w:val="DefaultParagraphFont"/>
    <w:uiPriority w:val="99"/>
    <w:semiHidden/>
    <w:unhideWhenUsed/>
    <w:rsid w:val="006E3AFD"/>
    <w:rPr>
      <w:vertAlign w:val="superscript"/>
    </w:rPr>
  </w:style>
  <w:style w:type="table" w:styleId="TableGrid">
    <w:name w:val="Table Grid"/>
    <w:basedOn w:val="TableNormal"/>
    <w:uiPriority w:val="59"/>
    <w:rsid w:val="00517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FCE"/>
    <w:rPr>
      <w:sz w:val="16"/>
      <w:szCs w:val="16"/>
    </w:rPr>
  </w:style>
  <w:style w:type="paragraph" w:styleId="CommentText">
    <w:name w:val="annotation text"/>
    <w:basedOn w:val="Normal"/>
    <w:link w:val="CommentTextChar"/>
    <w:uiPriority w:val="99"/>
    <w:semiHidden/>
    <w:unhideWhenUsed/>
    <w:rsid w:val="00CC4FCE"/>
    <w:pPr>
      <w:spacing w:line="240" w:lineRule="auto"/>
    </w:pPr>
    <w:rPr>
      <w:sz w:val="20"/>
      <w:szCs w:val="20"/>
    </w:rPr>
  </w:style>
  <w:style w:type="character" w:customStyle="1" w:styleId="CommentTextChar">
    <w:name w:val="Comment Text Char"/>
    <w:basedOn w:val="DefaultParagraphFont"/>
    <w:link w:val="CommentText"/>
    <w:uiPriority w:val="99"/>
    <w:semiHidden/>
    <w:rsid w:val="00CC4FCE"/>
    <w:rPr>
      <w:sz w:val="20"/>
      <w:szCs w:val="20"/>
    </w:rPr>
  </w:style>
  <w:style w:type="paragraph" w:styleId="CommentSubject">
    <w:name w:val="annotation subject"/>
    <w:basedOn w:val="CommentText"/>
    <w:next w:val="CommentText"/>
    <w:link w:val="CommentSubjectChar"/>
    <w:uiPriority w:val="99"/>
    <w:semiHidden/>
    <w:unhideWhenUsed/>
    <w:rsid w:val="00CC4FCE"/>
    <w:rPr>
      <w:b/>
      <w:bCs/>
    </w:rPr>
  </w:style>
  <w:style w:type="character" w:customStyle="1" w:styleId="CommentSubjectChar">
    <w:name w:val="Comment Subject Char"/>
    <w:basedOn w:val="CommentTextChar"/>
    <w:link w:val="CommentSubject"/>
    <w:uiPriority w:val="99"/>
    <w:semiHidden/>
    <w:rsid w:val="00CC4FCE"/>
    <w:rPr>
      <w:b/>
      <w:bCs/>
      <w:sz w:val="20"/>
      <w:szCs w:val="20"/>
    </w:rPr>
  </w:style>
  <w:style w:type="paragraph" w:styleId="Header">
    <w:name w:val="header"/>
    <w:basedOn w:val="Normal"/>
    <w:link w:val="HeaderChar"/>
    <w:uiPriority w:val="99"/>
    <w:unhideWhenUsed/>
    <w:rsid w:val="00383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AA"/>
  </w:style>
  <w:style w:type="paragraph" w:styleId="Footer">
    <w:name w:val="footer"/>
    <w:basedOn w:val="Normal"/>
    <w:link w:val="FooterChar"/>
    <w:uiPriority w:val="99"/>
    <w:unhideWhenUsed/>
    <w:rsid w:val="00383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17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1E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6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536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2E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2EE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A17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1E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461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0461D"/>
    <w:pPr>
      <w:ind w:left="720"/>
      <w:contextualSpacing/>
    </w:pPr>
  </w:style>
  <w:style w:type="paragraph" w:styleId="BalloonText">
    <w:name w:val="Balloon Text"/>
    <w:basedOn w:val="Normal"/>
    <w:link w:val="BalloonTextChar"/>
    <w:uiPriority w:val="99"/>
    <w:semiHidden/>
    <w:unhideWhenUsed/>
    <w:rsid w:val="003C7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C3"/>
    <w:rPr>
      <w:rFonts w:ascii="Tahoma" w:hAnsi="Tahoma" w:cs="Tahoma"/>
      <w:sz w:val="16"/>
      <w:szCs w:val="16"/>
    </w:rPr>
  </w:style>
  <w:style w:type="character" w:customStyle="1" w:styleId="Heading1Char">
    <w:name w:val="Heading 1 Char"/>
    <w:basedOn w:val="DefaultParagraphFont"/>
    <w:link w:val="Heading1"/>
    <w:uiPriority w:val="9"/>
    <w:rsid w:val="00563F8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A5491"/>
    <w:pPr>
      <w:spacing w:after="0" w:line="240" w:lineRule="auto"/>
    </w:pPr>
  </w:style>
  <w:style w:type="character" w:customStyle="1" w:styleId="Heading5Char">
    <w:name w:val="Heading 5 Char"/>
    <w:basedOn w:val="DefaultParagraphFont"/>
    <w:link w:val="Heading5"/>
    <w:uiPriority w:val="9"/>
    <w:rsid w:val="001536B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E0776"/>
    <w:rPr>
      <w:color w:val="0000FF" w:themeColor="hyperlink"/>
      <w:u w:val="single"/>
    </w:rPr>
  </w:style>
  <w:style w:type="paragraph" w:styleId="NormalWeb">
    <w:name w:val="Normal (Web)"/>
    <w:basedOn w:val="Normal"/>
    <w:uiPriority w:val="99"/>
    <w:semiHidden/>
    <w:unhideWhenUsed/>
    <w:rsid w:val="00AA637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D7DD9"/>
    <w:rPr>
      <w:color w:val="800080" w:themeColor="followedHyperlink"/>
      <w:u w:val="single"/>
    </w:rPr>
  </w:style>
  <w:style w:type="paragraph" w:styleId="FootnoteText">
    <w:name w:val="footnote text"/>
    <w:basedOn w:val="Normal"/>
    <w:link w:val="FootnoteTextChar"/>
    <w:uiPriority w:val="99"/>
    <w:semiHidden/>
    <w:unhideWhenUsed/>
    <w:rsid w:val="006E3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AFD"/>
    <w:rPr>
      <w:sz w:val="20"/>
      <w:szCs w:val="20"/>
    </w:rPr>
  </w:style>
  <w:style w:type="character" w:styleId="FootnoteReference">
    <w:name w:val="footnote reference"/>
    <w:basedOn w:val="DefaultParagraphFont"/>
    <w:uiPriority w:val="99"/>
    <w:semiHidden/>
    <w:unhideWhenUsed/>
    <w:rsid w:val="006E3AFD"/>
    <w:rPr>
      <w:vertAlign w:val="superscript"/>
    </w:rPr>
  </w:style>
  <w:style w:type="table" w:styleId="TableGrid">
    <w:name w:val="Table Grid"/>
    <w:basedOn w:val="TableNormal"/>
    <w:uiPriority w:val="59"/>
    <w:rsid w:val="00517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FCE"/>
    <w:rPr>
      <w:sz w:val="16"/>
      <w:szCs w:val="16"/>
    </w:rPr>
  </w:style>
  <w:style w:type="paragraph" w:styleId="CommentText">
    <w:name w:val="annotation text"/>
    <w:basedOn w:val="Normal"/>
    <w:link w:val="CommentTextChar"/>
    <w:uiPriority w:val="99"/>
    <w:semiHidden/>
    <w:unhideWhenUsed/>
    <w:rsid w:val="00CC4FCE"/>
    <w:pPr>
      <w:spacing w:line="240" w:lineRule="auto"/>
    </w:pPr>
    <w:rPr>
      <w:sz w:val="20"/>
      <w:szCs w:val="20"/>
    </w:rPr>
  </w:style>
  <w:style w:type="character" w:customStyle="1" w:styleId="CommentTextChar">
    <w:name w:val="Comment Text Char"/>
    <w:basedOn w:val="DefaultParagraphFont"/>
    <w:link w:val="CommentText"/>
    <w:uiPriority w:val="99"/>
    <w:semiHidden/>
    <w:rsid w:val="00CC4FCE"/>
    <w:rPr>
      <w:sz w:val="20"/>
      <w:szCs w:val="20"/>
    </w:rPr>
  </w:style>
  <w:style w:type="paragraph" w:styleId="CommentSubject">
    <w:name w:val="annotation subject"/>
    <w:basedOn w:val="CommentText"/>
    <w:next w:val="CommentText"/>
    <w:link w:val="CommentSubjectChar"/>
    <w:uiPriority w:val="99"/>
    <w:semiHidden/>
    <w:unhideWhenUsed/>
    <w:rsid w:val="00CC4FCE"/>
    <w:rPr>
      <w:b/>
      <w:bCs/>
    </w:rPr>
  </w:style>
  <w:style w:type="character" w:customStyle="1" w:styleId="CommentSubjectChar">
    <w:name w:val="Comment Subject Char"/>
    <w:basedOn w:val="CommentTextChar"/>
    <w:link w:val="CommentSubject"/>
    <w:uiPriority w:val="99"/>
    <w:semiHidden/>
    <w:rsid w:val="00CC4FCE"/>
    <w:rPr>
      <w:b/>
      <w:bCs/>
      <w:sz w:val="20"/>
      <w:szCs w:val="20"/>
    </w:rPr>
  </w:style>
  <w:style w:type="paragraph" w:styleId="Header">
    <w:name w:val="header"/>
    <w:basedOn w:val="Normal"/>
    <w:link w:val="HeaderChar"/>
    <w:uiPriority w:val="99"/>
    <w:unhideWhenUsed/>
    <w:rsid w:val="00383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AA"/>
  </w:style>
  <w:style w:type="paragraph" w:styleId="Footer">
    <w:name w:val="footer"/>
    <w:basedOn w:val="Normal"/>
    <w:link w:val="FooterChar"/>
    <w:uiPriority w:val="99"/>
    <w:unhideWhenUsed/>
    <w:rsid w:val="00383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2640">
      <w:bodyDiv w:val="1"/>
      <w:marLeft w:val="0"/>
      <w:marRight w:val="0"/>
      <w:marTop w:val="0"/>
      <w:marBottom w:val="0"/>
      <w:divBdr>
        <w:top w:val="none" w:sz="0" w:space="0" w:color="auto"/>
        <w:left w:val="none" w:sz="0" w:space="0" w:color="auto"/>
        <w:bottom w:val="none" w:sz="0" w:space="0" w:color="auto"/>
        <w:right w:val="none" w:sz="0" w:space="0" w:color="auto"/>
      </w:divBdr>
    </w:div>
    <w:div w:id="293683582">
      <w:bodyDiv w:val="1"/>
      <w:marLeft w:val="0"/>
      <w:marRight w:val="0"/>
      <w:marTop w:val="0"/>
      <w:marBottom w:val="0"/>
      <w:divBdr>
        <w:top w:val="none" w:sz="0" w:space="0" w:color="auto"/>
        <w:left w:val="none" w:sz="0" w:space="0" w:color="auto"/>
        <w:bottom w:val="none" w:sz="0" w:space="0" w:color="auto"/>
        <w:right w:val="none" w:sz="0" w:space="0" w:color="auto"/>
      </w:divBdr>
    </w:div>
    <w:div w:id="471335480">
      <w:bodyDiv w:val="1"/>
      <w:marLeft w:val="0"/>
      <w:marRight w:val="0"/>
      <w:marTop w:val="0"/>
      <w:marBottom w:val="0"/>
      <w:divBdr>
        <w:top w:val="none" w:sz="0" w:space="0" w:color="auto"/>
        <w:left w:val="none" w:sz="0" w:space="0" w:color="auto"/>
        <w:bottom w:val="none" w:sz="0" w:space="0" w:color="auto"/>
        <w:right w:val="none" w:sz="0" w:space="0" w:color="auto"/>
      </w:divBdr>
    </w:div>
    <w:div w:id="1010330338">
      <w:bodyDiv w:val="1"/>
      <w:marLeft w:val="0"/>
      <w:marRight w:val="0"/>
      <w:marTop w:val="0"/>
      <w:marBottom w:val="0"/>
      <w:divBdr>
        <w:top w:val="none" w:sz="0" w:space="0" w:color="auto"/>
        <w:left w:val="none" w:sz="0" w:space="0" w:color="auto"/>
        <w:bottom w:val="none" w:sz="0" w:space="0" w:color="auto"/>
        <w:right w:val="none" w:sz="0" w:space="0" w:color="auto"/>
      </w:divBdr>
    </w:div>
    <w:div w:id="1171674874">
      <w:bodyDiv w:val="1"/>
      <w:marLeft w:val="0"/>
      <w:marRight w:val="0"/>
      <w:marTop w:val="0"/>
      <w:marBottom w:val="0"/>
      <w:divBdr>
        <w:top w:val="none" w:sz="0" w:space="0" w:color="auto"/>
        <w:left w:val="none" w:sz="0" w:space="0" w:color="auto"/>
        <w:bottom w:val="none" w:sz="0" w:space="0" w:color="auto"/>
        <w:right w:val="none" w:sz="0" w:space="0" w:color="auto"/>
      </w:divBdr>
    </w:div>
    <w:div w:id="1219823096">
      <w:bodyDiv w:val="1"/>
      <w:marLeft w:val="0"/>
      <w:marRight w:val="0"/>
      <w:marTop w:val="0"/>
      <w:marBottom w:val="0"/>
      <w:divBdr>
        <w:top w:val="none" w:sz="0" w:space="0" w:color="auto"/>
        <w:left w:val="none" w:sz="0" w:space="0" w:color="auto"/>
        <w:bottom w:val="none" w:sz="0" w:space="0" w:color="auto"/>
        <w:right w:val="none" w:sz="0" w:space="0" w:color="auto"/>
      </w:divBdr>
    </w:div>
    <w:div w:id="1450314562">
      <w:bodyDiv w:val="1"/>
      <w:marLeft w:val="0"/>
      <w:marRight w:val="0"/>
      <w:marTop w:val="0"/>
      <w:marBottom w:val="0"/>
      <w:divBdr>
        <w:top w:val="none" w:sz="0" w:space="0" w:color="auto"/>
        <w:left w:val="none" w:sz="0" w:space="0" w:color="auto"/>
        <w:bottom w:val="none" w:sz="0" w:space="0" w:color="auto"/>
        <w:right w:val="none" w:sz="0" w:space="0" w:color="auto"/>
      </w:divBdr>
    </w:div>
    <w:div w:id="1718697437">
      <w:bodyDiv w:val="1"/>
      <w:marLeft w:val="0"/>
      <w:marRight w:val="0"/>
      <w:marTop w:val="0"/>
      <w:marBottom w:val="0"/>
      <w:divBdr>
        <w:top w:val="none" w:sz="0" w:space="0" w:color="auto"/>
        <w:left w:val="none" w:sz="0" w:space="0" w:color="auto"/>
        <w:bottom w:val="none" w:sz="0" w:space="0" w:color="auto"/>
        <w:right w:val="none" w:sz="0" w:space="0" w:color="auto"/>
      </w:divBdr>
    </w:div>
    <w:div w:id="1903638598">
      <w:bodyDiv w:val="1"/>
      <w:marLeft w:val="0"/>
      <w:marRight w:val="0"/>
      <w:marTop w:val="0"/>
      <w:marBottom w:val="0"/>
      <w:divBdr>
        <w:top w:val="none" w:sz="0" w:space="0" w:color="auto"/>
        <w:left w:val="none" w:sz="0" w:space="0" w:color="auto"/>
        <w:bottom w:val="none" w:sz="0" w:space="0" w:color="auto"/>
        <w:right w:val="none" w:sz="0" w:space="0" w:color="auto"/>
      </w:divBdr>
    </w:div>
    <w:div w:id="21269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vodafone.com.au/media/mobile-centric-retail-outlets/"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edia.optus.com.au/media-releases/2016/optus-sharpens-focus-on-smb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ccan.org.au/files/Market-Clarity-Small-Biz-Telecom-Service-Use-final.pdf" TargetMode="External"/><Relationship Id="rId2" Type="http://schemas.openxmlformats.org/officeDocument/2006/relationships/hyperlink" Target="http://accan.org.au/files/Reports/ACCAN%20Galaxy%20Survey%20May%202015.pdf" TargetMode="External"/><Relationship Id="rId1" Type="http://schemas.openxmlformats.org/officeDocument/2006/relationships/hyperlink" Target="https://accan.org.au/files/Market-Clarity-Small-Biz-Telecom-Service-Use-final.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ccan01\accan%20docs\Small%20Business\Small%20business%20survey%202016\Survey%20Results%20from%20Survey%20Monkey\Q1%20data%20simple%20categories_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ccan01\accan%20docs\Small%20Business\Small%20business%20survey%202016\Survey%20Results%20from%20Survey%20Monkey\SurveySummary_10262016_changes%207%20Feb%20201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ccan01\accan%20docs\Small%20Business\Small%20business%20survey%202016\Survey%20Results%20from%20Survey%20Monkey\Multiple%20issues.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ccan01\accan%20docs\Small%20Business\Small%20business%20survey%202016\Survey%20Results%20from%20Survey%20Monkey\SurveySummary_10262016_changes%207%20Feb%202017.xls"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oleObject" Target="file:///\\accan01\accan%20docs\Small%20Business\Small%20business%20survey%202016\Survey%20Results%20from%20Survey%20Monkey\SurveySummary_10262016_changes%207%20Feb%202017.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ccan01\accan%20docs\Small%20Business\Small%20business%20survey%202016\Survey%20Results%20from%20Survey%20Monkey\SurveySummary_10262016_changes%207%20Feb%202017.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ccan01\accan%20docs\Small%20Business\Small%20business%20survey%202016\Survey%20Results%20from%20Survey%20Monkey\SurveySummary_10262016_changes%207%20Feb%20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Types of business</a:t>
            </a:r>
          </a:p>
        </c:rich>
      </c:tx>
      <c:layout/>
      <c:overlay val="0"/>
    </c:title>
    <c:autoTitleDeleted val="0"/>
    <c:plotArea>
      <c:layout/>
      <c:barChart>
        <c:barDir val="bar"/>
        <c:grouping val="clustered"/>
        <c:varyColors val="0"/>
        <c:ser>
          <c:idx val="0"/>
          <c:order val="0"/>
          <c:tx>
            <c:strRef>
              <c:f>'Question 1'!$B$8</c:f>
              <c:strCache>
                <c:ptCount val="1"/>
                <c:pt idx="0">
                  <c:v>Percentage</c:v>
                </c:pt>
              </c:strCache>
            </c:strRef>
          </c:tx>
          <c:invertIfNegative val="0"/>
          <c:dLbls>
            <c:showLegendKey val="0"/>
            <c:showVal val="1"/>
            <c:showCatName val="0"/>
            <c:showSerName val="0"/>
            <c:showPercent val="0"/>
            <c:showBubbleSize val="0"/>
            <c:showLeaderLines val="0"/>
          </c:dLbls>
          <c:cat>
            <c:strRef>
              <c:f>'Question 1'!$A$9:$A$25</c:f>
              <c:strCache>
                <c:ptCount val="17"/>
                <c:pt idx="0">
                  <c:v>Accommodation and food services</c:v>
                </c:pt>
                <c:pt idx="1">
                  <c:v>Agriculture</c:v>
                </c:pt>
                <c:pt idx="2">
                  <c:v>Arts &amp; Recreation</c:v>
                </c:pt>
                <c:pt idx="3">
                  <c:v>Construction</c:v>
                </c:pt>
                <c:pt idx="4">
                  <c:v>Did not nominate business type</c:v>
                </c:pt>
                <c:pt idx="5">
                  <c:v>Education &amp; Training</c:v>
                </c:pt>
                <c:pt idx="6">
                  <c:v>Financal services</c:v>
                </c:pt>
                <c:pt idx="7">
                  <c:v>Health </c:v>
                </c:pt>
                <c:pt idx="8">
                  <c:v>IT Services</c:v>
                </c:pt>
                <c:pt idx="9">
                  <c:v>Manufacturing </c:v>
                </c:pt>
                <c:pt idx="10">
                  <c:v>Support services</c:v>
                </c:pt>
                <c:pt idx="11">
                  <c:v>Professional services</c:v>
                </c:pt>
                <c:pt idx="12">
                  <c:v>Public and government relations</c:v>
                </c:pt>
                <c:pt idx="13">
                  <c:v>Retail</c:v>
                </c:pt>
                <c:pt idx="14">
                  <c:v>Social assistance</c:v>
                </c:pt>
                <c:pt idx="15">
                  <c:v>Technical Services</c:v>
                </c:pt>
                <c:pt idx="16">
                  <c:v>Transport</c:v>
                </c:pt>
              </c:strCache>
            </c:strRef>
          </c:cat>
          <c:val>
            <c:numRef>
              <c:f>'Question 1'!$B$9:$B$25</c:f>
              <c:numCache>
                <c:formatCode>0%</c:formatCode>
                <c:ptCount val="17"/>
                <c:pt idx="0">
                  <c:v>0.03</c:v>
                </c:pt>
                <c:pt idx="1">
                  <c:v>0.47</c:v>
                </c:pt>
                <c:pt idx="2">
                  <c:v>0.04</c:v>
                </c:pt>
                <c:pt idx="3">
                  <c:v>0.02</c:v>
                </c:pt>
                <c:pt idx="4">
                  <c:v>0.02</c:v>
                </c:pt>
                <c:pt idx="5">
                  <c:v>0.06</c:v>
                </c:pt>
                <c:pt idx="6">
                  <c:v>0.02</c:v>
                </c:pt>
                <c:pt idx="7">
                  <c:v>0.02</c:v>
                </c:pt>
                <c:pt idx="8">
                  <c:v>0.06</c:v>
                </c:pt>
                <c:pt idx="9">
                  <c:v>0.01</c:v>
                </c:pt>
                <c:pt idx="10">
                  <c:v>0.03</c:v>
                </c:pt>
                <c:pt idx="11">
                  <c:v>0.1</c:v>
                </c:pt>
                <c:pt idx="12">
                  <c:v>0.01</c:v>
                </c:pt>
                <c:pt idx="13">
                  <c:v>0.06</c:v>
                </c:pt>
                <c:pt idx="14">
                  <c:v>0.02</c:v>
                </c:pt>
                <c:pt idx="15">
                  <c:v>0.01</c:v>
                </c:pt>
                <c:pt idx="16">
                  <c:v>0.02</c:v>
                </c:pt>
              </c:numCache>
            </c:numRef>
          </c:val>
        </c:ser>
        <c:dLbls>
          <c:showLegendKey val="0"/>
          <c:showVal val="0"/>
          <c:showCatName val="0"/>
          <c:showSerName val="0"/>
          <c:showPercent val="0"/>
          <c:showBubbleSize val="0"/>
        </c:dLbls>
        <c:gapWidth val="75"/>
        <c:overlap val="-25"/>
        <c:axId val="59049856"/>
        <c:axId val="59051392"/>
      </c:barChart>
      <c:catAx>
        <c:axId val="59049856"/>
        <c:scaling>
          <c:orientation val="maxMin"/>
        </c:scaling>
        <c:delete val="0"/>
        <c:axPos val="l"/>
        <c:numFmt formatCode="General" sourceLinked="1"/>
        <c:majorTickMark val="none"/>
        <c:minorTickMark val="none"/>
        <c:tickLblPos val="nextTo"/>
        <c:txPr>
          <a:bodyPr rot="0" vert="horz"/>
          <a:lstStyle/>
          <a:p>
            <a:pPr>
              <a:defRPr/>
            </a:pPr>
            <a:endParaRPr lang="en-US"/>
          </a:p>
        </c:txPr>
        <c:crossAx val="59051392"/>
        <c:crosses val="autoZero"/>
        <c:auto val="1"/>
        <c:lblAlgn val="ctr"/>
        <c:lblOffset val="100"/>
        <c:noMultiLvlLbl val="0"/>
      </c:catAx>
      <c:valAx>
        <c:axId val="59051392"/>
        <c:scaling>
          <c:orientation val="minMax"/>
        </c:scaling>
        <c:delete val="0"/>
        <c:axPos val="t"/>
        <c:majorGridlines/>
        <c:numFmt formatCode="0%" sourceLinked="1"/>
        <c:majorTickMark val="none"/>
        <c:minorTickMark val="none"/>
        <c:tickLblPos val="nextTo"/>
        <c:spPr>
          <a:ln w="9525">
            <a:noFill/>
          </a:ln>
        </c:spPr>
        <c:txPr>
          <a:bodyPr rot="0" vert="horz"/>
          <a:lstStyle/>
          <a:p>
            <a:pPr>
              <a:defRPr/>
            </a:pPr>
            <a:endParaRPr lang="en-US"/>
          </a:p>
        </c:txPr>
        <c:crossAx val="590498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a:t>Respondents with telecommunications services issues</a:t>
            </a:r>
          </a:p>
        </c:rich>
      </c:tx>
      <c:layout>
        <c:manualLayout>
          <c:xMode val="edge"/>
          <c:yMode val="edge"/>
          <c:x val="0.11979185437641189"/>
          <c:y val="3.529408823897013E-2"/>
        </c:manualLayout>
      </c:layout>
      <c:overlay val="0"/>
    </c:title>
    <c:autoTitleDeleted val="0"/>
    <c:plotArea>
      <c:layout>
        <c:manualLayout>
          <c:layoutTarget val="inner"/>
          <c:xMode val="edge"/>
          <c:yMode val="edge"/>
          <c:x val="0.10937518543698703"/>
          <c:y val="0.23235327486396321"/>
          <c:w val="0.86632091322311944"/>
          <c:h val="0.47353009181136807"/>
        </c:manualLayout>
      </c:layout>
      <c:barChart>
        <c:barDir val="col"/>
        <c:grouping val="clustered"/>
        <c:varyColors val="0"/>
        <c:ser>
          <c:idx val="0"/>
          <c:order val="0"/>
          <c:invertIfNegative val="0"/>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1.8174160894644617E-3"/>
                  <c:y val="2.156955380577428E-3"/>
                </c:manualLayout>
              </c:layout>
              <c:spPr/>
              <c:txPr>
                <a:bodyPr/>
                <a:lstStyle/>
                <a:p>
                  <a:pPr>
                    <a:defRPr/>
                  </a:pPr>
                  <a:endParaRPr lang="en-US"/>
                </a:p>
              </c:txPr>
              <c:dLblPos val="outEnd"/>
              <c:showLegendKey val="0"/>
              <c:showVal val="1"/>
              <c:showCatName val="0"/>
              <c:showSerName val="0"/>
              <c:showPercent val="0"/>
              <c:showBubbleSize val="0"/>
            </c:dLbl>
            <c:dLbl>
              <c:idx val="1"/>
              <c:layout>
                <c:manualLayout>
                  <c:x val="2.9913739292617078E-3"/>
                  <c:y val="9.4118110236220479E-3"/>
                </c:manualLayout>
              </c:layout>
              <c:spPr/>
              <c:txPr>
                <a:bodyPr/>
                <a:lstStyle/>
                <a:p>
                  <a:pPr>
                    <a:defRPr/>
                  </a:pPr>
                  <a:endParaRPr lang="en-US"/>
                </a:p>
              </c:txPr>
              <c:dLblPos val="outEnd"/>
              <c:showLegendKey val="0"/>
              <c:showVal val="1"/>
              <c:showCatName val="0"/>
              <c:showSerName val="0"/>
              <c:showPercent val="0"/>
              <c:showBubbleSize val="0"/>
            </c:dLbl>
            <c:dLbl>
              <c:idx val="2"/>
              <c:layout>
                <c:manualLayout>
                  <c:x val="-4.0260511848626375E-3"/>
                  <c:y val="0.01"/>
                </c:manualLayout>
              </c:layout>
              <c:spPr/>
              <c:txPr>
                <a:bodyPr/>
                <a:lstStyle/>
                <a:p>
                  <a:pPr>
                    <a:defRPr/>
                  </a:pPr>
                  <a:endParaRPr lang="en-US"/>
                </a:p>
              </c:txPr>
              <c:dLblPos val="outEnd"/>
              <c:showLegendKey val="0"/>
              <c:showVal val="1"/>
              <c:showCatName val="0"/>
              <c:showSerName val="0"/>
              <c:showPercent val="0"/>
              <c:showBubbleSize val="0"/>
            </c:dLbl>
            <c:dLbl>
              <c:idx val="3"/>
              <c:layout>
                <c:manualLayout>
                  <c:x val="-6.9908023674691089E-3"/>
                  <c:y val="-9.607874015748032E-3"/>
                </c:manualLayout>
              </c:layout>
              <c:spPr/>
              <c:txPr>
                <a:bodyPr/>
                <a:lstStyle/>
                <a:p>
                  <a:pPr>
                    <a:defRPr/>
                  </a:pPr>
                  <a:endParaRPr lang="en-US"/>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'Question 4'!$A$4:$A$12</c:f>
              <c:strCache>
                <c:ptCount val="9"/>
                <c:pt idx="0">
                  <c:v>No issues</c:v>
                </c:pt>
                <c:pt idx="1">
                  <c:v>Outages</c:v>
                </c:pt>
                <c:pt idx="2">
                  <c:v>Speed</c:v>
                </c:pt>
                <c:pt idx="3">
                  <c:v>Congestion during peak times</c:v>
                </c:pt>
                <c:pt idx="4">
                  <c:v>Cost</c:v>
                </c:pt>
                <c:pt idx="5">
                  <c:v>Dropouts</c:v>
                </c:pt>
                <c:pt idx="6">
                  <c:v>Decline / degradation of service</c:v>
                </c:pt>
                <c:pt idx="7">
                  <c:v>Technically complicated and hard to use</c:v>
                </c:pt>
                <c:pt idx="8">
                  <c:v>Other</c:v>
                </c:pt>
              </c:strCache>
            </c:strRef>
          </c:cat>
          <c:val>
            <c:numRef>
              <c:f>'Question 4'!$D$4:$D$12</c:f>
              <c:numCache>
                <c:formatCode>0</c:formatCode>
                <c:ptCount val="9"/>
                <c:pt idx="0">
                  <c:v>4</c:v>
                </c:pt>
                <c:pt idx="1">
                  <c:v>43</c:v>
                </c:pt>
                <c:pt idx="2">
                  <c:v>73</c:v>
                </c:pt>
                <c:pt idx="3">
                  <c:v>52</c:v>
                </c:pt>
                <c:pt idx="4">
                  <c:v>47</c:v>
                </c:pt>
                <c:pt idx="5">
                  <c:v>40</c:v>
                </c:pt>
                <c:pt idx="6">
                  <c:v>28</c:v>
                </c:pt>
                <c:pt idx="7">
                  <c:v>10</c:v>
                </c:pt>
                <c:pt idx="8">
                  <c:v>9</c:v>
                </c:pt>
              </c:numCache>
            </c:numRef>
          </c:val>
        </c:ser>
        <c:dLbls>
          <c:showLegendKey val="0"/>
          <c:showVal val="0"/>
          <c:showCatName val="0"/>
          <c:showSerName val="0"/>
          <c:showPercent val="0"/>
          <c:showBubbleSize val="0"/>
        </c:dLbls>
        <c:gapWidth val="100"/>
        <c:axId val="59098240"/>
        <c:axId val="59099776"/>
      </c:barChart>
      <c:catAx>
        <c:axId val="59098240"/>
        <c:scaling>
          <c:orientation val="minMax"/>
        </c:scaling>
        <c:delete val="0"/>
        <c:axPos val="b"/>
        <c:numFmt formatCode="General" sourceLinked="1"/>
        <c:majorTickMark val="out"/>
        <c:minorTickMark val="none"/>
        <c:tickLblPos val="nextTo"/>
        <c:crossAx val="59099776"/>
        <c:crosses val="autoZero"/>
        <c:auto val="1"/>
        <c:lblAlgn val="ctr"/>
        <c:lblOffset val="100"/>
        <c:noMultiLvlLbl val="0"/>
      </c:catAx>
      <c:valAx>
        <c:axId val="59099776"/>
        <c:scaling>
          <c:orientation val="minMax"/>
        </c:scaling>
        <c:delete val="0"/>
        <c:axPos val="l"/>
        <c:majorGridlines/>
        <c:numFmt formatCode="0" sourceLinked="1"/>
        <c:majorTickMark val="out"/>
        <c:minorTickMark val="none"/>
        <c:tickLblPos val="nextTo"/>
        <c:crossAx val="59098240"/>
        <c:crosses val="autoZero"/>
        <c:crossBetween val="between"/>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respondents with </a:t>
            </a:r>
          </a:p>
          <a:p>
            <a:pPr>
              <a:defRPr/>
            </a:pPr>
            <a:r>
              <a:rPr lang="en-US"/>
              <a:t>multiple Top 4 issues</a:t>
            </a:r>
          </a:p>
        </c:rich>
      </c:tx>
      <c:overlay val="0"/>
    </c:title>
    <c:autoTitleDeleted val="0"/>
    <c:plotArea>
      <c:layout/>
      <c:barChart>
        <c:barDir val="bar"/>
        <c:grouping val="clustered"/>
        <c:varyColors val="0"/>
        <c:ser>
          <c:idx val="0"/>
          <c:order val="0"/>
          <c:tx>
            <c:strRef>
              <c:f>'Multiple of Top 4 graph'!$B$1</c:f>
              <c:strCache>
                <c:ptCount val="1"/>
                <c:pt idx="0">
                  <c:v>Number of respondents with multiple Top 4 issues</c:v>
                </c:pt>
              </c:strCache>
            </c:strRef>
          </c:tx>
          <c:invertIfNegative val="0"/>
          <c:dLbls>
            <c:showLegendKey val="0"/>
            <c:showVal val="1"/>
            <c:showCatName val="0"/>
            <c:showSerName val="0"/>
            <c:showPercent val="0"/>
            <c:showBubbleSize val="0"/>
            <c:showLeaderLines val="0"/>
          </c:dLbls>
          <c:cat>
            <c:strRef>
              <c:f>'Multiple of Top 4 graph'!$A$2:$A$4</c:f>
              <c:strCache>
                <c:ptCount val="3"/>
                <c:pt idx="0">
                  <c:v>2 issues - Speed + congestion at peak times</c:v>
                </c:pt>
                <c:pt idx="1">
                  <c:v>3 issues - Speed + congestion at peak times + outages</c:v>
                </c:pt>
                <c:pt idx="2">
                  <c:v>4 issues - Speed + congestion + outages + cost</c:v>
                </c:pt>
              </c:strCache>
            </c:strRef>
          </c:cat>
          <c:val>
            <c:numRef>
              <c:f>'Multiple of Top 4 graph'!$B$2:$B$4</c:f>
              <c:numCache>
                <c:formatCode>General</c:formatCode>
                <c:ptCount val="3"/>
                <c:pt idx="0">
                  <c:v>48</c:v>
                </c:pt>
                <c:pt idx="1">
                  <c:v>31</c:v>
                </c:pt>
                <c:pt idx="2">
                  <c:v>22</c:v>
                </c:pt>
              </c:numCache>
            </c:numRef>
          </c:val>
        </c:ser>
        <c:dLbls>
          <c:showLegendKey val="0"/>
          <c:showVal val="0"/>
          <c:showCatName val="0"/>
          <c:showSerName val="0"/>
          <c:showPercent val="0"/>
          <c:showBubbleSize val="0"/>
        </c:dLbls>
        <c:gapWidth val="150"/>
        <c:axId val="39684352"/>
        <c:axId val="39686144"/>
      </c:barChart>
      <c:catAx>
        <c:axId val="39684352"/>
        <c:scaling>
          <c:orientation val="minMax"/>
        </c:scaling>
        <c:delete val="0"/>
        <c:axPos val="l"/>
        <c:majorTickMark val="out"/>
        <c:minorTickMark val="none"/>
        <c:tickLblPos val="nextTo"/>
        <c:crossAx val="39686144"/>
        <c:crosses val="autoZero"/>
        <c:auto val="1"/>
        <c:lblAlgn val="ctr"/>
        <c:lblOffset val="100"/>
        <c:noMultiLvlLbl val="0"/>
      </c:catAx>
      <c:valAx>
        <c:axId val="39686144"/>
        <c:scaling>
          <c:orientation val="minMax"/>
        </c:scaling>
        <c:delete val="0"/>
        <c:axPos val="b"/>
        <c:majorGridlines/>
        <c:numFmt formatCode="General" sourceLinked="1"/>
        <c:majorTickMark val="out"/>
        <c:minorTickMark val="none"/>
        <c:tickLblPos val="nextTo"/>
        <c:crossAx val="396843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9.4122375328083985E-2"/>
          <c:y val="0.14497647699697916"/>
          <c:w val="0.88041466170895299"/>
          <c:h val="0.77624473827564011"/>
        </c:manualLayout>
      </c:layout>
      <c:barChart>
        <c:barDir val="col"/>
        <c:grouping val="clustered"/>
        <c:varyColors val="0"/>
        <c:ser>
          <c:idx val="0"/>
          <c:order val="0"/>
          <c:invertIfNegative val="0"/>
          <c:dPt>
            <c:idx val="0"/>
            <c:invertIfNegative val="0"/>
            <c:bubble3D val="0"/>
          </c:dPt>
          <c:dPt>
            <c:idx val="1"/>
            <c:invertIfNegative val="0"/>
            <c:bubble3D val="0"/>
          </c:dPt>
          <c:dLbls>
            <c:showLegendKey val="0"/>
            <c:showVal val="1"/>
            <c:showCatName val="0"/>
            <c:showSerName val="0"/>
            <c:showPercent val="0"/>
            <c:showBubbleSize val="0"/>
            <c:separator> </c:separator>
            <c:showLeaderLines val="0"/>
          </c:dLbls>
          <c:cat>
            <c:strRef>
              <c:f>'Question 5'!$A$4:$A$6</c:f>
              <c:strCache>
                <c:ptCount val="3"/>
                <c:pt idx="0">
                  <c:v>Easy </c:v>
                </c:pt>
                <c:pt idx="1">
                  <c:v>Difficult</c:v>
                </c:pt>
                <c:pt idx="2">
                  <c:v>Something else</c:v>
                </c:pt>
              </c:strCache>
            </c:strRef>
          </c:cat>
          <c:val>
            <c:numRef>
              <c:f>'Question 5'!$C$4:$C$6</c:f>
              <c:numCache>
                <c:formatCode>0.0%</c:formatCode>
                <c:ptCount val="3"/>
                <c:pt idx="0">
                  <c:v>0.08</c:v>
                </c:pt>
                <c:pt idx="1">
                  <c:v>0.64</c:v>
                </c:pt>
                <c:pt idx="2">
                  <c:v>0.28000000000000003</c:v>
                </c:pt>
              </c:numCache>
            </c:numRef>
          </c:val>
        </c:ser>
        <c:dLbls>
          <c:showLegendKey val="0"/>
          <c:showVal val="0"/>
          <c:showCatName val="0"/>
          <c:showSerName val="0"/>
          <c:showPercent val="0"/>
          <c:showBubbleSize val="0"/>
        </c:dLbls>
        <c:gapWidth val="100"/>
        <c:axId val="39707008"/>
        <c:axId val="39692928"/>
      </c:barChart>
      <c:valAx>
        <c:axId val="39692928"/>
        <c:scaling>
          <c:orientation val="minMax"/>
        </c:scaling>
        <c:delete val="0"/>
        <c:axPos val="l"/>
        <c:majorGridlines/>
        <c:numFmt formatCode="0.0%" sourceLinked="1"/>
        <c:majorTickMark val="out"/>
        <c:minorTickMark val="none"/>
        <c:tickLblPos val="nextTo"/>
        <c:crossAx val="39707008"/>
        <c:crosses val="autoZero"/>
        <c:crossBetween val="between"/>
      </c:valAx>
      <c:catAx>
        <c:axId val="39707008"/>
        <c:scaling>
          <c:orientation val="minMax"/>
        </c:scaling>
        <c:delete val="0"/>
        <c:axPos val="b"/>
        <c:majorTickMark val="out"/>
        <c:minorTickMark val="none"/>
        <c:tickLblPos val="nextTo"/>
        <c:crossAx val="39692928"/>
        <c:crosses val="autoZero"/>
        <c:auto val="1"/>
        <c:lblAlgn val="ctr"/>
        <c:lblOffset val="100"/>
        <c:noMultiLvlLbl val="0"/>
      </c:catAx>
    </c:plotArea>
    <c:plotVisOnly val="1"/>
    <c:dispBlanksAs val="zero"/>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400"/>
            </a:pPr>
            <a:r>
              <a:rPr lang="en-US" sz="1400"/>
              <a:t>Did you contact your provider?</a:t>
            </a:r>
          </a:p>
        </c:rich>
      </c:tx>
      <c:layout>
        <c:manualLayout>
          <c:xMode val="edge"/>
          <c:yMode val="edge"/>
          <c:x val="0.21932925051035282"/>
          <c:y val="4.7058823529411764E-2"/>
        </c:manualLayout>
      </c:layout>
      <c:overlay val="0"/>
    </c:title>
    <c:autoTitleDeleted val="0"/>
    <c:plotArea>
      <c:layout>
        <c:manualLayout>
          <c:layoutTarget val="inner"/>
          <c:xMode val="edge"/>
          <c:yMode val="edge"/>
          <c:x val="0.24826430980141501"/>
          <c:y val="0.20000028722467719"/>
          <c:w val="0.41840348714783926"/>
          <c:h val="0.70882454736981182"/>
        </c:manualLayout>
      </c:layout>
      <c:pieChart>
        <c:varyColors val="1"/>
        <c:ser>
          <c:idx val="0"/>
          <c:order val="0"/>
          <c:dPt>
            <c:idx val="0"/>
            <c:bubble3D val="0"/>
          </c:dPt>
          <c:dPt>
            <c:idx val="1"/>
            <c:bubble3D val="0"/>
          </c:dPt>
          <c:dLbls>
            <c:dLbl>
              <c:idx val="0"/>
              <c:layout>
                <c:manualLayout>
                  <c:x val="8.753174303396577E-2"/>
                  <c:y val="-0.24041504539559014"/>
                </c:manualLayout>
              </c:layout>
              <c:tx>
                <c:rich>
                  <a:bodyPr/>
                  <a:lstStyle/>
                  <a:p>
                    <a:r>
                      <a:rPr lang="en-US"/>
                      <a:t>Yes
84%</a:t>
                    </a:r>
                  </a:p>
                </c:rich>
              </c:tx>
              <c:showLegendKey val="0"/>
              <c:showVal val="1"/>
              <c:showCatName val="1"/>
              <c:showSerName val="0"/>
              <c:showPercent val="0"/>
              <c:showBubbleSize val="0"/>
              <c:separator>
</c:separator>
            </c:dLbl>
            <c:dLbl>
              <c:idx val="1"/>
              <c:layout>
                <c:manualLayout>
                  <c:x val="-7.7826614956712503E-2"/>
                  <c:y val="0.12912856823129668"/>
                </c:manualLayout>
              </c:layout>
              <c:tx>
                <c:rich>
                  <a:bodyPr/>
                  <a:lstStyle/>
                  <a:p>
                    <a:r>
                      <a:rPr lang="en-US"/>
                      <a:t>No
16%</a:t>
                    </a:r>
                  </a:p>
                </c:rich>
              </c:tx>
              <c:showLegendKey val="0"/>
              <c:showVal val="1"/>
              <c:showCatName val="1"/>
              <c:showSerName val="0"/>
              <c:showPercent val="0"/>
              <c:showBubbleSize val="0"/>
              <c:separator>
</c:separator>
            </c:dLbl>
            <c:showLegendKey val="0"/>
            <c:showVal val="1"/>
            <c:showCatName val="1"/>
            <c:showSerName val="0"/>
            <c:showPercent val="0"/>
            <c:showBubbleSize val="0"/>
            <c:separator>
</c:separator>
            <c:showLeaderLines val="0"/>
          </c:dLbls>
          <c:cat>
            <c:strRef>
              <c:f>'Question 7'!$A$4:$A$5</c:f>
              <c:strCache>
                <c:ptCount val="2"/>
                <c:pt idx="0">
                  <c:v>Yes</c:v>
                </c:pt>
                <c:pt idx="1">
                  <c:v>No</c:v>
                </c:pt>
              </c:strCache>
            </c:strRef>
          </c:cat>
          <c:val>
            <c:numRef>
              <c:f>'Question 7'!$C$4:$C$5</c:f>
              <c:numCache>
                <c:formatCode>0.0%</c:formatCode>
                <c:ptCount val="2"/>
                <c:pt idx="0">
                  <c:v>0.84</c:v>
                </c:pt>
                <c:pt idx="1">
                  <c:v>0.16</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400"/>
            </a:pPr>
            <a:r>
              <a:rPr lang="en-US" sz="1400"/>
              <a:t>Did you contact the Telecommunications Industry Ombudsman (TIO) ?</a:t>
            </a:r>
          </a:p>
        </c:rich>
      </c:tx>
      <c:layout>
        <c:manualLayout>
          <c:xMode val="edge"/>
          <c:yMode val="edge"/>
          <c:x val="0.12442147856517935"/>
          <c:y val="7.4509803921568626E-2"/>
        </c:manualLayout>
      </c:layout>
      <c:overlay val="0"/>
    </c:title>
    <c:autoTitleDeleted val="0"/>
    <c:plotArea>
      <c:layout>
        <c:manualLayout>
          <c:layoutTarget val="inner"/>
          <c:xMode val="edge"/>
          <c:yMode val="edge"/>
          <c:x val="0.26215322223785781"/>
          <c:y val="0.24705917833636595"/>
          <c:w val="0.39236177632950903"/>
          <c:h val="0.66470683695260357"/>
        </c:manualLayout>
      </c:layout>
      <c:pieChart>
        <c:varyColors val="1"/>
        <c:ser>
          <c:idx val="0"/>
          <c:order val="0"/>
          <c:dPt>
            <c:idx val="0"/>
            <c:bubble3D val="0"/>
          </c:dPt>
          <c:dPt>
            <c:idx val="1"/>
            <c:bubble3D val="0"/>
          </c:dPt>
          <c:dLbls>
            <c:dLbl>
              <c:idx val="0"/>
              <c:layout>
                <c:manualLayout>
                  <c:x val="3.0097817908201655E-2"/>
                  <c:y val="7.2727272727272724E-2"/>
                </c:manualLayout>
              </c:layout>
              <c:tx>
                <c:rich>
                  <a:bodyPr/>
                  <a:lstStyle/>
                  <a:p>
                    <a:r>
                      <a:rPr lang="en-US">
                        <a:latin typeface="+mn-lt"/>
                      </a:rPr>
                      <a:t>Yes 19%</a:t>
                    </a:r>
                    <a:endParaRPr lang="en-US"/>
                  </a:p>
                </c:rich>
              </c:tx>
              <c:dLblPos val="bestFit"/>
              <c:showLegendKey val="0"/>
              <c:showVal val="1"/>
              <c:showCatName val="1"/>
              <c:showSerName val="0"/>
              <c:showPercent val="0"/>
              <c:showBubbleSize val="0"/>
              <c:separator> </c:separator>
            </c:dLbl>
            <c:dLbl>
              <c:idx val="1"/>
              <c:layout>
                <c:manualLayout>
                  <c:x val="-6.4631956912028721E-2"/>
                  <c:y val="-0.1042830540037244"/>
                </c:manualLayout>
              </c:layout>
              <c:tx>
                <c:rich>
                  <a:bodyPr/>
                  <a:lstStyle/>
                  <a:p>
                    <a:r>
                      <a:rPr lang="en-US">
                        <a:latin typeface="+mn-lt"/>
                      </a:rPr>
                      <a:t>No 81%</a:t>
                    </a:r>
                    <a:endParaRPr lang="en-US"/>
                  </a:p>
                </c:rich>
              </c:tx>
              <c:dLblPos val="bestFit"/>
              <c:showLegendKey val="0"/>
              <c:showVal val="1"/>
              <c:showCatName val="1"/>
              <c:showSerName val="0"/>
              <c:showPercent val="0"/>
              <c:showBubbleSize val="0"/>
              <c:separator> </c:separator>
            </c:dLbl>
            <c:dLblPos val="outEnd"/>
            <c:showLegendKey val="0"/>
            <c:showVal val="1"/>
            <c:showCatName val="1"/>
            <c:showSerName val="0"/>
            <c:showPercent val="0"/>
            <c:showBubbleSize val="0"/>
            <c:separator> </c:separator>
            <c:showLeaderLines val="0"/>
          </c:dLbls>
          <c:cat>
            <c:strRef>
              <c:f>'Question 8'!$A$4:$A$5</c:f>
              <c:strCache>
                <c:ptCount val="2"/>
                <c:pt idx="0">
                  <c:v>Yes</c:v>
                </c:pt>
                <c:pt idx="1">
                  <c:v>No</c:v>
                </c:pt>
              </c:strCache>
            </c:strRef>
          </c:cat>
          <c:val>
            <c:numRef>
              <c:f>'Question 8'!$C$4:$C$5</c:f>
              <c:numCache>
                <c:formatCode>0.0%</c:formatCode>
                <c:ptCount val="2"/>
                <c:pt idx="0">
                  <c:v>0.191</c:v>
                </c:pt>
                <c:pt idx="1">
                  <c:v>0.80900000000000005</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Types of telecommunication services used </a:t>
            </a:r>
          </a:p>
          <a:p>
            <a:pPr>
              <a:defRPr/>
            </a:pPr>
            <a:r>
              <a:rPr lang="en-US"/>
              <a:t>for  your small business</a:t>
            </a:r>
          </a:p>
        </c:rich>
      </c:tx>
      <c:layout>
        <c:manualLayout>
          <c:xMode val="edge"/>
          <c:yMode val="edge"/>
          <c:x val="0.14236128243852389"/>
          <c:y val="3.5294179250037631E-2"/>
        </c:manualLayout>
      </c:layout>
      <c:overlay val="0"/>
    </c:title>
    <c:autoTitleDeleted val="0"/>
    <c:plotArea>
      <c:layout>
        <c:manualLayout>
          <c:layoutTarget val="inner"/>
          <c:xMode val="edge"/>
          <c:yMode val="edge"/>
          <c:x val="0.12152798381887447"/>
          <c:y val="0.23235327486396321"/>
          <c:w val="0.85416811484123201"/>
          <c:h val="0.49411835667273191"/>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'Question 3'!$A$4:$A$13</c:f>
              <c:strCache>
                <c:ptCount val="10"/>
                <c:pt idx="0">
                  <c:v>Fixed line phone (landline)</c:v>
                </c:pt>
                <c:pt idx="1">
                  <c:v>Mobile phone</c:v>
                </c:pt>
                <c:pt idx="2">
                  <c:v>Fixed broadband (adsl, cable, nbn)</c:v>
                </c:pt>
                <c:pt idx="3">
                  <c:v>Mobile broadband (dongle for 3G/4G)</c:v>
                </c:pt>
                <c:pt idx="4">
                  <c:v>Satellite phone</c:v>
                </c:pt>
                <c:pt idx="5">
                  <c:v>Satellite broadband</c:v>
                </c:pt>
                <c:pt idx="6">
                  <c:v>Fixed wireless phone</c:v>
                </c:pt>
                <c:pt idx="7">
                  <c:v>Fixed wireless broadband</c:v>
                </c:pt>
                <c:pt idx="8">
                  <c:v>EFTPOS</c:v>
                </c:pt>
                <c:pt idx="9">
                  <c:v>WiFi</c:v>
                </c:pt>
              </c:strCache>
            </c:strRef>
          </c:cat>
          <c:val>
            <c:numRef>
              <c:f>'Question 3'!$D$4:$D$13</c:f>
              <c:numCache>
                <c:formatCode>0</c:formatCode>
                <c:ptCount val="10"/>
                <c:pt idx="0">
                  <c:v>76</c:v>
                </c:pt>
                <c:pt idx="1">
                  <c:v>93</c:v>
                </c:pt>
                <c:pt idx="2">
                  <c:v>54</c:v>
                </c:pt>
                <c:pt idx="3">
                  <c:v>41</c:v>
                </c:pt>
                <c:pt idx="4">
                  <c:v>2</c:v>
                </c:pt>
                <c:pt idx="5">
                  <c:v>22</c:v>
                </c:pt>
                <c:pt idx="6">
                  <c:v>6</c:v>
                </c:pt>
                <c:pt idx="7">
                  <c:v>14</c:v>
                </c:pt>
                <c:pt idx="8">
                  <c:v>17</c:v>
                </c:pt>
                <c:pt idx="9">
                  <c:v>53</c:v>
                </c:pt>
              </c:numCache>
            </c:numRef>
          </c:val>
        </c:ser>
        <c:dLbls>
          <c:showLegendKey val="0"/>
          <c:showVal val="0"/>
          <c:showCatName val="0"/>
          <c:showSerName val="0"/>
          <c:showPercent val="0"/>
          <c:showBubbleSize val="0"/>
        </c:dLbls>
        <c:gapWidth val="150"/>
        <c:axId val="95622272"/>
        <c:axId val="95623808"/>
      </c:barChart>
      <c:catAx>
        <c:axId val="9562227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95623808"/>
        <c:crosses val="autoZero"/>
        <c:auto val="1"/>
        <c:lblAlgn val="ctr"/>
        <c:lblOffset val="100"/>
        <c:noMultiLvlLbl val="0"/>
      </c:catAx>
      <c:valAx>
        <c:axId val="95623808"/>
        <c:scaling>
          <c:orientation val="minMax"/>
        </c:scaling>
        <c:delete val="0"/>
        <c:axPos val="l"/>
        <c:majorGridlines/>
        <c:numFmt formatCode="0" sourceLinked="1"/>
        <c:majorTickMark val="out"/>
        <c:minorTickMark val="none"/>
        <c:tickLblPos val="nextTo"/>
        <c:txPr>
          <a:bodyPr rot="0" vert="horz"/>
          <a:lstStyle/>
          <a:p>
            <a:pPr>
              <a:defRPr/>
            </a:pPr>
            <a:endParaRPr lang="en-US"/>
          </a:p>
        </c:txPr>
        <c:crossAx val="95622272"/>
        <c:crossesAt val="1"/>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respondents unable to use features or technology due to issues with their services</a:t>
            </a:r>
          </a:p>
        </c:rich>
      </c:tx>
      <c:layout>
        <c:manualLayout>
          <c:xMode val="edge"/>
          <c:yMode val="edge"/>
          <c:x val="0.13194462671332749"/>
          <c:y val="3.5294117647058823E-2"/>
        </c:manualLayout>
      </c:layout>
      <c:overlay val="0"/>
    </c:title>
    <c:autoTitleDeleted val="0"/>
    <c:plotArea>
      <c:layout>
        <c:manualLayout>
          <c:layoutTarget val="inner"/>
          <c:xMode val="edge"/>
          <c:yMode val="edge"/>
          <c:x val="0.10937518543698703"/>
          <c:y val="0.28235334667013251"/>
          <c:w val="0.86632091322311944"/>
          <c:h val="0.30882397292045743"/>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'Question 9'!$A$4:$A$8</c:f>
              <c:strCache>
                <c:ptCount val="5"/>
                <c:pt idx="0">
                  <c:v>Cloud services</c:v>
                </c:pt>
                <c:pt idx="1">
                  <c:v>Machine to machine technology</c:v>
                </c:pt>
                <c:pt idx="2">
                  <c:v>Mobile payments</c:v>
                </c:pt>
                <c:pt idx="3">
                  <c:v>Professional development / training / study</c:v>
                </c:pt>
                <c:pt idx="4">
                  <c:v>Teleconferenceing</c:v>
                </c:pt>
              </c:strCache>
            </c:strRef>
          </c:cat>
          <c:val>
            <c:numRef>
              <c:f>'Question 9'!$D$4:$D$8</c:f>
              <c:numCache>
                <c:formatCode>0</c:formatCode>
                <c:ptCount val="5"/>
                <c:pt idx="0">
                  <c:v>27</c:v>
                </c:pt>
                <c:pt idx="1">
                  <c:v>15</c:v>
                </c:pt>
                <c:pt idx="2">
                  <c:v>19</c:v>
                </c:pt>
                <c:pt idx="3">
                  <c:v>36</c:v>
                </c:pt>
                <c:pt idx="4">
                  <c:v>36</c:v>
                </c:pt>
              </c:numCache>
            </c:numRef>
          </c:val>
        </c:ser>
        <c:dLbls>
          <c:showLegendKey val="0"/>
          <c:showVal val="0"/>
          <c:showCatName val="0"/>
          <c:showSerName val="0"/>
          <c:showPercent val="0"/>
          <c:showBubbleSize val="0"/>
        </c:dLbls>
        <c:gapWidth val="150"/>
        <c:axId val="31709824"/>
        <c:axId val="39575936"/>
      </c:barChart>
      <c:catAx>
        <c:axId val="3170982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39575936"/>
        <c:crosses val="autoZero"/>
        <c:auto val="1"/>
        <c:lblAlgn val="ctr"/>
        <c:lblOffset val="100"/>
        <c:tickLblSkip val="1"/>
        <c:tickMarkSkip val="1"/>
        <c:noMultiLvlLbl val="0"/>
      </c:catAx>
      <c:valAx>
        <c:axId val="39575936"/>
        <c:scaling>
          <c:orientation val="minMax"/>
        </c:scaling>
        <c:delete val="0"/>
        <c:axPos val="l"/>
        <c:majorGridlines/>
        <c:numFmt formatCode="0" sourceLinked="1"/>
        <c:majorTickMark val="out"/>
        <c:minorTickMark val="none"/>
        <c:tickLblPos val="nextTo"/>
        <c:txPr>
          <a:bodyPr rot="0" vert="horz"/>
          <a:lstStyle/>
          <a:p>
            <a:pPr>
              <a:defRPr/>
            </a:pPr>
            <a:endParaRPr lang="en-US"/>
          </a:p>
        </c:txPr>
        <c:crossAx val="31709824"/>
        <c:crossesAt val="1"/>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What telecommunications features and/or services are working well for your business?</a:t>
            </a:r>
          </a:p>
        </c:rich>
      </c:tx>
      <c:layout>
        <c:manualLayout>
          <c:xMode val="edge"/>
          <c:yMode val="edge"/>
          <c:x val="0.12152796004666083"/>
          <c:y val="3.5294117647058823E-2"/>
        </c:manualLayout>
      </c:layout>
      <c:overlay val="0"/>
    </c:title>
    <c:autoTitleDeleted val="0"/>
    <c:plotArea>
      <c:layout>
        <c:manualLayout>
          <c:layoutTarget val="inner"/>
          <c:xMode val="edge"/>
          <c:yMode val="edge"/>
          <c:x val="0.10937518543698703"/>
          <c:y val="0.23235327486396321"/>
          <c:w val="0.86632091322311944"/>
          <c:h val="0.43529474278312097"/>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'Question 10'!$A$4:$A$9</c:f>
              <c:strCache>
                <c:ptCount val="6"/>
                <c:pt idx="0">
                  <c:v>Customer service / Dedicated account manager</c:v>
                </c:pt>
                <c:pt idx="1">
                  <c:v>Network availability</c:v>
                </c:pt>
                <c:pt idx="2">
                  <c:v>Network reliability</c:v>
                </c:pt>
                <c:pt idx="3">
                  <c:v>Flexibility</c:v>
                </c:pt>
                <c:pt idx="4">
                  <c:v>Value for money</c:v>
                </c:pt>
                <c:pt idx="5">
                  <c:v>Other</c:v>
                </c:pt>
              </c:strCache>
            </c:strRef>
          </c:cat>
          <c:val>
            <c:numRef>
              <c:f>'Question 10'!$D$4:$D$9</c:f>
              <c:numCache>
                <c:formatCode>0</c:formatCode>
                <c:ptCount val="6"/>
                <c:pt idx="0">
                  <c:v>7</c:v>
                </c:pt>
                <c:pt idx="1">
                  <c:v>30</c:v>
                </c:pt>
                <c:pt idx="2">
                  <c:v>25</c:v>
                </c:pt>
                <c:pt idx="3">
                  <c:v>9</c:v>
                </c:pt>
                <c:pt idx="4">
                  <c:v>18</c:v>
                </c:pt>
                <c:pt idx="5">
                  <c:v>13</c:v>
                </c:pt>
              </c:numCache>
            </c:numRef>
          </c:val>
        </c:ser>
        <c:dLbls>
          <c:showLegendKey val="0"/>
          <c:showVal val="0"/>
          <c:showCatName val="0"/>
          <c:showSerName val="0"/>
          <c:showPercent val="0"/>
          <c:showBubbleSize val="0"/>
        </c:dLbls>
        <c:gapWidth val="150"/>
        <c:axId val="95802112"/>
        <c:axId val="95803648"/>
      </c:barChart>
      <c:catAx>
        <c:axId val="95802112"/>
        <c:scaling>
          <c:orientation val="minMax"/>
        </c:scaling>
        <c:delete val="0"/>
        <c:axPos val="b"/>
        <c:numFmt formatCode="General" sourceLinked="1"/>
        <c:majorTickMark val="out"/>
        <c:minorTickMark val="none"/>
        <c:tickLblPos val="nextTo"/>
        <c:txPr>
          <a:bodyPr rot="0" vert="horz"/>
          <a:lstStyle/>
          <a:p>
            <a:pPr>
              <a:defRPr/>
            </a:pPr>
            <a:endParaRPr lang="en-US"/>
          </a:p>
        </c:txPr>
        <c:crossAx val="95803648"/>
        <c:crosses val="autoZero"/>
        <c:auto val="1"/>
        <c:lblAlgn val="ctr"/>
        <c:lblOffset val="100"/>
        <c:tickLblSkip val="1"/>
        <c:tickMarkSkip val="1"/>
        <c:noMultiLvlLbl val="0"/>
      </c:catAx>
      <c:valAx>
        <c:axId val="95803648"/>
        <c:scaling>
          <c:orientation val="minMax"/>
        </c:scaling>
        <c:delete val="0"/>
        <c:axPos val="l"/>
        <c:majorGridlines/>
        <c:numFmt formatCode="0" sourceLinked="1"/>
        <c:majorTickMark val="out"/>
        <c:minorTickMark val="none"/>
        <c:tickLblPos val="nextTo"/>
        <c:txPr>
          <a:bodyPr rot="0" vert="horz"/>
          <a:lstStyle/>
          <a:p>
            <a:pPr>
              <a:defRPr/>
            </a:pPr>
            <a:endParaRPr lang="en-US"/>
          </a:p>
        </c:txPr>
        <c:crossAx val="95802112"/>
        <c:crossesAt val="1"/>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0.21528</cdr:x>
      <cdr:y>0.03538</cdr:y>
    </cdr:from>
    <cdr:to>
      <cdr:x>0.79688</cdr:x>
      <cdr:y>0.10377</cdr:y>
    </cdr:to>
    <cdr:sp macro="" textlink="">
      <cdr:nvSpPr>
        <cdr:cNvPr id="2" name="TextBox 1"/>
        <cdr:cNvSpPr txBox="1"/>
      </cdr:nvSpPr>
      <cdr:spPr>
        <a:xfrm xmlns:a="http://schemas.openxmlformats.org/drawingml/2006/main">
          <a:off x="1181100" y="142875"/>
          <a:ext cx="31908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0.20139</cdr:x>
      <cdr:y>0.03538</cdr:y>
    </cdr:from>
    <cdr:to>
      <cdr:x>0.84549</cdr:x>
      <cdr:y>0.09906</cdr:y>
    </cdr:to>
    <cdr:sp macro="" textlink="">
      <cdr:nvSpPr>
        <cdr:cNvPr id="3" name="TextBox 2"/>
        <cdr:cNvSpPr txBox="1"/>
      </cdr:nvSpPr>
      <cdr:spPr>
        <a:xfrm xmlns:a="http://schemas.openxmlformats.org/drawingml/2006/main">
          <a:off x="1104900" y="142875"/>
          <a:ext cx="35337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b="1"/>
            <a:t>How easy</a:t>
          </a:r>
          <a:r>
            <a:rPr lang="en-US" sz="1600" b="1" baseline="0"/>
            <a:t> were these issues to resolve?</a:t>
          </a:r>
          <a:endParaRPr lang="en-US" sz="16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1B94-64E8-4639-ABC4-64D386E6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Kelly Lindsay</cp:lastModifiedBy>
  <cp:revision>2</cp:revision>
  <cp:lastPrinted>2017-02-14T03:35:00Z</cp:lastPrinted>
  <dcterms:created xsi:type="dcterms:W3CDTF">2017-03-07T22:54:00Z</dcterms:created>
  <dcterms:modified xsi:type="dcterms:W3CDTF">2017-03-07T22:54:00Z</dcterms:modified>
</cp:coreProperties>
</file>