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242" w:type="dxa"/>
        <w:jc w:val="center"/>
        <w:tblLayout w:type="fixed"/>
        <w:tblCellMar>
          <w:left w:w="115" w:type="dxa"/>
          <w:right w:w="115" w:type="dxa"/>
        </w:tblCellMar>
        <w:tblLook w:val="0400" w:firstRow="0" w:lastRow="0" w:firstColumn="0" w:lastColumn="0" w:noHBand="0" w:noVBand="1"/>
      </w:tblPr>
      <w:tblGrid>
        <w:gridCol w:w="369"/>
        <w:gridCol w:w="8705"/>
        <w:gridCol w:w="168"/>
      </w:tblGrid>
      <w:tr w:rsidR="0010212E" w:rsidTr="002F60EE">
        <w:trPr>
          <w:trHeight w:val="3415"/>
          <w:jc w:val="center"/>
        </w:trPr>
        <w:tc>
          <w:tcPr>
            <w:tcW w:w="9242" w:type="dxa"/>
            <w:gridSpan w:val="3"/>
            <w:shd w:val="clear" w:color="auto" w:fill="auto"/>
          </w:tcPr>
          <w:p w:rsidR="0010212E" w:rsidRDefault="0010212E" w:rsidP="002F60EE"/>
        </w:tc>
      </w:tr>
      <w:tr w:rsidR="0010212E" w:rsidTr="002F60EE">
        <w:trPr>
          <w:trHeight w:val="837"/>
          <w:jc w:val="center"/>
        </w:trPr>
        <w:tc>
          <w:tcPr>
            <w:tcW w:w="9242" w:type="dxa"/>
            <w:gridSpan w:val="3"/>
            <w:shd w:val="clear" w:color="auto" w:fill="auto"/>
            <w:vAlign w:val="center"/>
          </w:tcPr>
          <w:p w:rsidR="0010212E" w:rsidRPr="00305B0E" w:rsidRDefault="0010212E" w:rsidP="002F60EE">
            <w:pPr>
              <w:pStyle w:val="TITLE1"/>
              <w:jc w:val="center"/>
              <w:rPr>
                <w:rFonts w:ascii="Trebuchet MS" w:hAnsi="Trebuchet MS"/>
              </w:rPr>
            </w:pPr>
            <w:r>
              <w:t>Connectivity Costs</w:t>
            </w:r>
          </w:p>
        </w:tc>
      </w:tr>
      <w:tr w:rsidR="0010212E" w:rsidTr="002F60EE">
        <w:trPr>
          <w:gridBefore w:val="1"/>
          <w:gridAfter w:val="1"/>
          <w:wBefore w:w="369" w:type="dxa"/>
          <w:wAfter w:w="168" w:type="dxa"/>
          <w:trHeight w:val="1873"/>
          <w:jc w:val="center"/>
        </w:trPr>
        <w:tc>
          <w:tcPr>
            <w:tcW w:w="8705" w:type="dxa"/>
            <w:shd w:val="clear" w:color="auto" w:fill="auto"/>
            <w:vAlign w:val="center"/>
          </w:tcPr>
          <w:p w:rsidR="0010212E" w:rsidRPr="000B20CA" w:rsidRDefault="0010212E" w:rsidP="002F60EE">
            <w:pPr>
              <w:pStyle w:val="TITLE2"/>
            </w:pPr>
            <w:r>
              <w:t>Telecommunications affordability for low income Australians</w:t>
            </w:r>
          </w:p>
        </w:tc>
      </w:tr>
      <w:tr w:rsidR="0010212E" w:rsidTr="002F60EE">
        <w:trPr>
          <w:trHeight w:val="251"/>
          <w:jc w:val="center"/>
        </w:trPr>
        <w:tc>
          <w:tcPr>
            <w:tcW w:w="9242" w:type="dxa"/>
            <w:gridSpan w:val="3"/>
            <w:shd w:val="clear" w:color="auto" w:fill="auto"/>
            <w:vAlign w:val="center"/>
          </w:tcPr>
          <w:p w:rsidR="0010212E" w:rsidRPr="00D70CAA" w:rsidRDefault="0010212E" w:rsidP="002F60EE">
            <w:pPr>
              <w:jc w:val="center"/>
              <w:rPr>
                <w:b/>
              </w:rPr>
            </w:pPr>
            <w:r>
              <w:rPr>
                <w:b/>
              </w:rPr>
              <w:t>Greg Ogle and Vanessa Musolino</w:t>
            </w:r>
          </w:p>
        </w:tc>
      </w:tr>
      <w:tr w:rsidR="0010212E" w:rsidTr="002F60EE">
        <w:trPr>
          <w:trHeight w:val="251"/>
          <w:jc w:val="center"/>
        </w:trPr>
        <w:tc>
          <w:tcPr>
            <w:tcW w:w="9242" w:type="dxa"/>
            <w:gridSpan w:val="3"/>
            <w:shd w:val="clear" w:color="auto" w:fill="auto"/>
            <w:vAlign w:val="center"/>
          </w:tcPr>
          <w:p w:rsidR="0010212E" w:rsidRPr="00D70CAA" w:rsidRDefault="0010212E" w:rsidP="0010212E">
            <w:pPr>
              <w:jc w:val="center"/>
              <w:rPr>
                <w:b/>
              </w:rPr>
            </w:pPr>
            <w:r>
              <w:rPr>
                <w:b/>
              </w:rPr>
              <w:t>November</w:t>
            </w:r>
            <w:r w:rsidRPr="00D70CAA">
              <w:rPr>
                <w:b/>
              </w:rPr>
              <w:t xml:space="preserve">, </w:t>
            </w:r>
            <w:r>
              <w:rPr>
                <w:b/>
              </w:rPr>
              <w:t>2016</w:t>
            </w:r>
          </w:p>
        </w:tc>
      </w:tr>
    </w:tbl>
    <w:p w:rsidR="00632F82" w:rsidRPr="00373118" w:rsidRDefault="00632F82" w:rsidP="00B11E1C"/>
    <w:p w:rsidR="00C7340D" w:rsidRPr="00373118" w:rsidRDefault="00C7340D" w:rsidP="00B11E1C"/>
    <w:p w:rsidR="00C7340D" w:rsidRPr="00373118" w:rsidRDefault="00C7340D" w:rsidP="00B11E1C"/>
    <w:p w:rsidR="00C7340D" w:rsidRDefault="00C7340D" w:rsidP="00B11E1C"/>
    <w:p w:rsidR="00B13FDD" w:rsidRPr="00373118" w:rsidRDefault="00B13FDD" w:rsidP="00B11E1C"/>
    <w:p w:rsidR="00D76CB8" w:rsidRPr="00373118" w:rsidRDefault="00D76CB8" w:rsidP="00B11E1C"/>
    <w:p w:rsidR="00C7340D" w:rsidRDefault="00C7340D" w:rsidP="00B11E1C"/>
    <w:p w:rsidR="00C7340D" w:rsidRDefault="00C7340D" w:rsidP="00B11E1C">
      <w:r>
        <w:rPr>
          <w:b/>
          <w:noProof/>
        </w:rPr>
        <w:drawing>
          <wp:anchor distT="0" distB="0" distL="114300" distR="114300" simplePos="0" relativeHeight="251657216" behindDoc="0" locked="0" layoutInCell="1" allowOverlap="1" wp14:anchorId="76900943" wp14:editId="0EC0376B">
            <wp:simplePos x="0" y="0"/>
            <wp:positionH relativeFrom="page">
              <wp:posOffset>5090160</wp:posOffset>
            </wp:positionH>
            <wp:positionV relativeFrom="page">
              <wp:posOffset>8005445</wp:posOffset>
            </wp:positionV>
            <wp:extent cx="1375410" cy="594360"/>
            <wp:effectExtent l="0" t="0" r="0" b="0"/>
            <wp:wrapThrough wrapText="bothSides">
              <wp:wrapPolygon edited="0">
                <wp:start x="7180" y="0"/>
                <wp:lineTo x="898" y="3462"/>
                <wp:lineTo x="0" y="4846"/>
                <wp:lineTo x="0" y="17308"/>
                <wp:lineTo x="7479" y="20769"/>
                <wp:lineTo x="9274" y="20769"/>
                <wp:lineTo x="21241" y="17308"/>
                <wp:lineTo x="21241" y="3462"/>
                <wp:lineTo x="9274" y="0"/>
                <wp:lineTo x="7180" y="0"/>
              </wp:wrapPolygon>
            </wp:wrapThrough>
            <wp:docPr id="11" name="Picture 11"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410" cy="594360"/>
                    </a:xfrm>
                    <a:prstGeom prst="rect">
                      <a:avLst/>
                    </a:prstGeom>
                    <a:noFill/>
                  </pic:spPr>
                </pic:pic>
              </a:graphicData>
            </a:graphic>
          </wp:anchor>
        </w:drawing>
      </w:r>
    </w:p>
    <w:p w:rsidR="00632F82" w:rsidRPr="00BA053F" w:rsidRDefault="0010212E" w:rsidP="00B11E1C">
      <w:r>
        <w:rPr>
          <w:noProof/>
        </w:rPr>
        <w:drawing>
          <wp:inline distT="0" distB="0" distL="0" distR="0" wp14:anchorId="67608DA0" wp14:editId="7E261E45">
            <wp:extent cx="1733550" cy="732738"/>
            <wp:effectExtent l="0" t="0" r="0" b="0"/>
            <wp:docPr id="8" name="Picture 8" descr="sa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logo_red_notag_RGB.jpg"/>
                    <pic:cNvPicPr/>
                  </pic:nvPicPr>
                  <pic:blipFill>
                    <a:blip r:embed="rId10">
                      <a:extLst>
                        <a:ext uri="{28A0092B-C50C-407E-A947-70E740481C1C}">
                          <a14:useLocalDpi xmlns:a14="http://schemas.microsoft.com/office/drawing/2010/main" val="0"/>
                        </a:ext>
                      </a:extLst>
                    </a:blip>
                    <a:stretch>
                      <a:fillRect/>
                    </a:stretch>
                  </pic:blipFill>
                  <pic:spPr>
                    <a:xfrm>
                      <a:off x="0" y="0"/>
                      <a:ext cx="1736909" cy="734158"/>
                    </a:xfrm>
                    <a:prstGeom prst="rect">
                      <a:avLst/>
                    </a:prstGeom>
                  </pic:spPr>
                </pic:pic>
              </a:graphicData>
            </a:graphic>
          </wp:inline>
        </w:drawing>
      </w:r>
      <w:r w:rsidR="00577943">
        <w:br w:type="page"/>
      </w:r>
      <w:r w:rsidR="00AF3E68" w:rsidRPr="00BA053F">
        <w:lastRenderedPageBreak/>
        <w:t>“</w:t>
      </w:r>
      <w:r w:rsidR="00A2024A">
        <w:t>Connectivity Costs</w:t>
      </w:r>
      <w:r w:rsidR="00D76CB8">
        <w:t xml:space="preserve">: </w:t>
      </w:r>
      <w:r w:rsidR="00BA053F" w:rsidRPr="00BA053F">
        <w:t>Telecommunications Affordability for Low Income Australians</w:t>
      </w:r>
      <w:r w:rsidR="00AF3E68" w:rsidRPr="00BA053F">
        <w:t>”</w:t>
      </w:r>
    </w:p>
    <w:p w:rsidR="00632F82" w:rsidRPr="004E682E" w:rsidRDefault="00AF3E68" w:rsidP="00B11E1C">
      <w:r w:rsidRPr="00BA053F">
        <w:t xml:space="preserve">Authored by </w:t>
      </w:r>
      <w:r w:rsidR="00BA053F" w:rsidRPr="00BA053F">
        <w:t>Greg Ogle</w:t>
      </w:r>
      <w:r w:rsidR="006B02F5" w:rsidRPr="00BA053F">
        <w:t xml:space="preserve"> </w:t>
      </w:r>
      <w:r w:rsidRPr="00BA053F">
        <w:t xml:space="preserve">and </w:t>
      </w:r>
      <w:r w:rsidR="00BA053F" w:rsidRPr="00BA053F">
        <w:t>Vanessa Musolino</w:t>
      </w:r>
    </w:p>
    <w:p w:rsidR="00906553" w:rsidRPr="004E682E" w:rsidRDefault="00906553" w:rsidP="00B11E1C">
      <w:r w:rsidRPr="004E682E">
        <w:t xml:space="preserve">Edited by: </w:t>
      </w:r>
      <w:r w:rsidR="001A4579">
        <w:t>Tanya Karliychuk and Jeremy Riddle</w:t>
      </w:r>
      <w:r w:rsidR="006B02F5">
        <w:t xml:space="preserve"> </w:t>
      </w:r>
      <w:r w:rsidRPr="004E682E">
        <w:t>(ACCAN)</w:t>
      </w:r>
    </w:p>
    <w:p w:rsidR="00632F82" w:rsidRPr="004E682E" w:rsidRDefault="00AF3E68" w:rsidP="00B11E1C">
      <w:r w:rsidRPr="004E682E">
        <w:t xml:space="preserve">Published in </w:t>
      </w:r>
      <w:r w:rsidR="00BA053F">
        <w:t>2016</w:t>
      </w:r>
    </w:p>
    <w:p w:rsidR="00632F82" w:rsidRPr="009C262E" w:rsidRDefault="00AF3E68" w:rsidP="00B11E1C">
      <w:r w:rsidRPr="004E682E">
        <w:t xml:space="preserve">The operation of the Australian Communications Consumer Action Network is made possible by funding provided by the Commonwealth of Australia under section 593 of the </w:t>
      </w:r>
      <w:r w:rsidRPr="004E682E">
        <w:rPr>
          <w:i/>
        </w:rPr>
        <w:t>Telecommunications Act 1997</w:t>
      </w:r>
      <w:r w:rsidRPr="004E682E">
        <w:t xml:space="preserve">. This funding is recovered from charges on </w:t>
      </w:r>
      <w:r w:rsidRPr="009C262E">
        <w:t>telecommunications carriers.</w:t>
      </w:r>
    </w:p>
    <w:p w:rsidR="00632F82" w:rsidRPr="004E682E" w:rsidRDefault="001028D6" w:rsidP="00B11E1C">
      <w:r w:rsidRPr="001028D6">
        <w:t>South Australian Council of Social Service</w:t>
      </w:r>
      <w:r w:rsidR="00AF3E68" w:rsidRPr="006B02F5">
        <w:rPr>
          <w:highlight w:val="yellow"/>
        </w:rPr>
        <w:br/>
      </w:r>
      <w:r w:rsidR="00AF3E68" w:rsidRPr="009C262E">
        <w:t>Website:</w:t>
      </w:r>
      <w:r>
        <w:t xml:space="preserve"> </w:t>
      </w:r>
      <w:hyperlink r:id="rId11" w:tooltip="sacoss homepage [opens in seperate window]" w:history="1">
        <w:r w:rsidR="00A2024A" w:rsidRPr="00D90941">
          <w:rPr>
            <w:rStyle w:val="Hyperlink"/>
          </w:rPr>
          <w:t>www.sacoss.org.au</w:t>
        </w:r>
      </w:hyperlink>
      <w:r w:rsidR="00A2024A">
        <w:t xml:space="preserve"> </w:t>
      </w:r>
      <w:r w:rsidR="00AF3E68" w:rsidRPr="006B02F5">
        <w:rPr>
          <w:highlight w:val="yellow"/>
        </w:rPr>
        <w:br/>
      </w:r>
      <w:r w:rsidR="00AF3E68" w:rsidRPr="009C262E">
        <w:t>Email:</w:t>
      </w:r>
      <w:r>
        <w:t xml:space="preserve"> </w:t>
      </w:r>
      <w:hyperlink r:id="rId12" w:history="1">
        <w:r w:rsidR="00A2024A" w:rsidRPr="00D90941">
          <w:rPr>
            <w:rStyle w:val="Hyperlink"/>
          </w:rPr>
          <w:t>sacoss@sacoss.org.au</w:t>
        </w:r>
      </w:hyperlink>
      <w:r w:rsidR="00A2024A">
        <w:t xml:space="preserve"> </w:t>
      </w:r>
      <w:r w:rsidR="00AF3E68" w:rsidRPr="006B02F5">
        <w:rPr>
          <w:highlight w:val="yellow"/>
        </w:rPr>
        <w:br/>
      </w:r>
      <w:r w:rsidR="00AF3E68" w:rsidRPr="009C262E">
        <w:t>Telephone:</w:t>
      </w:r>
      <w:r>
        <w:t xml:space="preserve"> 08 8305 4200</w:t>
      </w:r>
    </w:p>
    <w:p w:rsidR="00632F82" w:rsidRPr="004E682E" w:rsidRDefault="00AF3E68" w:rsidP="00B11E1C">
      <w:r w:rsidRPr="004E682E">
        <w:t>Australian Communications Consumer Action Network</w:t>
      </w:r>
      <w:r w:rsidRPr="004E682E">
        <w:br/>
        <w:t xml:space="preserve">Website: </w:t>
      </w:r>
      <w:hyperlink r:id="rId13" w:tooltip="ACCAN homepage [opens in seperate window]" w:history="1">
        <w:r w:rsidR="00A2024A" w:rsidRPr="00D90941">
          <w:rPr>
            <w:rStyle w:val="Hyperlink"/>
          </w:rPr>
          <w:t>www.accan.org.au</w:t>
        </w:r>
      </w:hyperlink>
      <w:r w:rsidR="00A2024A">
        <w:t xml:space="preserve"> </w:t>
      </w:r>
      <w:r w:rsidRPr="004E682E">
        <w:br/>
        <w:t xml:space="preserve">Email: </w:t>
      </w:r>
      <w:hyperlink r:id="rId14" w:history="1">
        <w:r w:rsidR="00A2024A" w:rsidRPr="00D90941">
          <w:rPr>
            <w:rStyle w:val="Hyperlink"/>
          </w:rPr>
          <w:t>grants@accan.org.au</w:t>
        </w:r>
      </w:hyperlink>
      <w:r w:rsidR="00A2024A">
        <w:t xml:space="preserve"> </w:t>
      </w:r>
      <w:r w:rsidRPr="004E682E">
        <w:br/>
        <w:t>Telephone: 02 9288 4000</w:t>
      </w:r>
      <w:r w:rsidRPr="004E682E">
        <w:br/>
      </w:r>
      <w:proofErr w:type="gramStart"/>
      <w:r w:rsidR="00A2024A" w:rsidRPr="00550884">
        <w:rPr>
          <w:iCs/>
        </w:rPr>
        <w:t>If</w:t>
      </w:r>
      <w:proofErr w:type="gramEnd"/>
      <w:r w:rsidR="00A2024A" w:rsidRPr="00550884">
        <w:rPr>
          <w:iCs/>
        </w:rPr>
        <w:t xml:space="preserve"> you are deaf, or have a hearing or speech impairment, contact us through the National Relay Servi</w:t>
      </w:r>
      <w:r w:rsidR="00A2024A">
        <w:rPr>
          <w:iCs/>
        </w:rPr>
        <w:t>ce:</w:t>
      </w:r>
      <w:r w:rsidR="00A2024A" w:rsidRPr="00550884">
        <w:rPr>
          <w:iCs/>
        </w:rPr>
        <w:t xml:space="preserve"> </w:t>
      </w:r>
      <w:hyperlink r:id="rId15" w:tooltip="Relay Service website [opens in separate window]" w:history="1">
        <w:r w:rsidR="00A2024A" w:rsidRPr="00550884">
          <w:rPr>
            <w:rStyle w:val="Hyperlink"/>
            <w:iCs/>
          </w:rPr>
          <w:t>www.relayservice.gov.au</w:t>
        </w:r>
      </w:hyperlink>
      <w:r w:rsidR="00A2024A" w:rsidRPr="00550884">
        <w:rPr>
          <w:iCs/>
        </w:rPr>
        <w:t>.</w:t>
      </w:r>
    </w:p>
    <w:p w:rsidR="003D7F73" w:rsidRPr="002C590B" w:rsidRDefault="00AF3E68" w:rsidP="003D7F73">
      <w:pPr>
        <w:rPr>
          <w:rFonts w:eastAsia="Times New Roman" w:cs="Arial"/>
          <w:szCs w:val="22"/>
        </w:rPr>
      </w:pPr>
      <w:r w:rsidRPr="002C590B">
        <w:rPr>
          <w:szCs w:val="22"/>
        </w:rPr>
        <w:t xml:space="preserve">ISBN: </w:t>
      </w:r>
      <w:r w:rsidR="002C590B">
        <w:rPr>
          <w:rFonts w:eastAsia="Times New Roman" w:cs="Arial"/>
          <w:szCs w:val="22"/>
        </w:rPr>
        <w:t>978-1-921974-45-8</w:t>
      </w:r>
    </w:p>
    <w:p w:rsidR="00632F82" w:rsidRPr="004E682E" w:rsidRDefault="005B40B1" w:rsidP="00B11E1C">
      <w:r>
        <w:t xml:space="preserve">Cover image: </w:t>
      </w:r>
      <w:r w:rsidR="00BC112B">
        <w:t xml:space="preserve">Design by Richard Van Der Male with images from </w:t>
      </w:r>
      <w:proofErr w:type="spellStart"/>
      <w:r w:rsidR="00BC112B">
        <w:t>Shutterstock</w:t>
      </w:r>
      <w:proofErr w:type="spellEnd"/>
      <w:r w:rsidR="00BC112B">
        <w:t>, 2016</w:t>
      </w:r>
    </w:p>
    <w:p w:rsidR="00632F82" w:rsidRDefault="002D3C4C" w:rsidP="00B11E1C">
      <w:r>
        <w:rPr>
          <w:noProof/>
        </w:rPr>
        <w:drawing>
          <wp:inline distT="0" distB="0" distL="0" distR="0">
            <wp:extent cx="1123950" cy="400050"/>
            <wp:effectExtent l="0" t="0" r="0" b="0"/>
            <wp:docPr id="6" name="image04.png" descr="creative commons licenc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04.png"/>
                    <pic:cNvPicPr preferRelativeResize="0"/>
                  </pic:nvPicPr>
                  <pic:blipFill>
                    <a:blip r:embed="rId16"/>
                    <a:srcRect/>
                    <a:stretch>
                      <a:fillRect/>
                    </a:stretch>
                  </pic:blipFill>
                  <pic:spPr>
                    <a:xfrm>
                      <a:off x="0" y="0"/>
                      <a:ext cx="1123950" cy="400050"/>
                    </a:xfrm>
                    <a:prstGeom prst="rect">
                      <a:avLst/>
                    </a:prstGeom>
                    <a:ln/>
                  </pic:spPr>
                </pic:pic>
              </a:graphicData>
            </a:graphic>
          </wp:inline>
        </w:drawing>
      </w:r>
    </w:p>
    <w:p w:rsidR="00632F82" w:rsidRPr="004E682E" w:rsidRDefault="00AF3E68" w:rsidP="00B11E1C">
      <w:r w:rsidRPr="004E682E">
        <w:t xml:space="preserve">This work is copyright, licensed under the Creative Commons Attribution </w:t>
      </w:r>
      <w:r w:rsidR="00435A18">
        <w:t>4</w:t>
      </w:r>
      <w:r w:rsidRPr="004E682E">
        <w:t xml:space="preserve">.0 </w:t>
      </w:r>
      <w:r w:rsidR="00435A18">
        <w:t>International</w:t>
      </w:r>
      <w:r w:rsidRPr="004E682E">
        <w:t xml:space="preserve"> Licen</w:t>
      </w:r>
      <w:r w:rsidR="00435A18">
        <w:t>s</w:t>
      </w:r>
      <w:r w:rsidRPr="004E682E">
        <w:t xml:space="preserve">e. You are free to </w:t>
      </w:r>
      <w:proofErr w:type="gramStart"/>
      <w:r w:rsidRPr="004E682E">
        <w:t>cite,</w:t>
      </w:r>
      <w:proofErr w:type="gramEnd"/>
      <w:r w:rsidRPr="004E682E">
        <w:t xml:space="preserve"> copy, communicate and adapt this work, so long as you attribute </w:t>
      </w:r>
      <w:r w:rsidR="005965ED" w:rsidRPr="004E682E">
        <w:t>“</w:t>
      </w:r>
      <w:r w:rsidR="00BA053F">
        <w:t>South Australian Council of Social Service (SACOSS)</w:t>
      </w:r>
      <w:r w:rsidRPr="004E682E">
        <w:t xml:space="preserve"> </w:t>
      </w:r>
      <w:r w:rsidR="00D70CAA">
        <w:t>and</w:t>
      </w:r>
      <w:r w:rsidRPr="004E682E">
        <w:t xml:space="preserve"> the Australian Communications Consumer Action Network</w:t>
      </w:r>
      <w:r w:rsidR="00D70CAA">
        <w:t xml:space="preserve"> (ACCAN)</w:t>
      </w:r>
      <w:r w:rsidRPr="004E682E">
        <w:t>”. To view a copy of this licen</w:t>
      </w:r>
      <w:r w:rsidR="00435A18">
        <w:t>c</w:t>
      </w:r>
      <w:r w:rsidRPr="004E682E">
        <w:t xml:space="preserve">e, visit </w:t>
      </w:r>
      <w:hyperlink r:id="rId17" w:tooltip="Creative Commons website [opens in seperate window]" w:history="1">
        <w:r w:rsidR="00435A18" w:rsidRPr="00435A18">
          <w:rPr>
            <w:rStyle w:val="Hyperlink"/>
          </w:rPr>
          <w:t>http://creativecommons.org/licenses/by/4.0/</w:t>
        </w:r>
      </w:hyperlink>
    </w:p>
    <w:p w:rsidR="00951E6D" w:rsidRDefault="00AF3E68" w:rsidP="00B11E1C">
      <w:pPr>
        <w:sectPr w:rsidR="00951E6D" w:rsidSect="00BE561F">
          <w:pgSz w:w="11906" w:h="16838"/>
          <w:pgMar w:top="1701" w:right="1701" w:bottom="2698" w:left="1701" w:header="720" w:footer="0" w:gutter="0"/>
          <w:pgNumType w:start="1"/>
          <w:cols w:space="720"/>
          <w:docGrid w:linePitch="299"/>
        </w:sectPr>
      </w:pPr>
      <w:bookmarkStart w:id="0" w:name="h.gjdgxs" w:colFirst="0" w:colLast="0"/>
      <w:bookmarkEnd w:id="0"/>
      <w:r w:rsidRPr="004E682E">
        <w:t xml:space="preserve">This work can be cited as: </w:t>
      </w:r>
      <w:r w:rsidR="00BA053F" w:rsidRPr="00BA053F">
        <w:t>Ogle, G. &amp; Musolino, V</w:t>
      </w:r>
      <w:r w:rsidR="000045FB" w:rsidRPr="00BA053F">
        <w:t>.</w:t>
      </w:r>
      <w:r w:rsidR="00704FEC" w:rsidRPr="00BA053F">
        <w:t xml:space="preserve"> 201</w:t>
      </w:r>
      <w:r w:rsidR="00435A18" w:rsidRPr="00BA053F">
        <w:t>6</w:t>
      </w:r>
      <w:r w:rsidR="00704FEC" w:rsidRPr="00BA053F">
        <w:t xml:space="preserve">, </w:t>
      </w:r>
      <w:r w:rsidR="00A2024A">
        <w:rPr>
          <w:i/>
        </w:rPr>
        <w:t>Connectivity Costs</w:t>
      </w:r>
      <w:r w:rsidR="00D76CB8">
        <w:rPr>
          <w:i/>
        </w:rPr>
        <w:t xml:space="preserve">: </w:t>
      </w:r>
      <w:r w:rsidR="00BA053F" w:rsidRPr="00BA053F">
        <w:rPr>
          <w:i/>
        </w:rPr>
        <w:t>Telecommunications Affordability for Low Income Australians</w:t>
      </w:r>
      <w:r w:rsidR="00704FEC" w:rsidRPr="00BA053F">
        <w:t>,</w:t>
      </w:r>
      <w:r w:rsidR="00704FEC" w:rsidRPr="004E682E">
        <w:t xml:space="preserve"> Australian Communications </w:t>
      </w:r>
      <w:r w:rsidR="009C5808">
        <w:t>Consumer Action Network,</w:t>
      </w:r>
      <w:r w:rsidR="005965ED" w:rsidRPr="004E682E">
        <w:t xml:space="preserve"> </w:t>
      </w:r>
      <w:proofErr w:type="gramStart"/>
      <w:r w:rsidR="005965ED" w:rsidRPr="004E682E">
        <w:t>Sydney</w:t>
      </w:r>
      <w:proofErr w:type="gramEnd"/>
      <w:r w:rsidR="005965ED" w:rsidRPr="004E682E">
        <w:t>.</w:t>
      </w:r>
    </w:p>
    <w:p w:rsidR="00565B94" w:rsidRPr="00746ED0" w:rsidRDefault="00565B94" w:rsidP="00565B94">
      <w:pPr>
        <w:pStyle w:val="Heading1"/>
      </w:pPr>
      <w:bookmarkStart w:id="1" w:name="h.30j0zll" w:colFirst="0" w:colLast="0"/>
      <w:bookmarkStart w:id="2" w:name="h.1fob9te" w:colFirst="0" w:colLast="0"/>
      <w:bookmarkStart w:id="3" w:name="toc"/>
      <w:bookmarkStart w:id="4" w:name="_Toc463439216"/>
      <w:bookmarkStart w:id="5" w:name="_Toc463447695"/>
      <w:bookmarkStart w:id="6" w:name="_Toc465151688"/>
      <w:bookmarkStart w:id="7" w:name="_Toc465167546"/>
      <w:bookmarkEnd w:id="1"/>
      <w:bookmarkEnd w:id="2"/>
      <w:bookmarkEnd w:id="3"/>
      <w:r w:rsidRPr="00746ED0">
        <w:lastRenderedPageBreak/>
        <w:t>Table of Cont</w:t>
      </w:r>
      <w:r w:rsidRPr="00240AA7">
        <w:t>ent</w:t>
      </w:r>
      <w:r w:rsidRPr="00746ED0">
        <w:t>s</w:t>
      </w:r>
      <w:bookmarkEnd w:id="4"/>
      <w:bookmarkEnd w:id="5"/>
      <w:bookmarkEnd w:id="6"/>
      <w:bookmarkEnd w:id="7"/>
    </w:p>
    <w:p w:rsidR="00EF3BD9" w:rsidRDefault="00C907D6">
      <w:pPr>
        <w:pStyle w:val="TOC1"/>
        <w:tabs>
          <w:tab w:val="right" w:leader="dot" w:pos="8494"/>
        </w:tabs>
        <w:rPr>
          <w:rFonts w:asciiTheme="minorHAnsi" w:eastAsiaTheme="minorEastAsia" w:hAnsiTheme="minorHAnsi" w:cstheme="minorBidi"/>
          <w:noProof/>
          <w:szCs w:val="22"/>
        </w:rPr>
      </w:pPr>
      <w:r w:rsidRPr="00D25A31">
        <w:fldChar w:fldCharType="begin"/>
      </w:r>
      <w:r w:rsidR="00565B94" w:rsidRPr="00D25A31">
        <w:instrText xml:space="preserve"> TOC \o "1-3" \h \z \u </w:instrText>
      </w:r>
      <w:r w:rsidRPr="00D25A31">
        <w:fldChar w:fldCharType="separate"/>
      </w:r>
      <w:hyperlink w:anchor="_Toc465167546" w:history="1">
        <w:r w:rsidR="00EF3BD9" w:rsidRPr="00D52EFC">
          <w:rPr>
            <w:rStyle w:val="Hyperlink"/>
            <w:noProof/>
          </w:rPr>
          <w:t>Table of Contents</w:t>
        </w:r>
        <w:r w:rsidR="00EF3BD9">
          <w:rPr>
            <w:noProof/>
            <w:webHidden/>
          </w:rPr>
          <w:tab/>
        </w:r>
        <w:r w:rsidR="00EF3BD9">
          <w:rPr>
            <w:noProof/>
            <w:webHidden/>
          </w:rPr>
          <w:fldChar w:fldCharType="begin"/>
        </w:r>
        <w:r w:rsidR="00EF3BD9">
          <w:rPr>
            <w:noProof/>
            <w:webHidden/>
          </w:rPr>
          <w:instrText xml:space="preserve"> PAGEREF _Toc465167546 \h </w:instrText>
        </w:r>
        <w:r w:rsidR="00EF3BD9">
          <w:rPr>
            <w:noProof/>
            <w:webHidden/>
          </w:rPr>
        </w:r>
        <w:r w:rsidR="00EF3BD9">
          <w:rPr>
            <w:noProof/>
            <w:webHidden/>
          </w:rPr>
          <w:fldChar w:fldCharType="separate"/>
        </w:r>
        <w:r w:rsidR="002F60EE">
          <w:rPr>
            <w:noProof/>
            <w:webHidden/>
          </w:rPr>
          <w:t>1</w:t>
        </w:r>
        <w:r w:rsidR="00EF3BD9">
          <w:rPr>
            <w:noProof/>
            <w:webHidden/>
          </w:rPr>
          <w:fldChar w:fldCharType="end"/>
        </w:r>
      </w:hyperlink>
    </w:p>
    <w:p w:rsidR="00EF3BD9" w:rsidRDefault="00EF3BD9">
      <w:pPr>
        <w:pStyle w:val="TOC1"/>
        <w:tabs>
          <w:tab w:val="right" w:leader="dot" w:pos="8494"/>
        </w:tabs>
        <w:rPr>
          <w:rFonts w:asciiTheme="minorHAnsi" w:eastAsiaTheme="minorEastAsia" w:hAnsiTheme="minorHAnsi" w:cstheme="minorBidi"/>
          <w:noProof/>
          <w:szCs w:val="22"/>
        </w:rPr>
      </w:pPr>
      <w:hyperlink w:anchor="_Toc465167547" w:history="1">
        <w:r w:rsidRPr="00D52EFC">
          <w:rPr>
            <w:rStyle w:val="Hyperlink"/>
            <w:noProof/>
          </w:rPr>
          <w:t>Figures and Tables</w:t>
        </w:r>
        <w:r>
          <w:rPr>
            <w:noProof/>
            <w:webHidden/>
          </w:rPr>
          <w:tab/>
        </w:r>
        <w:r>
          <w:rPr>
            <w:noProof/>
            <w:webHidden/>
          </w:rPr>
          <w:fldChar w:fldCharType="begin"/>
        </w:r>
        <w:r>
          <w:rPr>
            <w:noProof/>
            <w:webHidden/>
          </w:rPr>
          <w:instrText xml:space="preserve"> PAGEREF _Toc465167547 \h </w:instrText>
        </w:r>
        <w:r>
          <w:rPr>
            <w:noProof/>
            <w:webHidden/>
          </w:rPr>
        </w:r>
        <w:r>
          <w:rPr>
            <w:noProof/>
            <w:webHidden/>
          </w:rPr>
          <w:fldChar w:fldCharType="separate"/>
        </w:r>
        <w:r w:rsidR="002F60EE">
          <w:rPr>
            <w:noProof/>
            <w:webHidden/>
          </w:rPr>
          <w:t>3</w:t>
        </w:r>
        <w:r>
          <w:rPr>
            <w:noProof/>
            <w:webHidden/>
          </w:rPr>
          <w:fldChar w:fldCharType="end"/>
        </w:r>
      </w:hyperlink>
    </w:p>
    <w:p w:rsidR="00EF3BD9" w:rsidRDefault="00EF3BD9">
      <w:pPr>
        <w:pStyle w:val="TOC1"/>
        <w:tabs>
          <w:tab w:val="right" w:leader="dot" w:pos="8494"/>
        </w:tabs>
        <w:rPr>
          <w:rFonts w:asciiTheme="minorHAnsi" w:eastAsiaTheme="minorEastAsia" w:hAnsiTheme="minorHAnsi" w:cstheme="minorBidi"/>
          <w:noProof/>
          <w:szCs w:val="22"/>
        </w:rPr>
      </w:pPr>
      <w:hyperlink w:anchor="_Toc465167548" w:history="1">
        <w:r w:rsidRPr="00D52EFC">
          <w:rPr>
            <w:rStyle w:val="Hyperlink"/>
            <w:noProof/>
          </w:rPr>
          <w:t>Executive summary</w:t>
        </w:r>
        <w:r>
          <w:rPr>
            <w:noProof/>
            <w:webHidden/>
          </w:rPr>
          <w:tab/>
        </w:r>
        <w:r>
          <w:rPr>
            <w:noProof/>
            <w:webHidden/>
          </w:rPr>
          <w:fldChar w:fldCharType="begin"/>
        </w:r>
        <w:r>
          <w:rPr>
            <w:noProof/>
            <w:webHidden/>
          </w:rPr>
          <w:instrText xml:space="preserve"> PAGEREF _Toc465167548 \h </w:instrText>
        </w:r>
        <w:r>
          <w:rPr>
            <w:noProof/>
            <w:webHidden/>
          </w:rPr>
        </w:r>
        <w:r>
          <w:rPr>
            <w:noProof/>
            <w:webHidden/>
          </w:rPr>
          <w:fldChar w:fldCharType="separate"/>
        </w:r>
        <w:r w:rsidR="002F60EE">
          <w:rPr>
            <w:noProof/>
            <w:webHidden/>
          </w:rPr>
          <w:t>4</w:t>
        </w:r>
        <w:r>
          <w:rPr>
            <w:noProof/>
            <w:webHidden/>
          </w:rPr>
          <w:fldChar w:fldCharType="end"/>
        </w:r>
      </w:hyperlink>
    </w:p>
    <w:p w:rsidR="00EF3BD9" w:rsidRDefault="00EF3BD9">
      <w:pPr>
        <w:pStyle w:val="TOC1"/>
        <w:tabs>
          <w:tab w:val="right" w:leader="dot" w:pos="8494"/>
        </w:tabs>
        <w:rPr>
          <w:rFonts w:asciiTheme="minorHAnsi" w:eastAsiaTheme="minorEastAsia" w:hAnsiTheme="minorHAnsi" w:cstheme="minorBidi"/>
          <w:noProof/>
          <w:szCs w:val="22"/>
        </w:rPr>
      </w:pPr>
      <w:hyperlink w:anchor="_Toc465167549" w:history="1">
        <w:r w:rsidRPr="00D52EFC">
          <w:rPr>
            <w:rStyle w:val="Hyperlink"/>
            <w:noProof/>
          </w:rPr>
          <w:t>Introduction</w:t>
        </w:r>
        <w:r>
          <w:rPr>
            <w:noProof/>
            <w:webHidden/>
          </w:rPr>
          <w:tab/>
        </w:r>
        <w:r>
          <w:rPr>
            <w:noProof/>
            <w:webHidden/>
          </w:rPr>
          <w:fldChar w:fldCharType="begin"/>
        </w:r>
        <w:r>
          <w:rPr>
            <w:noProof/>
            <w:webHidden/>
          </w:rPr>
          <w:instrText xml:space="preserve"> PAGEREF _Toc465167549 \h </w:instrText>
        </w:r>
        <w:r>
          <w:rPr>
            <w:noProof/>
            <w:webHidden/>
          </w:rPr>
        </w:r>
        <w:r>
          <w:rPr>
            <w:noProof/>
            <w:webHidden/>
          </w:rPr>
          <w:fldChar w:fldCharType="separate"/>
        </w:r>
        <w:r w:rsidR="002F60EE">
          <w:rPr>
            <w:noProof/>
            <w:webHidden/>
          </w:rPr>
          <w:t>6</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50" w:history="1">
        <w:r w:rsidRPr="00D52EFC">
          <w:rPr>
            <w:rStyle w:val="Hyperlink"/>
            <w:noProof/>
          </w:rPr>
          <w:t>Report structure</w:t>
        </w:r>
        <w:r>
          <w:rPr>
            <w:noProof/>
            <w:webHidden/>
          </w:rPr>
          <w:tab/>
        </w:r>
        <w:r>
          <w:rPr>
            <w:noProof/>
            <w:webHidden/>
          </w:rPr>
          <w:fldChar w:fldCharType="begin"/>
        </w:r>
        <w:r>
          <w:rPr>
            <w:noProof/>
            <w:webHidden/>
          </w:rPr>
          <w:instrText xml:space="preserve"> PAGEREF _Toc465167550 \h </w:instrText>
        </w:r>
        <w:r>
          <w:rPr>
            <w:noProof/>
            <w:webHidden/>
          </w:rPr>
        </w:r>
        <w:r>
          <w:rPr>
            <w:noProof/>
            <w:webHidden/>
          </w:rPr>
          <w:fldChar w:fldCharType="separate"/>
        </w:r>
        <w:r w:rsidR="002F60EE">
          <w:rPr>
            <w:noProof/>
            <w:webHidden/>
          </w:rPr>
          <w:t>7</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51" w:history="1">
        <w:r w:rsidRPr="00D52EFC">
          <w:rPr>
            <w:rStyle w:val="Hyperlink"/>
            <w:noProof/>
          </w:rPr>
          <w:t>Methodology</w:t>
        </w:r>
        <w:r>
          <w:rPr>
            <w:noProof/>
            <w:webHidden/>
          </w:rPr>
          <w:tab/>
        </w:r>
        <w:r>
          <w:rPr>
            <w:noProof/>
            <w:webHidden/>
          </w:rPr>
          <w:fldChar w:fldCharType="begin"/>
        </w:r>
        <w:r>
          <w:rPr>
            <w:noProof/>
            <w:webHidden/>
          </w:rPr>
          <w:instrText xml:space="preserve"> PAGEREF _Toc465167551 \h </w:instrText>
        </w:r>
        <w:r>
          <w:rPr>
            <w:noProof/>
            <w:webHidden/>
          </w:rPr>
        </w:r>
        <w:r>
          <w:rPr>
            <w:noProof/>
            <w:webHidden/>
          </w:rPr>
          <w:fldChar w:fldCharType="separate"/>
        </w:r>
        <w:r w:rsidR="002F60EE">
          <w:rPr>
            <w:noProof/>
            <w:webHidden/>
          </w:rPr>
          <w:t>7</w:t>
        </w:r>
        <w:r>
          <w:rPr>
            <w:noProof/>
            <w:webHidden/>
          </w:rPr>
          <w:fldChar w:fldCharType="end"/>
        </w:r>
      </w:hyperlink>
    </w:p>
    <w:p w:rsidR="00EF3BD9" w:rsidRDefault="00EF3BD9">
      <w:pPr>
        <w:pStyle w:val="TOC3"/>
        <w:tabs>
          <w:tab w:val="right" w:leader="dot" w:pos="8494"/>
        </w:tabs>
        <w:rPr>
          <w:rFonts w:asciiTheme="minorHAnsi" w:eastAsiaTheme="minorEastAsia" w:hAnsiTheme="minorHAnsi" w:cstheme="minorBidi"/>
          <w:noProof/>
          <w:szCs w:val="22"/>
        </w:rPr>
      </w:pPr>
      <w:hyperlink w:anchor="_Toc465167552" w:history="1">
        <w:r w:rsidRPr="00D52EFC">
          <w:rPr>
            <w:rStyle w:val="Hyperlink"/>
            <w:noProof/>
          </w:rPr>
          <w:t>Survey</w:t>
        </w:r>
        <w:r>
          <w:rPr>
            <w:noProof/>
            <w:webHidden/>
          </w:rPr>
          <w:tab/>
        </w:r>
        <w:r>
          <w:rPr>
            <w:noProof/>
            <w:webHidden/>
          </w:rPr>
          <w:fldChar w:fldCharType="begin"/>
        </w:r>
        <w:r>
          <w:rPr>
            <w:noProof/>
            <w:webHidden/>
          </w:rPr>
          <w:instrText xml:space="preserve"> PAGEREF _Toc465167552 \h </w:instrText>
        </w:r>
        <w:r>
          <w:rPr>
            <w:noProof/>
            <w:webHidden/>
          </w:rPr>
        </w:r>
        <w:r>
          <w:rPr>
            <w:noProof/>
            <w:webHidden/>
          </w:rPr>
          <w:fldChar w:fldCharType="separate"/>
        </w:r>
        <w:r w:rsidR="002F60EE">
          <w:rPr>
            <w:noProof/>
            <w:webHidden/>
          </w:rPr>
          <w:t>7</w:t>
        </w:r>
        <w:r>
          <w:rPr>
            <w:noProof/>
            <w:webHidden/>
          </w:rPr>
          <w:fldChar w:fldCharType="end"/>
        </w:r>
      </w:hyperlink>
    </w:p>
    <w:p w:rsidR="00EF3BD9" w:rsidRDefault="00EF3BD9">
      <w:pPr>
        <w:pStyle w:val="TOC3"/>
        <w:tabs>
          <w:tab w:val="right" w:leader="dot" w:pos="8494"/>
        </w:tabs>
        <w:rPr>
          <w:rFonts w:asciiTheme="minorHAnsi" w:eastAsiaTheme="minorEastAsia" w:hAnsiTheme="minorHAnsi" w:cstheme="minorBidi"/>
          <w:noProof/>
          <w:szCs w:val="22"/>
        </w:rPr>
      </w:pPr>
      <w:hyperlink w:anchor="_Toc465167553" w:history="1">
        <w:r w:rsidRPr="00D52EFC">
          <w:rPr>
            <w:rStyle w:val="Hyperlink"/>
            <w:noProof/>
            <w:lang w:val="en-US" w:eastAsia="ja-JP"/>
          </w:rPr>
          <w:t>Focus Groups</w:t>
        </w:r>
        <w:r>
          <w:rPr>
            <w:noProof/>
            <w:webHidden/>
          </w:rPr>
          <w:tab/>
        </w:r>
        <w:r>
          <w:rPr>
            <w:noProof/>
            <w:webHidden/>
          </w:rPr>
          <w:fldChar w:fldCharType="begin"/>
        </w:r>
        <w:r>
          <w:rPr>
            <w:noProof/>
            <w:webHidden/>
          </w:rPr>
          <w:instrText xml:space="preserve"> PAGEREF _Toc465167553 \h </w:instrText>
        </w:r>
        <w:r>
          <w:rPr>
            <w:noProof/>
            <w:webHidden/>
          </w:rPr>
        </w:r>
        <w:r>
          <w:rPr>
            <w:noProof/>
            <w:webHidden/>
          </w:rPr>
          <w:fldChar w:fldCharType="separate"/>
        </w:r>
        <w:r w:rsidR="002F60EE">
          <w:rPr>
            <w:noProof/>
            <w:webHidden/>
          </w:rPr>
          <w:t>8</w:t>
        </w:r>
        <w:r>
          <w:rPr>
            <w:noProof/>
            <w:webHidden/>
          </w:rPr>
          <w:fldChar w:fldCharType="end"/>
        </w:r>
      </w:hyperlink>
    </w:p>
    <w:p w:rsidR="00EF3BD9" w:rsidRDefault="00EF3BD9">
      <w:pPr>
        <w:pStyle w:val="TOC1"/>
        <w:tabs>
          <w:tab w:val="left" w:pos="440"/>
          <w:tab w:val="right" w:leader="dot" w:pos="8494"/>
        </w:tabs>
        <w:rPr>
          <w:rFonts w:asciiTheme="minorHAnsi" w:eastAsiaTheme="minorEastAsia" w:hAnsiTheme="minorHAnsi" w:cstheme="minorBidi"/>
          <w:noProof/>
          <w:szCs w:val="22"/>
        </w:rPr>
      </w:pPr>
      <w:hyperlink w:anchor="_Toc465167554" w:history="1">
        <w:r w:rsidRPr="00D52EFC">
          <w:rPr>
            <w:rStyle w:val="Hyperlink"/>
            <w:noProof/>
          </w:rPr>
          <w:t>1.</w:t>
        </w:r>
        <w:r>
          <w:rPr>
            <w:rFonts w:asciiTheme="minorHAnsi" w:eastAsiaTheme="minorEastAsia" w:hAnsiTheme="minorHAnsi" w:cstheme="minorBidi"/>
            <w:noProof/>
            <w:szCs w:val="22"/>
          </w:rPr>
          <w:tab/>
        </w:r>
        <w:r w:rsidRPr="00D52EFC">
          <w:rPr>
            <w:rStyle w:val="Hyperlink"/>
            <w:noProof/>
          </w:rPr>
          <w:t>Essential telecommunications in the digital age</w:t>
        </w:r>
        <w:r>
          <w:rPr>
            <w:noProof/>
            <w:webHidden/>
          </w:rPr>
          <w:tab/>
        </w:r>
        <w:r>
          <w:rPr>
            <w:noProof/>
            <w:webHidden/>
          </w:rPr>
          <w:fldChar w:fldCharType="begin"/>
        </w:r>
        <w:r>
          <w:rPr>
            <w:noProof/>
            <w:webHidden/>
          </w:rPr>
          <w:instrText xml:space="preserve"> PAGEREF _Toc465167554 \h </w:instrText>
        </w:r>
        <w:r>
          <w:rPr>
            <w:noProof/>
            <w:webHidden/>
          </w:rPr>
        </w:r>
        <w:r>
          <w:rPr>
            <w:noProof/>
            <w:webHidden/>
          </w:rPr>
          <w:fldChar w:fldCharType="separate"/>
        </w:r>
        <w:r w:rsidR="002F60EE">
          <w:rPr>
            <w:noProof/>
            <w:webHidden/>
          </w:rPr>
          <w:t>9</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55" w:history="1">
        <w:r w:rsidRPr="00D52EFC">
          <w:rPr>
            <w:rStyle w:val="Hyperlink"/>
            <w:noProof/>
          </w:rPr>
          <w:t>Essential Uses</w:t>
        </w:r>
        <w:r>
          <w:rPr>
            <w:noProof/>
            <w:webHidden/>
          </w:rPr>
          <w:tab/>
        </w:r>
        <w:r>
          <w:rPr>
            <w:noProof/>
            <w:webHidden/>
          </w:rPr>
          <w:fldChar w:fldCharType="begin"/>
        </w:r>
        <w:r>
          <w:rPr>
            <w:noProof/>
            <w:webHidden/>
          </w:rPr>
          <w:instrText xml:space="preserve"> PAGEREF _Toc465167555 \h </w:instrText>
        </w:r>
        <w:r>
          <w:rPr>
            <w:noProof/>
            <w:webHidden/>
          </w:rPr>
        </w:r>
        <w:r>
          <w:rPr>
            <w:noProof/>
            <w:webHidden/>
          </w:rPr>
          <w:fldChar w:fldCharType="separate"/>
        </w:r>
        <w:r w:rsidR="002F60EE">
          <w:rPr>
            <w:noProof/>
            <w:webHidden/>
          </w:rPr>
          <w:t>9</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56" w:history="1">
        <w:r w:rsidRPr="00D52EFC">
          <w:rPr>
            <w:rStyle w:val="Hyperlink"/>
            <w:noProof/>
          </w:rPr>
          <w:t>Devices, devices, devices</w:t>
        </w:r>
        <w:r>
          <w:rPr>
            <w:noProof/>
            <w:webHidden/>
          </w:rPr>
          <w:tab/>
        </w:r>
        <w:r>
          <w:rPr>
            <w:noProof/>
            <w:webHidden/>
          </w:rPr>
          <w:fldChar w:fldCharType="begin"/>
        </w:r>
        <w:r>
          <w:rPr>
            <w:noProof/>
            <w:webHidden/>
          </w:rPr>
          <w:instrText xml:space="preserve"> PAGEREF _Toc465167556 \h </w:instrText>
        </w:r>
        <w:r>
          <w:rPr>
            <w:noProof/>
            <w:webHidden/>
          </w:rPr>
        </w:r>
        <w:r>
          <w:rPr>
            <w:noProof/>
            <w:webHidden/>
          </w:rPr>
          <w:fldChar w:fldCharType="separate"/>
        </w:r>
        <w:r w:rsidR="002F60EE">
          <w:rPr>
            <w:noProof/>
            <w:webHidden/>
          </w:rPr>
          <w:t>11</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57" w:history="1">
        <w:r w:rsidRPr="00D52EFC">
          <w:rPr>
            <w:rStyle w:val="Hyperlink"/>
            <w:noProof/>
          </w:rPr>
          <w:t>One size does not fit all</w:t>
        </w:r>
        <w:r>
          <w:rPr>
            <w:noProof/>
            <w:webHidden/>
          </w:rPr>
          <w:tab/>
        </w:r>
        <w:r>
          <w:rPr>
            <w:noProof/>
            <w:webHidden/>
          </w:rPr>
          <w:fldChar w:fldCharType="begin"/>
        </w:r>
        <w:r>
          <w:rPr>
            <w:noProof/>
            <w:webHidden/>
          </w:rPr>
          <w:instrText xml:space="preserve"> PAGEREF _Toc465167557 \h </w:instrText>
        </w:r>
        <w:r>
          <w:rPr>
            <w:noProof/>
            <w:webHidden/>
          </w:rPr>
        </w:r>
        <w:r>
          <w:rPr>
            <w:noProof/>
            <w:webHidden/>
          </w:rPr>
          <w:fldChar w:fldCharType="separate"/>
        </w:r>
        <w:r w:rsidR="002F60EE">
          <w:rPr>
            <w:noProof/>
            <w:webHidden/>
          </w:rPr>
          <w:t>13</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58" w:history="1">
        <w:r w:rsidRPr="00D52EFC">
          <w:rPr>
            <w:rStyle w:val="Hyperlink"/>
            <w:noProof/>
          </w:rPr>
          <w:t>Essential, but not yet universal</w:t>
        </w:r>
        <w:r>
          <w:rPr>
            <w:noProof/>
            <w:webHidden/>
          </w:rPr>
          <w:tab/>
        </w:r>
        <w:r>
          <w:rPr>
            <w:noProof/>
            <w:webHidden/>
          </w:rPr>
          <w:fldChar w:fldCharType="begin"/>
        </w:r>
        <w:r>
          <w:rPr>
            <w:noProof/>
            <w:webHidden/>
          </w:rPr>
          <w:instrText xml:space="preserve"> PAGEREF _Toc465167558 \h </w:instrText>
        </w:r>
        <w:r>
          <w:rPr>
            <w:noProof/>
            <w:webHidden/>
          </w:rPr>
        </w:r>
        <w:r>
          <w:rPr>
            <w:noProof/>
            <w:webHidden/>
          </w:rPr>
          <w:fldChar w:fldCharType="separate"/>
        </w:r>
        <w:r w:rsidR="002F60EE">
          <w:rPr>
            <w:noProof/>
            <w:webHidden/>
          </w:rPr>
          <w:t>14</w:t>
        </w:r>
        <w:r>
          <w:rPr>
            <w:noProof/>
            <w:webHidden/>
          </w:rPr>
          <w:fldChar w:fldCharType="end"/>
        </w:r>
      </w:hyperlink>
    </w:p>
    <w:p w:rsidR="00EF3BD9" w:rsidRDefault="00EF3BD9">
      <w:pPr>
        <w:pStyle w:val="TOC1"/>
        <w:tabs>
          <w:tab w:val="left" w:pos="440"/>
          <w:tab w:val="right" w:leader="dot" w:pos="8494"/>
        </w:tabs>
        <w:rPr>
          <w:rFonts w:asciiTheme="minorHAnsi" w:eastAsiaTheme="minorEastAsia" w:hAnsiTheme="minorHAnsi" w:cstheme="minorBidi"/>
          <w:noProof/>
          <w:szCs w:val="22"/>
        </w:rPr>
      </w:pPr>
      <w:hyperlink w:anchor="_Toc465167559" w:history="1">
        <w:r w:rsidRPr="00D52EFC">
          <w:rPr>
            <w:rStyle w:val="Hyperlink"/>
            <w:noProof/>
          </w:rPr>
          <w:t>2.</w:t>
        </w:r>
        <w:r>
          <w:rPr>
            <w:rFonts w:asciiTheme="minorHAnsi" w:eastAsiaTheme="minorEastAsia" w:hAnsiTheme="minorHAnsi" w:cstheme="minorBidi"/>
            <w:noProof/>
            <w:szCs w:val="22"/>
          </w:rPr>
          <w:tab/>
        </w:r>
        <w:r w:rsidRPr="00D52EFC">
          <w:rPr>
            <w:rStyle w:val="Hyperlink"/>
            <w:noProof/>
          </w:rPr>
          <w:t>Telecommunications (un)affordability for low income consumers</w:t>
        </w:r>
        <w:r>
          <w:rPr>
            <w:noProof/>
            <w:webHidden/>
          </w:rPr>
          <w:tab/>
        </w:r>
        <w:r>
          <w:rPr>
            <w:noProof/>
            <w:webHidden/>
          </w:rPr>
          <w:fldChar w:fldCharType="begin"/>
        </w:r>
        <w:r>
          <w:rPr>
            <w:noProof/>
            <w:webHidden/>
          </w:rPr>
          <w:instrText xml:space="preserve"> PAGEREF _Toc465167559 \h </w:instrText>
        </w:r>
        <w:r>
          <w:rPr>
            <w:noProof/>
            <w:webHidden/>
          </w:rPr>
        </w:r>
        <w:r>
          <w:rPr>
            <w:noProof/>
            <w:webHidden/>
          </w:rPr>
          <w:fldChar w:fldCharType="separate"/>
        </w:r>
        <w:r w:rsidR="002F60EE">
          <w:rPr>
            <w:noProof/>
            <w:webHidden/>
          </w:rPr>
          <w:t>15</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60" w:history="1">
        <w:r w:rsidRPr="00D52EFC">
          <w:rPr>
            <w:rStyle w:val="Hyperlink"/>
            <w:noProof/>
          </w:rPr>
          <w:t>A significant and regressive expenditure</w:t>
        </w:r>
        <w:r>
          <w:rPr>
            <w:noProof/>
            <w:webHidden/>
          </w:rPr>
          <w:tab/>
        </w:r>
        <w:r>
          <w:rPr>
            <w:noProof/>
            <w:webHidden/>
          </w:rPr>
          <w:fldChar w:fldCharType="begin"/>
        </w:r>
        <w:r>
          <w:rPr>
            <w:noProof/>
            <w:webHidden/>
          </w:rPr>
          <w:instrText xml:space="preserve"> PAGEREF _Toc465167560 \h </w:instrText>
        </w:r>
        <w:r>
          <w:rPr>
            <w:noProof/>
            <w:webHidden/>
          </w:rPr>
        </w:r>
        <w:r>
          <w:rPr>
            <w:noProof/>
            <w:webHidden/>
          </w:rPr>
          <w:fldChar w:fldCharType="separate"/>
        </w:r>
        <w:r w:rsidR="002F60EE">
          <w:rPr>
            <w:noProof/>
            <w:webHidden/>
          </w:rPr>
          <w:t>15</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61" w:history="1">
        <w:r w:rsidRPr="00D52EFC">
          <w:rPr>
            <w:rStyle w:val="Hyperlink"/>
            <w:noProof/>
          </w:rPr>
          <w:t>Disconnected and struggling</w:t>
        </w:r>
        <w:r>
          <w:rPr>
            <w:noProof/>
            <w:webHidden/>
          </w:rPr>
          <w:tab/>
        </w:r>
        <w:r>
          <w:rPr>
            <w:noProof/>
            <w:webHidden/>
          </w:rPr>
          <w:fldChar w:fldCharType="begin"/>
        </w:r>
        <w:r>
          <w:rPr>
            <w:noProof/>
            <w:webHidden/>
          </w:rPr>
          <w:instrText xml:space="preserve"> PAGEREF _Toc465167561 \h </w:instrText>
        </w:r>
        <w:r>
          <w:rPr>
            <w:noProof/>
            <w:webHidden/>
          </w:rPr>
        </w:r>
        <w:r>
          <w:rPr>
            <w:noProof/>
            <w:webHidden/>
          </w:rPr>
          <w:fldChar w:fldCharType="separate"/>
        </w:r>
        <w:r w:rsidR="002F60EE">
          <w:rPr>
            <w:noProof/>
            <w:webHidden/>
          </w:rPr>
          <w:t>16</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62" w:history="1">
        <w:r w:rsidRPr="00D52EFC">
          <w:rPr>
            <w:rStyle w:val="Hyperlink"/>
            <w:noProof/>
          </w:rPr>
          <w:t>Restricting usage</w:t>
        </w:r>
        <w:r>
          <w:rPr>
            <w:noProof/>
            <w:webHidden/>
          </w:rPr>
          <w:tab/>
        </w:r>
        <w:r>
          <w:rPr>
            <w:noProof/>
            <w:webHidden/>
          </w:rPr>
          <w:fldChar w:fldCharType="begin"/>
        </w:r>
        <w:r>
          <w:rPr>
            <w:noProof/>
            <w:webHidden/>
          </w:rPr>
          <w:instrText xml:space="preserve"> PAGEREF _Toc465167562 \h </w:instrText>
        </w:r>
        <w:r>
          <w:rPr>
            <w:noProof/>
            <w:webHidden/>
          </w:rPr>
        </w:r>
        <w:r>
          <w:rPr>
            <w:noProof/>
            <w:webHidden/>
          </w:rPr>
          <w:fldChar w:fldCharType="separate"/>
        </w:r>
        <w:r w:rsidR="002F60EE">
          <w:rPr>
            <w:noProof/>
            <w:webHidden/>
          </w:rPr>
          <w:t>19</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63" w:history="1">
        <w:r w:rsidRPr="00D52EFC">
          <w:rPr>
            <w:rStyle w:val="Hyperlink"/>
            <w:noProof/>
          </w:rPr>
          <w:t>Affordability and the Digital Divide</w:t>
        </w:r>
        <w:r>
          <w:rPr>
            <w:noProof/>
            <w:webHidden/>
          </w:rPr>
          <w:tab/>
        </w:r>
        <w:r>
          <w:rPr>
            <w:noProof/>
            <w:webHidden/>
          </w:rPr>
          <w:fldChar w:fldCharType="begin"/>
        </w:r>
        <w:r>
          <w:rPr>
            <w:noProof/>
            <w:webHidden/>
          </w:rPr>
          <w:instrText xml:space="preserve"> PAGEREF _Toc465167563 \h </w:instrText>
        </w:r>
        <w:r>
          <w:rPr>
            <w:noProof/>
            <w:webHidden/>
          </w:rPr>
        </w:r>
        <w:r>
          <w:rPr>
            <w:noProof/>
            <w:webHidden/>
          </w:rPr>
          <w:fldChar w:fldCharType="separate"/>
        </w:r>
        <w:r w:rsidR="002F60EE">
          <w:rPr>
            <w:noProof/>
            <w:webHidden/>
          </w:rPr>
          <w:t>21</w:t>
        </w:r>
        <w:r>
          <w:rPr>
            <w:noProof/>
            <w:webHidden/>
          </w:rPr>
          <w:fldChar w:fldCharType="end"/>
        </w:r>
      </w:hyperlink>
    </w:p>
    <w:p w:rsidR="00EF3BD9" w:rsidRDefault="00EF3BD9">
      <w:pPr>
        <w:pStyle w:val="TOC1"/>
        <w:tabs>
          <w:tab w:val="left" w:pos="440"/>
          <w:tab w:val="right" w:leader="dot" w:pos="8494"/>
        </w:tabs>
        <w:rPr>
          <w:rFonts w:asciiTheme="minorHAnsi" w:eastAsiaTheme="minorEastAsia" w:hAnsiTheme="minorHAnsi" w:cstheme="minorBidi"/>
          <w:noProof/>
          <w:szCs w:val="22"/>
        </w:rPr>
      </w:pPr>
      <w:hyperlink w:anchor="_Toc465167564" w:history="1">
        <w:r w:rsidRPr="00D52EFC">
          <w:rPr>
            <w:rStyle w:val="Hyperlink"/>
            <w:noProof/>
          </w:rPr>
          <w:t>3.</w:t>
        </w:r>
        <w:r>
          <w:rPr>
            <w:rFonts w:asciiTheme="minorHAnsi" w:eastAsiaTheme="minorEastAsia" w:hAnsiTheme="minorHAnsi" w:cstheme="minorBidi"/>
            <w:noProof/>
            <w:szCs w:val="22"/>
          </w:rPr>
          <w:tab/>
        </w:r>
        <w:r w:rsidRPr="00D52EFC">
          <w:rPr>
            <w:rStyle w:val="Hyperlink"/>
            <w:noProof/>
          </w:rPr>
          <w:t>The Centrelink Telephone Allowance</w:t>
        </w:r>
        <w:r>
          <w:rPr>
            <w:noProof/>
            <w:webHidden/>
          </w:rPr>
          <w:tab/>
        </w:r>
        <w:r>
          <w:rPr>
            <w:noProof/>
            <w:webHidden/>
          </w:rPr>
          <w:fldChar w:fldCharType="begin"/>
        </w:r>
        <w:r>
          <w:rPr>
            <w:noProof/>
            <w:webHidden/>
          </w:rPr>
          <w:instrText xml:space="preserve"> PAGEREF _Toc465167564 \h </w:instrText>
        </w:r>
        <w:r>
          <w:rPr>
            <w:noProof/>
            <w:webHidden/>
          </w:rPr>
        </w:r>
        <w:r>
          <w:rPr>
            <w:noProof/>
            <w:webHidden/>
          </w:rPr>
          <w:fldChar w:fldCharType="separate"/>
        </w:r>
        <w:r w:rsidR="002F60EE">
          <w:rPr>
            <w:noProof/>
            <w:webHidden/>
          </w:rPr>
          <w:t>23</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65" w:history="1">
        <w:r w:rsidRPr="00D52EFC">
          <w:rPr>
            <w:rStyle w:val="Hyperlink"/>
            <w:noProof/>
          </w:rPr>
          <w:t>Rates and Eligibility</w:t>
        </w:r>
        <w:r>
          <w:rPr>
            <w:noProof/>
            <w:webHidden/>
          </w:rPr>
          <w:tab/>
        </w:r>
        <w:r>
          <w:rPr>
            <w:noProof/>
            <w:webHidden/>
          </w:rPr>
          <w:fldChar w:fldCharType="begin"/>
        </w:r>
        <w:r>
          <w:rPr>
            <w:noProof/>
            <w:webHidden/>
          </w:rPr>
          <w:instrText xml:space="preserve"> PAGEREF _Toc465167565 \h </w:instrText>
        </w:r>
        <w:r>
          <w:rPr>
            <w:noProof/>
            <w:webHidden/>
          </w:rPr>
        </w:r>
        <w:r>
          <w:rPr>
            <w:noProof/>
            <w:webHidden/>
          </w:rPr>
          <w:fldChar w:fldCharType="separate"/>
        </w:r>
        <w:r w:rsidR="002F60EE">
          <w:rPr>
            <w:noProof/>
            <w:webHidden/>
          </w:rPr>
          <w:t>23</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66" w:history="1">
        <w:r w:rsidRPr="00D52EFC">
          <w:rPr>
            <w:rStyle w:val="Hyperlink"/>
            <w:noProof/>
          </w:rPr>
          <w:t>Targeting</w:t>
        </w:r>
        <w:r>
          <w:rPr>
            <w:noProof/>
            <w:webHidden/>
          </w:rPr>
          <w:tab/>
        </w:r>
        <w:r>
          <w:rPr>
            <w:noProof/>
            <w:webHidden/>
          </w:rPr>
          <w:fldChar w:fldCharType="begin"/>
        </w:r>
        <w:r>
          <w:rPr>
            <w:noProof/>
            <w:webHidden/>
          </w:rPr>
          <w:instrText xml:space="preserve"> PAGEREF _Toc465167566 \h </w:instrText>
        </w:r>
        <w:r>
          <w:rPr>
            <w:noProof/>
            <w:webHidden/>
          </w:rPr>
        </w:r>
        <w:r>
          <w:rPr>
            <w:noProof/>
            <w:webHidden/>
          </w:rPr>
          <w:fldChar w:fldCharType="separate"/>
        </w:r>
        <w:r w:rsidR="002F60EE">
          <w:rPr>
            <w:noProof/>
            <w:webHidden/>
          </w:rPr>
          <w:t>25</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67" w:history="1">
        <w:r w:rsidRPr="00D52EFC">
          <w:rPr>
            <w:rStyle w:val="Hyperlink"/>
            <w:noProof/>
          </w:rPr>
          <w:t>Adequacy</w:t>
        </w:r>
        <w:r>
          <w:rPr>
            <w:noProof/>
            <w:webHidden/>
          </w:rPr>
          <w:tab/>
        </w:r>
        <w:r>
          <w:rPr>
            <w:noProof/>
            <w:webHidden/>
          </w:rPr>
          <w:fldChar w:fldCharType="begin"/>
        </w:r>
        <w:r>
          <w:rPr>
            <w:noProof/>
            <w:webHidden/>
          </w:rPr>
          <w:instrText xml:space="preserve"> PAGEREF _Toc465167567 \h </w:instrText>
        </w:r>
        <w:r>
          <w:rPr>
            <w:noProof/>
            <w:webHidden/>
          </w:rPr>
        </w:r>
        <w:r>
          <w:rPr>
            <w:noProof/>
            <w:webHidden/>
          </w:rPr>
          <w:fldChar w:fldCharType="separate"/>
        </w:r>
        <w:r w:rsidR="002F60EE">
          <w:rPr>
            <w:noProof/>
            <w:webHidden/>
          </w:rPr>
          <w:t>28</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68" w:history="1">
        <w:r w:rsidRPr="00D52EFC">
          <w:rPr>
            <w:rStyle w:val="Hyperlink"/>
            <w:noProof/>
          </w:rPr>
          <w:t>Form and Frequency</w:t>
        </w:r>
        <w:r>
          <w:rPr>
            <w:noProof/>
            <w:webHidden/>
          </w:rPr>
          <w:tab/>
        </w:r>
        <w:r>
          <w:rPr>
            <w:noProof/>
            <w:webHidden/>
          </w:rPr>
          <w:fldChar w:fldCharType="begin"/>
        </w:r>
        <w:r>
          <w:rPr>
            <w:noProof/>
            <w:webHidden/>
          </w:rPr>
          <w:instrText xml:space="preserve"> PAGEREF _Toc465167568 \h </w:instrText>
        </w:r>
        <w:r>
          <w:rPr>
            <w:noProof/>
            <w:webHidden/>
          </w:rPr>
        </w:r>
        <w:r>
          <w:rPr>
            <w:noProof/>
            <w:webHidden/>
          </w:rPr>
          <w:fldChar w:fldCharType="separate"/>
        </w:r>
        <w:r w:rsidR="002F60EE">
          <w:rPr>
            <w:noProof/>
            <w:webHidden/>
          </w:rPr>
          <w:t>30</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69" w:history="1">
        <w:r w:rsidRPr="00D52EFC">
          <w:rPr>
            <w:rStyle w:val="Hyperlink"/>
            <w:noProof/>
          </w:rPr>
          <w:t>Summary</w:t>
        </w:r>
        <w:r>
          <w:rPr>
            <w:noProof/>
            <w:webHidden/>
          </w:rPr>
          <w:tab/>
        </w:r>
        <w:r>
          <w:rPr>
            <w:noProof/>
            <w:webHidden/>
          </w:rPr>
          <w:fldChar w:fldCharType="begin"/>
        </w:r>
        <w:r>
          <w:rPr>
            <w:noProof/>
            <w:webHidden/>
          </w:rPr>
          <w:instrText xml:space="preserve"> PAGEREF _Toc465167569 \h </w:instrText>
        </w:r>
        <w:r>
          <w:rPr>
            <w:noProof/>
            <w:webHidden/>
          </w:rPr>
        </w:r>
        <w:r>
          <w:rPr>
            <w:noProof/>
            <w:webHidden/>
          </w:rPr>
          <w:fldChar w:fldCharType="separate"/>
        </w:r>
        <w:r w:rsidR="002F60EE">
          <w:rPr>
            <w:noProof/>
            <w:webHidden/>
          </w:rPr>
          <w:t>31</w:t>
        </w:r>
        <w:r>
          <w:rPr>
            <w:noProof/>
            <w:webHidden/>
          </w:rPr>
          <w:fldChar w:fldCharType="end"/>
        </w:r>
      </w:hyperlink>
    </w:p>
    <w:p w:rsidR="00EF3BD9" w:rsidRDefault="00EF3BD9">
      <w:pPr>
        <w:pStyle w:val="TOC3"/>
        <w:tabs>
          <w:tab w:val="right" w:leader="dot" w:pos="8494"/>
        </w:tabs>
        <w:rPr>
          <w:rFonts w:asciiTheme="minorHAnsi" w:eastAsiaTheme="minorEastAsia" w:hAnsiTheme="minorHAnsi" w:cstheme="minorBidi"/>
          <w:noProof/>
          <w:szCs w:val="22"/>
        </w:rPr>
      </w:pPr>
      <w:hyperlink w:anchor="_Toc465167570" w:history="1">
        <w:r w:rsidRPr="00D52EFC">
          <w:rPr>
            <w:rStyle w:val="Hyperlink"/>
            <w:noProof/>
            <w:lang w:val="en-US" w:eastAsia="ja-JP"/>
          </w:rPr>
          <w:t xml:space="preserve">Recommendation 1: </w:t>
        </w:r>
        <w:r w:rsidRPr="00D52EFC">
          <w:rPr>
            <w:rStyle w:val="Hyperlink"/>
            <w:noProof/>
          </w:rPr>
          <w:t>Reforming the Centrelink Telephone Allowance</w:t>
        </w:r>
        <w:r>
          <w:rPr>
            <w:noProof/>
            <w:webHidden/>
          </w:rPr>
          <w:tab/>
        </w:r>
        <w:r>
          <w:rPr>
            <w:noProof/>
            <w:webHidden/>
          </w:rPr>
          <w:fldChar w:fldCharType="begin"/>
        </w:r>
        <w:r>
          <w:rPr>
            <w:noProof/>
            <w:webHidden/>
          </w:rPr>
          <w:instrText xml:space="preserve"> PAGEREF _Toc465167570 \h </w:instrText>
        </w:r>
        <w:r>
          <w:rPr>
            <w:noProof/>
            <w:webHidden/>
          </w:rPr>
        </w:r>
        <w:r>
          <w:rPr>
            <w:noProof/>
            <w:webHidden/>
          </w:rPr>
          <w:fldChar w:fldCharType="separate"/>
        </w:r>
        <w:r w:rsidR="002F60EE">
          <w:rPr>
            <w:noProof/>
            <w:webHidden/>
          </w:rPr>
          <w:t>34</w:t>
        </w:r>
        <w:r>
          <w:rPr>
            <w:noProof/>
            <w:webHidden/>
          </w:rPr>
          <w:fldChar w:fldCharType="end"/>
        </w:r>
      </w:hyperlink>
    </w:p>
    <w:p w:rsidR="00EF3BD9" w:rsidRDefault="00EF3BD9">
      <w:pPr>
        <w:pStyle w:val="TOC1"/>
        <w:tabs>
          <w:tab w:val="left" w:pos="440"/>
          <w:tab w:val="right" w:leader="dot" w:pos="8494"/>
        </w:tabs>
        <w:rPr>
          <w:rFonts w:asciiTheme="minorHAnsi" w:eastAsiaTheme="minorEastAsia" w:hAnsiTheme="minorHAnsi" w:cstheme="minorBidi"/>
          <w:noProof/>
          <w:szCs w:val="22"/>
        </w:rPr>
      </w:pPr>
      <w:hyperlink w:anchor="_Toc465167571" w:history="1">
        <w:r w:rsidRPr="00D52EFC">
          <w:rPr>
            <w:rStyle w:val="Hyperlink"/>
            <w:noProof/>
          </w:rPr>
          <w:t>4.</w:t>
        </w:r>
        <w:r>
          <w:rPr>
            <w:rFonts w:asciiTheme="minorHAnsi" w:eastAsiaTheme="minorEastAsia" w:hAnsiTheme="minorHAnsi" w:cstheme="minorBidi"/>
            <w:noProof/>
            <w:szCs w:val="22"/>
          </w:rPr>
          <w:tab/>
        </w:r>
        <w:r w:rsidRPr="00D52EFC">
          <w:rPr>
            <w:rStyle w:val="Hyperlink"/>
            <w:noProof/>
          </w:rPr>
          <w:t>Products on the market</w:t>
        </w:r>
        <w:r>
          <w:rPr>
            <w:noProof/>
            <w:webHidden/>
          </w:rPr>
          <w:tab/>
        </w:r>
        <w:r>
          <w:rPr>
            <w:noProof/>
            <w:webHidden/>
          </w:rPr>
          <w:fldChar w:fldCharType="begin"/>
        </w:r>
        <w:r>
          <w:rPr>
            <w:noProof/>
            <w:webHidden/>
          </w:rPr>
          <w:instrText xml:space="preserve"> PAGEREF _Toc465167571 \h </w:instrText>
        </w:r>
        <w:r>
          <w:rPr>
            <w:noProof/>
            <w:webHidden/>
          </w:rPr>
        </w:r>
        <w:r>
          <w:rPr>
            <w:noProof/>
            <w:webHidden/>
          </w:rPr>
          <w:fldChar w:fldCharType="separate"/>
        </w:r>
        <w:r w:rsidR="002F60EE">
          <w:rPr>
            <w:noProof/>
            <w:webHidden/>
          </w:rPr>
          <w:t>36</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72" w:history="1">
        <w:r w:rsidRPr="00D52EFC">
          <w:rPr>
            <w:rStyle w:val="Hyperlink"/>
            <w:noProof/>
          </w:rPr>
          <w:t>Introduction</w:t>
        </w:r>
        <w:r>
          <w:rPr>
            <w:noProof/>
            <w:webHidden/>
          </w:rPr>
          <w:tab/>
        </w:r>
        <w:r>
          <w:rPr>
            <w:noProof/>
            <w:webHidden/>
          </w:rPr>
          <w:fldChar w:fldCharType="begin"/>
        </w:r>
        <w:r>
          <w:rPr>
            <w:noProof/>
            <w:webHidden/>
          </w:rPr>
          <w:instrText xml:space="preserve"> PAGEREF _Toc465167572 \h </w:instrText>
        </w:r>
        <w:r>
          <w:rPr>
            <w:noProof/>
            <w:webHidden/>
          </w:rPr>
        </w:r>
        <w:r>
          <w:rPr>
            <w:noProof/>
            <w:webHidden/>
          </w:rPr>
          <w:fldChar w:fldCharType="separate"/>
        </w:r>
        <w:r w:rsidR="002F60EE">
          <w:rPr>
            <w:noProof/>
            <w:webHidden/>
          </w:rPr>
          <w:t>36</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73" w:history="1">
        <w:r w:rsidRPr="00D52EFC">
          <w:rPr>
            <w:rStyle w:val="Hyperlink"/>
            <w:noProof/>
          </w:rPr>
          <w:t>Poverty Premiums</w:t>
        </w:r>
        <w:r>
          <w:rPr>
            <w:noProof/>
            <w:webHidden/>
          </w:rPr>
          <w:tab/>
        </w:r>
        <w:r>
          <w:rPr>
            <w:noProof/>
            <w:webHidden/>
          </w:rPr>
          <w:fldChar w:fldCharType="begin"/>
        </w:r>
        <w:r>
          <w:rPr>
            <w:noProof/>
            <w:webHidden/>
          </w:rPr>
          <w:instrText xml:space="preserve"> PAGEREF _Toc465167573 \h </w:instrText>
        </w:r>
        <w:r>
          <w:rPr>
            <w:noProof/>
            <w:webHidden/>
          </w:rPr>
        </w:r>
        <w:r>
          <w:rPr>
            <w:noProof/>
            <w:webHidden/>
          </w:rPr>
          <w:fldChar w:fldCharType="separate"/>
        </w:r>
        <w:r w:rsidR="002F60EE">
          <w:rPr>
            <w:noProof/>
            <w:webHidden/>
          </w:rPr>
          <w:t>37</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74" w:history="1">
        <w:r w:rsidRPr="00D52EFC">
          <w:rPr>
            <w:rStyle w:val="Hyperlink"/>
            <w:noProof/>
          </w:rPr>
          <w:t>Drivers of Expenditure</w:t>
        </w:r>
        <w:r>
          <w:rPr>
            <w:noProof/>
            <w:webHidden/>
          </w:rPr>
          <w:tab/>
        </w:r>
        <w:r>
          <w:rPr>
            <w:noProof/>
            <w:webHidden/>
          </w:rPr>
          <w:fldChar w:fldCharType="begin"/>
        </w:r>
        <w:r>
          <w:rPr>
            <w:noProof/>
            <w:webHidden/>
          </w:rPr>
          <w:instrText xml:space="preserve"> PAGEREF _Toc465167574 \h </w:instrText>
        </w:r>
        <w:r>
          <w:rPr>
            <w:noProof/>
            <w:webHidden/>
          </w:rPr>
        </w:r>
        <w:r>
          <w:rPr>
            <w:noProof/>
            <w:webHidden/>
          </w:rPr>
          <w:fldChar w:fldCharType="separate"/>
        </w:r>
        <w:r w:rsidR="002F60EE">
          <w:rPr>
            <w:noProof/>
            <w:webHidden/>
          </w:rPr>
          <w:t>38</w:t>
        </w:r>
        <w:r>
          <w:rPr>
            <w:noProof/>
            <w:webHidden/>
          </w:rPr>
          <w:fldChar w:fldCharType="end"/>
        </w:r>
      </w:hyperlink>
    </w:p>
    <w:p w:rsidR="00EF3BD9" w:rsidRDefault="00EF3BD9">
      <w:pPr>
        <w:pStyle w:val="TOC3"/>
        <w:tabs>
          <w:tab w:val="right" w:leader="dot" w:pos="8494"/>
        </w:tabs>
        <w:rPr>
          <w:rFonts w:asciiTheme="minorHAnsi" w:eastAsiaTheme="minorEastAsia" w:hAnsiTheme="minorHAnsi" w:cstheme="minorBidi"/>
          <w:noProof/>
          <w:szCs w:val="22"/>
        </w:rPr>
      </w:pPr>
      <w:hyperlink w:anchor="_Toc465167575" w:history="1">
        <w:r w:rsidRPr="00D52EFC">
          <w:rPr>
            <w:rStyle w:val="Hyperlink"/>
            <w:noProof/>
          </w:rPr>
          <w:t>Mobile data demand</w:t>
        </w:r>
        <w:r>
          <w:rPr>
            <w:noProof/>
            <w:webHidden/>
          </w:rPr>
          <w:tab/>
        </w:r>
        <w:r>
          <w:rPr>
            <w:noProof/>
            <w:webHidden/>
          </w:rPr>
          <w:fldChar w:fldCharType="begin"/>
        </w:r>
        <w:r>
          <w:rPr>
            <w:noProof/>
            <w:webHidden/>
          </w:rPr>
          <w:instrText xml:space="preserve"> PAGEREF _Toc465167575 \h </w:instrText>
        </w:r>
        <w:r>
          <w:rPr>
            <w:noProof/>
            <w:webHidden/>
          </w:rPr>
        </w:r>
        <w:r>
          <w:rPr>
            <w:noProof/>
            <w:webHidden/>
          </w:rPr>
          <w:fldChar w:fldCharType="separate"/>
        </w:r>
        <w:r w:rsidR="002F60EE">
          <w:rPr>
            <w:noProof/>
            <w:webHidden/>
          </w:rPr>
          <w:t>38</w:t>
        </w:r>
        <w:r>
          <w:rPr>
            <w:noProof/>
            <w:webHidden/>
          </w:rPr>
          <w:fldChar w:fldCharType="end"/>
        </w:r>
      </w:hyperlink>
    </w:p>
    <w:p w:rsidR="00EF3BD9" w:rsidRDefault="00EF3BD9">
      <w:pPr>
        <w:pStyle w:val="TOC3"/>
        <w:tabs>
          <w:tab w:val="right" w:leader="dot" w:pos="8494"/>
        </w:tabs>
        <w:rPr>
          <w:rFonts w:asciiTheme="minorHAnsi" w:eastAsiaTheme="minorEastAsia" w:hAnsiTheme="minorHAnsi" w:cstheme="minorBidi"/>
          <w:noProof/>
          <w:szCs w:val="22"/>
        </w:rPr>
      </w:pPr>
      <w:hyperlink w:anchor="_Toc465167576" w:history="1">
        <w:r w:rsidRPr="00D52EFC">
          <w:rPr>
            <w:rStyle w:val="Hyperlink"/>
            <w:noProof/>
          </w:rPr>
          <w:t>Predatory Marketing</w:t>
        </w:r>
        <w:r>
          <w:rPr>
            <w:noProof/>
            <w:webHidden/>
          </w:rPr>
          <w:tab/>
        </w:r>
        <w:r>
          <w:rPr>
            <w:noProof/>
            <w:webHidden/>
          </w:rPr>
          <w:fldChar w:fldCharType="begin"/>
        </w:r>
        <w:r>
          <w:rPr>
            <w:noProof/>
            <w:webHidden/>
          </w:rPr>
          <w:instrText xml:space="preserve"> PAGEREF _Toc465167576 \h </w:instrText>
        </w:r>
        <w:r>
          <w:rPr>
            <w:noProof/>
            <w:webHidden/>
          </w:rPr>
        </w:r>
        <w:r>
          <w:rPr>
            <w:noProof/>
            <w:webHidden/>
          </w:rPr>
          <w:fldChar w:fldCharType="separate"/>
        </w:r>
        <w:r w:rsidR="002F60EE">
          <w:rPr>
            <w:noProof/>
            <w:webHidden/>
          </w:rPr>
          <w:t>40</w:t>
        </w:r>
        <w:r>
          <w:rPr>
            <w:noProof/>
            <w:webHidden/>
          </w:rPr>
          <w:fldChar w:fldCharType="end"/>
        </w:r>
      </w:hyperlink>
    </w:p>
    <w:p w:rsidR="00EF3BD9" w:rsidRDefault="00EF3BD9">
      <w:pPr>
        <w:pStyle w:val="TOC3"/>
        <w:tabs>
          <w:tab w:val="right" w:leader="dot" w:pos="8494"/>
        </w:tabs>
        <w:rPr>
          <w:rFonts w:asciiTheme="minorHAnsi" w:eastAsiaTheme="minorEastAsia" w:hAnsiTheme="minorHAnsi" w:cstheme="minorBidi"/>
          <w:noProof/>
          <w:szCs w:val="22"/>
        </w:rPr>
      </w:pPr>
      <w:hyperlink w:anchor="_Toc465167577" w:history="1">
        <w:r w:rsidRPr="00D52EFC">
          <w:rPr>
            <w:rStyle w:val="Hyperlink"/>
            <w:noProof/>
            <w:lang w:val="en-US" w:eastAsia="ja-JP"/>
          </w:rPr>
          <w:t>Bundling</w:t>
        </w:r>
        <w:r w:rsidRPr="00D52EFC">
          <w:rPr>
            <w:rStyle w:val="Hyperlink"/>
            <w:noProof/>
          </w:rPr>
          <w:t xml:space="preserve"> and Unnecessary Costs</w:t>
        </w:r>
        <w:r>
          <w:rPr>
            <w:noProof/>
            <w:webHidden/>
          </w:rPr>
          <w:tab/>
        </w:r>
        <w:r>
          <w:rPr>
            <w:noProof/>
            <w:webHidden/>
          </w:rPr>
          <w:fldChar w:fldCharType="begin"/>
        </w:r>
        <w:r>
          <w:rPr>
            <w:noProof/>
            <w:webHidden/>
          </w:rPr>
          <w:instrText xml:space="preserve"> PAGEREF _Toc465167577 \h </w:instrText>
        </w:r>
        <w:r>
          <w:rPr>
            <w:noProof/>
            <w:webHidden/>
          </w:rPr>
        </w:r>
        <w:r>
          <w:rPr>
            <w:noProof/>
            <w:webHidden/>
          </w:rPr>
          <w:fldChar w:fldCharType="separate"/>
        </w:r>
        <w:r w:rsidR="002F60EE">
          <w:rPr>
            <w:noProof/>
            <w:webHidden/>
          </w:rPr>
          <w:t>41</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78" w:history="1">
        <w:r w:rsidRPr="00D52EFC">
          <w:rPr>
            <w:rStyle w:val="Hyperlink"/>
            <w:noProof/>
          </w:rPr>
          <w:t>Barriers to Managing Expenditure</w:t>
        </w:r>
        <w:r>
          <w:rPr>
            <w:noProof/>
            <w:webHidden/>
          </w:rPr>
          <w:tab/>
        </w:r>
        <w:r>
          <w:rPr>
            <w:noProof/>
            <w:webHidden/>
          </w:rPr>
          <w:fldChar w:fldCharType="begin"/>
        </w:r>
        <w:r>
          <w:rPr>
            <w:noProof/>
            <w:webHidden/>
          </w:rPr>
          <w:instrText xml:space="preserve"> PAGEREF _Toc465167578 \h </w:instrText>
        </w:r>
        <w:r>
          <w:rPr>
            <w:noProof/>
            <w:webHidden/>
          </w:rPr>
        </w:r>
        <w:r>
          <w:rPr>
            <w:noProof/>
            <w:webHidden/>
          </w:rPr>
          <w:fldChar w:fldCharType="separate"/>
        </w:r>
        <w:r w:rsidR="002F60EE">
          <w:rPr>
            <w:noProof/>
            <w:webHidden/>
          </w:rPr>
          <w:t>42</w:t>
        </w:r>
        <w:r>
          <w:rPr>
            <w:noProof/>
            <w:webHidden/>
          </w:rPr>
          <w:fldChar w:fldCharType="end"/>
        </w:r>
      </w:hyperlink>
    </w:p>
    <w:p w:rsidR="00EF3BD9" w:rsidRDefault="00EF3BD9">
      <w:pPr>
        <w:pStyle w:val="TOC3"/>
        <w:tabs>
          <w:tab w:val="right" w:leader="dot" w:pos="8494"/>
        </w:tabs>
        <w:rPr>
          <w:rFonts w:asciiTheme="minorHAnsi" w:eastAsiaTheme="minorEastAsia" w:hAnsiTheme="minorHAnsi" w:cstheme="minorBidi"/>
          <w:noProof/>
          <w:szCs w:val="22"/>
        </w:rPr>
      </w:pPr>
      <w:hyperlink w:anchor="_Toc465167579" w:history="1">
        <w:r w:rsidRPr="00D52EFC">
          <w:rPr>
            <w:rStyle w:val="Hyperlink"/>
            <w:noProof/>
            <w:lang w:val="en-US" w:eastAsia="ja-JP"/>
          </w:rPr>
          <w:t>Pre-paid plans</w:t>
        </w:r>
        <w:r>
          <w:rPr>
            <w:noProof/>
            <w:webHidden/>
          </w:rPr>
          <w:tab/>
        </w:r>
        <w:r>
          <w:rPr>
            <w:noProof/>
            <w:webHidden/>
          </w:rPr>
          <w:fldChar w:fldCharType="begin"/>
        </w:r>
        <w:r>
          <w:rPr>
            <w:noProof/>
            <w:webHidden/>
          </w:rPr>
          <w:instrText xml:space="preserve"> PAGEREF _Toc465167579 \h </w:instrText>
        </w:r>
        <w:r>
          <w:rPr>
            <w:noProof/>
            <w:webHidden/>
          </w:rPr>
        </w:r>
        <w:r>
          <w:rPr>
            <w:noProof/>
            <w:webHidden/>
          </w:rPr>
          <w:fldChar w:fldCharType="separate"/>
        </w:r>
        <w:r w:rsidR="002F60EE">
          <w:rPr>
            <w:noProof/>
            <w:webHidden/>
          </w:rPr>
          <w:t>43</w:t>
        </w:r>
        <w:r>
          <w:rPr>
            <w:noProof/>
            <w:webHidden/>
          </w:rPr>
          <w:fldChar w:fldCharType="end"/>
        </w:r>
      </w:hyperlink>
    </w:p>
    <w:p w:rsidR="00EF3BD9" w:rsidRDefault="00EF3BD9">
      <w:pPr>
        <w:pStyle w:val="TOC3"/>
        <w:tabs>
          <w:tab w:val="right" w:leader="dot" w:pos="8494"/>
        </w:tabs>
        <w:rPr>
          <w:rFonts w:asciiTheme="minorHAnsi" w:eastAsiaTheme="minorEastAsia" w:hAnsiTheme="minorHAnsi" w:cstheme="minorBidi"/>
          <w:noProof/>
          <w:szCs w:val="22"/>
        </w:rPr>
      </w:pPr>
      <w:hyperlink w:anchor="_Toc465167580" w:history="1">
        <w:r w:rsidRPr="00D52EFC">
          <w:rPr>
            <w:rStyle w:val="Hyperlink"/>
            <w:noProof/>
          </w:rPr>
          <w:t>Post-paid plans</w:t>
        </w:r>
        <w:r>
          <w:rPr>
            <w:noProof/>
            <w:webHidden/>
          </w:rPr>
          <w:tab/>
        </w:r>
        <w:r>
          <w:rPr>
            <w:noProof/>
            <w:webHidden/>
          </w:rPr>
          <w:fldChar w:fldCharType="begin"/>
        </w:r>
        <w:r>
          <w:rPr>
            <w:noProof/>
            <w:webHidden/>
          </w:rPr>
          <w:instrText xml:space="preserve"> PAGEREF _Toc465167580 \h </w:instrText>
        </w:r>
        <w:r>
          <w:rPr>
            <w:noProof/>
            <w:webHidden/>
          </w:rPr>
        </w:r>
        <w:r>
          <w:rPr>
            <w:noProof/>
            <w:webHidden/>
          </w:rPr>
          <w:fldChar w:fldCharType="separate"/>
        </w:r>
        <w:r w:rsidR="002F60EE">
          <w:rPr>
            <w:noProof/>
            <w:webHidden/>
          </w:rPr>
          <w:t>44</w:t>
        </w:r>
        <w:r>
          <w:rPr>
            <w:noProof/>
            <w:webHidden/>
          </w:rPr>
          <w:fldChar w:fldCharType="end"/>
        </w:r>
      </w:hyperlink>
    </w:p>
    <w:p w:rsidR="00EF3BD9" w:rsidRDefault="00EF3BD9">
      <w:pPr>
        <w:pStyle w:val="TOC3"/>
        <w:tabs>
          <w:tab w:val="right" w:leader="dot" w:pos="8494"/>
        </w:tabs>
        <w:rPr>
          <w:rFonts w:asciiTheme="minorHAnsi" w:eastAsiaTheme="minorEastAsia" w:hAnsiTheme="minorHAnsi" w:cstheme="minorBidi"/>
          <w:noProof/>
          <w:szCs w:val="22"/>
        </w:rPr>
      </w:pPr>
      <w:hyperlink w:anchor="_Toc465167581" w:history="1">
        <w:r w:rsidRPr="00D52EFC">
          <w:rPr>
            <w:rStyle w:val="Hyperlink"/>
            <w:noProof/>
          </w:rPr>
          <w:t>Control in paying bills</w:t>
        </w:r>
        <w:r>
          <w:rPr>
            <w:noProof/>
            <w:webHidden/>
          </w:rPr>
          <w:tab/>
        </w:r>
        <w:r>
          <w:rPr>
            <w:noProof/>
            <w:webHidden/>
          </w:rPr>
          <w:fldChar w:fldCharType="begin"/>
        </w:r>
        <w:r>
          <w:rPr>
            <w:noProof/>
            <w:webHidden/>
          </w:rPr>
          <w:instrText xml:space="preserve"> PAGEREF _Toc465167581 \h </w:instrText>
        </w:r>
        <w:r>
          <w:rPr>
            <w:noProof/>
            <w:webHidden/>
          </w:rPr>
        </w:r>
        <w:r>
          <w:rPr>
            <w:noProof/>
            <w:webHidden/>
          </w:rPr>
          <w:fldChar w:fldCharType="separate"/>
        </w:r>
        <w:r w:rsidR="002F60EE">
          <w:rPr>
            <w:noProof/>
            <w:webHidden/>
          </w:rPr>
          <w:t>45</w:t>
        </w:r>
        <w:r>
          <w:rPr>
            <w:noProof/>
            <w:webHidden/>
          </w:rPr>
          <w:fldChar w:fldCharType="end"/>
        </w:r>
      </w:hyperlink>
    </w:p>
    <w:p w:rsidR="00EF3BD9" w:rsidRDefault="00EF3BD9">
      <w:pPr>
        <w:pStyle w:val="TOC3"/>
        <w:tabs>
          <w:tab w:val="right" w:leader="dot" w:pos="8494"/>
        </w:tabs>
        <w:rPr>
          <w:rFonts w:asciiTheme="minorHAnsi" w:eastAsiaTheme="minorEastAsia" w:hAnsiTheme="minorHAnsi" w:cstheme="minorBidi"/>
          <w:noProof/>
          <w:szCs w:val="22"/>
        </w:rPr>
      </w:pPr>
      <w:hyperlink w:anchor="_Toc465167582" w:history="1">
        <w:r w:rsidRPr="00D52EFC">
          <w:rPr>
            <w:rStyle w:val="Hyperlink"/>
            <w:noProof/>
          </w:rPr>
          <w:t>The 28 day ‘month’ billing cycle</w:t>
        </w:r>
        <w:r>
          <w:rPr>
            <w:noProof/>
            <w:webHidden/>
          </w:rPr>
          <w:tab/>
        </w:r>
        <w:r>
          <w:rPr>
            <w:noProof/>
            <w:webHidden/>
          </w:rPr>
          <w:fldChar w:fldCharType="begin"/>
        </w:r>
        <w:r>
          <w:rPr>
            <w:noProof/>
            <w:webHidden/>
          </w:rPr>
          <w:instrText xml:space="preserve"> PAGEREF _Toc465167582 \h </w:instrText>
        </w:r>
        <w:r>
          <w:rPr>
            <w:noProof/>
            <w:webHidden/>
          </w:rPr>
        </w:r>
        <w:r>
          <w:rPr>
            <w:noProof/>
            <w:webHidden/>
          </w:rPr>
          <w:fldChar w:fldCharType="separate"/>
        </w:r>
        <w:r w:rsidR="002F60EE">
          <w:rPr>
            <w:noProof/>
            <w:webHidden/>
          </w:rPr>
          <w:t>46</w:t>
        </w:r>
        <w:r>
          <w:rPr>
            <w:noProof/>
            <w:webHidden/>
          </w:rPr>
          <w:fldChar w:fldCharType="end"/>
        </w:r>
      </w:hyperlink>
    </w:p>
    <w:p w:rsidR="00EF3BD9" w:rsidRDefault="00EF3BD9">
      <w:pPr>
        <w:pStyle w:val="TOC3"/>
        <w:tabs>
          <w:tab w:val="right" w:leader="dot" w:pos="8494"/>
        </w:tabs>
        <w:rPr>
          <w:rFonts w:asciiTheme="minorHAnsi" w:eastAsiaTheme="minorEastAsia" w:hAnsiTheme="minorHAnsi" w:cstheme="minorBidi"/>
          <w:noProof/>
          <w:szCs w:val="22"/>
        </w:rPr>
      </w:pPr>
      <w:hyperlink w:anchor="_Toc465167583" w:history="1">
        <w:r w:rsidRPr="00D52EFC">
          <w:rPr>
            <w:rStyle w:val="Hyperlink"/>
            <w:noProof/>
          </w:rPr>
          <w:t>Lock-in contracts and high exit fees</w:t>
        </w:r>
        <w:r>
          <w:rPr>
            <w:noProof/>
            <w:webHidden/>
          </w:rPr>
          <w:tab/>
        </w:r>
        <w:r>
          <w:rPr>
            <w:noProof/>
            <w:webHidden/>
          </w:rPr>
          <w:fldChar w:fldCharType="begin"/>
        </w:r>
        <w:r>
          <w:rPr>
            <w:noProof/>
            <w:webHidden/>
          </w:rPr>
          <w:instrText xml:space="preserve"> PAGEREF _Toc465167583 \h </w:instrText>
        </w:r>
        <w:r>
          <w:rPr>
            <w:noProof/>
            <w:webHidden/>
          </w:rPr>
        </w:r>
        <w:r>
          <w:rPr>
            <w:noProof/>
            <w:webHidden/>
          </w:rPr>
          <w:fldChar w:fldCharType="separate"/>
        </w:r>
        <w:r w:rsidR="002F60EE">
          <w:rPr>
            <w:noProof/>
            <w:webHidden/>
          </w:rPr>
          <w:t>47</w:t>
        </w:r>
        <w:r>
          <w:rPr>
            <w:noProof/>
            <w:webHidden/>
          </w:rPr>
          <w:fldChar w:fldCharType="end"/>
        </w:r>
      </w:hyperlink>
    </w:p>
    <w:p w:rsidR="00EF3BD9" w:rsidRDefault="00EF3BD9">
      <w:pPr>
        <w:pStyle w:val="TOC3"/>
        <w:tabs>
          <w:tab w:val="right" w:leader="dot" w:pos="8494"/>
        </w:tabs>
        <w:rPr>
          <w:rFonts w:asciiTheme="minorHAnsi" w:eastAsiaTheme="minorEastAsia" w:hAnsiTheme="minorHAnsi" w:cstheme="minorBidi"/>
          <w:noProof/>
          <w:szCs w:val="22"/>
        </w:rPr>
      </w:pPr>
      <w:hyperlink w:anchor="_Toc465167584" w:history="1">
        <w:r w:rsidRPr="00D52EFC">
          <w:rPr>
            <w:rStyle w:val="Hyperlink"/>
            <w:noProof/>
          </w:rPr>
          <w:t>Transparency</w:t>
        </w:r>
        <w:r>
          <w:rPr>
            <w:noProof/>
            <w:webHidden/>
          </w:rPr>
          <w:tab/>
        </w:r>
        <w:r>
          <w:rPr>
            <w:noProof/>
            <w:webHidden/>
          </w:rPr>
          <w:fldChar w:fldCharType="begin"/>
        </w:r>
        <w:r>
          <w:rPr>
            <w:noProof/>
            <w:webHidden/>
          </w:rPr>
          <w:instrText xml:space="preserve"> PAGEREF _Toc465167584 \h </w:instrText>
        </w:r>
        <w:r>
          <w:rPr>
            <w:noProof/>
            <w:webHidden/>
          </w:rPr>
        </w:r>
        <w:r>
          <w:rPr>
            <w:noProof/>
            <w:webHidden/>
          </w:rPr>
          <w:fldChar w:fldCharType="separate"/>
        </w:r>
        <w:r w:rsidR="002F60EE">
          <w:rPr>
            <w:noProof/>
            <w:webHidden/>
          </w:rPr>
          <w:t>50</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85" w:history="1">
        <w:r w:rsidRPr="00D52EFC">
          <w:rPr>
            <w:rStyle w:val="Hyperlink"/>
            <w:noProof/>
          </w:rPr>
          <w:t>Hardship assistance</w:t>
        </w:r>
        <w:r>
          <w:rPr>
            <w:noProof/>
            <w:webHidden/>
          </w:rPr>
          <w:tab/>
        </w:r>
        <w:r>
          <w:rPr>
            <w:noProof/>
            <w:webHidden/>
          </w:rPr>
          <w:fldChar w:fldCharType="begin"/>
        </w:r>
        <w:r>
          <w:rPr>
            <w:noProof/>
            <w:webHidden/>
          </w:rPr>
          <w:instrText xml:space="preserve"> PAGEREF _Toc465167585 \h </w:instrText>
        </w:r>
        <w:r>
          <w:rPr>
            <w:noProof/>
            <w:webHidden/>
          </w:rPr>
        </w:r>
        <w:r>
          <w:rPr>
            <w:noProof/>
            <w:webHidden/>
          </w:rPr>
          <w:fldChar w:fldCharType="separate"/>
        </w:r>
        <w:r w:rsidR="002F60EE">
          <w:rPr>
            <w:noProof/>
            <w:webHidden/>
          </w:rPr>
          <w:t>51</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86" w:history="1">
        <w:r w:rsidRPr="00D52EFC">
          <w:rPr>
            <w:rStyle w:val="Hyperlink"/>
            <w:noProof/>
          </w:rPr>
          <w:t>Summary</w:t>
        </w:r>
        <w:r>
          <w:rPr>
            <w:noProof/>
            <w:webHidden/>
          </w:rPr>
          <w:tab/>
        </w:r>
        <w:r>
          <w:rPr>
            <w:noProof/>
            <w:webHidden/>
          </w:rPr>
          <w:fldChar w:fldCharType="begin"/>
        </w:r>
        <w:r>
          <w:rPr>
            <w:noProof/>
            <w:webHidden/>
          </w:rPr>
          <w:instrText xml:space="preserve"> PAGEREF _Toc465167586 \h </w:instrText>
        </w:r>
        <w:r>
          <w:rPr>
            <w:noProof/>
            <w:webHidden/>
          </w:rPr>
        </w:r>
        <w:r>
          <w:rPr>
            <w:noProof/>
            <w:webHidden/>
          </w:rPr>
          <w:fldChar w:fldCharType="separate"/>
        </w:r>
        <w:r w:rsidR="002F60EE">
          <w:rPr>
            <w:noProof/>
            <w:webHidden/>
          </w:rPr>
          <w:t>53</w:t>
        </w:r>
        <w:r>
          <w:rPr>
            <w:noProof/>
            <w:webHidden/>
          </w:rPr>
          <w:fldChar w:fldCharType="end"/>
        </w:r>
      </w:hyperlink>
    </w:p>
    <w:p w:rsidR="00EF3BD9" w:rsidRDefault="00EF3BD9">
      <w:pPr>
        <w:pStyle w:val="TOC3"/>
        <w:tabs>
          <w:tab w:val="right" w:leader="dot" w:pos="8494"/>
        </w:tabs>
        <w:rPr>
          <w:rFonts w:asciiTheme="minorHAnsi" w:eastAsiaTheme="minorEastAsia" w:hAnsiTheme="minorHAnsi" w:cstheme="minorBidi"/>
          <w:noProof/>
          <w:szCs w:val="22"/>
        </w:rPr>
      </w:pPr>
      <w:hyperlink w:anchor="_Toc465167587" w:history="1">
        <w:r w:rsidRPr="00D52EFC">
          <w:rPr>
            <w:rStyle w:val="Hyperlink"/>
            <w:noProof/>
            <w:lang w:val="en-US" w:eastAsia="ja-JP"/>
          </w:rPr>
          <w:t>Recommendation 2: Data and the drivers of expenditure</w:t>
        </w:r>
        <w:r>
          <w:rPr>
            <w:noProof/>
            <w:webHidden/>
          </w:rPr>
          <w:tab/>
        </w:r>
        <w:r>
          <w:rPr>
            <w:noProof/>
            <w:webHidden/>
          </w:rPr>
          <w:fldChar w:fldCharType="begin"/>
        </w:r>
        <w:r>
          <w:rPr>
            <w:noProof/>
            <w:webHidden/>
          </w:rPr>
          <w:instrText xml:space="preserve"> PAGEREF _Toc465167587 \h </w:instrText>
        </w:r>
        <w:r>
          <w:rPr>
            <w:noProof/>
            <w:webHidden/>
          </w:rPr>
        </w:r>
        <w:r>
          <w:rPr>
            <w:noProof/>
            <w:webHidden/>
          </w:rPr>
          <w:fldChar w:fldCharType="separate"/>
        </w:r>
        <w:r w:rsidR="002F60EE">
          <w:rPr>
            <w:noProof/>
            <w:webHidden/>
          </w:rPr>
          <w:t>53</w:t>
        </w:r>
        <w:r>
          <w:rPr>
            <w:noProof/>
            <w:webHidden/>
          </w:rPr>
          <w:fldChar w:fldCharType="end"/>
        </w:r>
      </w:hyperlink>
    </w:p>
    <w:p w:rsidR="00EF3BD9" w:rsidRDefault="00EF3BD9">
      <w:pPr>
        <w:pStyle w:val="TOC3"/>
        <w:tabs>
          <w:tab w:val="right" w:leader="dot" w:pos="8494"/>
        </w:tabs>
        <w:rPr>
          <w:rFonts w:asciiTheme="minorHAnsi" w:eastAsiaTheme="minorEastAsia" w:hAnsiTheme="minorHAnsi" w:cstheme="minorBidi"/>
          <w:noProof/>
          <w:szCs w:val="22"/>
        </w:rPr>
      </w:pPr>
      <w:hyperlink w:anchor="_Toc465167588" w:history="1">
        <w:r w:rsidRPr="00D52EFC">
          <w:rPr>
            <w:rStyle w:val="Hyperlink"/>
            <w:noProof/>
            <w:lang w:val="en-US" w:eastAsia="ja-JP"/>
          </w:rPr>
          <w:t>Recommendation 3: Barriers to managing expenditure</w:t>
        </w:r>
        <w:r>
          <w:rPr>
            <w:noProof/>
            <w:webHidden/>
          </w:rPr>
          <w:tab/>
        </w:r>
        <w:r>
          <w:rPr>
            <w:noProof/>
            <w:webHidden/>
          </w:rPr>
          <w:fldChar w:fldCharType="begin"/>
        </w:r>
        <w:r>
          <w:rPr>
            <w:noProof/>
            <w:webHidden/>
          </w:rPr>
          <w:instrText xml:space="preserve"> PAGEREF _Toc465167588 \h </w:instrText>
        </w:r>
        <w:r>
          <w:rPr>
            <w:noProof/>
            <w:webHidden/>
          </w:rPr>
        </w:r>
        <w:r>
          <w:rPr>
            <w:noProof/>
            <w:webHidden/>
          </w:rPr>
          <w:fldChar w:fldCharType="separate"/>
        </w:r>
        <w:r w:rsidR="002F60EE">
          <w:rPr>
            <w:noProof/>
            <w:webHidden/>
          </w:rPr>
          <w:t>54</w:t>
        </w:r>
        <w:r>
          <w:rPr>
            <w:noProof/>
            <w:webHidden/>
          </w:rPr>
          <w:fldChar w:fldCharType="end"/>
        </w:r>
      </w:hyperlink>
    </w:p>
    <w:p w:rsidR="00EF3BD9" w:rsidRDefault="00EF3BD9">
      <w:pPr>
        <w:pStyle w:val="TOC3"/>
        <w:tabs>
          <w:tab w:val="right" w:leader="dot" w:pos="8494"/>
        </w:tabs>
        <w:rPr>
          <w:rFonts w:asciiTheme="minorHAnsi" w:eastAsiaTheme="minorEastAsia" w:hAnsiTheme="minorHAnsi" w:cstheme="minorBidi"/>
          <w:noProof/>
          <w:szCs w:val="22"/>
        </w:rPr>
      </w:pPr>
      <w:hyperlink w:anchor="_Toc465167589" w:history="1">
        <w:r w:rsidRPr="00D52EFC">
          <w:rPr>
            <w:rStyle w:val="Hyperlink"/>
            <w:noProof/>
            <w:lang w:val="en-US" w:eastAsia="ja-JP"/>
          </w:rPr>
          <w:t>Recommendation 4: Hardship assistance</w:t>
        </w:r>
        <w:r>
          <w:rPr>
            <w:noProof/>
            <w:webHidden/>
          </w:rPr>
          <w:tab/>
        </w:r>
        <w:r>
          <w:rPr>
            <w:noProof/>
            <w:webHidden/>
          </w:rPr>
          <w:fldChar w:fldCharType="begin"/>
        </w:r>
        <w:r>
          <w:rPr>
            <w:noProof/>
            <w:webHidden/>
          </w:rPr>
          <w:instrText xml:space="preserve"> PAGEREF _Toc465167589 \h </w:instrText>
        </w:r>
        <w:r>
          <w:rPr>
            <w:noProof/>
            <w:webHidden/>
          </w:rPr>
        </w:r>
        <w:r>
          <w:rPr>
            <w:noProof/>
            <w:webHidden/>
          </w:rPr>
          <w:fldChar w:fldCharType="separate"/>
        </w:r>
        <w:r w:rsidR="002F60EE">
          <w:rPr>
            <w:noProof/>
            <w:webHidden/>
          </w:rPr>
          <w:t>54</w:t>
        </w:r>
        <w:r>
          <w:rPr>
            <w:noProof/>
            <w:webHidden/>
          </w:rPr>
          <w:fldChar w:fldCharType="end"/>
        </w:r>
      </w:hyperlink>
    </w:p>
    <w:p w:rsidR="00EF3BD9" w:rsidRDefault="00EF3BD9">
      <w:pPr>
        <w:pStyle w:val="TOC1"/>
        <w:tabs>
          <w:tab w:val="right" w:leader="dot" w:pos="8494"/>
        </w:tabs>
        <w:rPr>
          <w:rFonts w:asciiTheme="minorHAnsi" w:eastAsiaTheme="minorEastAsia" w:hAnsiTheme="minorHAnsi" w:cstheme="minorBidi"/>
          <w:noProof/>
          <w:szCs w:val="22"/>
        </w:rPr>
      </w:pPr>
      <w:hyperlink w:anchor="_Toc465167590" w:history="1">
        <w:r w:rsidRPr="00D52EFC">
          <w:rPr>
            <w:rStyle w:val="Hyperlink"/>
            <w:noProof/>
          </w:rPr>
          <w:t>Conclusion</w:t>
        </w:r>
        <w:r>
          <w:rPr>
            <w:noProof/>
            <w:webHidden/>
          </w:rPr>
          <w:tab/>
        </w:r>
        <w:r>
          <w:rPr>
            <w:noProof/>
            <w:webHidden/>
          </w:rPr>
          <w:fldChar w:fldCharType="begin"/>
        </w:r>
        <w:r>
          <w:rPr>
            <w:noProof/>
            <w:webHidden/>
          </w:rPr>
          <w:instrText xml:space="preserve"> PAGEREF _Toc465167590 \h </w:instrText>
        </w:r>
        <w:r>
          <w:rPr>
            <w:noProof/>
            <w:webHidden/>
          </w:rPr>
        </w:r>
        <w:r>
          <w:rPr>
            <w:noProof/>
            <w:webHidden/>
          </w:rPr>
          <w:fldChar w:fldCharType="separate"/>
        </w:r>
        <w:r w:rsidR="002F60EE">
          <w:rPr>
            <w:noProof/>
            <w:webHidden/>
          </w:rPr>
          <w:t>55</w:t>
        </w:r>
        <w:r>
          <w:rPr>
            <w:noProof/>
            <w:webHidden/>
          </w:rPr>
          <w:fldChar w:fldCharType="end"/>
        </w:r>
      </w:hyperlink>
    </w:p>
    <w:p w:rsidR="00EF3BD9" w:rsidRDefault="00EF3BD9">
      <w:pPr>
        <w:pStyle w:val="TOC1"/>
        <w:tabs>
          <w:tab w:val="right" w:leader="dot" w:pos="8494"/>
        </w:tabs>
        <w:rPr>
          <w:rFonts w:asciiTheme="minorHAnsi" w:eastAsiaTheme="minorEastAsia" w:hAnsiTheme="minorHAnsi" w:cstheme="minorBidi"/>
          <w:noProof/>
          <w:szCs w:val="22"/>
        </w:rPr>
      </w:pPr>
      <w:hyperlink w:anchor="_Toc465167591" w:history="1">
        <w:r w:rsidRPr="00D52EFC">
          <w:rPr>
            <w:rStyle w:val="Hyperlink"/>
            <w:noProof/>
          </w:rPr>
          <w:t>Recommendations</w:t>
        </w:r>
        <w:r>
          <w:rPr>
            <w:noProof/>
            <w:webHidden/>
          </w:rPr>
          <w:tab/>
        </w:r>
        <w:r>
          <w:rPr>
            <w:noProof/>
            <w:webHidden/>
          </w:rPr>
          <w:fldChar w:fldCharType="begin"/>
        </w:r>
        <w:r>
          <w:rPr>
            <w:noProof/>
            <w:webHidden/>
          </w:rPr>
          <w:instrText xml:space="preserve"> PAGEREF _Toc465167591 \h </w:instrText>
        </w:r>
        <w:r>
          <w:rPr>
            <w:noProof/>
            <w:webHidden/>
          </w:rPr>
        </w:r>
        <w:r>
          <w:rPr>
            <w:noProof/>
            <w:webHidden/>
          </w:rPr>
          <w:fldChar w:fldCharType="separate"/>
        </w:r>
        <w:r w:rsidR="002F60EE">
          <w:rPr>
            <w:noProof/>
            <w:webHidden/>
          </w:rPr>
          <w:t>56</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92" w:history="1">
        <w:r w:rsidRPr="00D52EFC">
          <w:rPr>
            <w:rStyle w:val="Hyperlink"/>
            <w:noProof/>
          </w:rPr>
          <w:t>Recommendation 1: Reforming the Centrelink Telephone Allowance</w:t>
        </w:r>
        <w:r>
          <w:rPr>
            <w:noProof/>
            <w:webHidden/>
          </w:rPr>
          <w:tab/>
        </w:r>
        <w:r>
          <w:rPr>
            <w:noProof/>
            <w:webHidden/>
          </w:rPr>
          <w:fldChar w:fldCharType="begin"/>
        </w:r>
        <w:r>
          <w:rPr>
            <w:noProof/>
            <w:webHidden/>
          </w:rPr>
          <w:instrText xml:space="preserve"> PAGEREF _Toc465167592 \h </w:instrText>
        </w:r>
        <w:r>
          <w:rPr>
            <w:noProof/>
            <w:webHidden/>
          </w:rPr>
        </w:r>
        <w:r>
          <w:rPr>
            <w:noProof/>
            <w:webHidden/>
          </w:rPr>
          <w:fldChar w:fldCharType="separate"/>
        </w:r>
        <w:r w:rsidR="002F60EE">
          <w:rPr>
            <w:noProof/>
            <w:webHidden/>
          </w:rPr>
          <w:t>56</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93" w:history="1">
        <w:r w:rsidRPr="00D52EFC">
          <w:rPr>
            <w:rStyle w:val="Hyperlink"/>
            <w:noProof/>
          </w:rPr>
          <w:t>Recommendation 2: Data and the drivers of expenditure</w:t>
        </w:r>
        <w:r>
          <w:rPr>
            <w:noProof/>
            <w:webHidden/>
          </w:rPr>
          <w:tab/>
        </w:r>
        <w:r>
          <w:rPr>
            <w:noProof/>
            <w:webHidden/>
          </w:rPr>
          <w:fldChar w:fldCharType="begin"/>
        </w:r>
        <w:r>
          <w:rPr>
            <w:noProof/>
            <w:webHidden/>
          </w:rPr>
          <w:instrText xml:space="preserve"> PAGEREF _Toc465167593 \h </w:instrText>
        </w:r>
        <w:r>
          <w:rPr>
            <w:noProof/>
            <w:webHidden/>
          </w:rPr>
        </w:r>
        <w:r>
          <w:rPr>
            <w:noProof/>
            <w:webHidden/>
          </w:rPr>
          <w:fldChar w:fldCharType="separate"/>
        </w:r>
        <w:r w:rsidR="002F60EE">
          <w:rPr>
            <w:noProof/>
            <w:webHidden/>
          </w:rPr>
          <w:t>56</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94" w:history="1">
        <w:r w:rsidRPr="00D52EFC">
          <w:rPr>
            <w:rStyle w:val="Hyperlink"/>
            <w:noProof/>
          </w:rPr>
          <w:t>Recommendation 3: Barriers to managing expenditure</w:t>
        </w:r>
        <w:r>
          <w:rPr>
            <w:noProof/>
            <w:webHidden/>
          </w:rPr>
          <w:tab/>
        </w:r>
        <w:r>
          <w:rPr>
            <w:noProof/>
            <w:webHidden/>
          </w:rPr>
          <w:fldChar w:fldCharType="begin"/>
        </w:r>
        <w:r>
          <w:rPr>
            <w:noProof/>
            <w:webHidden/>
          </w:rPr>
          <w:instrText xml:space="preserve"> PAGEREF _Toc465167594 \h </w:instrText>
        </w:r>
        <w:r>
          <w:rPr>
            <w:noProof/>
            <w:webHidden/>
          </w:rPr>
        </w:r>
        <w:r>
          <w:rPr>
            <w:noProof/>
            <w:webHidden/>
          </w:rPr>
          <w:fldChar w:fldCharType="separate"/>
        </w:r>
        <w:r w:rsidR="002F60EE">
          <w:rPr>
            <w:noProof/>
            <w:webHidden/>
          </w:rPr>
          <w:t>56</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95" w:history="1">
        <w:r w:rsidRPr="00D52EFC">
          <w:rPr>
            <w:rStyle w:val="Hyperlink"/>
            <w:noProof/>
          </w:rPr>
          <w:t>Recommendation 4: Hardship Assistance</w:t>
        </w:r>
        <w:r>
          <w:rPr>
            <w:noProof/>
            <w:webHidden/>
          </w:rPr>
          <w:tab/>
        </w:r>
        <w:r>
          <w:rPr>
            <w:noProof/>
            <w:webHidden/>
          </w:rPr>
          <w:fldChar w:fldCharType="begin"/>
        </w:r>
        <w:r>
          <w:rPr>
            <w:noProof/>
            <w:webHidden/>
          </w:rPr>
          <w:instrText xml:space="preserve"> PAGEREF _Toc465167595 \h </w:instrText>
        </w:r>
        <w:r>
          <w:rPr>
            <w:noProof/>
            <w:webHidden/>
          </w:rPr>
        </w:r>
        <w:r>
          <w:rPr>
            <w:noProof/>
            <w:webHidden/>
          </w:rPr>
          <w:fldChar w:fldCharType="separate"/>
        </w:r>
        <w:r w:rsidR="002F60EE">
          <w:rPr>
            <w:noProof/>
            <w:webHidden/>
          </w:rPr>
          <w:t>57</w:t>
        </w:r>
        <w:r>
          <w:rPr>
            <w:noProof/>
            <w:webHidden/>
          </w:rPr>
          <w:fldChar w:fldCharType="end"/>
        </w:r>
      </w:hyperlink>
    </w:p>
    <w:p w:rsidR="00EF3BD9" w:rsidRDefault="00EF3BD9">
      <w:pPr>
        <w:pStyle w:val="TOC1"/>
        <w:tabs>
          <w:tab w:val="right" w:leader="dot" w:pos="8494"/>
        </w:tabs>
        <w:rPr>
          <w:rFonts w:asciiTheme="minorHAnsi" w:eastAsiaTheme="minorEastAsia" w:hAnsiTheme="minorHAnsi" w:cstheme="minorBidi"/>
          <w:noProof/>
          <w:szCs w:val="22"/>
        </w:rPr>
      </w:pPr>
      <w:hyperlink w:anchor="_Toc465167596" w:history="1">
        <w:r w:rsidRPr="00D52EFC">
          <w:rPr>
            <w:rStyle w:val="Hyperlink"/>
            <w:noProof/>
          </w:rPr>
          <w:t>Authors</w:t>
        </w:r>
        <w:r>
          <w:rPr>
            <w:noProof/>
            <w:webHidden/>
          </w:rPr>
          <w:tab/>
        </w:r>
        <w:r>
          <w:rPr>
            <w:noProof/>
            <w:webHidden/>
          </w:rPr>
          <w:fldChar w:fldCharType="begin"/>
        </w:r>
        <w:r>
          <w:rPr>
            <w:noProof/>
            <w:webHidden/>
          </w:rPr>
          <w:instrText xml:space="preserve"> PAGEREF _Toc465167596 \h </w:instrText>
        </w:r>
        <w:r>
          <w:rPr>
            <w:noProof/>
            <w:webHidden/>
          </w:rPr>
        </w:r>
        <w:r>
          <w:rPr>
            <w:noProof/>
            <w:webHidden/>
          </w:rPr>
          <w:fldChar w:fldCharType="separate"/>
        </w:r>
        <w:r w:rsidR="002F60EE">
          <w:rPr>
            <w:noProof/>
            <w:webHidden/>
          </w:rPr>
          <w:t>58</w:t>
        </w:r>
        <w:r>
          <w:rPr>
            <w:noProof/>
            <w:webHidden/>
          </w:rPr>
          <w:fldChar w:fldCharType="end"/>
        </w:r>
      </w:hyperlink>
    </w:p>
    <w:p w:rsidR="00EF3BD9" w:rsidRDefault="00EF3BD9">
      <w:pPr>
        <w:pStyle w:val="TOC1"/>
        <w:tabs>
          <w:tab w:val="right" w:leader="dot" w:pos="8494"/>
        </w:tabs>
        <w:rPr>
          <w:rFonts w:asciiTheme="minorHAnsi" w:eastAsiaTheme="minorEastAsia" w:hAnsiTheme="minorHAnsi" w:cstheme="minorBidi"/>
          <w:noProof/>
          <w:szCs w:val="22"/>
        </w:rPr>
      </w:pPr>
      <w:hyperlink w:anchor="_Toc465167597" w:history="1">
        <w:r w:rsidRPr="00D52EFC">
          <w:rPr>
            <w:rStyle w:val="Hyperlink"/>
            <w:noProof/>
          </w:rPr>
          <w:t>Appendix 1: Survey Methodology and Demographics</w:t>
        </w:r>
        <w:r>
          <w:rPr>
            <w:noProof/>
            <w:webHidden/>
          </w:rPr>
          <w:tab/>
        </w:r>
        <w:r>
          <w:rPr>
            <w:noProof/>
            <w:webHidden/>
          </w:rPr>
          <w:fldChar w:fldCharType="begin"/>
        </w:r>
        <w:r>
          <w:rPr>
            <w:noProof/>
            <w:webHidden/>
          </w:rPr>
          <w:instrText xml:space="preserve"> PAGEREF _Toc465167597 \h </w:instrText>
        </w:r>
        <w:r>
          <w:rPr>
            <w:noProof/>
            <w:webHidden/>
          </w:rPr>
        </w:r>
        <w:r>
          <w:rPr>
            <w:noProof/>
            <w:webHidden/>
          </w:rPr>
          <w:fldChar w:fldCharType="separate"/>
        </w:r>
        <w:r w:rsidR="002F60EE">
          <w:rPr>
            <w:noProof/>
            <w:webHidden/>
          </w:rPr>
          <w:t>59</w:t>
        </w:r>
        <w:r>
          <w:rPr>
            <w:noProof/>
            <w:webHidden/>
          </w:rPr>
          <w:fldChar w:fldCharType="end"/>
        </w:r>
      </w:hyperlink>
    </w:p>
    <w:p w:rsidR="00EF3BD9" w:rsidRDefault="00EF3BD9">
      <w:pPr>
        <w:pStyle w:val="TOC1"/>
        <w:tabs>
          <w:tab w:val="right" w:leader="dot" w:pos="8494"/>
        </w:tabs>
        <w:rPr>
          <w:rFonts w:asciiTheme="minorHAnsi" w:eastAsiaTheme="minorEastAsia" w:hAnsiTheme="minorHAnsi" w:cstheme="minorBidi"/>
          <w:noProof/>
          <w:szCs w:val="22"/>
        </w:rPr>
      </w:pPr>
      <w:hyperlink w:anchor="_Toc465167598" w:history="1">
        <w:r w:rsidRPr="00D52EFC">
          <w:rPr>
            <w:rStyle w:val="Hyperlink"/>
            <w:noProof/>
          </w:rPr>
          <w:t>Appendix 2: The Centrelink Telephone Allowance</w:t>
        </w:r>
        <w:r>
          <w:rPr>
            <w:noProof/>
            <w:webHidden/>
          </w:rPr>
          <w:tab/>
        </w:r>
        <w:r>
          <w:rPr>
            <w:noProof/>
            <w:webHidden/>
          </w:rPr>
          <w:fldChar w:fldCharType="begin"/>
        </w:r>
        <w:r>
          <w:rPr>
            <w:noProof/>
            <w:webHidden/>
          </w:rPr>
          <w:instrText xml:space="preserve"> PAGEREF _Toc465167598 \h </w:instrText>
        </w:r>
        <w:r>
          <w:rPr>
            <w:noProof/>
            <w:webHidden/>
          </w:rPr>
        </w:r>
        <w:r>
          <w:rPr>
            <w:noProof/>
            <w:webHidden/>
          </w:rPr>
          <w:fldChar w:fldCharType="separate"/>
        </w:r>
        <w:r w:rsidR="002F60EE">
          <w:rPr>
            <w:noProof/>
            <w:webHidden/>
          </w:rPr>
          <w:t>62</w:t>
        </w:r>
        <w:r>
          <w:rPr>
            <w:noProof/>
            <w:webHidden/>
          </w:rPr>
          <w:fldChar w:fldCharType="end"/>
        </w:r>
      </w:hyperlink>
    </w:p>
    <w:p w:rsidR="00EF3BD9" w:rsidRDefault="00EF3BD9">
      <w:pPr>
        <w:pStyle w:val="TOC2"/>
        <w:tabs>
          <w:tab w:val="right" w:leader="dot" w:pos="8494"/>
        </w:tabs>
        <w:rPr>
          <w:rFonts w:asciiTheme="minorHAnsi" w:eastAsiaTheme="minorEastAsia" w:hAnsiTheme="minorHAnsi" w:cstheme="minorBidi"/>
          <w:noProof/>
          <w:szCs w:val="22"/>
        </w:rPr>
      </w:pPr>
      <w:hyperlink w:anchor="_Toc465167599" w:history="1">
        <w:r w:rsidRPr="00D52EFC">
          <w:rPr>
            <w:rStyle w:val="Hyperlink"/>
            <w:noProof/>
          </w:rPr>
          <w:t>Eligibility criteria</w:t>
        </w:r>
        <w:r>
          <w:rPr>
            <w:noProof/>
            <w:webHidden/>
          </w:rPr>
          <w:tab/>
        </w:r>
        <w:r>
          <w:rPr>
            <w:noProof/>
            <w:webHidden/>
          </w:rPr>
          <w:fldChar w:fldCharType="begin"/>
        </w:r>
        <w:r>
          <w:rPr>
            <w:noProof/>
            <w:webHidden/>
          </w:rPr>
          <w:instrText xml:space="preserve"> PAGEREF _Toc465167599 \h </w:instrText>
        </w:r>
        <w:r>
          <w:rPr>
            <w:noProof/>
            <w:webHidden/>
          </w:rPr>
        </w:r>
        <w:r>
          <w:rPr>
            <w:noProof/>
            <w:webHidden/>
          </w:rPr>
          <w:fldChar w:fldCharType="separate"/>
        </w:r>
        <w:r w:rsidR="002F60EE">
          <w:rPr>
            <w:noProof/>
            <w:webHidden/>
          </w:rPr>
          <w:t>62</w:t>
        </w:r>
        <w:r>
          <w:rPr>
            <w:noProof/>
            <w:webHidden/>
          </w:rPr>
          <w:fldChar w:fldCharType="end"/>
        </w:r>
      </w:hyperlink>
    </w:p>
    <w:p w:rsidR="00EF3BD9" w:rsidRDefault="00EF3BD9">
      <w:pPr>
        <w:pStyle w:val="TOC3"/>
        <w:tabs>
          <w:tab w:val="right" w:leader="dot" w:pos="8494"/>
        </w:tabs>
        <w:rPr>
          <w:rFonts w:asciiTheme="minorHAnsi" w:eastAsiaTheme="minorEastAsia" w:hAnsiTheme="minorHAnsi" w:cstheme="minorBidi"/>
          <w:noProof/>
          <w:szCs w:val="22"/>
        </w:rPr>
      </w:pPr>
      <w:hyperlink w:anchor="_Toc465167600" w:history="1">
        <w:r w:rsidRPr="00D52EFC">
          <w:rPr>
            <w:rStyle w:val="Hyperlink"/>
            <w:noProof/>
            <w:lang w:eastAsia="ja-JP"/>
          </w:rPr>
          <w:t>Standalone CTA</w:t>
        </w:r>
        <w:r>
          <w:rPr>
            <w:noProof/>
            <w:webHidden/>
          </w:rPr>
          <w:tab/>
        </w:r>
        <w:r>
          <w:rPr>
            <w:noProof/>
            <w:webHidden/>
          </w:rPr>
          <w:fldChar w:fldCharType="begin"/>
        </w:r>
        <w:r>
          <w:rPr>
            <w:noProof/>
            <w:webHidden/>
          </w:rPr>
          <w:instrText xml:space="preserve"> PAGEREF _Toc465167600 \h </w:instrText>
        </w:r>
        <w:r>
          <w:rPr>
            <w:noProof/>
            <w:webHidden/>
          </w:rPr>
        </w:r>
        <w:r>
          <w:rPr>
            <w:noProof/>
            <w:webHidden/>
          </w:rPr>
          <w:fldChar w:fldCharType="separate"/>
        </w:r>
        <w:r w:rsidR="002F60EE">
          <w:rPr>
            <w:noProof/>
            <w:webHidden/>
          </w:rPr>
          <w:t>62</w:t>
        </w:r>
        <w:r>
          <w:rPr>
            <w:noProof/>
            <w:webHidden/>
          </w:rPr>
          <w:fldChar w:fldCharType="end"/>
        </w:r>
      </w:hyperlink>
    </w:p>
    <w:p w:rsidR="00EF3BD9" w:rsidRDefault="00EF3BD9">
      <w:pPr>
        <w:pStyle w:val="TOC3"/>
        <w:tabs>
          <w:tab w:val="right" w:leader="dot" w:pos="8494"/>
        </w:tabs>
        <w:rPr>
          <w:rFonts w:asciiTheme="minorHAnsi" w:eastAsiaTheme="minorEastAsia" w:hAnsiTheme="minorHAnsi" w:cstheme="minorBidi"/>
          <w:noProof/>
          <w:szCs w:val="22"/>
        </w:rPr>
      </w:pPr>
      <w:hyperlink w:anchor="_Toc465167601" w:history="1">
        <w:r w:rsidRPr="00D52EFC">
          <w:rPr>
            <w:rStyle w:val="Hyperlink"/>
            <w:noProof/>
            <w:lang w:val="en-US" w:eastAsia="ja-JP"/>
          </w:rPr>
          <w:t>CTA via the Pension Supplement</w:t>
        </w:r>
        <w:r>
          <w:rPr>
            <w:noProof/>
            <w:webHidden/>
          </w:rPr>
          <w:tab/>
        </w:r>
        <w:r>
          <w:rPr>
            <w:noProof/>
            <w:webHidden/>
          </w:rPr>
          <w:fldChar w:fldCharType="begin"/>
        </w:r>
        <w:r>
          <w:rPr>
            <w:noProof/>
            <w:webHidden/>
          </w:rPr>
          <w:instrText xml:space="preserve"> PAGEREF _Toc465167601 \h </w:instrText>
        </w:r>
        <w:r>
          <w:rPr>
            <w:noProof/>
            <w:webHidden/>
          </w:rPr>
        </w:r>
        <w:r>
          <w:rPr>
            <w:noProof/>
            <w:webHidden/>
          </w:rPr>
          <w:fldChar w:fldCharType="separate"/>
        </w:r>
        <w:r w:rsidR="002F60EE">
          <w:rPr>
            <w:noProof/>
            <w:webHidden/>
          </w:rPr>
          <w:t>63</w:t>
        </w:r>
        <w:r>
          <w:rPr>
            <w:noProof/>
            <w:webHidden/>
          </w:rPr>
          <w:fldChar w:fldCharType="end"/>
        </w:r>
      </w:hyperlink>
    </w:p>
    <w:p w:rsidR="00EF3BD9" w:rsidRDefault="00EF3BD9">
      <w:pPr>
        <w:pStyle w:val="TOC1"/>
        <w:tabs>
          <w:tab w:val="right" w:leader="dot" w:pos="8494"/>
        </w:tabs>
        <w:rPr>
          <w:rFonts w:asciiTheme="minorHAnsi" w:eastAsiaTheme="minorEastAsia" w:hAnsiTheme="minorHAnsi" w:cstheme="minorBidi"/>
          <w:noProof/>
          <w:szCs w:val="22"/>
        </w:rPr>
      </w:pPr>
      <w:hyperlink w:anchor="_Toc465167602" w:history="1">
        <w:r w:rsidRPr="00D52EFC">
          <w:rPr>
            <w:rStyle w:val="Hyperlink"/>
            <w:noProof/>
          </w:rPr>
          <w:t>References</w:t>
        </w:r>
        <w:r>
          <w:rPr>
            <w:noProof/>
            <w:webHidden/>
          </w:rPr>
          <w:tab/>
        </w:r>
        <w:r>
          <w:rPr>
            <w:noProof/>
            <w:webHidden/>
          </w:rPr>
          <w:fldChar w:fldCharType="begin"/>
        </w:r>
        <w:r>
          <w:rPr>
            <w:noProof/>
            <w:webHidden/>
          </w:rPr>
          <w:instrText xml:space="preserve"> PAGEREF _Toc465167602 \h </w:instrText>
        </w:r>
        <w:r>
          <w:rPr>
            <w:noProof/>
            <w:webHidden/>
          </w:rPr>
        </w:r>
        <w:r>
          <w:rPr>
            <w:noProof/>
            <w:webHidden/>
          </w:rPr>
          <w:fldChar w:fldCharType="separate"/>
        </w:r>
        <w:r w:rsidR="002F60EE">
          <w:rPr>
            <w:noProof/>
            <w:webHidden/>
          </w:rPr>
          <w:t>64</w:t>
        </w:r>
        <w:r>
          <w:rPr>
            <w:noProof/>
            <w:webHidden/>
          </w:rPr>
          <w:fldChar w:fldCharType="end"/>
        </w:r>
      </w:hyperlink>
    </w:p>
    <w:p w:rsidR="003A2183" w:rsidRDefault="00C907D6" w:rsidP="003A2183">
      <w:pPr>
        <w:pStyle w:val="Heading1"/>
      </w:pPr>
      <w:r w:rsidRPr="00D25A31">
        <w:rPr>
          <w:b/>
          <w:bCs/>
          <w:noProof/>
        </w:rPr>
        <w:fldChar w:fldCharType="end"/>
      </w:r>
      <w:bookmarkStart w:id="8" w:name="_Toc463439217"/>
      <w:bookmarkStart w:id="9" w:name="_Toc463447696"/>
      <w:bookmarkStart w:id="10" w:name="_Toc465167547"/>
      <w:r w:rsidR="003A2183" w:rsidRPr="00D25A31">
        <w:t>Figures and Tables</w:t>
      </w:r>
      <w:bookmarkEnd w:id="8"/>
      <w:bookmarkEnd w:id="9"/>
      <w:bookmarkEnd w:id="10"/>
    </w:p>
    <w:p w:rsidR="004A2087" w:rsidRDefault="004A2087" w:rsidP="004A2087">
      <w:pPr>
        <w:rPr>
          <w:b/>
        </w:rPr>
      </w:pPr>
      <w:r>
        <w:rPr>
          <w:b/>
        </w:rPr>
        <w:t>Figures</w:t>
      </w:r>
    </w:p>
    <w:p w:rsidR="00EF3BD9" w:rsidRDefault="007D25AD">
      <w:pPr>
        <w:pStyle w:val="TableofFigures"/>
        <w:tabs>
          <w:tab w:val="right" w:leader="dot" w:pos="8494"/>
        </w:tabs>
        <w:rPr>
          <w:rFonts w:asciiTheme="minorHAnsi" w:eastAsiaTheme="minorEastAsia" w:hAnsiTheme="minorHAnsi" w:cstheme="minorBidi"/>
          <w:noProof/>
          <w:szCs w:val="22"/>
        </w:rPr>
      </w:pPr>
      <w:r>
        <w:rPr>
          <w:b/>
        </w:rPr>
        <w:fldChar w:fldCharType="begin"/>
      </w:r>
      <w:r>
        <w:rPr>
          <w:b/>
        </w:rPr>
        <w:instrText xml:space="preserve"> TOC \h \z \c "Figure" </w:instrText>
      </w:r>
      <w:r>
        <w:rPr>
          <w:b/>
        </w:rPr>
        <w:fldChar w:fldCharType="separate"/>
      </w:r>
      <w:hyperlink w:anchor="_Toc465167603" w:history="1">
        <w:r w:rsidR="00EF3BD9" w:rsidRPr="00D44C74">
          <w:rPr>
            <w:rStyle w:val="Hyperlink"/>
            <w:noProof/>
          </w:rPr>
          <w:t>Figure 1: Telecommunication expenditure by income quintile</w:t>
        </w:r>
        <w:r w:rsidR="00EF3BD9">
          <w:rPr>
            <w:noProof/>
            <w:webHidden/>
          </w:rPr>
          <w:tab/>
        </w:r>
        <w:r w:rsidR="00EF3BD9">
          <w:rPr>
            <w:noProof/>
            <w:webHidden/>
          </w:rPr>
          <w:fldChar w:fldCharType="begin"/>
        </w:r>
        <w:r w:rsidR="00EF3BD9">
          <w:rPr>
            <w:noProof/>
            <w:webHidden/>
          </w:rPr>
          <w:instrText xml:space="preserve"> PAGEREF _Toc465167603 \h </w:instrText>
        </w:r>
        <w:r w:rsidR="00EF3BD9">
          <w:rPr>
            <w:noProof/>
            <w:webHidden/>
          </w:rPr>
        </w:r>
        <w:r w:rsidR="00EF3BD9">
          <w:rPr>
            <w:noProof/>
            <w:webHidden/>
          </w:rPr>
          <w:fldChar w:fldCharType="separate"/>
        </w:r>
        <w:r w:rsidR="002F60EE">
          <w:rPr>
            <w:noProof/>
            <w:webHidden/>
          </w:rPr>
          <w:t>16</w:t>
        </w:r>
        <w:r w:rsidR="00EF3BD9">
          <w:rPr>
            <w:noProof/>
            <w:webHidden/>
          </w:rPr>
          <w:fldChar w:fldCharType="end"/>
        </w:r>
      </w:hyperlink>
    </w:p>
    <w:p w:rsidR="00EF3BD9" w:rsidRDefault="00EF3BD9">
      <w:pPr>
        <w:pStyle w:val="TableofFigures"/>
        <w:tabs>
          <w:tab w:val="right" w:leader="dot" w:pos="8494"/>
        </w:tabs>
        <w:rPr>
          <w:rFonts w:asciiTheme="minorHAnsi" w:eastAsiaTheme="minorEastAsia" w:hAnsiTheme="minorHAnsi" w:cstheme="minorBidi"/>
          <w:noProof/>
          <w:szCs w:val="22"/>
        </w:rPr>
      </w:pPr>
      <w:hyperlink w:anchor="_Toc465167604" w:history="1">
        <w:r w:rsidRPr="00D44C74">
          <w:rPr>
            <w:rStyle w:val="Hyperlink"/>
            <w:noProof/>
          </w:rPr>
          <w:t>Figure 2: Difficulty in paying upfront and ongoing telecommunication costs</w:t>
        </w:r>
        <w:r>
          <w:rPr>
            <w:noProof/>
            <w:webHidden/>
          </w:rPr>
          <w:tab/>
        </w:r>
        <w:r>
          <w:rPr>
            <w:noProof/>
            <w:webHidden/>
          </w:rPr>
          <w:fldChar w:fldCharType="begin"/>
        </w:r>
        <w:r>
          <w:rPr>
            <w:noProof/>
            <w:webHidden/>
          </w:rPr>
          <w:instrText xml:space="preserve"> PAGEREF _Toc465167604 \h </w:instrText>
        </w:r>
        <w:r>
          <w:rPr>
            <w:noProof/>
            <w:webHidden/>
          </w:rPr>
        </w:r>
        <w:r>
          <w:rPr>
            <w:noProof/>
            <w:webHidden/>
          </w:rPr>
          <w:fldChar w:fldCharType="separate"/>
        </w:r>
        <w:r w:rsidR="002F60EE">
          <w:rPr>
            <w:noProof/>
            <w:webHidden/>
          </w:rPr>
          <w:t>17</w:t>
        </w:r>
        <w:r>
          <w:rPr>
            <w:noProof/>
            <w:webHidden/>
          </w:rPr>
          <w:fldChar w:fldCharType="end"/>
        </w:r>
      </w:hyperlink>
    </w:p>
    <w:p w:rsidR="00EF3BD9" w:rsidRDefault="00EF3BD9">
      <w:pPr>
        <w:pStyle w:val="TableofFigures"/>
        <w:tabs>
          <w:tab w:val="right" w:leader="dot" w:pos="8494"/>
        </w:tabs>
        <w:rPr>
          <w:rFonts w:asciiTheme="minorHAnsi" w:eastAsiaTheme="minorEastAsia" w:hAnsiTheme="minorHAnsi" w:cstheme="minorBidi"/>
          <w:noProof/>
          <w:szCs w:val="22"/>
        </w:rPr>
      </w:pPr>
      <w:hyperlink w:anchor="_Toc465167605" w:history="1">
        <w:r w:rsidRPr="00D44C74">
          <w:rPr>
            <w:rStyle w:val="Hyperlink"/>
            <w:noProof/>
          </w:rPr>
          <w:t>Figure 3: Affordability, by payment type</w:t>
        </w:r>
        <w:r>
          <w:rPr>
            <w:noProof/>
            <w:webHidden/>
          </w:rPr>
          <w:tab/>
        </w:r>
        <w:r>
          <w:rPr>
            <w:noProof/>
            <w:webHidden/>
          </w:rPr>
          <w:fldChar w:fldCharType="begin"/>
        </w:r>
        <w:r>
          <w:rPr>
            <w:noProof/>
            <w:webHidden/>
          </w:rPr>
          <w:instrText xml:space="preserve"> PAGEREF _Toc465167605 \h </w:instrText>
        </w:r>
        <w:r>
          <w:rPr>
            <w:noProof/>
            <w:webHidden/>
          </w:rPr>
        </w:r>
        <w:r>
          <w:rPr>
            <w:noProof/>
            <w:webHidden/>
          </w:rPr>
          <w:fldChar w:fldCharType="separate"/>
        </w:r>
        <w:r w:rsidR="002F60EE">
          <w:rPr>
            <w:noProof/>
            <w:webHidden/>
          </w:rPr>
          <w:t>18</w:t>
        </w:r>
        <w:r>
          <w:rPr>
            <w:noProof/>
            <w:webHidden/>
          </w:rPr>
          <w:fldChar w:fldCharType="end"/>
        </w:r>
      </w:hyperlink>
    </w:p>
    <w:p w:rsidR="00EF3BD9" w:rsidRDefault="00EF3BD9">
      <w:pPr>
        <w:pStyle w:val="TableofFigures"/>
        <w:tabs>
          <w:tab w:val="right" w:leader="dot" w:pos="8494"/>
        </w:tabs>
        <w:rPr>
          <w:rFonts w:asciiTheme="minorHAnsi" w:eastAsiaTheme="minorEastAsia" w:hAnsiTheme="minorHAnsi" w:cstheme="minorBidi"/>
          <w:noProof/>
          <w:szCs w:val="22"/>
        </w:rPr>
      </w:pPr>
      <w:hyperlink w:anchor="_Toc465167606" w:history="1">
        <w:r w:rsidRPr="00D44C74">
          <w:rPr>
            <w:rStyle w:val="Hyperlink"/>
            <w:noProof/>
          </w:rPr>
          <w:t>Figure 4: Affordability, by household structure type</w:t>
        </w:r>
        <w:r>
          <w:rPr>
            <w:noProof/>
            <w:webHidden/>
          </w:rPr>
          <w:tab/>
        </w:r>
        <w:r>
          <w:rPr>
            <w:noProof/>
            <w:webHidden/>
          </w:rPr>
          <w:fldChar w:fldCharType="begin"/>
        </w:r>
        <w:r>
          <w:rPr>
            <w:noProof/>
            <w:webHidden/>
          </w:rPr>
          <w:instrText xml:space="preserve"> PAGEREF _Toc465167606 \h </w:instrText>
        </w:r>
        <w:r>
          <w:rPr>
            <w:noProof/>
            <w:webHidden/>
          </w:rPr>
        </w:r>
        <w:r>
          <w:rPr>
            <w:noProof/>
            <w:webHidden/>
          </w:rPr>
          <w:fldChar w:fldCharType="separate"/>
        </w:r>
        <w:r w:rsidR="002F60EE">
          <w:rPr>
            <w:noProof/>
            <w:webHidden/>
          </w:rPr>
          <w:t>19</w:t>
        </w:r>
        <w:r>
          <w:rPr>
            <w:noProof/>
            <w:webHidden/>
          </w:rPr>
          <w:fldChar w:fldCharType="end"/>
        </w:r>
      </w:hyperlink>
    </w:p>
    <w:p w:rsidR="00EF3BD9" w:rsidRDefault="00EF3BD9">
      <w:pPr>
        <w:pStyle w:val="TableofFigures"/>
        <w:tabs>
          <w:tab w:val="right" w:leader="dot" w:pos="8494"/>
        </w:tabs>
        <w:rPr>
          <w:rFonts w:asciiTheme="minorHAnsi" w:eastAsiaTheme="minorEastAsia" w:hAnsiTheme="minorHAnsi" w:cstheme="minorBidi"/>
          <w:noProof/>
          <w:szCs w:val="22"/>
        </w:rPr>
      </w:pPr>
      <w:hyperlink w:anchor="_Toc465167607" w:history="1">
        <w:r w:rsidRPr="00D44C74">
          <w:rPr>
            <w:rStyle w:val="Hyperlink"/>
            <w:noProof/>
          </w:rPr>
          <w:t>Figure 5: Affordability, by payment type and CTA eligibility</w:t>
        </w:r>
        <w:r>
          <w:rPr>
            <w:noProof/>
            <w:webHidden/>
          </w:rPr>
          <w:tab/>
        </w:r>
        <w:r>
          <w:rPr>
            <w:noProof/>
            <w:webHidden/>
          </w:rPr>
          <w:fldChar w:fldCharType="begin"/>
        </w:r>
        <w:r>
          <w:rPr>
            <w:noProof/>
            <w:webHidden/>
          </w:rPr>
          <w:instrText xml:space="preserve"> PAGEREF _Toc465167607 \h </w:instrText>
        </w:r>
        <w:r>
          <w:rPr>
            <w:noProof/>
            <w:webHidden/>
          </w:rPr>
        </w:r>
        <w:r>
          <w:rPr>
            <w:noProof/>
            <w:webHidden/>
          </w:rPr>
          <w:fldChar w:fldCharType="separate"/>
        </w:r>
        <w:r w:rsidR="002F60EE">
          <w:rPr>
            <w:noProof/>
            <w:webHidden/>
          </w:rPr>
          <w:t>26</w:t>
        </w:r>
        <w:r>
          <w:rPr>
            <w:noProof/>
            <w:webHidden/>
          </w:rPr>
          <w:fldChar w:fldCharType="end"/>
        </w:r>
      </w:hyperlink>
    </w:p>
    <w:p w:rsidR="00EF3BD9" w:rsidRDefault="00EF3BD9">
      <w:pPr>
        <w:pStyle w:val="TableofFigures"/>
        <w:tabs>
          <w:tab w:val="right" w:leader="dot" w:pos="8494"/>
        </w:tabs>
        <w:rPr>
          <w:rFonts w:asciiTheme="minorHAnsi" w:eastAsiaTheme="minorEastAsia" w:hAnsiTheme="minorHAnsi" w:cstheme="minorBidi"/>
          <w:noProof/>
          <w:szCs w:val="22"/>
        </w:rPr>
      </w:pPr>
      <w:hyperlink w:anchor="_Toc465167608" w:history="1">
        <w:r w:rsidRPr="00D44C74">
          <w:rPr>
            <w:rStyle w:val="Hyperlink"/>
            <w:noProof/>
          </w:rPr>
          <w:t>Figure 6: Responses to hypothetical increases in CTA</w:t>
        </w:r>
        <w:r>
          <w:rPr>
            <w:noProof/>
            <w:webHidden/>
          </w:rPr>
          <w:tab/>
        </w:r>
        <w:r>
          <w:rPr>
            <w:noProof/>
            <w:webHidden/>
          </w:rPr>
          <w:fldChar w:fldCharType="begin"/>
        </w:r>
        <w:r>
          <w:rPr>
            <w:noProof/>
            <w:webHidden/>
          </w:rPr>
          <w:instrText xml:space="preserve"> PAGEREF _Toc465167608 \h </w:instrText>
        </w:r>
        <w:r>
          <w:rPr>
            <w:noProof/>
            <w:webHidden/>
          </w:rPr>
        </w:r>
        <w:r>
          <w:rPr>
            <w:noProof/>
            <w:webHidden/>
          </w:rPr>
          <w:fldChar w:fldCharType="separate"/>
        </w:r>
        <w:r w:rsidR="002F60EE">
          <w:rPr>
            <w:noProof/>
            <w:webHidden/>
          </w:rPr>
          <w:t>29</w:t>
        </w:r>
        <w:r>
          <w:rPr>
            <w:noProof/>
            <w:webHidden/>
          </w:rPr>
          <w:fldChar w:fldCharType="end"/>
        </w:r>
      </w:hyperlink>
    </w:p>
    <w:p w:rsidR="00EF3BD9" w:rsidRDefault="00EF3BD9">
      <w:pPr>
        <w:pStyle w:val="TableofFigures"/>
        <w:tabs>
          <w:tab w:val="right" w:leader="dot" w:pos="8494"/>
        </w:tabs>
        <w:rPr>
          <w:rFonts w:asciiTheme="minorHAnsi" w:eastAsiaTheme="minorEastAsia" w:hAnsiTheme="minorHAnsi" w:cstheme="minorBidi"/>
          <w:noProof/>
          <w:szCs w:val="22"/>
        </w:rPr>
      </w:pPr>
      <w:hyperlink w:anchor="_Toc465167609" w:history="1">
        <w:r w:rsidRPr="00D44C74">
          <w:rPr>
            <w:rStyle w:val="Hyperlink"/>
            <w:noProof/>
          </w:rPr>
          <w:t>Figure 7: Preferred Type of Allowance</w:t>
        </w:r>
        <w:r>
          <w:rPr>
            <w:noProof/>
            <w:webHidden/>
          </w:rPr>
          <w:tab/>
        </w:r>
        <w:r>
          <w:rPr>
            <w:noProof/>
            <w:webHidden/>
          </w:rPr>
          <w:fldChar w:fldCharType="begin"/>
        </w:r>
        <w:r>
          <w:rPr>
            <w:noProof/>
            <w:webHidden/>
          </w:rPr>
          <w:instrText xml:space="preserve"> PAGEREF _Toc465167609 \h </w:instrText>
        </w:r>
        <w:r>
          <w:rPr>
            <w:noProof/>
            <w:webHidden/>
          </w:rPr>
        </w:r>
        <w:r>
          <w:rPr>
            <w:noProof/>
            <w:webHidden/>
          </w:rPr>
          <w:fldChar w:fldCharType="separate"/>
        </w:r>
        <w:r w:rsidR="002F60EE">
          <w:rPr>
            <w:noProof/>
            <w:webHidden/>
          </w:rPr>
          <w:t>31</w:t>
        </w:r>
        <w:r>
          <w:rPr>
            <w:noProof/>
            <w:webHidden/>
          </w:rPr>
          <w:fldChar w:fldCharType="end"/>
        </w:r>
      </w:hyperlink>
    </w:p>
    <w:p w:rsidR="00EF3BD9" w:rsidRDefault="00EF3BD9">
      <w:pPr>
        <w:pStyle w:val="TableofFigures"/>
        <w:tabs>
          <w:tab w:val="right" w:leader="dot" w:pos="8494"/>
        </w:tabs>
        <w:rPr>
          <w:rFonts w:asciiTheme="minorHAnsi" w:eastAsiaTheme="minorEastAsia" w:hAnsiTheme="minorHAnsi" w:cstheme="minorBidi"/>
          <w:noProof/>
          <w:szCs w:val="22"/>
        </w:rPr>
      </w:pPr>
      <w:hyperlink w:anchor="_Toc465167610" w:history="1">
        <w:r w:rsidRPr="00D44C74">
          <w:rPr>
            <w:rStyle w:val="Hyperlink"/>
            <w:noProof/>
          </w:rPr>
          <w:t>Figure 8: Geographic spread of survey respondents</w:t>
        </w:r>
        <w:r>
          <w:rPr>
            <w:noProof/>
            <w:webHidden/>
          </w:rPr>
          <w:tab/>
        </w:r>
        <w:r>
          <w:rPr>
            <w:noProof/>
            <w:webHidden/>
          </w:rPr>
          <w:fldChar w:fldCharType="begin"/>
        </w:r>
        <w:r>
          <w:rPr>
            <w:noProof/>
            <w:webHidden/>
          </w:rPr>
          <w:instrText xml:space="preserve"> PAGEREF _Toc465167610 \h </w:instrText>
        </w:r>
        <w:r>
          <w:rPr>
            <w:noProof/>
            <w:webHidden/>
          </w:rPr>
        </w:r>
        <w:r>
          <w:rPr>
            <w:noProof/>
            <w:webHidden/>
          </w:rPr>
          <w:fldChar w:fldCharType="separate"/>
        </w:r>
        <w:r w:rsidR="002F60EE">
          <w:rPr>
            <w:noProof/>
            <w:webHidden/>
          </w:rPr>
          <w:t>59</w:t>
        </w:r>
        <w:r>
          <w:rPr>
            <w:noProof/>
            <w:webHidden/>
          </w:rPr>
          <w:fldChar w:fldCharType="end"/>
        </w:r>
      </w:hyperlink>
    </w:p>
    <w:p w:rsidR="00EF3BD9" w:rsidRDefault="00EF3BD9">
      <w:pPr>
        <w:pStyle w:val="TableofFigures"/>
        <w:tabs>
          <w:tab w:val="right" w:leader="dot" w:pos="8494"/>
        </w:tabs>
        <w:rPr>
          <w:rFonts w:asciiTheme="minorHAnsi" w:eastAsiaTheme="minorEastAsia" w:hAnsiTheme="minorHAnsi" w:cstheme="minorBidi"/>
          <w:noProof/>
          <w:szCs w:val="22"/>
        </w:rPr>
      </w:pPr>
      <w:hyperlink w:anchor="_Toc465167611" w:history="1">
        <w:r w:rsidRPr="00D44C74">
          <w:rPr>
            <w:rStyle w:val="Hyperlink"/>
            <w:noProof/>
          </w:rPr>
          <w:t>Figure 9: Representation of income support payments among survey respondents</w:t>
        </w:r>
        <w:r>
          <w:rPr>
            <w:noProof/>
            <w:webHidden/>
          </w:rPr>
          <w:tab/>
        </w:r>
        <w:r>
          <w:rPr>
            <w:noProof/>
            <w:webHidden/>
          </w:rPr>
          <w:fldChar w:fldCharType="begin"/>
        </w:r>
        <w:r>
          <w:rPr>
            <w:noProof/>
            <w:webHidden/>
          </w:rPr>
          <w:instrText xml:space="preserve"> PAGEREF _Toc465167611 \h </w:instrText>
        </w:r>
        <w:r>
          <w:rPr>
            <w:noProof/>
            <w:webHidden/>
          </w:rPr>
        </w:r>
        <w:r>
          <w:rPr>
            <w:noProof/>
            <w:webHidden/>
          </w:rPr>
          <w:fldChar w:fldCharType="separate"/>
        </w:r>
        <w:r w:rsidR="002F60EE">
          <w:rPr>
            <w:noProof/>
            <w:webHidden/>
          </w:rPr>
          <w:t>61</w:t>
        </w:r>
        <w:r>
          <w:rPr>
            <w:noProof/>
            <w:webHidden/>
          </w:rPr>
          <w:fldChar w:fldCharType="end"/>
        </w:r>
      </w:hyperlink>
    </w:p>
    <w:p w:rsidR="007D25AD" w:rsidRPr="004A2087" w:rsidRDefault="007D25AD" w:rsidP="004A2087">
      <w:pPr>
        <w:rPr>
          <w:b/>
        </w:rPr>
      </w:pPr>
      <w:r>
        <w:rPr>
          <w:b/>
        </w:rPr>
        <w:fldChar w:fldCharType="end"/>
      </w:r>
    </w:p>
    <w:p w:rsidR="004A2087" w:rsidRDefault="004A2087" w:rsidP="003A2183">
      <w:pPr>
        <w:rPr>
          <w:b/>
        </w:rPr>
      </w:pPr>
      <w:r w:rsidRPr="004A2087">
        <w:rPr>
          <w:b/>
        </w:rPr>
        <w:t>Tables</w:t>
      </w:r>
    </w:p>
    <w:p w:rsidR="00EF3BD9" w:rsidRDefault="00C907D6">
      <w:pPr>
        <w:pStyle w:val="TableofFigures"/>
        <w:tabs>
          <w:tab w:val="right" w:leader="dot" w:pos="8494"/>
        </w:tabs>
        <w:rPr>
          <w:rFonts w:asciiTheme="minorHAnsi" w:eastAsiaTheme="minorEastAsia" w:hAnsiTheme="minorHAnsi" w:cstheme="minorBidi"/>
          <w:noProof/>
          <w:szCs w:val="22"/>
        </w:rPr>
      </w:pPr>
      <w:r>
        <w:fldChar w:fldCharType="begin"/>
      </w:r>
      <w:r w:rsidR="004A2087">
        <w:instrText xml:space="preserve"> TOC \h \z \c "Table" </w:instrText>
      </w:r>
      <w:r>
        <w:fldChar w:fldCharType="separate"/>
      </w:r>
      <w:hyperlink w:anchor="_Toc465167612" w:history="1">
        <w:r w:rsidR="00EF3BD9" w:rsidRPr="000E39F3">
          <w:rPr>
            <w:rStyle w:val="Hyperlink"/>
            <w:noProof/>
          </w:rPr>
          <w:t>Table 1: Internet-connected devices per household, by household structure</w:t>
        </w:r>
        <w:r w:rsidR="00EF3BD9">
          <w:rPr>
            <w:noProof/>
            <w:webHidden/>
          </w:rPr>
          <w:tab/>
        </w:r>
        <w:r w:rsidR="00EF3BD9">
          <w:rPr>
            <w:noProof/>
            <w:webHidden/>
          </w:rPr>
          <w:fldChar w:fldCharType="begin"/>
        </w:r>
        <w:r w:rsidR="00EF3BD9">
          <w:rPr>
            <w:noProof/>
            <w:webHidden/>
          </w:rPr>
          <w:instrText xml:space="preserve"> PAGEREF _Toc465167612 \h </w:instrText>
        </w:r>
        <w:r w:rsidR="00EF3BD9">
          <w:rPr>
            <w:noProof/>
            <w:webHidden/>
          </w:rPr>
        </w:r>
        <w:r w:rsidR="00EF3BD9">
          <w:rPr>
            <w:noProof/>
            <w:webHidden/>
          </w:rPr>
          <w:fldChar w:fldCharType="separate"/>
        </w:r>
        <w:r w:rsidR="002F60EE">
          <w:rPr>
            <w:noProof/>
            <w:webHidden/>
          </w:rPr>
          <w:t>12</w:t>
        </w:r>
        <w:r w:rsidR="00EF3BD9">
          <w:rPr>
            <w:noProof/>
            <w:webHidden/>
          </w:rPr>
          <w:fldChar w:fldCharType="end"/>
        </w:r>
      </w:hyperlink>
    </w:p>
    <w:p w:rsidR="00EF3BD9" w:rsidRDefault="00EF3BD9">
      <w:pPr>
        <w:pStyle w:val="TableofFigures"/>
        <w:tabs>
          <w:tab w:val="right" w:leader="dot" w:pos="8494"/>
        </w:tabs>
        <w:rPr>
          <w:rFonts w:asciiTheme="minorHAnsi" w:eastAsiaTheme="minorEastAsia" w:hAnsiTheme="minorHAnsi" w:cstheme="minorBidi"/>
          <w:noProof/>
          <w:szCs w:val="22"/>
        </w:rPr>
      </w:pPr>
      <w:hyperlink w:anchor="_Toc465167613" w:history="1">
        <w:r w:rsidRPr="000E39F3">
          <w:rPr>
            <w:rStyle w:val="Hyperlink"/>
            <w:noProof/>
          </w:rPr>
          <w:t>Table 2: Internet-connected devices per household, by payment type</w:t>
        </w:r>
        <w:r>
          <w:rPr>
            <w:noProof/>
            <w:webHidden/>
          </w:rPr>
          <w:tab/>
        </w:r>
        <w:r>
          <w:rPr>
            <w:noProof/>
            <w:webHidden/>
          </w:rPr>
          <w:fldChar w:fldCharType="begin"/>
        </w:r>
        <w:r>
          <w:rPr>
            <w:noProof/>
            <w:webHidden/>
          </w:rPr>
          <w:instrText xml:space="preserve"> PAGEREF _Toc465167613 \h </w:instrText>
        </w:r>
        <w:r>
          <w:rPr>
            <w:noProof/>
            <w:webHidden/>
          </w:rPr>
        </w:r>
        <w:r>
          <w:rPr>
            <w:noProof/>
            <w:webHidden/>
          </w:rPr>
          <w:fldChar w:fldCharType="separate"/>
        </w:r>
        <w:r w:rsidR="002F60EE">
          <w:rPr>
            <w:noProof/>
            <w:webHidden/>
          </w:rPr>
          <w:t>12</w:t>
        </w:r>
        <w:r>
          <w:rPr>
            <w:noProof/>
            <w:webHidden/>
          </w:rPr>
          <w:fldChar w:fldCharType="end"/>
        </w:r>
      </w:hyperlink>
    </w:p>
    <w:p w:rsidR="00EF3BD9" w:rsidRDefault="00EF3BD9">
      <w:pPr>
        <w:pStyle w:val="TableofFigures"/>
        <w:tabs>
          <w:tab w:val="right" w:leader="dot" w:pos="8494"/>
        </w:tabs>
        <w:rPr>
          <w:rFonts w:asciiTheme="minorHAnsi" w:eastAsiaTheme="minorEastAsia" w:hAnsiTheme="minorHAnsi" w:cstheme="minorBidi"/>
          <w:noProof/>
          <w:szCs w:val="22"/>
        </w:rPr>
      </w:pPr>
      <w:hyperlink w:anchor="_Toc465167614" w:history="1">
        <w:r w:rsidRPr="000E39F3">
          <w:rPr>
            <w:rStyle w:val="Hyperlink"/>
            <w:noProof/>
          </w:rPr>
          <w:t>Table 3: Selected Centrelink base payments</w:t>
        </w:r>
        <w:r>
          <w:rPr>
            <w:noProof/>
            <w:webHidden/>
          </w:rPr>
          <w:tab/>
        </w:r>
        <w:r>
          <w:rPr>
            <w:noProof/>
            <w:webHidden/>
          </w:rPr>
          <w:fldChar w:fldCharType="begin"/>
        </w:r>
        <w:r>
          <w:rPr>
            <w:noProof/>
            <w:webHidden/>
          </w:rPr>
          <w:instrText xml:space="preserve"> PAGEREF _Toc465167614 \h </w:instrText>
        </w:r>
        <w:r>
          <w:rPr>
            <w:noProof/>
            <w:webHidden/>
          </w:rPr>
        </w:r>
        <w:r>
          <w:rPr>
            <w:noProof/>
            <w:webHidden/>
          </w:rPr>
          <w:fldChar w:fldCharType="separate"/>
        </w:r>
        <w:r w:rsidR="002F60EE">
          <w:rPr>
            <w:noProof/>
            <w:webHidden/>
          </w:rPr>
          <w:t>27</w:t>
        </w:r>
        <w:r>
          <w:rPr>
            <w:noProof/>
            <w:webHidden/>
          </w:rPr>
          <w:fldChar w:fldCharType="end"/>
        </w:r>
      </w:hyperlink>
    </w:p>
    <w:p w:rsidR="00EF3BD9" w:rsidRDefault="00EF3BD9">
      <w:pPr>
        <w:pStyle w:val="TableofFigures"/>
        <w:tabs>
          <w:tab w:val="right" w:leader="dot" w:pos="8494"/>
        </w:tabs>
        <w:rPr>
          <w:rFonts w:asciiTheme="minorHAnsi" w:eastAsiaTheme="minorEastAsia" w:hAnsiTheme="minorHAnsi" w:cstheme="minorBidi"/>
          <w:noProof/>
          <w:szCs w:val="22"/>
        </w:rPr>
      </w:pPr>
      <w:hyperlink w:anchor="_Toc465167615" w:history="1">
        <w:r w:rsidRPr="000E39F3">
          <w:rPr>
            <w:rStyle w:val="Hyperlink"/>
            <w:noProof/>
          </w:rPr>
          <w:t>Table 4: Telecommunication costs, by payment type</w:t>
        </w:r>
        <w:r>
          <w:rPr>
            <w:noProof/>
            <w:webHidden/>
          </w:rPr>
          <w:tab/>
        </w:r>
        <w:r>
          <w:rPr>
            <w:noProof/>
            <w:webHidden/>
          </w:rPr>
          <w:fldChar w:fldCharType="begin"/>
        </w:r>
        <w:r>
          <w:rPr>
            <w:noProof/>
            <w:webHidden/>
          </w:rPr>
          <w:instrText xml:space="preserve"> PAGEREF _Toc465167615 \h </w:instrText>
        </w:r>
        <w:r>
          <w:rPr>
            <w:noProof/>
            <w:webHidden/>
          </w:rPr>
        </w:r>
        <w:r>
          <w:rPr>
            <w:noProof/>
            <w:webHidden/>
          </w:rPr>
          <w:fldChar w:fldCharType="separate"/>
        </w:r>
        <w:r w:rsidR="002F60EE">
          <w:rPr>
            <w:noProof/>
            <w:webHidden/>
          </w:rPr>
          <w:t>28</w:t>
        </w:r>
        <w:r>
          <w:rPr>
            <w:noProof/>
            <w:webHidden/>
          </w:rPr>
          <w:fldChar w:fldCharType="end"/>
        </w:r>
      </w:hyperlink>
    </w:p>
    <w:p w:rsidR="00EF3BD9" w:rsidRDefault="00EF3BD9">
      <w:pPr>
        <w:pStyle w:val="TableofFigures"/>
        <w:tabs>
          <w:tab w:val="right" w:leader="dot" w:pos="8494"/>
        </w:tabs>
        <w:rPr>
          <w:rFonts w:asciiTheme="minorHAnsi" w:eastAsiaTheme="minorEastAsia" w:hAnsiTheme="minorHAnsi" w:cstheme="minorBidi"/>
          <w:noProof/>
          <w:szCs w:val="22"/>
        </w:rPr>
      </w:pPr>
      <w:hyperlink w:anchor="_Toc465167616" w:history="1">
        <w:r w:rsidRPr="000E39F3">
          <w:rPr>
            <w:rStyle w:val="Hyperlink"/>
            <w:noProof/>
          </w:rPr>
          <w:t>Table 5: Poverty premiums in pre-paid plans</w:t>
        </w:r>
        <w:r>
          <w:rPr>
            <w:noProof/>
            <w:webHidden/>
          </w:rPr>
          <w:tab/>
        </w:r>
        <w:r>
          <w:rPr>
            <w:noProof/>
            <w:webHidden/>
          </w:rPr>
          <w:fldChar w:fldCharType="begin"/>
        </w:r>
        <w:r>
          <w:rPr>
            <w:noProof/>
            <w:webHidden/>
          </w:rPr>
          <w:instrText xml:space="preserve"> PAGEREF _Toc465167616 \h </w:instrText>
        </w:r>
        <w:r>
          <w:rPr>
            <w:noProof/>
            <w:webHidden/>
          </w:rPr>
        </w:r>
        <w:r>
          <w:rPr>
            <w:noProof/>
            <w:webHidden/>
          </w:rPr>
          <w:fldChar w:fldCharType="separate"/>
        </w:r>
        <w:r w:rsidR="002F60EE">
          <w:rPr>
            <w:noProof/>
            <w:webHidden/>
          </w:rPr>
          <w:t>44</w:t>
        </w:r>
        <w:r>
          <w:rPr>
            <w:noProof/>
            <w:webHidden/>
          </w:rPr>
          <w:fldChar w:fldCharType="end"/>
        </w:r>
      </w:hyperlink>
    </w:p>
    <w:p w:rsidR="00EF3BD9" w:rsidRDefault="00EF3BD9">
      <w:pPr>
        <w:pStyle w:val="TableofFigures"/>
        <w:tabs>
          <w:tab w:val="right" w:leader="dot" w:pos="8494"/>
        </w:tabs>
        <w:rPr>
          <w:rFonts w:asciiTheme="minorHAnsi" w:eastAsiaTheme="minorEastAsia" w:hAnsiTheme="minorHAnsi" w:cstheme="minorBidi"/>
          <w:noProof/>
          <w:szCs w:val="22"/>
        </w:rPr>
      </w:pPr>
      <w:hyperlink w:anchor="_Toc465167617" w:history="1">
        <w:r w:rsidRPr="000E39F3">
          <w:rPr>
            <w:rStyle w:val="Hyperlink"/>
            <w:noProof/>
          </w:rPr>
          <w:t>Table 6: Age of respondents</w:t>
        </w:r>
        <w:r>
          <w:rPr>
            <w:noProof/>
            <w:webHidden/>
          </w:rPr>
          <w:tab/>
        </w:r>
        <w:r>
          <w:rPr>
            <w:noProof/>
            <w:webHidden/>
          </w:rPr>
          <w:fldChar w:fldCharType="begin"/>
        </w:r>
        <w:r>
          <w:rPr>
            <w:noProof/>
            <w:webHidden/>
          </w:rPr>
          <w:instrText xml:space="preserve"> PAGEREF _Toc465167617 \h </w:instrText>
        </w:r>
        <w:r>
          <w:rPr>
            <w:noProof/>
            <w:webHidden/>
          </w:rPr>
        </w:r>
        <w:r>
          <w:rPr>
            <w:noProof/>
            <w:webHidden/>
          </w:rPr>
          <w:fldChar w:fldCharType="separate"/>
        </w:r>
        <w:r w:rsidR="002F60EE">
          <w:rPr>
            <w:noProof/>
            <w:webHidden/>
          </w:rPr>
          <w:t>60</w:t>
        </w:r>
        <w:r>
          <w:rPr>
            <w:noProof/>
            <w:webHidden/>
          </w:rPr>
          <w:fldChar w:fldCharType="end"/>
        </w:r>
      </w:hyperlink>
    </w:p>
    <w:p w:rsidR="004A2087" w:rsidRPr="004A2087" w:rsidRDefault="00C907D6" w:rsidP="003A2183">
      <w:r>
        <w:fldChar w:fldCharType="end"/>
      </w:r>
    </w:p>
    <w:p w:rsidR="004A2087" w:rsidRDefault="004A2087" w:rsidP="003A2183"/>
    <w:p w:rsidR="00D9102C" w:rsidRDefault="00D9102C" w:rsidP="003A2183">
      <w:pPr>
        <w:sectPr w:rsidR="00D9102C" w:rsidSect="00BE561F">
          <w:footerReference w:type="default" r:id="rId18"/>
          <w:pgSz w:w="11906" w:h="16838"/>
          <w:pgMar w:top="1701" w:right="1701" w:bottom="2698" w:left="1701" w:header="720" w:footer="933" w:gutter="0"/>
          <w:pgNumType w:start="1"/>
          <w:cols w:space="720"/>
          <w:docGrid w:linePitch="299"/>
        </w:sectPr>
      </w:pPr>
    </w:p>
    <w:p w:rsidR="00BD7B93" w:rsidRPr="004100E3" w:rsidRDefault="00BD7B93" w:rsidP="00BD7B93">
      <w:pPr>
        <w:pStyle w:val="Heading1"/>
      </w:pPr>
      <w:bookmarkStart w:id="11" w:name="_Toc465167548"/>
      <w:r w:rsidRPr="004100E3">
        <w:lastRenderedPageBreak/>
        <w:t>Executive summary</w:t>
      </w:r>
      <w:bookmarkEnd w:id="11"/>
    </w:p>
    <w:p w:rsidR="0028790D" w:rsidRDefault="0028790D" w:rsidP="0028790D">
      <w:pPr>
        <w:rPr>
          <w:lang w:eastAsia="ja-JP"/>
        </w:rPr>
      </w:pPr>
      <w:r>
        <w:rPr>
          <w:lang w:eastAsia="ja-JP"/>
        </w:rPr>
        <w:t>There is little doubt that the place of telecommunications in the world has changed rapidly over the last 30 years</w:t>
      </w:r>
      <w:r w:rsidR="00A767D1">
        <w:rPr>
          <w:lang w:eastAsia="ja-JP"/>
        </w:rPr>
        <w:t>. C</w:t>
      </w:r>
      <w:r>
        <w:rPr>
          <w:lang w:eastAsia="ja-JP"/>
        </w:rPr>
        <w:t xml:space="preserve">opper-wire telephones and analogue technologies have been replaced by a digital world </w:t>
      </w:r>
      <w:r w:rsidR="008A0DA4">
        <w:rPr>
          <w:lang w:eastAsia="ja-JP"/>
        </w:rPr>
        <w:t>beyond personal communication</w:t>
      </w:r>
      <w:r w:rsidR="00A767D1">
        <w:rPr>
          <w:lang w:eastAsia="ja-JP"/>
        </w:rPr>
        <w:t>,</w:t>
      </w:r>
      <w:r w:rsidR="008A0DA4">
        <w:rPr>
          <w:lang w:eastAsia="ja-JP"/>
        </w:rPr>
        <w:t xml:space="preserve"> now encompass</w:t>
      </w:r>
      <w:r w:rsidR="00A767D1">
        <w:rPr>
          <w:lang w:eastAsia="ja-JP"/>
        </w:rPr>
        <w:t>ing</w:t>
      </w:r>
      <w:r>
        <w:rPr>
          <w:lang w:eastAsia="ja-JP"/>
        </w:rPr>
        <w:t xml:space="preserve"> many of life’s essential tasks.  Telecommunications now enable, and are increasingly required for, access to education, employment, government services, banking, shopping and entertainment</w:t>
      </w:r>
      <w:r w:rsidR="00A767D1">
        <w:rPr>
          <w:lang w:eastAsia="ja-JP"/>
        </w:rPr>
        <w:t>. Further</w:t>
      </w:r>
      <w:r w:rsidR="00417AD6">
        <w:rPr>
          <w:lang w:eastAsia="ja-JP"/>
        </w:rPr>
        <w:t xml:space="preserve">, </w:t>
      </w:r>
      <w:r>
        <w:rPr>
          <w:lang w:eastAsia="ja-JP"/>
        </w:rPr>
        <w:t xml:space="preserve">the more traditional </w:t>
      </w:r>
      <w:r w:rsidR="00A767D1">
        <w:rPr>
          <w:lang w:eastAsia="ja-JP"/>
        </w:rPr>
        <w:t xml:space="preserve">way </w:t>
      </w:r>
      <w:r>
        <w:rPr>
          <w:lang w:eastAsia="ja-JP"/>
        </w:rPr>
        <w:t>of keeping i</w:t>
      </w:r>
      <w:r w:rsidR="00417AD6">
        <w:rPr>
          <w:lang w:eastAsia="ja-JP"/>
        </w:rPr>
        <w:t>n touch with family and friends</w:t>
      </w:r>
      <w:r>
        <w:rPr>
          <w:lang w:eastAsia="ja-JP"/>
        </w:rPr>
        <w:t xml:space="preserve"> </w:t>
      </w:r>
      <w:r w:rsidR="00A767D1">
        <w:rPr>
          <w:lang w:eastAsia="ja-JP"/>
        </w:rPr>
        <w:t xml:space="preserve">via telephone, </w:t>
      </w:r>
      <w:r w:rsidR="008A0DA4">
        <w:rPr>
          <w:lang w:eastAsia="ja-JP"/>
        </w:rPr>
        <w:t>can</w:t>
      </w:r>
      <w:r>
        <w:rPr>
          <w:lang w:eastAsia="ja-JP"/>
        </w:rPr>
        <w:t xml:space="preserve"> now </w:t>
      </w:r>
      <w:r w:rsidR="008A0DA4">
        <w:rPr>
          <w:lang w:eastAsia="ja-JP"/>
        </w:rPr>
        <w:t xml:space="preserve">happen </w:t>
      </w:r>
      <w:r>
        <w:rPr>
          <w:lang w:eastAsia="ja-JP"/>
        </w:rPr>
        <w:t>more instantaneous</w:t>
      </w:r>
      <w:r w:rsidR="008A0DA4">
        <w:rPr>
          <w:lang w:eastAsia="ja-JP"/>
        </w:rPr>
        <w:t>ly</w:t>
      </w:r>
      <w:r>
        <w:rPr>
          <w:lang w:eastAsia="ja-JP"/>
        </w:rPr>
        <w:t xml:space="preserve"> and across a range of platforms</w:t>
      </w:r>
      <w:r w:rsidR="00A767D1">
        <w:rPr>
          <w:lang w:eastAsia="ja-JP"/>
        </w:rPr>
        <w:t xml:space="preserve"> online</w:t>
      </w:r>
      <w:r>
        <w:rPr>
          <w:lang w:eastAsia="ja-JP"/>
        </w:rPr>
        <w:t>.</w:t>
      </w:r>
    </w:p>
    <w:p w:rsidR="0028790D" w:rsidRPr="0028790D" w:rsidRDefault="0028790D" w:rsidP="0028790D">
      <w:pPr>
        <w:rPr>
          <w:lang w:eastAsia="ja-JP"/>
        </w:rPr>
      </w:pPr>
      <w:r>
        <w:rPr>
          <w:lang w:eastAsia="ja-JP"/>
        </w:rPr>
        <w:t>However, while</w:t>
      </w:r>
      <w:r w:rsidRPr="00E819FA">
        <w:t xml:space="preserve"> </w:t>
      </w:r>
      <w:r>
        <w:t xml:space="preserve">telecommunications are increasingly seen as essential, there are barriers to </w:t>
      </w:r>
      <w:r w:rsidRPr="00E819FA">
        <w:t>participating ful</w:t>
      </w:r>
      <w:r>
        <w:t>ly in this new digital age.  S</w:t>
      </w:r>
      <w:r w:rsidRPr="00E819FA">
        <w:t xml:space="preserve">ome </w:t>
      </w:r>
      <w:r>
        <w:t xml:space="preserve">people have </w:t>
      </w:r>
      <w:r w:rsidRPr="00E819FA">
        <w:t xml:space="preserve">poor access </w:t>
      </w:r>
      <w:r>
        <w:t xml:space="preserve">to necessary telecommunications </w:t>
      </w:r>
      <w:r w:rsidRPr="00E819FA">
        <w:t xml:space="preserve">where they live, </w:t>
      </w:r>
      <w:r>
        <w:t xml:space="preserve">others have low digital literacy, and </w:t>
      </w:r>
      <w:r w:rsidRPr="00E819FA">
        <w:t xml:space="preserve">a significant minority of Australians </w:t>
      </w:r>
      <w:r>
        <w:t>struggle</w:t>
      </w:r>
      <w:r w:rsidRPr="00E819FA">
        <w:t xml:space="preserve"> to afford to connect and </w:t>
      </w:r>
      <w:r>
        <w:t>fully utilise</w:t>
      </w:r>
      <w:r w:rsidRPr="00E819FA">
        <w:t xml:space="preserve"> telecommunications. </w:t>
      </w:r>
      <w:r>
        <w:t xml:space="preserve"> While lack of availability and digital literacy are clearly important, lack of affordability is often overlooked as new technologies bring prices down but increase the need for telecommunications products.</w:t>
      </w:r>
    </w:p>
    <w:p w:rsidR="0028790D" w:rsidRDefault="0028790D" w:rsidP="0028790D">
      <w:pPr>
        <w:rPr>
          <w:lang w:eastAsia="ja-JP"/>
        </w:rPr>
      </w:pPr>
      <w:r>
        <w:rPr>
          <w:lang w:eastAsia="ja-JP"/>
        </w:rPr>
        <w:t xml:space="preserve">The extent of the problem of affordability of telecommunications for low income Australians can be seen </w:t>
      </w:r>
      <w:r w:rsidR="0094572B">
        <w:rPr>
          <w:lang w:eastAsia="ja-JP"/>
        </w:rPr>
        <w:t xml:space="preserve">in </w:t>
      </w:r>
      <w:r>
        <w:rPr>
          <w:lang w:eastAsia="ja-JP"/>
        </w:rPr>
        <w:t>the data from the survey of over 500 Centrelink recipients and Low Income Health Care Card holders conducted by Mint Research</w:t>
      </w:r>
      <w:r w:rsidR="00F31C22">
        <w:rPr>
          <w:lang w:eastAsia="ja-JP"/>
        </w:rPr>
        <w:t xml:space="preserve"> (2016)</w:t>
      </w:r>
      <w:r>
        <w:rPr>
          <w:lang w:eastAsia="ja-JP"/>
        </w:rPr>
        <w:t xml:space="preserve"> for this report:</w:t>
      </w:r>
    </w:p>
    <w:p w:rsidR="0028790D" w:rsidRDefault="008A0DA4" w:rsidP="00567914">
      <w:pPr>
        <w:pStyle w:val="ListParagraph"/>
        <w:numPr>
          <w:ilvl w:val="0"/>
          <w:numId w:val="11"/>
        </w:numPr>
        <w:spacing w:after="120"/>
        <w:ind w:left="714" w:hanging="357"/>
        <w:contextualSpacing w:val="0"/>
        <w:rPr>
          <w:rFonts w:ascii="Arial" w:hAnsi="Arial" w:cs="Arial"/>
          <w:lang w:eastAsia="ja-JP"/>
        </w:rPr>
      </w:pPr>
      <w:r w:rsidRPr="008A0DA4">
        <w:rPr>
          <w:rFonts w:ascii="Arial" w:hAnsi="Arial" w:cs="Arial"/>
          <w:lang w:eastAsia="ja-JP"/>
        </w:rPr>
        <w:t>66% of low</w:t>
      </w:r>
      <w:r w:rsidR="000B7839">
        <w:rPr>
          <w:rFonts w:ascii="Arial" w:hAnsi="Arial" w:cs="Arial"/>
          <w:lang w:eastAsia="ja-JP"/>
        </w:rPr>
        <w:t xml:space="preserve"> income consumers </w:t>
      </w:r>
      <w:r w:rsidRPr="008A0DA4">
        <w:rPr>
          <w:rFonts w:ascii="Arial" w:hAnsi="Arial" w:cs="Arial"/>
          <w:lang w:eastAsia="ja-JP"/>
        </w:rPr>
        <w:t>rated telecommunication costs in the top five most important factors in the</w:t>
      </w:r>
      <w:r>
        <w:rPr>
          <w:rFonts w:ascii="Arial" w:hAnsi="Arial" w:cs="Arial"/>
          <w:lang w:eastAsia="ja-JP"/>
        </w:rPr>
        <w:t>ir day to day household budgets;</w:t>
      </w:r>
    </w:p>
    <w:p w:rsidR="008A0DA4" w:rsidRDefault="008A0DA4" w:rsidP="00567914">
      <w:pPr>
        <w:pStyle w:val="ListParagraph"/>
        <w:numPr>
          <w:ilvl w:val="0"/>
          <w:numId w:val="11"/>
        </w:numPr>
        <w:spacing w:after="120"/>
        <w:ind w:left="714" w:hanging="357"/>
        <w:contextualSpacing w:val="0"/>
        <w:rPr>
          <w:rFonts w:ascii="Arial" w:hAnsi="Arial" w:cs="Arial"/>
          <w:lang w:eastAsia="ja-JP"/>
        </w:rPr>
      </w:pPr>
      <w:r w:rsidRPr="008A0DA4">
        <w:rPr>
          <w:rFonts w:ascii="Arial" w:hAnsi="Arial" w:cs="Arial"/>
          <w:lang w:eastAsia="ja-JP"/>
        </w:rPr>
        <w:t>62% reported experiencing either difficulty paying, having to cut back, or having to stop using one or more telecommunications services for financial reasons in the last 12 months</w:t>
      </w:r>
      <w:r>
        <w:rPr>
          <w:rFonts w:ascii="Arial" w:hAnsi="Arial" w:cs="Arial"/>
          <w:lang w:eastAsia="ja-JP"/>
        </w:rPr>
        <w:t>;</w:t>
      </w:r>
    </w:p>
    <w:p w:rsidR="008A0DA4" w:rsidRPr="008A0DA4" w:rsidRDefault="000B7839" w:rsidP="00567914">
      <w:pPr>
        <w:pStyle w:val="ListParagraph"/>
        <w:numPr>
          <w:ilvl w:val="0"/>
          <w:numId w:val="11"/>
        </w:numPr>
        <w:spacing w:after="120"/>
        <w:ind w:left="714" w:hanging="357"/>
        <w:contextualSpacing w:val="0"/>
        <w:rPr>
          <w:rFonts w:ascii="Arial" w:hAnsi="Arial" w:cs="Arial"/>
          <w:lang w:eastAsia="ja-JP"/>
        </w:rPr>
      </w:pPr>
      <w:r>
        <w:rPr>
          <w:rFonts w:ascii="Arial" w:hAnsi="Arial" w:cs="Arial"/>
          <w:lang w:eastAsia="ja-JP"/>
        </w:rPr>
        <w:t xml:space="preserve">those on Newstart, </w:t>
      </w:r>
      <w:r w:rsidR="008A0DA4" w:rsidRPr="008A0DA4">
        <w:rPr>
          <w:rFonts w:ascii="Arial" w:hAnsi="Arial" w:cs="Arial"/>
          <w:lang w:eastAsia="ja-JP"/>
        </w:rPr>
        <w:t xml:space="preserve">Youth Allowance </w:t>
      </w:r>
      <w:r>
        <w:rPr>
          <w:rFonts w:ascii="Arial" w:hAnsi="Arial" w:cs="Arial"/>
          <w:lang w:eastAsia="ja-JP"/>
        </w:rPr>
        <w:t xml:space="preserve">and Parenting Payment </w:t>
      </w:r>
      <w:r w:rsidR="008A0DA4" w:rsidRPr="008A0DA4">
        <w:rPr>
          <w:rFonts w:ascii="Arial" w:hAnsi="Arial" w:cs="Arial"/>
          <w:lang w:eastAsia="ja-JP"/>
        </w:rPr>
        <w:t xml:space="preserve">are most likely </w:t>
      </w:r>
      <w:r w:rsidR="008A0DA4" w:rsidRPr="008A0DA4">
        <w:rPr>
          <w:rFonts w:ascii="Arial" w:hAnsi="Arial" w:cs="Arial"/>
          <w:lang w:val="en-US" w:eastAsia="ja-JP"/>
        </w:rPr>
        <w:t xml:space="preserve">to have difficulty paying, be cutting back or stopping their telecommunications services, while those </w:t>
      </w:r>
      <w:r>
        <w:rPr>
          <w:rFonts w:ascii="Arial" w:hAnsi="Arial" w:cs="Arial"/>
          <w:lang w:val="en-US" w:eastAsia="ja-JP"/>
        </w:rPr>
        <w:t xml:space="preserve">on </w:t>
      </w:r>
      <w:r w:rsidR="008A0DA4" w:rsidRPr="008A0DA4">
        <w:rPr>
          <w:rFonts w:ascii="Arial" w:hAnsi="Arial" w:cs="Arial"/>
          <w:lang w:val="en-US" w:eastAsia="ja-JP"/>
        </w:rPr>
        <w:t>the Age Pension have the fewest problems</w:t>
      </w:r>
      <w:r w:rsidR="008A0DA4">
        <w:rPr>
          <w:rFonts w:ascii="Arial" w:hAnsi="Arial" w:cs="Arial"/>
          <w:lang w:val="en-US" w:eastAsia="ja-JP"/>
        </w:rPr>
        <w:t>;</w:t>
      </w:r>
    </w:p>
    <w:p w:rsidR="008A0DA4" w:rsidRDefault="008A0DA4" w:rsidP="00567914">
      <w:pPr>
        <w:pStyle w:val="ListParagraph"/>
        <w:numPr>
          <w:ilvl w:val="0"/>
          <w:numId w:val="11"/>
        </w:numPr>
        <w:spacing w:after="120"/>
        <w:ind w:left="714" w:hanging="357"/>
        <w:contextualSpacing w:val="0"/>
        <w:rPr>
          <w:rFonts w:ascii="Arial" w:hAnsi="Arial" w:cs="Arial"/>
          <w:lang w:eastAsia="ja-JP"/>
        </w:rPr>
      </w:pPr>
      <w:r w:rsidRPr="008A0DA4">
        <w:rPr>
          <w:rFonts w:ascii="Arial" w:hAnsi="Arial" w:cs="Arial"/>
          <w:lang w:val="en-US" w:eastAsia="ja-JP"/>
        </w:rPr>
        <w:t xml:space="preserve">low income families with dependent children </w:t>
      </w:r>
      <w:r w:rsidRPr="008A0DA4">
        <w:rPr>
          <w:rFonts w:ascii="Arial" w:hAnsi="Arial" w:cs="Arial"/>
          <w:lang w:eastAsia="ja-JP"/>
        </w:rPr>
        <w:t>are experiencing higher rates of financial difficulty</w:t>
      </w:r>
      <w:r>
        <w:rPr>
          <w:rFonts w:ascii="Arial" w:hAnsi="Arial" w:cs="Arial"/>
          <w:lang w:eastAsia="ja-JP"/>
        </w:rPr>
        <w:t xml:space="preserve"> with telecommunications than</w:t>
      </w:r>
      <w:r w:rsidRPr="008A0DA4">
        <w:rPr>
          <w:rFonts w:ascii="Arial" w:hAnsi="Arial" w:cs="Arial"/>
          <w:lang w:eastAsia="ja-JP"/>
        </w:rPr>
        <w:t xml:space="preserve"> those without children</w:t>
      </w:r>
      <w:r w:rsidR="000B7839">
        <w:rPr>
          <w:rFonts w:ascii="Arial" w:hAnsi="Arial" w:cs="Arial"/>
          <w:lang w:eastAsia="ja-JP"/>
        </w:rPr>
        <w:t>; and</w:t>
      </w:r>
    </w:p>
    <w:p w:rsidR="008A0DA4" w:rsidRPr="008A0DA4" w:rsidRDefault="008A0DA4" w:rsidP="00567914">
      <w:pPr>
        <w:pStyle w:val="ListParagraph"/>
        <w:numPr>
          <w:ilvl w:val="0"/>
          <w:numId w:val="11"/>
        </w:numPr>
        <w:spacing w:after="120"/>
        <w:ind w:left="714" w:hanging="357"/>
        <w:contextualSpacing w:val="0"/>
        <w:rPr>
          <w:rFonts w:ascii="Arial" w:hAnsi="Arial" w:cs="Arial"/>
          <w:lang w:eastAsia="ja-JP"/>
        </w:rPr>
      </w:pPr>
      <w:r>
        <w:rPr>
          <w:rFonts w:ascii="Arial" w:hAnsi="Arial" w:cs="Arial"/>
          <w:lang w:eastAsia="ja-JP"/>
        </w:rPr>
        <w:t>a</w:t>
      </w:r>
      <w:r w:rsidRPr="008A0DA4">
        <w:rPr>
          <w:rFonts w:ascii="Arial" w:hAnsi="Arial" w:cs="Arial"/>
          <w:lang w:eastAsia="ja-JP"/>
        </w:rPr>
        <w:t xml:space="preserve">round half of respondents said that </w:t>
      </w:r>
      <w:r>
        <w:rPr>
          <w:rFonts w:ascii="Arial" w:hAnsi="Arial" w:cs="Arial"/>
          <w:lang w:eastAsia="ja-JP"/>
        </w:rPr>
        <w:t>they</w:t>
      </w:r>
      <w:r w:rsidRPr="008A0DA4">
        <w:rPr>
          <w:rFonts w:ascii="Arial" w:hAnsi="Arial" w:cs="Arial"/>
          <w:lang w:eastAsia="ja-JP"/>
        </w:rPr>
        <w:t xml:space="preserve"> always</w:t>
      </w:r>
      <w:r w:rsidR="00DA4A4E">
        <w:rPr>
          <w:rFonts w:ascii="Arial" w:hAnsi="Arial" w:cs="Arial"/>
          <w:lang w:eastAsia="ja-JP"/>
        </w:rPr>
        <w:t xml:space="preserve">, </w:t>
      </w:r>
      <w:r w:rsidR="00DA4A4E" w:rsidRPr="008A0DA4">
        <w:rPr>
          <w:rFonts w:ascii="Arial" w:hAnsi="Arial" w:cs="Arial"/>
          <w:lang w:eastAsia="ja-JP"/>
        </w:rPr>
        <w:t>usually</w:t>
      </w:r>
      <w:r w:rsidRPr="008A0DA4">
        <w:rPr>
          <w:rFonts w:ascii="Arial" w:hAnsi="Arial" w:cs="Arial"/>
          <w:lang w:eastAsia="ja-JP"/>
        </w:rPr>
        <w:t xml:space="preserve"> or sometimes limit their use of a mobile phone, while just under half limited their use of a landline phone (43%) and the internet (41%)</w:t>
      </w:r>
      <w:r w:rsidR="00DA4A4E">
        <w:rPr>
          <w:rFonts w:ascii="Arial" w:hAnsi="Arial" w:cs="Arial"/>
          <w:lang w:eastAsia="ja-JP"/>
        </w:rPr>
        <w:t>,</w:t>
      </w:r>
      <w:r w:rsidRPr="008A0DA4">
        <w:rPr>
          <w:rFonts w:ascii="Arial" w:hAnsi="Arial" w:cs="Arial"/>
          <w:lang w:eastAsia="ja-JP"/>
        </w:rPr>
        <w:t xml:space="preserve"> and 10% stopped using a landline altogether</w:t>
      </w:r>
      <w:r w:rsidR="000B7839">
        <w:rPr>
          <w:rFonts w:ascii="Arial" w:hAnsi="Arial" w:cs="Arial"/>
          <w:lang w:eastAsia="ja-JP"/>
        </w:rPr>
        <w:t>.</w:t>
      </w:r>
      <w:r w:rsidR="00DA4A4E">
        <w:rPr>
          <w:rFonts w:ascii="Arial" w:hAnsi="Arial" w:cs="Arial"/>
          <w:lang w:eastAsia="ja-JP"/>
        </w:rPr>
        <w:t xml:space="preserve"> </w:t>
      </w:r>
    </w:p>
    <w:p w:rsidR="0028790D" w:rsidRDefault="0028790D" w:rsidP="0028790D">
      <w:pPr>
        <w:rPr>
          <w:lang w:eastAsia="ja-JP"/>
        </w:rPr>
      </w:pPr>
      <w:r>
        <w:rPr>
          <w:lang w:eastAsia="ja-JP"/>
        </w:rPr>
        <w:lastRenderedPageBreak/>
        <w:t xml:space="preserve">If telecommunications are indeed essential, and the expenditure is significant and regressive (that is, impacting disproportionately more on low income households) and causing financial stress on households, then there is a clear </w:t>
      </w:r>
      <w:r w:rsidR="008A0DA4">
        <w:rPr>
          <w:lang w:eastAsia="ja-JP"/>
        </w:rPr>
        <w:t xml:space="preserve">role </w:t>
      </w:r>
      <w:r>
        <w:rPr>
          <w:lang w:eastAsia="ja-JP"/>
        </w:rPr>
        <w:t xml:space="preserve">for government in assisting people to maintain access to this essential service.  The main government income support to achieve this end is the Centrelink Telephone Allowance (CTA), which is a supplement to selected social security payments.  </w:t>
      </w:r>
    </w:p>
    <w:p w:rsidR="0028790D" w:rsidRPr="0028790D" w:rsidRDefault="0028790D" w:rsidP="0028790D">
      <w:pPr>
        <w:rPr>
          <w:lang w:eastAsia="ja-JP"/>
        </w:rPr>
      </w:pPr>
      <w:r>
        <w:rPr>
          <w:lang w:eastAsia="ja-JP"/>
        </w:rPr>
        <w:t xml:space="preserve">However, the eligibility criteria for the CTA are complex and opaque, and </w:t>
      </w:r>
      <w:r w:rsidRPr="0028790D">
        <w:rPr>
          <w:lang w:eastAsia="ja-JP"/>
        </w:rPr>
        <w:t>it seems odd that the groups of income support recipients that tend to struggle least with telecommunications costs are eligible for the highest rate of CTA (on top of already higher base payments), while those on lower base rates</w:t>
      </w:r>
      <w:r>
        <w:rPr>
          <w:lang w:eastAsia="ja-JP"/>
        </w:rPr>
        <w:t xml:space="preserve"> are less likely to be eligible</w:t>
      </w:r>
      <w:r w:rsidR="008A0DA4">
        <w:rPr>
          <w:lang w:eastAsia="ja-JP"/>
        </w:rPr>
        <w:t xml:space="preserve"> for CTA</w:t>
      </w:r>
      <w:r>
        <w:rPr>
          <w:lang w:eastAsia="ja-JP"/>
        </w:rPr>
        <w:t>, or only eligible at a</w:t>
      </w:r>
      <w:r w:rsidRPr="0028790D">
        <w:rPr>
          <w:lang w:eastAsia="ja-JP"/>
        </w:rPr>
        <w:t xml:space="preserve"> lower rate</w:t>
      </w:r>
      <w:r>
        <w:rPr>
          <w:lang w:eastAsia="ja-JP"/>
        </w:rPr>
        <w:t xml:space="preserve">.  </w:t>
      </w:r>
    </w:p>
    <w:p w:rsidR="0028790D" w:rsidRPr="0028790D" w:rsidRDefault="0028790D" w:rsidP="0028790D">
      <w:pPr>
        <w:rPr>
          <w:lang w:eastAsia="ja-JP"/>
        </w:rPr>
      </w:pPr>
      <w:r w:rsidRPr="0028790D">
        <w:rPr>
          <w:lang w:val="en-US" w:eastAsia="ja-JP"/>
        </w:rPr>
        <w:t xml:space="preserve">Less than half of the recipients of the CTA surveyed </w:t>
      </w:r>
      <w:r w:rsidR="00C21CC4">
        <w:rPr>
          <w:lang w:val="en-US" w:eastAsia="ja-JP"/>
        </w:rPr>
        <w:t xml:space="preserve">by Mint Research </w:t>
      </w:r>
      <w:r w:rsidRPr="0028790D">
        <w:rPr>
          <w:lang w:val="en-US" w:eastAsia="ja-JP"/>
        </w:rPr>
        <w:t>were satisfied</w:t>
      </w:r>
      <w:r>
        <w:rPr>
          <w:lang w:val="en-US" w:eastAsia="ja-JP"/>
        </w:rPr>
        <w:t xml:space="preserve"> with the rate, and </w:t>
      </w:r>
      <w:r w:rsidRPr="0028790D">
        <w:rPr>
          <w:lang w:eastAsia="ja-JP"/>
        </w:rPr>
        <w:t xml:space="preserve">a majority </w:t>
      </w:r>
      <w:r w:rsidR="008A0DA4">
        <w:rPr>
          <w:lang w:eastAsia="ja-JP"/>
        </w:rPr>
        <w:t xml:space="preserve">of survey participants </w:t>
      </w:r>
      <w:r w:rsidRPr="0028790D">
        <w:rPr>
          <w:lang w:eastAsia="ja-JP"/>
        </w:rPr>
        <w:t xml:space="preserve">thought a </w:t>
      </w:r>
      <w:r>
        <w:rPr>
          <w:lang w:eastAsia="ja-JP"/>
        </w:rPr>
        <w:t>doubling of the base rate would be required to m</w:t>
      </w:r>
      <w:r w:rsidRPr="0028790D">
        <w:rPr>
          <w:lang w:eastAsia="ja-JP"/>
        </w:rPr>
        <w:t xml:space="preserve">ake a significant financial difference.  </w:t>
      </w:r>
    </w:p>
    <w:p w:rsidR="0028790D" w:rsidRPr="0028790D" w:rsidRDefault="0028790D" w:rsidP="0028790D">
      <w:pPr>
        <w:rPr>
          <w:lang w:eastAsia="ja-JP"/>
        </w:rPr>
      </w:pPr>
      <w:r>
        <w:rPr>
          <w:lang w:eastAsia="ja-JP"/>
        </w:rPr>
        <w:t xml:space="preserve">Given that the CTA is poorly targeted, inadequate, and suffering from a legacy of being structured around home landline technology, the CTA needs to be upgraded </w:t>
      </w:r>
      <w:r w:rsidR="00417AD6">
        <w:rPr>
          <w:lang w:eastAsia="ja-JP"/>
        </w:rPr>
        <w:t>to have a broader scope, wider eligibility, higher rates and more regular payment</w:t>
      </w:r>
      <w:r w:rsidR="000B7839">
        <w:rPr>
          <w:lang w:eastAsia="ja-JP"/>
        </w:rPr>
        <w:t>s</w:t>
      </w:r>
      <w:r w:rsidR="00C70ED0">
        <w:rPr>
          <w:lang w:eastAsia="ja-JP"/>
        </w:rPr>
        <w:t xml:space="preserve"> </w:t>
      </w:r>
      <w:r w:rsidR="00AB50D5" w:rsidRPr="00D76CB8">
        <w:rPr>
          <w:lang w:eastAsia="ja-JP"/>
        </w:rPr>
        <w:t>and/</w:t>
      </w:r>
      <w:r w:rsidR="00C70ED0" w:rsidRPr="00D76CB8">
        <w:rPr>
          <w:lang w:eastAsia="ja-JP"/>
        </w:rPr>
        <w:t xml:space="preserve">or </w:t>
      </w:r>
      <w:r w:rsidR="00AB50D5" w:rsidRPr="00D76CB8">
        <w:rPr>
          <w:lang w:eastAsia="ja-JP"/>
        </w:rPr>
        <w:t xml:space="preserve">in the longer term, </w:t>
      </w:r>
      <w:r w:rsidR="00C70ED0" w:rsidRPr="00D76CB8">
        <w:rPr>
          <w:lang w:eastAsia="ja-JP"/>
        </w:rPr>
        <w:t>telecommunications affordability needs to be factored into an assessment of the base rates of income support.</w:t>
      </w:r>
    </w:p>
    <w:p w:rsidR="004F15DA" w:rsidRDefault="00CF6011" w:rsidP="0028790D">
      <w:pPr>
        <w:rPr>
          <w:lang w:eastAsia="ja-JP"/>
        </w:rPr>
      </w:pPr>
      <w:r>
        <w:rPr>
          <w:lang w:eastAsia="ja-JP"/>
        </w:rPr>
        <w:t xml:space="preserve">While government action is needed to support low income families with telecommunications affordability, there are also a range of market products and practices which themselves create barriers to affordability.  </w:t>
      </w:r>
      <w:r w:rsidR="00D76CB8">
        <w:rPr>
          <w:lang w:eastAsia="ja-JP"/>
        </w:rPr>
        <w:t>These were identified in a</w:t>
      </w:r>
      <w:r w:rsidR="00D76CB8">
        <w:t xml:space="preserve"> series of focus groups with low income consumers conducted for this research.  </w:t>
      </w:r>
      <w:r w:rsidR="00974C5B">
        <w:rPr>
          <w:lang w:eastAsia="ja-JP"/>
        </w:rPr>
        <w:t xml:space="preserve">Most important </w:t>
      </w:r>
      <w:r w:rsidR="00CB34DB">
        <w:rPr>
          <w:lang w:eastAsia="ja-JP"/>
        </w:rPr>
        <w:t xml:space="preserve">is the lack of mobile data on affordable plans, and given that data is driving much telecommunications expenditure, this lack is creating stress and excess costs.  There are also a number of products and practices which make managing </w:t>
      </w:r>
      <w:r w:rsidR="00937DF8">
        <w:rPr>
          <w:lang w:eastAsia="ja-JP"/>
        </w:rPr>
        <w:t xml:space="preserve">telecommunications </w:t>
      </w:r>
      <w:r w:rsidR="00CB34DB">
        <w:rPr>
          <w:lang w:eastAsia="ja-JP"/>
        </w:rPr>
        <w:t>usage and payments difficult, including</w:t>
      </w:r>
      <w:r w:rsidR="00FA499D">
        <w:rPr>
          <w:lang w:eastAsia="ja-JP"/>
        </w:rPr>
        <w:t xml:space="preserve"> lock-in contracts, disadvantageous payment methods and billing cycles forced on consumers, and a lack of transparency around costs.  The focus groups also identified problems in the hardship programs offered by telecommunications suppliers.</w:t>
      </w:r>
    </w:p>
    <w:p w:rsidR="00CF6011" w:rsidRPr="0028790D" w:rsidRDefault="00417AD6" w:rsidP="0028790D">
      <w:pPr>
        <w:rPr>
          <w:lang w:eastAsia="ja-JP"/>
        </w:rPr>
      </w:pPr>
      <w:r>
        <w:t>Unless both the CTA and these market barriers to affordability are addressed, we will continue to see a digital divide where low income consumers are missing out on telecommunications services, and subs</w:t>
      </w:r>
      <w:r w:rsidR="00E85AD2">
        <w:t>equently, on life opportunities – at a cost to both them and the wider society.</w:t>
      </w:r>
    </w:p>
    <w:p w:rsidR="00D1793E" w:rsidRPr="00D1793E" w:rsidRDefault="00FC3DB7" w:rsidP="00147FDE">
      <w:pPr>
        <w:pStyle w:val="Heading1"/>
      </w:pPr>
      <w:bookmarkStart w:id="12" w:name="_Toc465167549"/>
      <w:r w:rsidRPr="00826502">
        <w:lastRenderedPageBreak/>
        <w:t>Introduction</w:t>
      </w:r>
      <w:bookmarkEnd w:id="12"/>
    </w:p>
    <w:p w:rsidR="00E819FA" w:rsidRPr="00E819FA" w:rsidRDefault="00E819FA" w:rsidP="00147FDE">
      <w:bookmarkStart w:id="13" w:name="h.2et92p0" w:colFirst="0" w:colLast="0"/>
      <w:bookmarkEnd w:id="13"/>
      <w:r w:rsidRPr="00E819FA">
        <w:t xml:space="preserve">Over the past 30 years the nature and place of telecommunications in people’s everyday lives has changed dramatically. Where once the landline telephone stood alone as the essential telecommunications service, today the mobile phone and the internet dominate the way Australians communicate, connect and increasingly complete life’s most essential tasks.  This is part of a wider global trend that is not only transforming what is an essential telecommunications </w:t>
      </w:r>
      <w:r w:rsidR="00C21CC4">
        <w:t>service,</w:t>
      </w:r>
      <w:r w:rsidRPr="00E819FA">
        <w:t xml:space="preserve"> but </w:t>
      </w:r>
      <w:r w:rsidR="000C65BA">
        <w:t xml:space="preserve">also </w:t>
      </w:r>
      <w:r w:rsidRPr="00E819FA">
        <w:t>how we live, work a</w:t>
      </w:r>
      <w:r w:rsidR="001028D6">
        <w:t>nd play</w:t>
      </w:r>
      <w:r w:rsidRPr="00E819FA">
        <w:t xml:space="preserve">. </w:t>
      </w:r>
    </w:p>
    <w:p w:rsidR="00E819FA" w:rsidRPr="00E819FA" w:rsidRDefault="00E819FA" w:rsidP="00147FDE">
      <w:r w:rsidRPr="00E819FA">
        <w:t xml:space="preserve">Despite mobile and digital </w:t>
      </w:r>
      <w:r w:rsidR="00B002CB">
        <w:t>telecommunications being increasingly seen as essential</w:t>
      </w:r>
      <w:r w:rsidRPr="00E819FA">
        <w:t>, some Australians are missing out on participating ful</w:t>
      </w:r>
      <w:r w:rsidR="00B2495C">
        <w:t>ly in this new digital age. S</w:t>
      </w:r>
      <w:r w:rsidRPr="00E819FA">
        <w:t xml:space="preserve">ome </w:t>
      </w:r>
      <w:r w:rsidR="00BD44CC">
        <w:t xml:space="preserve">have </w:t>
      </w:r>
      <w:r w:rsidRPr="00E819FA">
        <w:t xml:space="preserve">poor access where they live, </w:t>
      </w:r>
      <w:r w:rsidR="00BD44CC">
        <w:t>while other</w:t>
      </w:r>
      <w:r w:rsidR="00B2495C">
        <w:t>s</w:t>
      </w:r>
      <w:r w:rsidR="00BD44CC">
        <w:t xml:space="preserve"> have </w:t>
      </w:r>
      <w:r w:rsidR="00B2495C">
        <w:t xml:space="preserve">low digital literacy. </w:t>
      </w:r>
      <w:r w:rsidR="00DD3224">
        <w:t xml:space="preserve"> </w:t>
      </w:r>
      <w:r w:rsidR="000C65BA">
        <w:t>T</w:t>
      </w:r>
      <w:r w:rsidRPr="00E819FA">
        <w:t xml:space="preserve">here is also a significant minority of Australians that are excluded because they are struggling to afford to connect and </w:t>
      </w:r>
      <w:r w:rsidR="007B66E5">
        <w:t>fully utilise</w:t>
      </w:r>
      <w:r w:rsidRPr="00E819FA">
        <w:t xml:space="preserve"> telecommunications. </w:t>
      </w:r>
    </w:p>
    <w:p w:rsidR="00B002CB" w:rsidRDefault="0028790D" w:rsidP="00147FDE">
      <w:r>
        <w:t xml:space="preserve">This report is concerned primarily with examining </w:t>
      </w:r>
      <w:r w:rsidR="00B002CB">
        <w:t xml:space="preserve">the affordability barriers for low income Australians. </w:t>
      </w:r>
      <w:r w:rsidR="00DD3224">
        <w:t xml:space="preserve"> </w:t>
      </w:r>
      <w:r w:rsidR="00B002CB">
        <w:t xml:space="preserve">This is not to downplay the significant impact that a lack of availability and literacy has on the ability of many Australians to connect to essential telecommunications, but rather is in recognition that </w:t>
      </w:r>
      <w:r>
        <w:t>insufficient</w:t>
      </w:r>
      <w:r w:rsidR="00B002CB">
        <w:t xml:space="preserve"> government and market attention is being paid to addressing the affordability barrier. </w:t>
      </w:r>
      <w:r w:rsidR="00974C5B">
        <w:t xml:space="preserve"> </w:t>
      </w:r>
      <w:r w:rsidR="00BB3D93">
        <w:t xml:space="preserve">Further as the Australian Digital Inclusion Index shows, while overall access and digital ability (literacy) are improving in Australia, affordability has declined in the last few years </w:t>
      </w:r>
      <w:sdt>
        <w:sdtPr>
          <w:id w:val="-135805308"/>
          <w:citation/>
        </w:sdtPr>
        <w:sdtContent>
          <w:r w:rsidR="00BB3D93">
            <w:fldChar w:fldCharType="begin"/>
          </w:r>
          <w:r w:rsidR="00CD1751">
            <w:instrText xml:space="preserve">CITATION Tho16 \l 3081 </w:instrText>
          </w:r>
          <w:r w:rsidR="00BB3D93">
            <w:fldChar w:fldCharType="separate"/>
          </w:r>
          <w:r w:rsidR="000D79D7">
            <w:rPr>
              <w:noProof/>
            </w:rPr>
            <w:t>(Thomas, et al., 2016)</w:t>
          </w:r>
          <w:r w:rsidR="00BB3D93">
            <w:fldChar w:fldCharType="end"/>
          </w:r>
        </w:sdtContent>
      </w:sdt>
      <w:r w:rsidR="00BB3D93">
        <w:t>.</w:t>
      </w:r>
    </w:p>
    <w:p w:rsidR="00E819FA" w:rsidRPr="00E819FA" w:rsidRDefault="00823A99" w:rsidP="00147FDE">
      <w:r>
        <w:t xml:space="preserve">Affordability of telecommunications services is </w:t>
      </w:r>
      <w:r w:rsidR="00C21CC4">
        <w:t>currently addressed in two ways:</w:t>
      </w:r>
      <w:r>
        <w:t xml:space="preserve"> through the carrier licence conditions on Telstra that require it to “offer products and arrangements to low-income customers (the low-income package)” </w:t>
      </w:r>
      <w:sdt>
        <w:sdtPr>
          <w:id w:val="1426539656"/>
          <w:citation/>
        </w:sdtPr>
        <w:sdtContent>
          <w:r w:rsidR="00974C5B">
            <w:fldChar w:fldCharType="begin"/>
          </w:r>
          <w:r w:rsidR="00974C5B">
            <w:instrText xml:space="preserve">CITATION Aus15 \l 3081 </w:instrText>
          </w:r>
          <w:r w:rsidR="00974C5B">
            <w:fldChar w:fldCharType="separate"/>
          </w:r>
          <w:r w:rsidR="000D79D7">
            <w:rPr>
              <w:noProof/>
            </w:rPr>
            <w:t>(Australian Government, 2015)</w:t>
          </w:r>
          <w:r w:rsidR="00974C5B">
            <w:fldChar w:fldCharType="end"/>
          </w:r>
        </w:sdtContent>
      </w:sdt>
      <w:r w:rsidR="00974C5B">
        <w:t xml:space="preserve"> </w:t>
      </w:r>
      <w:r>
        <w:t xml:space="preserve">and </w:t>
      </w:r>
      <w:r w:rsidR="00E819FA" w:rsidRPr="00E819FA">
        <w:t>the Centrelink Telephone Allowance (CTA)</w:t>
      </w:r>
      <w:r>
        <w:t>.</w:t>
      </w:r>
      <w:r w:rsidR="00E819FA" w:rsidRPr="00E819FA">
        <w:t xml:space="preserve"> </w:t>
      </w:r>
      <w:r w:rsidR="00974C5B">
        <w:t xml:space="preserve"> </w:t>
      </w:r>
      <w:r>
        <w:t>These</w:t>
      </w:r>
      <w:r w:rsidR="00E819FA" w:rsidRPr="00E819FA">
        <w:t xml:space="preserve"> reflect an analogue age where </w:t>
      </w:r>
      <w:r w:rsidR="00B002CB">
        <w:t xml:space="preserve">a government monopoly aimed to provide access to </w:t>
      </w:r>
      <w:r w:rsidR="00E819FA" w:rsidRPr="00E819FA">
        <w:t>landline telephone</w:t>
      </w:r>
      <w:r w:rsidR="00B002CB">
        <w:t>s</w:t>
      </w:r>
      <w:r w:rsidR="00E819FA" w:rsidRPr="00E819FA">
        <w:t xml:space="preserve">.  In a </w:t>
      </w:r>
      <w:r w:rsidR="007B66E5">
        <w:t xml:space="preserve">digital </w:t>
      </w:r>
      <w:r w:rsidR="00E819FA" w:rsidRPr="00E819FA">
        <w:t>wo</w:t>
      </w:r>
      <w:r w:rsidR="00534D38">
        <w:t xml:space="preserve">rld </w:t>
      </w:r>
      <w:r w:rsidR="00E819FA" w:rsidRPr="00E819FA">
        <w:t>where services are available fr</w:t>
      </w:r>
      <w:r w:rsidR="000C65BA">
        <w:t>om a diverse market of provide</w:t>
      </w:r>
      <w:r w:rsidR="001028D6">
        <w:t>r</w:t>
      </w:r>
      <w:r w:rsidR="000C65BA">
        <w:t>s offering a complex array of plans</w:t>
      </w:r>
      <w:r w:rsidR="00E819FA" w:rsidRPr="00E819FA">
        <w:t xml:space="preserve">, prices and payment methods, the current </w:t>
      </w:r>
      <w:r w:rsidR="001028D6">
        <w:t xml:space="preserve">affordability measures </w:t>
      </w:r>
      <w:r w:rsidR="00E819FA" w:rsidRPr="00E819FA">
        <w:t>are failing to achieve telecommunications affordability for all Australians.</w:t>
      </w:r>
    </w:p>
    <w:p w:rsidR="00E819FA" w:rsidRPr="00BD44CC" w:rsidRDefault="0028790D" w:rsidP="00BD44CC">
      <w:pPr>
        <w:rPr>
          <w:bCs/>
        </w:rPr>
      </w:pPr>
      <w:r>
        <w:t xml:space="preserve">The Australian Communications Consumer Action Network </w:t>
      </w:r>
      <w:r w:rsidR="006B2AE4">
        <w:t>(ACCAN)</w:t>
      </w:r>
      <w:r>
        <w:t xml:space="preserve"> commissioned this report from the South Australian Council of Social Service</w:t>
      </w:r>
      <w:r w:rsidR="00C21CC4">
        <w:t>. It is</w:t>
      </w:r>
      <w:r>
        <w:t xml:space="preserve"> in response to our joint concern about the </w:t>
      </w:r>
      <w:r w:rsidR="00B2495C">
        <w:t>need to urgently upgrade the measures in place to assist low income Australians</w:t>
      </w:r>
      <w:r w:rsidR="00C21CC4">
        <w:t xml:space="preserve">, so they can </w:t>
      </w:r>
      <w:r w:rsidR="00E819FA" w:rsidRPr="00E819FA">
        <w:t>afford the telecommunications essential to</w:t>
      </w:r>
      <w:r w:rsidR="00887734">
        <w:t xml:space="preserve"> </w:t>
      </w:r>
      <w:r w:rsidR="00E819FA" w:rsidRPr="00E819FA">
        <w:t xml:space="preserve">full social and economic participation in the digital age. </w:t>
      </w:r>
      <w:r w:rsidR="00E819FA" w:rsidRPr="00CD48D4">
        <w:t xml:space="preserve">This report </w:t>
      </w:r>
      <w:r>
        <w:t xml:space="preserve">provides evidence of the </w:t>
      </w:r>
      <w:r>
        <w:lastRenderedPageBreak/>
        <w:t xml:space="preserve">affordability barriers faced by those low income Australians, and </w:t>
      </w:r>
      <w:r w:rsidR="00B002CB">
        <w:t xml:space="preserve">makes </w:t>
      </w:r>
      <w:r>
        <w:t>recommendations for changes in</w:t>
      </w:r>
      <w:r w:rsidR="00B002CB">
        <w:t xml:space="preserve"> both government and market spheres.</w:t>
      </w:r>
      <w:r w:rsidR="00E819FA" w:rsidRPr="00E819FA">
        <w:t xml:space="preserve">  </w:t>
      </w:r>
    </w:p>
    <w:p w:rsidR="00E819FA" w:rsidRDefault="00E819FA" w:rsidP="00147FDE">
      <w:pPr>
        <w:pStyle w:val="Heading2"/>
      </w:pPr>
      <w:bookmarkStart w:id="14" w:name="_Toc465167550"/>
      <w:r w:rsidRPr="00E819FA">
        <w:t>Report structure</w:t>
      </w:r>
      <w:bookmarkEnd w:id="14"/>
      <w:r w:rsidRPr="00E819FA">
        <w:t xml:space="preserve"> </w:t>
      </w:r>
    </w:p>
    <w:p w:rsidR="00E819FA" w:rsidRPr="00E819FA" w:rsidRDefault="006B2AE4" w:rsidP="00147FDE">
      <w:r>
        <w:t>T</w:t>
      </w:r>
      <w:r w:rsidR="00E819FA" w:rsidRPr="00E819FA">
        <w:t>he report is broken up into five sections:</w:t>
      </w:r>
    </w:p>
    <w:p w:rsidR="00E819FA" w:rsidRPr="00E819FA" w:rsidRDefault="00E819FA" w:rsidP="008646E8">
      <w:pPr>
        <w:numPr>
          <w:ilvl w:val="0"/>
          <w:numId w:val="2"/>
        </w:numPr>
      </w:pPr>
      <w:r w:rsidRPr="00E819FA">
        <w:t>Section</w:t>
      </w:r>
      <w:r w:rsidR="006B2AE4">
        <w:t>s</w:t>
      </w:r>
      <w:r w:rsidRPr="00E819FA">
        <w:t xml:space="preserve"> 1</w:t>
      </w:r>
      <w:r w:rsidR="00A818FF">
        <w:t xml:space="preserve"> and 2 outline</w:t>
      </w:r>
      <w:r w:rsidRPr="00E819FA">
        <w:t xml:space="preserve"> </w:t>
      </w:r>
      <w:r w:rsidR="00A767D1">
        <w:t>the</w:t>
      </w:r>
      <w:r w:rsidR="00A818FF">
        <w:t xml:space="preserve"> essential </w:t>
      </w:r>
      <w:r w:rsidR="00A767D1">
        <w:t xml:space="preserve">nature of </w:t>
      </w:r>
      <w:r w:rsidR="00A818FF">
        <w:t>telecommunications in today’s world</w:t>
      </w:r>
      <w:r w:rsidR="00A767D1">
        <w:t>,</w:t>
      </w:r>
      <w:r w:rsidR="00A818FF">
        <w:t xml:space="preserve"> </w:t>
      </w:r>
      <w:r w:rsidR="00887734">
        <w:t xml:space="preserve">and </w:t>
      </w:r>
      <w:r w:rsidR="00A818FF">
        <w:t xml:space="preserve">present new data on </w:t>
      </w:r>
      <w:r w:rsidRPr="00E819FA">
        <w:t xml:space="preserve">how low income Australians are </w:t>
      </w:r>
      <w:r w:rsidR="00A818FF">
        <w:t>struggling with telecommunication</w:t>
      </w:r>
      <w:r w:rsidR="00A767D1">
        <w:t>s</w:t>
      </w:r>
      <w:r w:rsidR="00A818FF">
        <w:t xml:space="preserve"> affordability and </w:t>
      </w:r>
      <w:r w:rsidR="007B66E5">
        <w:t xml:space="preserve">are </w:t>
      </w:r>
      <w:r w:rsidR="00A818FF">
        <w:t>limiting their usage and engagement in the digital world</w:t>
      </w:r>
      <w:r w:rsidRPr="00E819FA">
        <w:t xml:space="preserve">. </w:t>
      </w:r>
    </w:p>
    <w:p w:rsidR="00E819FA" w:rsidRPr="00E819FA" w:rsidRDefault="001764B7" w:rsidP="008646E8">
      <w:pPr>
        <w:numPr>
          <w:ilvl w:val="0"/>
          <w:numId w:val="2"/>
        </w:numPr>
      </w:pPr>
      <w:r>
        <w:t>Section 3</w:t>
      </w:r>
      <w:r w:rsidR="00E819FA" w:rsidRPr="00E819FA">
        <w:t xml:space="preserve"> </w:t>
      </w:r>
      <w:r w:rsidR="00B002CB">
        <w:t>examines</w:t>
      </w:r>
      <w:r w:rsidR="00E819FA" w:rsidRPr="00E819FA">
        <w:t xml:space="preserve"> the Centrelink Telephone Allowance and considers how effective it is in helping low income Australians utilise essential telecommunications without suffering financial hardship. </w:t>
      </w:r>
    </w:p>
    <w:p w:rsidR="00E819FA" w:rsidRPr="00E819FA" w:rsidRDefault="00887734" w:rsidP="008646E8">
      <w:pPr>
        <w:numPr>
          <w:ilvl w:val="0"/>
          <w:numId w:val="2"/>
        </w:numPr>
      </w:pPr>
      <w:r>
        <w:t>Sec</w:t>
      </w:r>
      <w:r w:rsidR="001764B7">
        <w:t>tion 4</w:t>
      </w:r>
      <w:r w:rsidR="00E819FA" w:rsidRPr="00E819FA">
        <w:t xml:space="preserve"> analyses the suitability of telecommunications products on the ma</w:t>
      </w:r>
      <w:r>
        <w:t xml:space="preserve">rket </w:t>
      </w:r>
      <w:r w:rsidR="00534D38">
        <w:t>for low income consumers, identifying</w:t>
      </w:r>
      <w:r w:rsidR="001764B7" w:rsidRPr="00A3286B">
        <w:t xml:space="preserve"> </w:t>
      </w:r>
      <w:r w:rsidR="00B002CB">
        <w:t>a range of poverty traps and barriers to affordability</w:t>
      </w:r>
      <w:r w:rsidR="00433FF5" w:rsidRPr="00A3286B">
        <w:t xml:space="preserve"> for low income c</w:t>
      </w:r>
      <w:r w:rsidR="00B002CB">
        <w:t>onsumers, and makes recommendations for product and market reform.</w:t>
      </w:r>
    </w:p>
    <w:p w:rsidR="00A72F06" w:rsidRPr="000D360E" w:rsidRDefault="001764B7" w:rsidP="0004483D">
      <w:pPr>
        <w:numPr>
          <w:ilvl w:val="0"/>
          <w:numId w:val="2"/>
        </w:numPr>
      </w:pPr>
      <w:r w:rsidRPr="000D360E">
        <w:t>Sections 5</w:t>
      </w:r>
      <w:r w:rsidR="00E819FA" w:rsidRPr="000D360E">
        <w:t xml:space="preserve"> summari</w:t>
      </w:r>
      <w:r w:rsidR="006B2AE4">
        <w:t>s</w:t>
      </w:r>
      <w:r w:rsidR="00E819FA" w:rsidRPr="000D360E">
        <w:t>es the findings</w:t>
      </w:r>
      <w:r w:rsidR="00887734" w:rsidRPr="000D360E">
        <w:t xml:space="preserve"> and key recommendations</w:t>
      </w:r>
      <w:r w:rsidR="00E819FA" w:rsidRPr="000D360E">
        <w:t xml:space="preserve"> of the report</w:t>
      </w:r>
      <w:r w:rsidR="00887734" w:rsidRPr="000D360E">
        <w:t>.</w:t>
      </w:r>
      <w:bookmarkStart w:id="15" w:name="h.tyjcwt" w:colFirst="0" w:colLast="0"/>
      <w:bookmarkStart w:id="16" w:name="h.3dy6vkm" w:colFirst="0" w:colLast="0"/>
      <w:bookmarkEnd w:id="15"/>
      <w:bookmarkEnd w:id="16"/>
    </w:p>
    <w:p w:rsidR="003118D9" w:rsidRPr="00A72F06" w:rsidRDefault="003118D9" w:rsidP="00A72F06">
      <w:pPr>
        <w:pStyle w:val="Heading2"/>
      </w:pPr>
      <w:bookmarkStart w:id="17" w:name="_Toc465167551"/>
      <w:r w:rsidRPr="00A72F06">
        <w:t>Methodology</w:t>
      </w:r>
      <w:bookmarkEnd w:id="17"/>
    </w:p>
    <w:p w:rsidR="00B002CB" w:rsidRDefault="00B002CB" w:rsidP="00B11E1C">
      <w:r>
        <w:t>The first two sections of the report summarise established literature</w:t>
      </w:r>
      <w:r w:rsidR="00534D38">
        <w:t xml:space="preserve"> on</w:t>
      </w:r>
      <w:r>
        <w:t xml:space="preserve"> current consumption patterns, the case for telecommunications as an essential expenditure, and the affordability challenges for low income consumers.  However, this literature review is supplemented by data from a survey </w:t>
      </w:r>
      <w:r w:rsidR="00817DD1">
        <w:t xml:space="preserve">and </w:t>
      </w:r>
      <w:r>
        <w:t>a series of focus groups with low income consumers about their experience of telecommun</w:t>
      </w:r>
      <w:r w:rsidR="007B66E5">
        <w:t>ications</w:t>
      </w:r>
      <w:r>
        <w:t xml:space="preserve">.  The survey and the focus groups were specifically commissioned </w:t>
      </w:r>
      <w:r w:rsidR="007B66E5">
        <w:t xml:space="preserve">for </w:t>
      </w:r>
      <w:r>
        <w:t xml:space="preserve">and </w:t>
      </w:r>
      <w:r w:rsidR="00FF1D73">
        <w:t xml:space="preserve">form </w:t>
      </w:r>
      <w:r w:rsidR="007B66E5">
        <w:t>the major primary research</w:t>
      </w:r>
      <w:r w:rsidR="00FF1D73">
        <w:t xml:space="preserve"> under</w:t>
      </w:r>
      <w:r w:rsidR="00A767D1">
        <w:t>pinning</w:t>
      </w:r>
      <w:r w:rsidR="00534D38">
        <w:t xml:space="preserve"> this report.</w:t>
      </w:r>
    </w:p>
    <w:p w:rsidR="00314FFE" w:rsidRPr="00314FFE" w:rsidRDefault="00314FFE" w:rsidP="00F301F0">
      <w:pPr>
        <w:pStyle w:val="Heading3"/>
      </w:pPr>
      <w:bookmarkStart w:id="18" w:name="_Toc465167552"/>
      <w:r>
        <w:t>Survey</w:t>
      </w:r>
      <w:bookmarkEnd w:id="18"/>
    </w:p>
    <w:p w:rsidR="00B002CB" w:rsidRDefault="00B002CB" w:rsidP="00B72325">
      <w:r>
        <w:t xml:space="preserve">The survey was commissioned by SACOSS and conducted in May 2016 by Adelaide-based market research company, Mint Research.  The 12-minute survey was conducted via a mix of online and telephone questionnaires with a random sample of 523 telecommunications consumers across the country </w:t>
      </w:r>
      <w:r w:rsidRPr="00B002CB">
        <w:t>whose main source of income was a Centrelink benefit or who were eligible for the Low Income Health Care Card.</w:t>
      </w:r>
      <w:r>
        <w:t xml:space="preserve"> </w:t>
      </w:r>
      <w:r w:rsidR="00F2300E">
        <w:t xml:space="preserve">The demographic mix of survey participants is set out in </w:t>
      </w:r>
      <w:r w:rsidR="00F2300E" w:rsidRPr="00A818FF">
        <w:t>Appendix 1</w:t>
      </w:r>
      <w:r w:rsidR="00F2300E">
        <w:t>.</w:t>
      </w:r>
    </w:p>
    <w:p w:rsidR="00314FFE" w:rsidRDefault="00F2300E" w:rsidP="00B72325">
      <w:r>
        <w:t>T</w:t>
      </w:r>
      <w:r w:rsidR="00B002CB">
        <w:t xml:space="preserve">he survey asked a range of questions about </w:t>
      </w:r>
      <w:r w:rsidR="00FC5BB6">
        <w:t>respondents’</w:t>
      </w:r>
      <w:r w:rsidR="00B002CB">
        <w:t xml:space="preserve"> use of telecommunications, the costs of connecting and remaining connected, and about the Centrelink Telephone Allowance.  The general telecommunications </w:t>
      </w:r>
      <w:r w:rsidR="00314FFE">
        <w:t xml:space="preserve">use and affordability </w:t>
      </w:r>
      <w:r w:rsidR="00B002CB">
        <w:t>questions cover similar ground to many other studies</w:t>
      </w:r>
      <w:r w:rsidR="00314FFE">
        <w:t xml:space="preserve">, although these studies tend to either focus on </w:t>
      </w:r>
      <w:r w:rsidR="00A2066F">
        <w:t>low</w:t>
      </w:r>
      <w:r w:rsidR="00314FFE">
        <w:t xml:space="preserve"> </w:t>
      </w:r>
      <w:r w:rsidR="00314FFE">
        <w:lastRenderedPageBreak/>
        <w:t>income quintile</w:t>
      </w:r>
      <w:r w:rsidR="00A2066F">
        <w:t>s</w:t>
      </w:r>
      <w:r w:rsidR="00314FFE">
        <w:t xml:space="preserve"> (which is not particularly nuanced),or alternatively on the clients of welfare organisations (who are probably doing it tougher than others on a similar income).</w:t>
      </w:r>
      <w:r w:rsidR="00DD3224">
        <w:t xml:space="preserve"> </w:t>
      </w:r>
      <w:r w:rsidR="00314FFE">
        <w:t xml:space="preserve"> Our survey focuses between these two poles and gives specific data relating to those on Centrelink benefits. </w:t>
      </w:r>
      <w:r w:rsidR="00DD3224">
        <w:t xml:space="preserve"> </w:t>
      </w:r>
      <w:r w:rsidR="00314FFE">
        <w:t xml:space="preserve">While much of this data reflects the trends in previous studies </w:t>
      </w:r>
      <w:r w:rsidR="00B002CB">
        <w:t>(</w:t>
      </w:r>
      <w:r w:rsidR="00314FFE">
        <w:t>which confirms</w:t>
      </w:r>
      <w:r w:rsidR="00B002CB">
        <w:t xml:space="preserve"> the representativeness of the sample group in the survey), </w:t>
      </w:r>
      <w:r w:rsidR="00314FFE">
        <w:t>there are some useful distinctions to be drawn between different income support recipients. Further, this is one of the only studies to ask about</w:t>
      </w:r>
      <w:r w:rsidR="00B002CB">
        <w:t xml:space="preserve"> the CTA. </w:t>
      </w:r>
    </w:p>
    <w:p w:rsidR="00314FFE" w:rsidRDefault="00A2066F" w:rsidP="00B72325">
      <w:pPr>
        <w:rPr>
          <w:lang w:val="en-US" w:eastAsia="ja-JP"/>
        </w:rPr>
      </w:pPr>
      <w:r>
        <w:t>I</w:t>
      </w:r>
      <w:r w:rsidR="00314FFE">
        <w:t>t should be noted that p</w:t>
      </w:r>
      <w:proofErr w:type="spellStart"/>
      <w:r w:rsidR="00314FFE">
        <w:rPr>
          <w:lang w:val="en-US" w:eastAsia="ja-JP"/>
        </w:rPr>
        <w:t>rior</w:t>
      </w:r>
      <w:proofErr w:type="spellEnd"/>
      <w:r w:rsidR="00314FFE">
        <w:rPr>
          <w:lang w:val="en-US" w:eastAsia="ja-JP"/>
        </w:rPr>
        <w:t xml:space="preserve"> to the 2016 Federal Election, ACCAN and SACOSS jointly released a high level briefing on the preliminary data from this survey. </w:t>
      </w:r>
      <w:r w:rsidR="00974C5B">
        <w:rPr>
          <w:lang w:val="en-US" w:eastAsia="ja-JP"/>
        </w:rPr>
        <w:t xml:space="preserve"> </w:t>
      </w:r>
      <w:r w:rsidR="00314FFE">
        <w:rPr>
          <w:lang w:val="en-US" w:eastAsia="ja-JP"/>
        </w:rPr>
        <w:t>The purpose then was simply to highlight the shortcomings of the CTA, and in the election context</w:t>
      </w:r>
      <w:r>
        <w:rPr>
          <w:lang w:val="en-US" w:eastAsia="ja-JP"/>
        </w:rPr>
        <w:t>,</w:t>
      </w:r>
      <w:r w:rsidR="00314FFE">
        <w:rPr>
          <w:lang w:val="en-US" w:eastAsia="ja-JP"/>
        </w:rPr>
        <w:t xml:space="preserve"> to call for a commitment from all candidates and parties to review and update it </w:t>
      </w:r>
      <w:sdt>
        <w:sdtPr>
          <w:rPr>
            <w:lang w:val="en-US" w:eastAsia="ja-JP"/>
          </w:rPr>
          <w:id w:val="-2141174696"/>
          <w:citation/>
        </w:sdtPr>
        <w:sdtContent>
          <w:r w:rsidR="00C907D6">
            <w:rPr>
              <w:lang w:val="en-US" w:eastAsia="ja-JP"/>
            </w:rPr>
            <w:fldChar w:fldCharType="begin"/>
          </w:r>
          <w:r w:rsidR="00314FFE">
            <w:rPr>
              <w:lang w:eastAsia="ja-JP"/>
            </w:rPr>
            <w:instrText xml:space="preserve">CITATION Mus16 \l 3081 </w:instrText>
          </w:r>
          <w:r w:rsidR="00C907D6">
            <w:rPr>
              <w:lang w:val="en-US" w:eastAsia="ja-JP"/>
            </w:rPr>
            <w:fldChar w:fldCharType="separate"/>
          </w:r>
          <w:r w:rsidR="000D79D7">
            <w:rPr>
              <w:noProof/>
              <w:lang w:eastAsia="ja-JP"/>
            </w:rPr>
            <w:t>(Musolino &amp; Ogle, 2016)</w:t>
          </w:r>
          <w:r w:rsidR="00C907D6">
            <w:rPr>
              <w:lang w:val="en-US" w:eastAsia="ja-JP"/>
            </w:rPr>
            <w:fldChar w:fldCharType="end"/>
          </w:r>
        </w:sdtContent>
      </w:sdt>
      <w:r w:rsidR="00314FFE">
        <w:rPr>
          <w:lang w:val="en-US" w:eastAsia="ja-JP"/>
        </w:rPr>
        <w:t>.  This</w:t>
      </w:r>
      <w:r w:rsidR="00651F8B">
        <w:rPr>
          <w:lang w:val="en-US" w:eastAsia="ja-JP"/>
        </w:rPr>
        <w:t xml:space="preserve"> current</w:t>
      </w:r>
      <w:r w:rsidR="00314FFE">
        <w:rPr>
          <w:lang w:val="en-US" w:eastAsia="ja-JP"/>
        </w:rPr>
        <w:t xml:space="preserve"> report </w:t>
      </w:r>
      <w:r>
        <w:rPr>
          <w:lang w:val="en-US" w:eastAsia="ja-JP"/>
        </w:rPr>
        <w:t xml:space="preserve">now </w:t>
      </w:r>
      <w:r w:rsidR="00314FFE">
        <w:rPr>
          <w:lang w:val="en-US" w:eastAsia="ja-JP"/>
        </w:rPr>
        <w:t xml:space="preserve">provides </w:t>
      </w:r>
      <w:r>
        <w:rPr>
          <w:lang w:val="en-US" w:eastAsia="ja-JP"/>
        </w:rPr>
        <w:t>further data and</w:t>
      </w:r>
      <w:r w:rsidR="00314FFE">
        <w:rPr>
          <w:lang w:val="en-US" w:eastAsia="ja-JP"/>
        </w:rPr>
        <w:t xml:space="preserve"> analysis and makes a number of recommendations for how the CTA could be updated to more effectively assist low income Australians to afford telecommunications. </w:t>
      </w:r>
    </w:p>
    <w:p w:rsidR="00314FFE" w:rsidRDefault="00314FFE" w:rsidP="00F301F0">
      <w:pPr>
        <w:pStyle w:val="Heading3"/>
      </w:pPr>
      <w:bookmarkStart w:id="19" w:name="_Toc465167553"/>
      <w:r>
        <w:rPr>
          <w:lang w:val="en-US" w:eastAsia="ja-JP"/>
        </w:rPr>
        <w:t>Focus Groups</w:t>
      </w:r>
      <w:bookmarkEnd w:id="19"/>
    </w:p>
    <w:p w:rsidR="00B002CB" w:rsidRDefault="00B002CB" w:rsidP="00B72325">
      <w:r>
        <w:t>The focus group</w:t>
      </w:r>
      <w:r w:rsidR="00A2066F">
        <w:t xml:space="preserve">s, which were conducted </w:t>
      </w:r>
      <w:r w:rsidR="00974C5B">
        <w:t xml:space="preserve">in Adelaide </w:t>
      </w:r>
      <w:r w:rsidR="00A2066F">
        <w:t>by SACOSS staff in June and July 2016</w:t>
      </w:r>
      <w:r w:rsidR="00E4061A">
        <w:t>,</w:t>
      </w:r>
      <w:r w:rsidR="00A2066F">
        <w:t xml:space="preserve"> </w:t>
      </w:r>
      <w:r w:rsidR="00E4061A">
        <w:t>examined</w:t>
      </w:r>
      <w:r>
        <w:t xml:space="preserve"> low income consumers</w:t>
      </w:r>
      <w:r w:rsidR="00E4061A">
        <w:t>’ experiences of telecommunications services and products.</w:t>
      </w:r>
      <w:r>
        <w:t xml:space="preserve"> </w:t>
      </w:r>
      <w:r w:rsidR="00A2066F">
        <w:t xml:space="preserve"> There were</w:t>
      </w:r>
      <w:r>
        <w:t xml:space="preserve"> four 90-minute focus groups with consumers recruited through the South Australian Financial Counsellors Association, Uniting</w:t>
      </w:r>
      <w:r w:rsidR="009C1CB9">
        <w:t xml:space="preserve"> </w:t>
      </w:r>
      <w:r>
        <w:t>Care Wesley Bowden, the Anti-Poverty Network, and the Youth Af</w:t>
      </w:r>
      <w:r w:rsidR="00A2066F">
        <w:t>fairs Council of SA</w:t>
      </w:r>
      <w:r>
        <w:t>.</w:t>
      </w:r>
    </w:p>
    <w:p w:rsidR="00B002CB" w:rsidRDefault="00B002CB" w:rsidP="00B72325">
      <w:r>
        <w:t xml:space="preserve">In addition to the 27 people who participated in these </w:t>
      </w:r>
      <w:r w:rsidR="001E608D">
        <w:t>four</w:t>
      </w:r>
      <w:r>
        <w:t xml:space="preserve"> focus groups, five one-on-one interviews were conducted with the same script</w:t>
      </w:r>
      <w:r w:rsidR="00257BB4">
        <w:t xml:space="preserve"> and</w:t>
      </w:r>
      <w:r w:rsidR="008021F5">
        <w:t xml:space="preserve"> </w:t>
      </w:r>
      <w:r>
        <w:t xml:space="preserve">questions. </w:t>
      </w:r>
      <w:r w:rsidR="00974C5B">
        <w:t xml:space="preserve"> </w:t>
      </w:r>
      <w:r>
        <w:t>As there was no significant difference in the responses from the foc</w:t>
      </w:r>
      <w:r w:rsidR="00A2066F">
        <w:t>us groups and interviews, in this</w:t>
      </w:r>
      <w:r>
        <w:t xml:space="preserve"> report all are simply referred to as “focus groups participants”.</w:t>
      </w:r>
      <w:r w:rsidR="00A2066F">
        <w:t xml:space="preserve"> </w:t>
      </w:r>
      <w:r>
        <w:t xml:space="preserve"> The participants included a range of ages and household types, with a high proportion (around 1/3) being from non-English speaking backgrounds. </w:t>
      </w:r>
      <w:r w:rsidR="00DD3224">
        <w:t xml:space="preserve"> </w:t>
      </w:r>
      <w:r>
        <w:t xml:space="preserve">The participants were predominantly income support </w:t>
      </w:r>
      <w:proofErr w:type="gramStart"/>
      <w:r w:rsidR="001E608D">
        <w:t>recipients,</w:t>
      </w:r>
      <w:proofErr w:type="gramEnd"/>
      <w:r>
        <w:t xml:space="preserve"> although some were employed on low incomes and one ran a small business alongside their tertiary study.</w:t>
      </w:r>
    </w:p>
    <w:p w:rsidR="00D410C7" w:rsidRDefault="00D410C7" w:rsidP="00B72325"/>
    <w:p w:rsidR="00D410C7" w:rsidRPr="00D410C7" w:rsidRDefault="00D410C7" w:rsidP="00B72325">
      <w:pPr>
        <w:sectPr w:rsidR="00D410C7" w:rsidRPr="00D410C7" w:rsidSect="00BE561F">
          <w:pgSz w:w="11906" w:h="16838"/>
          <w:pgMar w:top="1701" w:right="1701" w:bottom="2698" w:left="1701" w:header="720" w:footer="933" w:gutter="0"/>
          <w:cols w:space="720"/>
          <w:docGrid w:linePitch="299"/>
        </w:sectPr>
      </w:pPr>
    </w:p>
    <w:p w:rsidR="00E819FA" w:rsidRDefault="002C0F03" w:rsidP="0027163C">
      <w:pPr>
        <w:pStyle w:val="Heading1"/>
        <w:numPr>
          <w:ilvl w:val="0"/>
          <w:numId w:val="15"/>
        </w:numPr>
      </w:pPr>
      <w:bookmarkStart w:id="20" w:name="_Toc465167554"/>
      <w:r>
        <w:rPr>
          <w:noProof/>
          <w:lang w:val="en-AU" w:eastAsia="en-AU"/>
        </w:rPr>
        <w:lastRenderedPageBreak/>
        <mc:AlternateContent>
          <mc:Choice Requires="wps">
            <w:drawing>
              <wp:anchor distT="0" distB="0" distL="114300" distR="114300" simplePos="0" relativeHeight="251660288" behindDoc="0" locked="0" layoutInCell="1" allowOverlap="1" wp14:anchorId="5D4FD617" wp14:editId="5AD50998">
                <wp:simplePos x="0" y="0"/>
                <wp:positionH relativeFrom="column">
                  <wp:posOffset>27305</wp:posOffset>
                </wp:positionH>
                <wp:positionV relativeFrom="paragraph">
                  <wp:posOffset>1173480</wp:posOffset>
                </wp:positionV>
                <wp:extent cx="5010150" cy="3773170"/>
                <wp:effectExtent l="0" t="0" r="19050" b="17780"/>
                <wp:wrapTopAndBottom/>
                <wp:docPr id="4" name="Text Box 4"/>
                <wp:cNvGraphicFramePr/>
                <a:graphic xmlns:a="http://schemas.openxmlformats.org/drawingml/2006/main">
                  <a:graphicData uri="http://schemas.microsoft.com/office/word/2010/wordprocessingShape">
                    <wps:wsp>
                      <wps:cNvSpPr txBox="1"/>
                      <wps:spPr>
                        <a:xfrm>
                          <a:off x="0" y="0"/>
                          <a:ext cx="5010150" cy="3773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1CFF" w:rsidRPr="002C0F03" w:rsidRDefault="00881CFF">
                            <w:pPr>
                              <w:rPr>
                                <w:b/>
                                <w:sz w:val="28"/>
                                <w:szCs w:val="28"/>
                              </w:rPr>
                            </w:pPr>
                            <w:r w:rsidRPr="002C0F03">
                              <w:rPr>
                                <w:b/>
                                <w:sz w:val="28"/>
                                <w:szCs w:val="28"/>
                              </w:rPr>
                              <w:t>Key</w:t>
                            </w:r>
                            <w:r>
                              <w:rPr>
                                <w:b/>
                              </w:rPr>
                              <w:t xml:space="preserve"> </w:t>
                            </w:r>
                            <w:r w:rsidRPr="002C0F03">
                              <w:rPr>
                                <w:b/>
                                <w:sz w:val="28"/>
                                <w:szCs w:val="28"/>
                              </w:rPr>
                              <w:t>Findings</w:t>
                            </w:r>
                          </w:p>
                          <w:p w:rsidR="00881CFF" w:rsidRPr="0012724F" w:rsidRDefault="00881CFF" w:rsidP="00567914">
                            <w:pPr>
                              <w:pStyle w:val="ListParagraph"/>
                              <w:numPr>
                                <w:ilvl w:val="0"/>
                                <w:numId w:val="13"/>
                              </w:numPr>
                              <w:rPr>
                                <w:rFonts w:ascii="Arial" w:hAnsi="Arial" w:cs="Arial"/>
                              </w:rPr>
                            </w:pPr>
                            <w:r w:rsidRPr="0012724F">
                              <w:rPr>
                                <w:rFonts w:ascii="Arial" w:hAnsi="Arial" w:cs="Arial"/>
                              </w:rPr>
                              <w:t>Access to telecommunications is essential for full economic and social participation, with many day to day tasks now being completed primarily or exclusively on a mobile phone.</w:t>
                            </w:r>
                          </w:p>
                          <w:p w:rsidR="00881CFF" w:rsidRPr="0012724F" w:rsidRDefault="00881CFF" w:rsidP="00567914">
                            <w:pPr>
                              <w:pStyle w:val="ListParagraph"/>
                              <w:numPr>
                                <w:ilvl w:val="0"/>
                                <w:numId w:val="13"/>
                              </w:numPr>
                              <w:rPr>
                                <w:rFonts w:ascii="Arial" w:hAnsi="Arial" w:cs="Arial"/>
                              </w:rPr>
                            </w:pPr>
                            <w:r w:rsidRPr="0012724F">
                              <w:rPr>
                                <w:rFonts w:ascii="Arial" w:hAnsi="Arial" w:cs="Arial"/>
                              </w:rPr>
                              <w:t>The low income consumers surveyed used the internet to look for employment (83%) or housing (71%), to access government services (68%), access other services (such as banking and medical)(61%) and completing education activities (59%).</w:t>
                            </w:r>
                          </w:p>
                          <w:p w:rsidR="00881CFF" w:rsidRPr="0012724F" w:rsidRDefault="00881CFF" w:rsidP="00567914">
                            <w:pPr>
                              <w:pStyle w:val="ListParagraph"/>
                              <w:numPr>
                                <w:ilvl w:val="0"/>
                                <w:numId w:val="13"/>
                              </w:numPr>
                              <w:rPr>
                                <w:rFonts w:ascii="Arial" w:hAnsi="Arial" w:cs="Arial"/>
                              </w:rPr>
                            </w:pPr>
                            <w:r w:rsidRPr="0012724F">
                              <w:rPr>
                                <w:rFonts w:ascii="Arial" w:hAnsi="Arial" w:cs="Arial"/>
                              </w:rPr>
                              <w:t>Government services are moving primarily online and the survey data confirmed this: 26% of respondents said they usually accessed government services by phone, and 68% online.</w:t>
                            </w:r>
                          </w:p>
                          <w:p w:rsidR="00881CFF" w:rsidRPr="0012724F" w:rsidRDefault="00881CFF" w:rsidP="00567914">
                            <w:pPr>
                              <w:pStyle w:val="ListParagraph"/>
                              <w:numPr>
                                <w:ilvl w:val="0"/>
                                <w:numId w:val="13"/>
                              </w:numPr>
                              <w:rPr>
                                <w:rFonts w:ascii="Arial" w:hAnsi="Arial" w:cs="Arial"/>
                              </w:rPr>
                            </w:pPr>
                            <w:r w:rsidRPr="0012724F">
                              <w:rPr>
                                <w:rFonts w:ascii="Arial" w:hAnsi="Arial" w:cs="Arial"/>
                              </w:rPr>
                              <w:t>Low income households have a range of internet-connected devices, although the number of devices per household is lower than the broader population. The number of devices varies depending on household composition and income support payment-type.</w:t>
                            </w:r>
                          </w:p>
                          <w:p w:rsidR="00881CFF" w:rsidRPr="0012724F" w:rsidRDefault="00881CFF" w:rsidP="00567914">
                            <w:pPr>
                              <w:pStyle w:val="ListParagraph"/>
                              <w:numPr>
                                <w:ilvl w:val="0"/>
                                <w:numId w:val="13"/>
                              </w:numPr>
                              <w:rPr>
                                <w:rFonts w:ascii="Arial" w:hAnsi="Arial" w:cs="Arial"/>
                              </w:rPr>
                            </w:pPr>
                            <w:r w:rsidRPr="00F85636">
                              <w:rPr>
                                <w:rFonts w:ascii="Arial" w:hAnsi="Arial" w:cs="Arial"/>
                              </w:rPr>
                              <w:t>Connectivity is essential, but not universal, with 9% of the population without a mobile phone and 15% not using the internet (and more for some groups in the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5pt;margin-top:92.4pt;width:394.5pt;height:29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" fillcolor="white [3201]" strokeweight=".5pt">
                <v:textbox>
                  <w:txbxContent>
                    <w:p w:rsidR="00881CFF" w:rsidRPr="002C0F03" w:rsidRDefault="00881CFF">
                      <w:pPr>
                        <w:rPr>
                          <w:b/>
                          <w:sz w:val="28"/>
                          <w:szCs w:val="28"/>
                        </w:rPr>
                      </w:pPr>
                      <w:r w:rsidRPr="002C0F03">
                        <w:rPr>
                          <w:b/>
                          <w:sz w:val="28"/>
                          <w:szCs w:val="28"/>
                        </w:rPr>
                        <w:t>Key</w:t>
                      </w:r>
                      <w:r>
                        <w:rPr>
                          <w:b/>
                        </w:rPr>
                        <w:t xml:space="preserve"> </w:t>
                      </w:r>
                      <w:r w:rsidRPr="002C0F03">
                        <w:rPr>
                          <w:b/>
                          <w:sz w:val="28"/>
                          <w:szCs w:val="28"/>
                        </w:rPr>
                        <w:t>Findings</w:t>
                      </w:r>
                    </w:p>
                    <w:p w:rsidR="00881CFF" w:rsidRPr="0012724F" w:rsidRDefault="00881CFF" w:rsidP="00567914">
                      <w:pPr>
                        <w:pStyle w:val="ListParagraph"/>
                        <w:numPr>
                          <w:ilvl w:val="0"/>
                          <w:numId w:val="13"/>
                        </w:numPr>
                        <w:rPr>
                          <w:rFonts w:ascii="Arial" w:hAnsi="Arial" w:cs="Arial"/>
                        </w:rPr>
                      </w:pPr>
                      <w:r w:rsidRPr="0012724F">
                        <w:rPr>
                          <w:rFonts w:ascii="Arial" w:hAnsi="Arial" w:cs="Arial"/>
                        </w:rPr>
                        <w:t>Access to telecommunications is essential for full economic and social participation, with many day to day tasks now being completed primarily or exclusively on a mobile phone.</w:t>
                      </w:r>
                    </w:p>
                    <w:p w:rsidR="00881CFF" w:rsidRPr="0012724F" w:rsidRDefault="00881CFF" w:rsidP="00567914">
                      <w:pPr>
                        <w:pStyle w:val="ListParagraph"/>
                        <w:numPr>
                          <w:ilvl w:val="0"/>
                          <w:numId w:val="13"/>
                        </w:numPr>
                        <w:rPr>
                          <w:rFonts w:ascii="Arial" w:hAnsi="Arial" w:cs="Arial"/>
                        </w:rPr>
                      </w:pPr>
                      <w:r w:rsidRPr="0012724F">
                        <w:rPr>
                          <w:rFonts w:ascii="Arial" w:hAnsi="Arial" w:cs="Arial"/>
                        </w:rPr>
                        <w:t>The low income consumers surveyed used the internet to look for employment (83%) or housing (71%), to access government services (68%), access other services (such as banking and medical)(61%) and completing education activities (59%).</w:t>
                      </w:r>
                    </w:p>
                    <w:p w:rsidR="00881CFF" w:rsidRPr="0012724F" w:rsidRDefault="00881CFF" w:rsidP="00567914">
                      <w:pPr>
                        <w:pStyle w:val="ListParagraph"/>
                        <w:numPr>
                          <w:ilvl w:val="0"/>
                          <w:numId w:val="13"/>
                        </w:numPr>
                        <w:rPr>
                          <w:rFonts w:ascii="Arial" w:hAnsi="Arial" w:cs="Arial"/>
                        </w:rPr>
                      </w:pPr>
                      <w:r w:rsidRPr="0012724F">
                        <w:rPr>
                          <w:rFonts w:ascii="Arial" w:hAnsi="Arial" w:cs="Arial"/>
                        </w:rPr>
                        <w:t>Government services are moving primarily online and the survey data confirmed this: 26% of respondents said they usually accessed government services by phone, and 68% online.</w:t>
                      </w:r>
                    </w:p>
                    <w:p w:rsidR="00881CFF" w:rsidRPr="0012724F" w:rsidRDefault="00881CFF" w:rsidP="00567914">
                      <w:pPr>
                        <w:pStyle w:val="ListParagraph"/>
                        <w:numPr>
                          <w:ilvl w:val="0"/>
                          <w:numId w:val="13"/>
                        </w:numPr>
                        <w:rPr>
                          <w:rFonts w:ascii="Arial" w:hAnsi="Arial" w:cs="Arial"/>
                        </w:rPr>
                      </w:pPr>
                      <w:r w:rsidRPr="0012724F">
                        <w:rPr>
                          <w:rFonts w:ascii="Arial" w:hAnsi="Arial" w:cs="Arial"/>
                        </w:rPr>
                        <w:t>Low income households have a range of internet-connected devices, although the number of devices per household is lower than the broader population. The number of devices varies depending on household composition and income support payment-type.</w:t>
                      </w:r>
                    </w:p>
                    <w:p w:rsidR="00881CFF" w:rsidRPr="0012724F" w:rsidRDefault="00881CFF" w:rsidP="00567914">
                      <w:pPr>
                        <w:pStyle w:val="ListParagraph"/>
                        <w:numPr>
                          <w:ilvl w:val="0"/>
                          <w:numId w:val="13"/>
                        </w:numPr>
                        <w:rPr>
                          <w:rFonts w:ascii="Arial" w:hAnsi="Arial" w:cs="Arial"/>
                        </w:rPr>
                      </w:pPr>
                      <w:r w:rsidRPr="00F85636">
                        <w:rPr>
                          <w:rFonts w:ascii="Arial" w:hAnsi="Arial" w:cs="Arial"/>
                        </w:rPr>
                        <w:t>Connectivity is essential, but not universal, with 9% of the population without a mobile phone and 15% not using the internet (and more for some groups in the survey).</w:t>
                      </w:r>
                    </w:p>
                  </w:txbxContent>
                </v:textbox>
                <w10:wrap type="topAndBottom"/>
              </v:shape>
            </w:pict>
          </mc:Fallback>
        </mc:AlternateContent>
      </w:r>
      <w:r w:rsidR="00DF0103">
        <w:t>E</w:t>
      </w:r>
      <w:r w:rsidR="00DF0103" w:rsidRPr="006D3A1D">
        <w:t>ssential telecommunications</w:t>
      </w:r>
      <w:r w:rsidR="00DF0103">
        <w:t xml:space="preserve"> in the digital age</w:t>
      </w:r>
      <w:bookmarkEnd w:id="20"/>
      <w:r w:rsidR="006D3A1D">
        <w:t xml:space="preserve"> </w:t>
      </w:r>
    </w:p>
    <w:p w:rsidR="002C0F03" w:rsidRDefault="002C0F03" w:rsidP="002C0F03">
      <w:pPr>
        <w:rPr>
          <w:lang w:val="en-US" w:eastAsia="ja-JP"/>
        </w:rPr>
      </w:pPr>
    </w:p>
    <w:p w:rsidR="008360DC" w:rsidRDefault="008360DC" w:rsidP="008360DC">
      <w:pPr>
        <w:pStyle w:val="Heading2"/>
      </w:pPr>
      <w:bookmarkStart w:id="21" w:name="_Toc465167555"/>
      <w:r>
        <w:t>Essential Uses</w:t>
      </w:r>
      <w:bookmarkEnd w:id="21"/>
    </w:p>
    <w:p w:rsidR="00B33546" w:rsidRDefault="00037290" w:rsidP="00E819FA">
      <w:r>
        <w:t>A</w:t>
      </w:r>
      <w:r w:rsidRPr="00037290">
        <w:t>ccess to telecommunications services</w:t>
      </w:r>
      <w:r w:rsidR="00463B25">
        <w:t xml:space="preserve"> is essential for full economic and</w:t>
      </w:r>
      <w:r w:rsidRPr="00037290">
        <w:t xml:space="preserve"> so</w:t>
      </w:r>
      <w:r w:rsidR="00463B25">
        <w:t>cial</w:t>
      </w:r>
      <w:r>
        <w:t xml:space="preserve"> participation </w:t>
      </w:r>
      <w:r w:rsidR="00463B25">
        <w:t>in today’s connected world</w:t>
      </w:r>
      <w:r w:rsidR="0009006C">
        <w:t>, including</w:t>
      </w:r>
      <w:r w:rsidR="00463B25">
        <w:t xml:space="preserve"> </w:t>
      </w:r>
      <w:r w:rsidR="0009006C">
        <w:t>communicating wi</w:t>
      </w:r>
      <w:r w:rsidR="00270ACA">
        <w:t>th family and friends, accessing</w:t>
      </w:r>
      <w:r w:rsidR="0009006C">
        <w:t xml:space="preserve"> services</w:t>
      </w:r>
      <w:r w:rsidR="005B7B71">
        <w:t xml:space="preserve"> and</w:t>
      </w:r>
      <w:r w:rsidR="0009006C">
        <w:t xml:space="preserve"> information</w:t>
      </w:r>
      <w:r w:rsidR="005B7B71">
        <w:t>,</w:t>
      </w:r>
      <w:r w:rsidR="0009006C">
        <w:t xml:space="preserve"> entertainment</w:t>
      </w:r>
      <w:r w:rsidR="005B7B71">
        <w:t>,</w:t>
      </w:r>
      <w:r w:rsidR="0009006C">
        <w:t xml:space="preserve"> and engag</w:t>
      </w:r>
      <w:r w:rsidR="00DE6DA2">
        <w:t xml:space="preserve">ing in education and employment </w:t>
      </w:r>
      <w:r w:rsidR="005B7B71">
        <w:t xml:space="preserve">activities </w:t>
      </w:r>
      <w:r w:rsidR="00DE6DA2" w:rsidRPr="00DE6DA2">
        <w:rPr>
          <w:noProof/>
        </w:rPr>
        <w:t>(ACCAN, 2015)</w:t>
      </w:r>
      <w:r w:rsidR="00DE6DA2">
        <w:t>.</w:t>
      </w:r>
      <w:r w:rsidR="0009006C">
        <w:t xml:space="preserve"> Where once </w:t>
      </w:r>
      <w:r w:rsidR="006E29B5">
        <w:t>many of the</w:t>
      </w:r>
      <w:r w:rsidR="001028D6">
        <w:t xml:space="preserve">se activities did not involve telecommunications, or if they did </w:t>
      </w:r>
      <w:r w:rsidR="0009006C">
        <w:t xml:space="preserve">the fixed line telephone was the </w:t>
      </w:r>
      <w:r w:rsidR="007B3EB1">
        <w:t>only</w:t>
      </w:r>
      <w:r w:rsidR="00FA4947">
        <w:t>,</w:t>
      </w:r>
      <w:r w:rsidR="0009006C">
        <w:t xml:space="preserve"> or most commonly used </w:t>
      </w:r>
      <w:r w:rsidR="00A2066F">
        <w:t>technology</w:t>
      </w:r>
      <w:r w:rsidR="007B3EB1">
        <w:t xml:space="preserve">, today Australians </w:t>
      </w:r>
      <w:r w:rsidR="00FA4947">
        <w:t xml:space="preserve">increasingly </w:t>
      </w:r>
      <w:r w:rsidR="007B3EB1">
        <w:t>complete these activities primarily or exclusively using a mobile telephone and/or the internet</w:t>
      </w:r>
      <w:r w:rsidR="00AD4AD7">
        <w:t xml:space="preserve">. </w:t>
      </w:r>
    </w:p>
    <w:p w:rsidR="00DA28AD" w:rsidRDefault="00DA28AD" w:rsidP="00DA28AD">
      <w:r>
        <w:t xml:space="preserve">According </w:t>
      </w:r>
      <w:r w:rsidRPr="00067FE6">
        <w:t>to ACMA</w:t>
      </w:r>
      <w:r>
        <w:t xml:space="preserve"> </w:t>
      </w:r>
      <w:sdt>
        <w:sdtPr>
          <w:id w:val="1143163839"/>
          <w:citation/>
        </w:sdtPr>
        <w:sdtContent>
          <w:r w:rsidR="00C907D6">
            <w:fldChar w:fldCharType="begin"/>
          </w:r>
          <w:r>
            <w:instrText xml:space="preserve">CITATION ACM14 \n  \t  \l 3081 </w:instrText>
          </w:r>
          <w:r w:rsidR="00C907D6">
            <w:fldChar w:fldCharType="separate"/>
          </w:r>
          <w:r w:rsidR="000D79D7">
            <w:rPr>
              <w:noProof/>
            </w:rPr>
            <w:t>(2014)</w:t>
          </w:r>
          <w:r w:rsidR="00C907D6">
            <w:fldChar w:fldCharType="end"/>
          </w:r>
        </w:sdtContent>
      </w:sdt>
      <w:r>
        <w:t xml:space="preserve"> 95% of Australians use the internet for emailing, while 72% of Australians use the internet for connecting with friends and family.  Further</w:t>
      </w:r>
      <w:r w:rsidR="006E29B5">
        <w:t>,</w:t>
      </w:r>
      <w:r>
        <w:t xml:space="preserve"> the use of voice over internet protocol (VoIP) (for example through Skype, </w:t>
      </w:r>
      <w:proofErr w:type="spellStart"/>
      <w:r>
        <w:t>Viber</w:t>
      </w:r>
      <w:proofErr w:type="spellEnd"/>
      <w:r>
        <w:t xml:space="preserve"> </w:t>
      </w:r>
      <w:r w:rsidR="006E29B5">
        <w:t>or</w:t>
      </w:r>
      <w:r>
        <w:t xml:space="preserve"> </w:t>
      </w:r>
      <w:proofErr w:type="spellStart"/>
      <w:r>
        <w:t>FaceTime</w:t>
      </w:r>
      <w:proofErr w:type="spellEnd"/>
      <w:r>
        <w:t xml:space="preserve">) </w:t>
      </w:r>
      <w:r>
        <w:lastRenderedPageBreak/>
        <w:t xml:space="preserve">continues to grow, and is expected to </w:t>
      </w:r>
      <w:r w:rsidR="009C0EC7">
        <w:t>eventually</w:t>
      </w:r>
      <w:r>
        <w:t xml:space="preserve"> </w:t>
      </w:r>
      <w:r w:rsidR="00974C5B">
        <w:t xml:space="preserve">largely </w:t>
      </w:r>
      <w:r>
        <w:t>replace the fixed line telephone with the full roll</w:t>
      </w:r>
      <w:r w:rsidR="009C0EC7">
        <w:t>-</w:t>
      </w:r>
      <w:r>
        <w:t>out</w:t>
      </w:r>
      <w:r w:rsidR="009C0EC7">
        <w:t xml:space="preserve"> of</w:t>
      </w:r>
      <w:r>
        <w:t xml:space="preserve"> the NBN </w:t>
      </w:r>
      <w:sdt>
        <w:sdtPr>
          <w:id w:val="-1171025697"/>
          <w:citation/>
        </w:sdtPr>
        <w:sdtContent>
          <w:r w:rsidR="00C907D6">
            <w:fldChar w:fldCharType="begin"/>
          </w:r>
          <w:r>
            <w:instrText xml:space="preserve"> CITATION ACC16 \l 3081 </w:instrText>
          </w:r>
          <w:r w:rsidR="00C907D6">
            <w:fldChar w:fldCharType="separate"/>
          </w:r>
          <w:r w:rsidR="000D79D7">
            <w:rPr>
              <w:noProof/>
            </w:rPr>
            <w:t>(ACCC, 2016)</w:t>
          </w:r>
          <w:r w:rsidR="00C907D6">
            <w:fldChar w:fldCharType="end"/>
          </w:r>
        </w:sdtContent>
      </w:sdt>
      <w:r>
        <w:t xml:space="preserve">. </w:t>
      </w:r>
    </w:p>
    <w:p w:rsidR="00DA28AD" w:rsidRPr="009E4FF5" w:rsidRDefault="00DA28AD" w:rsidP="00DA28AD">
      <w:pPr>
        <w:rPr>
          <w:rFonts w:eastAsia="Calibri" w:cs="Arial"/>
        </w:rPr>
      </w:pPr>
      <w:r>
        <w:t xml:space="preserve">Yet the internet is much more than just another way for people to communicate. It is increasingly being used to complete life’s essential activities. According to </w:t>
      </w:r>
      <w:r w:rsidR="006E29B5">
        <w:t>Australian Bureau of Statistics (</w:t>
      </w:r>
      <w:r>
        <w:t>ABS</w:t>
      </w:r>
      <w:r w:rsidR="006E29B5">
        <w:t>)</w:t>
      </w:r>
      <w:r>
        <w:t xml:space="preserve"> data </w:t>
      </w:r>
      <w:sdt>
        <w:sdtPr>
          <w:id w:val="219415991"/>
          <w:citation/>
        </w:sdtPr>
        <w:sdtContent>
          <w:r w:rsidR="00C907D6" w:rsidRPr="00ED1633">
            <w:fldChar w:fldCharType="begin"/>
          </w:r>
          <w:r w:rsidRPr="00ED1633">
            <w:instrText xml:space="preserve">CITATION ABS152 \n  \t  \l 3081 </w:instrText>
          </w:r>
          <w:r w:rsidR="00C907D6" w:rsidRPr="00ED1633">
            <w:fldChar w:fldCharType="separate"/>
          </w:r>
          <w:r w:rsidR="000D79D7">
            <w:rPr>
              <w:noProof/>
            </w:rPr>
            <w:t>(2015)</w:t>
          </w:r>
          <w:r w:rsidR="00C907D6" w:rsidRPr="00ED1633">
            <w:fldChar w:fldCharType="end"/>
          </w:r>
        </w:sdtContent>
      </w:sdt>
      <w:r w:rsidRPr="00ED1633">
        <w:t xml:space="preserve"> 73</w:t>
      </w:r>
      <w:r>
        <w:t>% of Australians use the internet for banking, 61% for purchasing goods or services, 44% for home based employment</w:t>
      </w:r>
      <w:r w:rsidR="00974C5B">
        <w:t>,</w:t>
      </w:r>
      <w:r>
        <w:t xml:space="preserve"> and 59% for entertainment</w:t>
      </w:r>
      <w:r w:rsidR="009C0EC7">
        <w:t xml:space="preserve">. </w:t>
      </w:r>
      <w:r w:rsidR="00974C5B">
        <w:t xml:space="preserve"> </w:t>
      </w:r>
      <w:r w:rsidR="009C0EC7">
        <w:t>In addition</w:t>
      </w:r>
      <w:r>
        <w:t xml:space="preserve"> 73% of 15-17 year olds and 51% of 18-24 year olds use the internet for formal education activities. </w:t>
      </w:r>
    </w:p>
    <w:p w:rsidR="00DA28AD" w:rsidRDefault="00DA28AD" w:rsidP="00DA28AD">
      <w:r>
        <w:t xml:space="preserve">The low income consumers in our survey had their own range of essential internet based activities, including </w:t>
      </w:r>
      <w:r w:rsidRPr="00C71615">
        <w:rPr>
          <w:rFonts w:cs="Arial"/>
        </w:rPr>
        <w:t>looking for employment (83%), looking for housing (71%), accessing government services (68%), accessing other services</w:t>
      </w:r>
      <w:r>
        <w:rPr>
          <w:rFonts w:cs="Arial"/>
        </w:rPr>
        <w:t xml:space="preserve"> (such as ba</w:t>
      </w:r>
      <w:r w:rsidR="00A2066F">
        <w:rPr>
          <w:rFonts w:cs="Arial"/>
        </w:rPr>
        <w:t>n</w:t>
      </w:r>
      <w:r>
        <w:rPr>
          <w:rFonts w:cs="Arial"/>
        </w:rPr>
        <w:t>king and medical)</w:t>
      </w:r>
      <w:r w:rsidRPr="00C71615">
        <w:rPr>
          <w:rFonts w:cs="Arial"/>
        </w:rPr>
        <w:t>(61%) and completing educatio</w:t>
      </w:r>
      <w:r>
        <w:rPr>
          <w:rFonts w:cs="Arial"/>
        </w:rPr>
        <w:t>n activities (59%).</w:t>
      </w:r>
    </w:p>
    <w:p w:rsidR="00DA28AD" w:rsidRDefault="00DA28AD" w:rsidP="00E819FA">
      <w:r>
        <w:t>Many of these essential activities are becoming digital by default, w</w:t>
      </w:r>
      <w:r w:rsidR="000679DC">
        <w:t>hile</w:t>
      </w:r>
      <w:r>
        <w:t xml:space="preserve"> some </w:t>
      </w:r>
      <w:r w:rsidR="000679DC">
        <w:t>are already</w:t>
      </w:r>
      <w:r>
        <w:t xml:space="preserve"> exclusively </w:t>
      </w:r>
      <w:proofErr w:type="gramStart"/>
      <w:r>
        <w:t>digital</w:t>
      </w:r>
      <w:proofErr w:type="gramEnd"/>
      <w:r>
        <w:t xml:space="preserve">. As one commentator notes, </w:t>
      </w:r>
      <w:r w:rsidRPr="00DF3159">
        <w:t xml:space="preserve">in today’s Australia “teachers assume their students have unrestricted access to the internet and set homework accordingly; businesses assume their customers are internet users and shape their offerings online; and governments shift resources to digital provision of information and opportunities to </w:t>
      </w:r>
      <w:r w:rsidRPr="00A750F8">
        <w:t>int</w:t>
      </w:r>
      <w:r>
        <w:t xml:space="preserve">eract” </w:t>
      </w:r>
      <w:r w:rsidR="000A3AD0">
        <w:rPr>
          <w:noProof/>
        </w:rPr>
        <w:t>(Ewing, 2016)</w:t>
      </w:r>
      <w:r>
        <w:t>.</w:t>
      </w:r>
    </w:p>
    <w:p w:rsidR="00DA28AD" w:rsidRDefault="00A2066F" w:rsidP="00DA28AD">
      <w:r>
        <w:t>Indeed</w:t>
      </w:r>
      <w:r w:rsidR="00DA28AD">
        <w:t xml:space="preserve"> the Commonwealth Government’s Digital Transformation Agenda seeks to ensure that “all new and redesigned government services… can be completed from start to finish online” </w:t>
      </w:r>
      <w:sdt>
        <w:sdtPr>
          <w:id w:val="-748113620"/>
          <w:citation/>
        </w:sdtPr>
        <w:sdtContent>
          <w:r w:rsidR="00C907D6">
            <w:fldChar w:fldCharType="begin"/>
          </w:r>
          <w:r w:rsidR="00DA28AD">
            <w:instrText xml:space="preserve">CITATION Min15 \l 3081 </w:instrText>
          </w:r>
          <w:r w:rsidR="00C907D6">
            <w:fldChar w:fldCharType="separate"/>
          </w:r>
          <w:r w:rsidR="000D79D7">
            <w:rPr>
              <w:noProof/>
            </w:rPr>
            <w:t>(Minister for Communications, 2015)</w:t>
          </w:r>
          <w:r w:rsidR="00C907D6">
            <w:fldChar w:fldCharType="end"/>
          </w:r>
        </w:sdtContent>
      </w:sdt>
      <w:r w:rsidR="00DA28AD">
        <w:t xml:space="preserve">.  </w:t>
      </w:r>
      <w:r w:rsidR="00C3120E">
        <w:t xml:space="preserve">This </w:t>
      </w:r>
      <w:r w:rsidR="00DA28AD">
        <w:t>emphasises that all government services will be designed to be digital by default, including Medicare, Centrelink, the Australian Tax Office and the National Disability Insurance Scheme. For income support recipients this is particularly significant given that, as one focus group participant put it:</w:t>
      </w:r>
    </w:p>
    <w:p w:rsidR="00DA28AD" w:rsidRDefault="00DA28AD" w:rsidP="00DA28AD">
      <w:pPr>
        <w:spacing w:before="120"/>
        <w:ind w:left="567" w:right="567"/>
        <w:rPr>
          <w:rFonts w:eastAsia="Calibri" w:cs="Arial"/>
        </w:rPr>
      </w:pPr>
      <w:r>
        <w:rPr>
          <w:rFonts w:eastAsia="Calibri" w:cs="Arial"/>
        </w:rPr>
        <w:t>“</w:t>
      </w:r>
      <w:r w:rsidRPr="009E4FF5">
        <w:rPr>
          <w:rFonts w:eastAsia="Calibri" w:cs="Arial"/>
        </w:rPr>
        <w:t>We canno</w:t>
      </w:r>
      <w:r w:rsidR="00817DD1">
        <w:rPr>
          <w:rFonts w:eastAsia="Calibri" w:cs="Arial"/>
        </w:rPr>
        <w:t>t deal with Centrelink without i</w:t>
      </w:r>
      <w:r w:rsidRPr="009E4FF5">
        <w:rPr>
          <w:rFonts w:eastAsia="Calibri" w:cs="Arial"/>
        </w:rPr>
        <w:t xml:space="preserve">nternet in some form or another, or at least telephone.  Job seeking nowadays you have to have </w:t>
      </w:r>
      <w:proofErr w:type="spellStart"/>
      <w:r w:rsidRPr="009E4FF5">
        <w:rPr>
          <w:rFonts w:eastAsia="Calibri" w:cs="Arial"/>
        </w:rPr>
        <w:t>MyGov</w:t>
      </w:r>
      <w:proofErr w:type="spellEnd"/>
      <w:r w:rsidRPr="009E4FF5">
        <w:rPr>
          <w:rFonts w:eastAsia="Calibri" w:cs="Arial"/>
        </w:rPr>
        <w:t xml:space="preserve"> and go through the things and, you know, you have to job seek on their particular websites </w:t>
      </w:r>
      <w:r w:rsidR="00A2066F">
        <w:rPr>
          <w:rFonts w:eastAsia="Calibri" w:cs="Arial"/>
        </w:rPr>
        <w:t>… You need the i</w:t>
      </w:r>
      <w:r w:rsidRPr="009E4FF5">
        <w:rPr>
          <w:rFonts w:eastAsia="Calibri" w:cs="Arial"/>
        </w:rPr>
        <w:t>nternet to fulfil your obligations, but how do you afford that without the money there to do it?</w:t>
      </w:r>
      <w:r>
        <w:rPr>
          <w:rFonts w:eastAsia="Calibri" w:cs="Arial"/>
        </w:rPr>
        <w:t>”</w:t>
      </w:r>
    </w:p>
    <w:p w:rsidR="00DA28AD" w:rsidRDefault="00A2066F" w:rsidP="00E819FA">
      <w:r>
        <w:t xml:space="preserve">The survey data confirmed this: </w:t>
      </w:r>
      <w:r w:rsidR="00DA28AD">
        <w:t xml:space="preserve">26% of respondents </w:t>
      </w:r>
      <w:r>
        <w:t xml:space="preserve">said they </w:t>
      </w:r>
      <w:r w:rsidR="00DA28AD">
        <w:t>usually accessed government services by phone, and 68% online</w:t>
      </w:r>
      <w:r>
        <w:t>. Just 5% chose</w:t>
      </w:r>
      <w:r w:rsidR="00DA28AD">
        <w:t xml:space="preserve"> other methods (such as going to an office). </w:t>
      </w:r>
      <w:r w:rsidR="00387CB7">
        <w:t xml:space="preserve"> </w:t>
      </w:r>
      <w:r w:rsidR="00DA28AD">
        <w:t xml:space="preserve">Notably, for those using the internet to access these services, the vast majority used their own internet/phone (at their own cost) rather than a free public service such as a library (8%) or at a Centrelink office (5%). </w:t>
      </w:r>
      <w:r w:rsidR="00387CB7">
        <w:t xml:space="preserve"> </w:t>
      </w:r>
      <w:r w:rsidR="00DA28AD">
        <w:t>And even such public supplied internet has costs in terms of transport, time and convenience – well captured by one focus group participant describing a friend who is a student without home internet:</w:t>
      </w:r>
    </w:p>
    <w:p w:rsidR="00DA28AD" w:rsidRPr="00DF331B" w:rsidRDefault="00DA28AD" w:rsidP="00DA28AD">
      <w:pPr>
        <w:spacing w:before="120"/>
        <w:ind w:left="567" w:right="567"/>
        <w:rPr>
          <w:rFonts w:eastAsia="Calibri" w:cs="Arial"/>
        </w:rPr>
      </w:pPr>
      <w:r w:rsidRPr="00DF331B">
        <w:rPr>
          <w:rFonts w:eastAsia="Calibri" w:cs="Arial"/>
        </w:rPr>
        <w:lastRenderedPageBreak/>
        <w:t xml:space="preserve">“I have a friend who cannot study at home, so she’s in the library at </w:t>
      </w:r>
      <w:proofErr w:type="spellStart"/>
      <w:r w:rsidRPr="00DF331B">
        <w:rPr>
          <w:rFonts w:eastAsia="Calibri" w:cs="Arial"/>
        </w:rPr>
        <w:t>fricking</w:t>
      </w:r>
      <w:proofErr w:type="spellEnd"/>
      <w:r w:rsidRPr="00DF331B">
        <w:rPr>
          <w:rFonts w:eastAsia="Calibri" w:cs="Arial"/>
        </w:rPr>
        <w:t xml:space="preserve"> midnight sometimes just so </w:t>
      </w:r>
      <w:r w:rsidR="00817DD1">
        <w:rPr>
          <w:rFonts w:eastAsia="Calibri" w:cs="Arial"/>
        </w:rPr>
        <w:t>that she can get access to the i</w:t>
      </w:r>
      <w:r w:rsidRPr="00DF331B">
        <w:rPr>
          <w:rFonts w:eastAsia="Calibri" w:cs="Arial"/>
        </w:rPr>
        <w:t xml:space="preserve">nternet, like it’s ridiculous, it’s too expensive, </w:t>
      </w:r>
      <w:proofErr w:type="gramStart"/>
      <w:r w:rsidRPr="00DF331B">
        <w:rPr>
          <w:rFonts w:eastAsia="Calibri" w:cs="Arial"/>
        </w:rPr>
        <w:t>it’s</w:t>
      </w:r>
      <w:proofErr w:type="gramEnd"/>
      <w:r w:rsidRPr="00DF331B">
        <w:rPr>
          <w:rFonts w:eastAsia="Calibri" w:cs="Arial"/>
        </w:rPr>
        <w:t xml:space="preserve"> way out of reach fo</w:t>
      </w:r>
      <w:r w:rsidR="00A2066F">
        <w:rPr>
          <w:rFonts w:eastAsia="Calibri" w:cs="Arial"/>
        </w:rPr>
        <w:t>r her to even consider getting internet. …</w:t>
      </w:r>
      <w:r w:rsidRPr="00DF331B">
        <w:rPr>
          <w:rFonts w:eastAsia="Calibri" w:cs="Arial"/>
        </w:rPr>
        <w:t xml:space="preserve"> </w:t>
      </w:r>
      <w:proofErr w:type="gramStart"/>
      <w:r w:rsidRPr="00DF331B">
        <w:rPr>
          <w:rFonts w:eastAsia="Calibri" w:cs="Arial"/>
        </w:rPr>
        <w:t>but</w:t>
      </w:r>
      <w:proofErr w:type="gramEnd"/>
      <w:r w:rsidRPr="00DF331B">
        <w:rPr>
          <w:rFonts w:eastAsia="Calibri" w:cs="Arial"/>
        </w:rPr>
        <w:t xml:space="preserve"> she’s expected to do everything for </w:t>
      </w:r>
      <w:proofErr w:type="spellStart"/>
      <w:r w:rsidRPr="00DF331B">
        <w:rPr>
          <w:rFonts w:eastAsia="Calibri" w:cs="Arial"/>
        </w:rPr>
        <w:t>uni</w:t>
      </w:r>
      <w:proofErr w:type="spellEnd"/>
      <w:r w:rsidRPr="00DF331B">
        <w:rPr>
          <w:rFonts w:eastAsia="Calibri" w:cs="Arial"/>
        </w:rPr>
        <w:t xml:space="preserve"> online.  It’s ridiculous</w:t>
      </w:r>
      <w:r w:rsidR="003966BB">
        <w:rPr>
          <w:rFonts w:eastAsia="Calibri" w:cs="Arial"/>
        </w:rPr>
        <w:t>.</w:t>
      </w:r>
      <w:r w:rsidRPr="00DF331B">
        <w:rPr>
          <w:rFonts w:eastAsia="Calibri" w:cs="Arial"/>
        </w:rPr>
        <w:t>”</w:t>
      </w:r>
    </w:p>
    <w:p w:rsidR="00DA28AD" w:rsidRDefault="00DA28AD" w:rsidP="00DA28AD">
      <w:pPr>
        <w:rPr>
          <w:rFonts w:cs="Arial"/>
          <w:szCs w:val="22"/>
        </w:rPr>
      </w:pPr>
      <w:r>
        <w:t>With further waves of technological advance</w:t>
      </w:r>
      <w:r w:rsidR="005E4342">
        <w:t>ment</w:t>
      </w:r>
      <w:r>
        <w:t xml:space="preserve"> and the full roll out of the NBN, the digitalisation of our lives is likely to accelerate over the coming years, thus deepening the need to be online.</w:t>
      </w:r>
      <w:r w:rsidR="00387CB7">
        <w:t xml:space="preserve"> </w:t>
      </w:r>
      <w:r>
        <w:t xml:space="preserve"> Highlighting this trend, </w:t>
      </w:r>
      <w:r w:rsidRPr="002D3C4C">
        <w:t xml:space="preserve">Saunders and Wong </w:t>
      </w:r>
      <w:sdt>
        <w:sdtPr>
          <w:id w:val="18981278"/>
          <w:citation/>
        </w:sdtPr>
        <w:sdtContent>
          <w:r w:rsidR="00C907D6" w:rsidRPr="002D3C4C">
            <w:fldChar w:fldCharType="begin"/>
          </w:r>
          <w:r w:rsidRPr="002D3C4C">
            <w:instrText xml:space="preserve">CITATION Sau12 \n  \t  \l 3081 </w:instrText>
          </w:r>
          <w:r w:rsidR="00C907D6" w:rsidRPr="002D3C4C">
            <w:fldChar w:fldCharType="separate"/>
          </w:r>
          <w:r w:rsidR="000D79D7">
            <w:rPr>
              <w:noProof/>
            </w:rPr>
            <w:t>(2012)</w:t>
          </w:r>
          <w:r w:rsidR="00C907D6" w:rsidRPr="002D3C4C">
            <w:fldChar w:fldCharType="end"/>
          </w:r>
        </w:sdtContent>
      </w:sdt>
      <w:r w:rsidR="005E4342">
        <w:t>,</w:t>
      </w:r>
      <w:r w:rsidRPr="002D3C4C">
        <w:t xml:space="preserve"> in their</w:t>
      </w:r>
      <w:r w:rsidRPr="00F23B19">
        <w:t xml:space="preserve"> landmark study of deprivation indicators</w:t>
      </w:r>
      <w:r w:rsidR="005E4342">
        <w:t>,</w:t>
      </w:r>
      <w:r>
        <w:t xml:space="preserve"> found that </w:t>
      </w:r>
      <w:r w:rsidR="00A2066F">
        <w:t>by comparison with</w:t>
      </w:r>
      <w:r>
        <w:t xml:space="preserve"> 2006 </w:t>
      </w:r>
      <w:r w:rsidR="00A2066F">
        <w:t>fewer</w:t>
      </w:r>
      <w:r>
        <w:t xml:space="preserve"> Australians </w:t>
      </w:r>
      <w:r w:rsidR="00A2066F">
        <w:t>now believe that</w:t>
      </w:r>
      <w:r>
        <w:t xml:space="preserve"> access to a public telephone and a home (fixed line) telephone </w:t>
      </w:r>
      <w:r w:rsidR="00A2066F">
        <w:t>are</w:t>
      </w:r>
      <w:r>
        <w:t xml:space="preserve"> essential, </w:t>
      </w:r>
      <w:r w:rsidR="00A2066F">
        <w:t>while there has been</w:t>
      </w:r>
      <w:r>
        <w:t xml:space="preserve"> a corresponding increase in </w:t>
      </w:r>
      <w:r w:rsidR="00B755C2">
        <w:t>the belief that</w:t>
      </w:r>
      <w:r w:rsidR="00A2066F">
        <w:t xml:space="preserve"> </w:t>
      </w:r>
      <w:r>
        <w:t xml:space="preserve">a home computer, a mobile phone and access to the internet </w:t>
      </w:r>
      <w:r w:rsidR="00B755C2">
        <w:t>are</w:t>
      </w:r>
      <w:r>
        <w:t xml:space="preserve"> essential.</w:t>
      </w:r>
    </w:p>
    <w:p w:rsidR="00DA28AD" w:rsidRDefault="00DA28AD" w:rsidP="00DA28AD">
      <w:pPr>
        <w:pStyle w:val="Heading2"/>
      </w:pPr>
      <w:bookmarkStart w:id="22" w:name="_Toc465167556"/>
      <w:r>
        <w:t>Devices, devices, devices</w:t>
      </w:r>
      <w:bookmarkEnd w:id="22"/>
    </w:p>
    <w:p w:rsidR="008360DC" w:rsidRDefault="00DA28AD" w:rsidP="00E819FA">
      <w:r>
        <w:t xml:space="preserve">With mobile phones and the internet increasingly embedded in our daily lives, and </w:t>
      </w:r>
      <w:r w:rsidR="00817DD1">
        <w:t xml:space="preserve">with </w:t>
      </w:r>
      <w:r>
        <w:t>technology and capabilities rapidly advancing every year, the number of telecommunications devices commonly used is mushrooming</w:t>
      </w:r>
      <w:r w:rsidRPr="001C51DB">
        <w:t xml:space="preserve"> </w:t>
      </w:r>
      <w:sdt>
        <w:sdtPr>
          <w:id w:val="537167487"/>
          <w:citation/>
        </w:sdtPr>
        <w:sdtContent>
          <w:r w:rsidR="00C907D6">
            <w:fldChar w:fldCharType="begin"/>
          </w:r>
          <w:r>
            <w:instrText xml:space="preserve"> CITATION Wal13 \l 3081 </w:instrText>
          </w:r>
          <w:r w:rsidR="00C907D6">
            <w:fldChar w:fldCharType="separate"/>
          </w:r>
          <w:r w:rsidR="000D79D7">
            <w:rPr>
              <w:noProof/>
            </w:rPr>
            <w:t>(Walton, Kop, Spriggs, &amp; Fitzgerald, 2013)</w:t>
          </w:r>
          <w:r w:rsidR="00C907D6">
            <w:fldChar w:fldCharType="end"/>
          </w:r>
        </w:sdtContent>
      </w:sdt>
      <w:r>
        <w:t>.  In the analogue age, the home phone was the be</w:t>
      </w:r>
      <w:r w:rsidR="00A5594C">
        <w:t>-</w:t>
      </w:r>
      <w:r>
        <w:t>all and end</w:t>
      </w:r>
      <w:r w:rsidR="00A5594C">
        <w:t>-</w:t>
      </w:r>
      <w:r>
        <w:t xml:space="preserve">all of personal telecommunications.  </w:t>
      </w:r>
      <w:r w:rsidR="00660290">
        <w:t>A house</w:t>
      </w:r>
      <w:r>
        <w:t xml:space="preserve"> might have </w:t>
      </w:r>
      <w:r w:rsidR="00A5594C">
        <w:t>had</w:t>
      </w:r>
      <w:r>
        <w:t xml:space="preserve"> more than one, but they </w:t>
      </w:r>
      <w:r w:rsidR="00660290">
        <w:t xml:space="preserve">generally had only one function and </w:t>
      </w:r>
      <w:r>
        <w:t xml:space="preserve">stayed at home. But in recent years </w:t>
      </w:r>
      <w:r w:rsidR="00660290">
        <w:t xml:space="preserve">the mobile phone has taken over as the main form of voice communication and there </w:t>
      </w:r>
      <w:r w:rsidR="00A2228A">
        <w:t>is now</w:t>
      </w:r>
      <w:r w:rsidR="00660290">
        <w:t xml:space="preserve"> almost three times the number of mobiles to </w:t>
      </w:r>
      <w:r w:rsidR="00E819FA">
        <w:t>fixed line voice services</w:t>
      </w:r>
      <w:r w:rsidR="006319FA">
        <w:t xml:space="preserve"> </w:t>
      </w:r>
      <w:sdt>
        <w:sdtPr>
          <w:id w:val="822472021"/>
          <w:citation/>
        </w:sdtPr>
        <w:sdtContent>
          <w:r w:rsidR="00C907D6">
            <w:fldChar w:fldCharType="begin"/>
          </w:r>
          <w:r w:rsidR="006319FA">
            <w:instrText xml:space="preserve"> CITATION ACC16 \l 3081 </w:instrText>
          </w:r>
          <w:r w:rsidR="00C907D6">
            <w:fldChar w:fldCharType="separate"/>
          </w:r>
          <w:r w:rsidR="000D79D7">
            <w:rPr>
              <w:noProof/>
            </w:rPr>
            <w:t>(ACCC, 2016)</w:t>
          </w:r>
          <w:r w:rsidR="00C907D6">
            <w:fldChar w:fldCharType="end"/>
          </w:r>
        </w:sdtContent>
      </w:sdt>
      <w:r w:rsidR="002D3C4C" w:rsidRPr="006319FA">
        <w:t xml:space="preserve"> </w:t>
      </w:r>
      <w:r w:rsidR="00E819FA" w:rsidRPr="006319FA">
        <w:t xml:space="preserve">. </w:t>
      </w:r>
    </w:p>
    <w:p w:rsidR="00E819FA" w:rsidRDefault="00E819FA" w:rsidP="00E819FA">
      <w:pPr>
        <w:rPr>
          <w:shd w:val="clear" w:color="auto" w:fill="FFFFFF" w:themeFill="background1"/>
        </w:rPr>
      </w:pPr>
      <w:r w:rsidRPr="006319FA">
        <w:t>While</w:t>
      </w:r>
      <w:r>
        <w:t xml:space="preserve"> many households still </w:t>
      </w:r>
      <w:r w:rsidR="00A2228A">
        <w:t xml:space="preserve">have </w:t>
      </w:r>
      <w:r>
        <w:t xml:space="preserve">both fixed line and mobile telephones, significantly there are now 4.9 million Australians who are ‘mobile only’, an increase of more than 33 per cent since June 2013 </w:t>
      </w:r>
      <w:r w:rsidR="007C7221">
        <w:rPr>
          <w:noProof/>
        </w:rPr>
        <w:t>(RTIRC, 2015)</w:t>
      </w:r>
      <w:r w:rsidR="006319FA">
        <w:t>.</w:t>
      </w:r>
      <w:r>
        <w:t xml:space="preserve"> </w:t>
      </w:r>
      <w:r w:rsidR="00387CB7">
        <w:t xml:space="preserve"> </w:t>
      </w:r>
      <w:r>
        <w:t>Notably, among the ‘mobile only’ population are a number of vulnerable and disadvantaged groups fo</w:t>
      </w:r>
      <w:r w:rsidR="00EA21DC">
        <w:t>r</w:t>
      </w:r>
      <w:r w:rsidR="006319FA">
        <w:t xml:space="preserve"> whom choices are more limited, including the young </w:t>
      </w:r>
      <w:sdt>
        <w:sdtPr>
          <w:id w:val="-489015792"/>
          <w:citation/>
        </w:sdtPr>
        <w:sdtContent>
          <w:r w:rsidR="00C907D6">
            <w:fldChar w:fldCharType="begin"/>
          </w:r>
          <w:r w:rsidR="006319FA">
            <w:instrText xml:space="preserve"> CITATION ACC16 \l 3081 </w:instrText>
          </w:r>
          <w:r w:rsidR="00C907D6">
            <w:fldChar w:fldCharType="separate"/>
          </w:r>
          <w:r w:rsidR="000D79D7">
            <w:rPr>
              <w:noProof/>
            </w:rPr>
            <w:t>(ACCC, 2016)</w:t>
          </w:r>
          <w:r w:rsidR="00C907D6">
            <w:fldChar w:fldCharType="end"/>
          </w:r>
        </w:sdtContent>
      </w:sdt>
      <w:r w:rsidR="00C46F05">
        <w:t xml:space="preserve">, the homeless </w:t>
      </w:r>
      <w:sdt>
        <w:sdtPr>
          <w:id w:val="726727227"/>
          <w:citation/>
        </w:sdtPr>
        <w:sdtContent>
          <w:r w:rsidR="00C907D6">
            <w:fldChar w:fldCharType="begin"/>
          </w:r>
          <w:r w:rsidR="00C46F05">
            <w:instrText xml:space="preserve"> CITATION Hum14 \l 3081 </w:instrText>
          </w:r>
          <w:r w:rsidR="00C907D6">
            <w:fldChar w:fldCharType="separate"/>
          </w:r>
          <w:r w:rsidR="000D79D7">
            <w:rPr>
              <w:noProof/>
            </w:rPr>
            <w:t>(Humphry, 2014)</w:t>
          </w:r>
          <w:r w:rsidR="00C907D6">
            <w:fldChar w:fldCharType="end"/>
          </w:r>
        </w:sdtContent>
      </w:sdt>
      <w:r w:rsidR="00C46F05">
        <w:t xml:space="preserve">, the low income </w:t>
      </w:r>
      <w:r w:rsidR="0069613F" w:rsidRPr="00B92C02">
        <w:rPr>
          <w:noProof/>
        </w:rPr>
        <w:t>(Wise, 2013)</w:t>
      </w:r>
      <w:r w:rsidR="00EA21DC">
        <w:t xml:space="preserve"> and people livin</w:t>
      </w:r>
      <w:r w:rsidR="001B0BB1">
        <w:t>g in regional and remote</w:t>
      </w:r>
      <w:r w:rsidR="006963DA">
        <w:t xml:space="preserve"> </w:t>
      </w:r>
      <w:r w:rsidR="001B0BB1">
        <w:t>areas</w:t>
      </w:r>
      <w:r w:rsidR="006963DA">
        <w:t>, including</w:t>
      </w:r>
      <w:r w:rsidR="001B0BB1">
        <w:t xml:space="preserve"> A</w:t>
      </w:r>
      <w:r w:rsidR="00EA21DC">
        <w:t xml:space="preserve">boriginal </w:t>
      </w:r>
      <w:r w:rsidR="001B0BB1">
        <w:t xml:space="preserve">and Torres Strait Islander </w:t>
      </w:r>
      <w:r w:rsidR="00EA21DC">
        <w:t xml:space="preserve">communities </w:t>
      </w:r>
      <w:r w:rsidR="007C7221" w:rsidRPr="000D79D7">
        <w:rPr>
          <w:noProof/>
          <w:shd w:val="clear" w:color="auto" w:fill="FFFFFF" w:themeFill="background1"/>
        </w:rPr>
        <w:t>(RTIR</w:t>
      </w:r>
      <w:r w:rsidR="007C7221">
        <w:rPr>
          <w:noProof/>
          <w:shd w:val="clear" w:color="auto" w:fill="FFFFFF" w:themeFill="background1"/>
        </w:rPr>
        <w:t>C</w:t>
      </w:r>
      <w:r w:rsidR="007C7221" w:rsidRPr="000D79D7">
        <w:rPr>
          <w:noProof/>
          <w:shd w:val="clear" w:color="auto" w:fill="FFFFFF" w:themeFill="background1"/>
        </w:rPr>
        <w:t>, 2015)</w:t>
      </w:r>
      <w:r w:rsidR="00B33546">
        <w:rPr>
          <w:shd w:val="clear" w:color="auto" w:fill="FFFFFF" w:themeFill="background1"/>
        </w:rPr>
        <w:t>.</w:t>
      </w:r>
    </w:p>
    <w:p w:rsidR="00DA28AD" w:rsidRDefault="00DA28AD" w:rsidP="00E819FA">
      <w:r>
        <w:t xml:space="preserve">However, the technological changes have not </w:t>
      </w:r>
      <w:r w:rsidR="00817DD1">
        <w:t>stopped at the mobile phone. T</w:t>
      </w:r>
      <w:r w:rsidR="00E819FA">
        <w:t>he type, number and range o</w:t>
      </w:r>
      <w:r w:rsidR="002B31D2">
        <w:t xml:space="preserve">f telecommunications devices is </w:t>
      </w:r>
      <w:r>
        <w:t xml:space="preserve">now </w:t>
      </w:r>
      <w:r w:rsidR="002B31D2">
        <w:t>extensive</w:t>
      </w:r>
      <w:r w:rsidR="00116F43">
        <w:t xml:space="preserve"> </w:t>
      </w:r>
      <w:r w:rsidR="00E819FA">
        <w:t>with hou</w:t>
      </w:r>
      <w:r w:rsidR="00116F43">
        <w:t xml:space="preserve">seholds commonly having </w:t>
      </w:r>
      <w:r w:rsidR="00E819FA">
        <w:t xml:space="preserve">a landline (handset), a mobile phone for each person, as well as personal computer(s) and tablet(s). </w:t>
      </w:r>
      <w:r w:rsidR="00387CB7">
        <w:t xml:space="preserve"> </w:t>
      </w:r>
      <w:r w:rsidR="00E819FA">
        <w:t xml:space="preserve">Further, many household appliances </w:t>
      </w:r>
      <w:r w:rsidR="00116F43">
        <w:t>and utilities are becoming ‘smart’</w:t>
      </w:r>
      <w:r w:rsidR="00E819FA">
        <w:t xml:space="preserve"> (connected to the internet), including TVs, games consoles, fridges, washing machines and car</w:t>
      </w:r>
      <w:r w:rsidR="00DC20E5">
        <w:t>s</w:t>
      </w:r>
      <w:r w:rsidR="007D6173">
        <w:t xml:space="preserve">. </w:t>
      </w:r>
    </w:p>
    <w:p w:rsidR="00DA28AD" w:rsidRDefault="00DA28AD" w:rsidP="00E819FA">
      <w:r>
        <w:t>T</w:t>
      </w:r>
      <w:r w:rsidR="00E819FA">
        <w:t>he ABS data</w:t>
      </w:r>
      <w:r w:rsidR="007D6173">
        <w:t xml:space="preserve"> </w:t>
      </w:r>
      <w:sdt>
        <w:sdtPr>
          <w:id w:val="1112554992"/>
          <w:citation/>
        </w:sdtPr>
        <w:sdtContent>
          <w:r w:rsidR="00C907D6">
            <w:fldChar w:fldCharType="begin"/>
          </w:r>
          <w:r w:rsidR="007D6173">
            <w:instrText xml:space="preserve">CITATION ABS152 \n  \t  \l 3081 </w:instrText>
          </w:r>
          <w:r w:rsidR="00C907D6">
            <w:fldChar w:fldCharType="separate"/>
          </w:r>
          <w:r w:rsidR="000D79D7">
            <w:rPr>
              <w:noProof/>
            </w:rPr>
            <w:t>(2015)</w:t>
          </w:r>
          <w:r w:rsidR="00C907D6">
            <w:fldChar w:fldCharType="end"/>
          </w:r>
        </w:sdtContent>
      </w:sdt>
      <w:r w:rsidR="00E819FA">
        <w:t xml:space="preserve"> shows that</w:t>
      </w:r>
      <w:r w:rsidR="00116F43">
        <w:t xml:space="preserve"> the</w:t>
      </w:r>
      <w:r w:rsidR="00E819FA">
        <w:t xml:space="preserve"> mean number of devices used per household to access the internet is 5.8, with households with children under 15 having 7.3 devices. </w:t>
      </w:r>
      <w:r>
        <w:t xml:space="preserve"> This pattern of households with children having a higher number of devices was also reflected among the low income consumers in our survey.</w:t>
      </w:r>
      <w:r w:rsidR="00660290">
        <w:t xml:space="preserve"> </w:t>
      </w:r>
      <w:r>
        <w:t xml:space="preserve"> However, as evident in </w:t>
      </w:r>
      <w:r w:rsidR="00F267E9">
        <w:lastRenderedPageBreak/>
        <w:fldChar w:fldCharType="begin"/>
      </w:r>
      <w:r w:rsidR="00F267E9">
        <w:instrText xml:space="preserve"> REF _Ref464120822 \h </w:instrText>
      </w:r>
      <w:r w:rsidR="00F267E9">
        <w:fldChar w:fldCharType="separate"/>
      </w:r>
      <w:r w:rsidR="002F60EE">
        <w:t xml:space="preserve">Table </w:t>
      </w:r>
      <w:r w:rsidR="002F60EE">
        <w:rPr>
          <w:noProof/>
        </w:rPr>
        <w:t>1</w:t>
      </w:r>
      <w:r w:rsidR="00F267E9">
        <w:fldChar w:fldCharType="end"/>
      </w:r>
      <w:r w:rsidR="00F267E9">
        <w:t xml:space="preserve"> </w:t>
      </w:r>
      <w:r>
        <w:t xml:space="preserve">below, the actual number of devices </w:t>
      </w:r>
      <w:r w:rsidR="0070667C">
        <w:t>in respondents’ households was</w:t>
      </w:r>
      <w:r>
        <w:t xml:space="preserve"> generally </w:t>
      </w:r>
      <w:r w:rsidR="00952611">
        <w:t>low</w:t>
      </w:r>
      <w:r w:rsidR="0070667C">
        <w:t>er</w:t>
      </w:r>
      <w:r>
        <w:t xml:space="preserve"> than the broader population.</w:t>
      </w:r>
    </w:p>
    <w:p w:rsidR="00DA28AD" w:rsidRDefault="00DA28AD" w:rsidP="00DA28AD">
      <w:pPr>
        <w:pStyle w:val="Caption"/>
        <w:keepNext/>
      </w:pPr>
      <w:bookmarkStart w:id="23" w:name="_Ref464120822"/>
      <w:bookmarkStart w:id="24" w:name="_Toc458979635"/>
      <w:bookmarkStart w:id="25" w:name="_Toc465151867"/>
      <w:bookmarkStart w:id="26" w:name="_Toc465167612"/>
      <w:r>
        <w:t xml:space="preserve">Table </w:t>
      </w:r>
      <w:r w:rsidR="002F60EE">
        <w:fldChar w:fldCharType="begin"/>
      </w:r>
      <w:r w:rsidR="002F60EE">
        <w:instrText xml:space="preserve"> SEQ Table \* ARABIC </w:instrText>
      </w:r>
      <w:r w:rsidR="002F60EE">
        <w:fldChar w:fldCharType="separate"/>
      </w:r>
      <w:r w:rsidR="002F60EE">
        <w:rPr>
          <w:noProof/>
        </w:rPr>
        <w:t>1</w:t>
      </w:r>
      <w:r w:rsidR="002F60EE">
        <w:rPr>
          <w:noProof/>
        </w:rPr>
        <w:fldChar w:fldCharType="end"/>
      </w:r>
      <w:bookmarkEnd w:id="23"/>
      <w:r>
        <w:t xml:space="preserve">: Internet-connected </w:t>
      </w:r>
      <w:r w:rsidR="00F267E9">
        <w:t>d</w:t>
      </w:r>
      <w:r>
        <w:t xml:space="preserve">evices per </w:t>
      </w:r>
      <w:r w:rsidR="00F267E9">
        <w:t>h</w:t>
      </w:r>
      <w:r>
        <w:t>ousehold, by household structure</w:t>
      </w:r>
      <w:bookmarkEnd w:id="24"/>
      <w:bookmarkEnd w:id="25"/>
      <w:bookmarkEnd w:id="26"/>
    </w:p>
    <w:tbl>
      <w:tblPr>
        <w:tblStyle w:val="LightList-Accent1"/>
        <w:tblW w:w="6345" w:type="dxa"/>
        <w:jc w:val="center"/>
        <w:tblLayout w:type="fixed"/>
        <w:tblLook w:val="04A0" w:firstRow="1" w:lastRow="0" w:firstColumn="1" w:lastColumn="0" w:noHBand="0" w:noVBand="1"/>
        <w:tblDescription w:val="the actual number of devices in respondents’ households was generally lower than the broader population"/>
      </w:tblPr>
      <w:tblGrid>
        <w:gridCol w:w="4219"/>
        <w:gridCol w:w="2126"/>
      </w:tblGrid>
      <w:tr w:rsidR="00DA28AD" w:rsidRPr="00AB392C" w:rsidTr="002B426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219" w:type="dxa"/>
          </w:tcPr>
          <w:p w:rsidR="00DA28AD" w:rsidRPr="00DA28AD" w:rsidRDefault="00DA28AD" w:rsidP="00036946">
            <w:pPr>
              <w:keepNext/>
              <w:rPr>
                <w:bCs w:val="0"/>
                <w:color w:val="FFFFFF"/>
                <w:lang w:val="en-US" w:eastAsia="ja-JP"/>
              </w:rPr>
            </w:pPr>
            <w:r>
              <w:rPr>
                <w:bCs w:val="0"/>
                <w:color w:val="FFFFFF"/>
                <w:lang w:val="en-US" w:eastAsia="ja-JP"/>
              </w:rPr>
              <w:t>Household Structure</w:t>
            </w:r>
          </w:p>
        </w:tc>
        <w:tc>
          <w:tcPr>
            <w:tcW w:w="2126" w:type="dxa"/>
          </w:tcPr>
          <w:p w:rsidR="00DA28AD" w:rsidRDefault="00DA28AD" w:rsidP="00DA28AD">
            <w:pPr>
              <w:keepNext/>
              <w:cnfStyle w:val="100000000000" w:firstRow="1" w:lastRow="0" w:firstColumn="0" w:lastColumn="0" w:oddVBand="0" w:evenVBand="0" w:oddHBand="0" w:evenHBand="0" w:firstRowFirstColumn="0" w:firstRowLastColumn="0" w:lastRowFirstColumn="0" w:lastRowLastColumn="0"/>
              <w:rPr>
                <w:color w:val="FFFFFF"/>
                <w:lang w:val="en-US" w:eastAsia="ja-JP"/>
              </w:rPr>
            </w:pPr>
            <w:r>
              <w:rPr>
                <w:color w:val="FFFFFF"/>
                <w:lang w:val="en-US" w:eastAsia="ja-JP"/>
              </w:rPr>
              <w:t xml:space="preserve">Mean number of devices </w:t>
            </w:r>
          </w:p>
        </w:tc>
      </w:tr>
      <w:tr w:rsidR="00DA28AD" w:rsidRPr="00AB392C" w:rsidTr="008D4F8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19" w:type="dxa"/>
          </w:tcPr>
          <w:p w:rsidR="00DA28AD" w:rsidRPr="004B26BE" w:rsidRDefault="00DA28AD" w:rsidP="00036946">
            <w:pPr>
              <w:keepNext/>
              <w:rPr>
                <w:b w:val="0"/>
                <w:lang w:val="en-US" w:eastAsia="ja-JP"/>
              </w:rPr>
            </w:pPr>
            <w:r>
              <w:rPr>
                <w:b w:val="0"/>
                <w:lang w:val="en-US" w:eastAsia="ja-JP"/>
              </w:rPr>
              <w:t>One person household</w:t>
            </w:r>
          </w:p>
        </w:tc>
        <w:tc>
          <w:tcPr>
            <w:tcW w:w="2126" w:type="dxa"/>
          </w:tcPr>
          <w:p w:rsidR="00DA28AD" w:rsidRPr="004B26BE" w:rsidRDefault="00DA28AD" w:rsidP="00036946">
            <w:pPr>
              <w:keepNext/>
              <w:jc w:val="center"/>
              <w:cnfStyle w:val="000000100000" w:firstRow="0" w:lastRow="0" w:firstColumn="0" w:lastColumn="0" w:oddVBand="0" w:evenVBand="0" w:oddHBand="1" w:evenHBand="0" w:firstRowFirstColumn="0" w:firstRowLastColumn="0" w:lastRowFirstColumn="0" w:lastRowLastColumn="0"/>
            </w:pPr>
            <w:r>
              <w:t>3.1</w:t>
            </w:r>
          </w:p>
        </w:tc>
      </w:tr>
      <w:tr w:rsidR="00DA28AD" w:rsidRPr="00AB392C" w:rsidTr="008D4F82">
        <w:trPr>
          <w:trHeight w:val="20"/>
          <w:jc w:val="center"/>
        </w:trPr>
        <w:tc>
          <w:tcPr>
            <w:cnfStyle w:val="001000000000" w:firstRow="0" w:lastRow="0" w:firstColumn="1" w:lastColumn="0" w:oddVBand="0" w:evenVBand="0" w:oddHBand="0" w:evenHBand="0" w:firstRowFirstColumn="0" w:firstRowLastColumn="0" w:lastRowFirstColumn="0" w:lastRowLastColumn="0"/>
            <w:tcW w:w="4219" w:type="dxa"/>
          </w:tcPr>
          <w:p w:rsidR="00DA28AD" w:rsidRPr="004B26BE" w:rsidRDefault="00DA28AD" w:rsidP="00036946">
            <w:pPr>
              <w:keepNext/>
              <w:rPr>
                <w:b w:val="0"/>
                <w:lang w:val="en-US" w:eastAsia="ja-JP"/>
              </w:rPr>
            </w:pPr>
            <w:r>
              <w:rPr>
                <w:b w:val="0"/>
                <w:lang w:val="en-US" w:eastAsia="ja-JP"/>
              </w:rPr>
              <w:t>Live in a mixed adult household</w:t>
            </w:r>
          </w:p>
        </w:tc>
        <w:tc>
          <w:tcPr>
            <w:tcW w:w="2126" w:type="dxa"/>
          </w:tcPr>
          <w:p w:rsidR="00DA28AD" w:rsidRPr="004B26BE" w:rsidRDefault="00DA28AD" w:rsidP="00036946">
            <w:pPr>
              <w:keepNext/>
              <w:jc w:val="cente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3.9</w:t>
            </w:r>
          </w:p>
        </w:tc>
      </w:tr>
      <w:tr w:rsidR="00DA28AD" w:rsidRPr="00AB392C" w:rsidTr="008D4F8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19" w:type="dxa"/>
          </w:tcPr>
          <w:p w:rsidR="00DA28AD" w:rsidRPr="004B26BE" w:rsidRDefault="00DA28AD" w:rsidP="00036946">
            <w:pPr>
              <w:keepNext/>
              <w:rPr>
                <w:b w:val="0"/>
                <w:lang w:val="en-US" w:eastAsia="ja-JP"/>
              </w:rPr>
            </w:pPr>
            <w:r>
              <w:rPr>
                <w:b w:val="0"/>
                <w:lang w:val="en-US" w:eastAsia="ja-JP"/>
              </w:rPr>
              <w:t>Live with partner, no children</w:t>
            </w:r>
          </w:p>
        </w:tc>
        <w:tc>
          <w:tcPr>
            <w:tcW w:w="2126" w:type="dxa"/>
          </w:tcPr>
          <w:p w:rsidR="00DA28AD" w:rsidRPr="004B26BE" w:rsidRDefault="00DA28AD" w:rsidP="00036946">
            <w:pPr>
              <w:keepNext/>
              <w:jc w:val="center"/>
              <w:cnfStyle w:val="000000100000" w:firstRow="0" w:lastRow="0" w:firstColumn="0" w:lastColumn="0" w:oddVBand="0" w:evenVBand="0" w:oddHBand="1" w:evenHBand="0" w:firstRowFirstColumn="0" w:firstRowLastColumn="0" w:lastRowFirstColumn="0" w:lastRowLastColumn="0"/>
            </w:pPr>
            <w:r>
              <w:t>4.5</w:t>
            </w:r>
          </w:p>
        </w:tc>
      </w:tr>
      <w:tr w:rsidR="00DA28AD" w:rsidRPr="00AB392C" w:rsidTr="008D4F82">
        <w:trPr>
          <w:trHeight w:val="20"/>
          <w:jc w:val="center"/>
        </w:trPr>
        <w:tc>
          <w:tcPr>
            <w:cnfStyle w:val="001000000000" w:firstRow="0" w:lastRow="0" w:firstColumn="1" w:lastColumn="0" w:oddVBand="0" w:evenVBand="0" w:oddHBand="0" w:evenHBand="0" w:firstRowFirstColumn="0" w:firstRowLastColumn="0" w:lastRowFirstColumn="0" w:lastRowLastColumn="0"/>
            <w:tcW w:w="4219" w:type="dxa"/>
          </w:tcPr>
          <w:p w:rsidR="00DA28AD" w:rsidRPr="004B26BE" w:rsidRDefault="00DA28AD" w:rsidP="00036946">
            <w:pPr>
              <w:keepNext/>
              <w:rPr>
                <w:b w:val="0"/>
                <w:lang w:val="en-US" w:eastAsia="ja-JP"/>
              </w:rPr>
            </w:pPr>
            <w:r>
              <w:rPr>
                <w:b w:val="0"/>
                <w:lang w:val="en-US" w:eastAsia="ja-JP"/>
              </w:rPr>
              <w:t>Single parent living with children</w:t>
            </w:r>
          </w:p>
        </w:tc>
        <w:tc>
          <w:tcPr>
            <w:tcW w:w="2126" w:type="dxa"/>
          </w:tcPr>
          <w:p w:rsidR="00DA28AD" w:rsidRPr="004B26BE" w:rsidRDefault="00DA28AD" w:rsidP="00036946">
            <w:pPr>
              <w:keepNext/>
              <w:jc w:val="center"/>
              <w:cnfStyle w:val="000000000000" w:firstRow="0" w:lastRow="0" w:firstColumn="0" w:lastColumn="0" w:oddVBand="0" w:evenVBand="0" w:oddHBand="0" w:evenHBand="0" w:firstRowFirstColumn="0" w:firstRowLastColumn="0" w:lastRowFirstColumn="0" w:lastRowLastColumn="0"/>
            </w:pPr>
            <w:r>
              <w:t>5.0</w:t>
            </w:r>
          </w:p>
        </w:tc>
      </w:tr>
      <w:tr w:rsidR="00DA28AD" w:rsidRPr="00AB392C" w:rsidTr="008D4F8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19" w:type="dxa"/>
          </w:tcPr>
          <w:p w:rsidR="00DA28AD" w:rsidRPr="004B26BE" w:rsidRDefault="00DA28AD" w:rsidP="00036946">
            <w:pPr>
              <w:keepNext/>
              <w:rPr>
                <w:b w:val="0"/>
                <w:lang w:val="en-US" w:eastAsia="ja-JP"/>
              </w:rPr>
            </w:pPr>
            <w:r>
              <w:rPr>
                <w:b w:val="0"/>
                <w:lang w:val="en-US" w:eastAsia="ja-JP"/>
              </w:rPr>
              <w:t>Couple with children</w:t>
            </w:r>
          </w:p>
        </w:tc>
        <w:tc>
          <w:tcPr>
            <w:tcW w:w="2126" w:type="dxa"/>
          </w:tcPr>
          <w:p w:rsidR="00DA28AD" w:rsidRDefault="00DA28AD" w:rsidP="00036946">
            <w:pPr>
              <w:keepNext/>
              <w:jc w:val="center"/>
              <w:cnfStyle w:val="000000100000" w:firstRow="0" w:lastRow="0" w:firstColumn="0" w:lastColumn="0" w:oddVBand="0" w:evenVBand="0" w:oddHBand="1" w:evenHBand="0" w:firstRowFirstColumn="0" w:firstRowLastColumn="0" w:lastRowFirstColumn="0" w:lastRowLastColumn="0"/>
            </w:pPr>
            <w:r>
              <w:t>5.8</w:t>
            </w:r>
          </w:p>
        </w:tc>
      </w:tr>
      <w:tr w:rsidR="00DA28AD" w:rsidRPr="00AB392C" w:rsidTr="008D4F82">
        <w:trPr>
          <w:trHeight w:val="20"/>
          <w:jc w:val="center"/>
        </w:trPr>
        <w:tc>
          <w:tcPr>
            <w:cnfStyle w:val="001000000000" w:firstRow="0" w:lastRow="0" w:firstColumn="1" w:lastColumn="0" w:oddVBand="0" w:evenVBand="0" w:oddHBand="0" w:evenHBand="0" w:firstRowFirstColumn="0" w:firstRowLastColumn="0" w:lastRowFirstColumn="0" w:lastRowLastColumn="0"/>
            <w:tcW w:w="4219" w:type="dxa"/>
          </w:tcPr>
          <w:p w:rsidR="00DA28AD" w:rsidRPr="004B26BE" w:rsidRDefault="00DA28AD" w:rsidP="00036946">
            <w:pPr>
              <w:keepNext/>
              <w:rPr>
                <w:b w:val="0"/>
                <w:lang w:val="en-US" w:eastAsia="ja-JP"/>
              </w:rPr>
            </w:pPr>
            <w:r>
              <w:rPr>
                <w:b w:val="0"/>
                <w:lang w:val="en-US" w:eastAsia="ja-JP"/>
              </w:rPr>
              <w:t>Respondent living with parents</w:t>
            </w:r>
          </w:p>
        </w:tc>
        <w:tc>
          <w:tcPr>
            <w:tcW w:w="2126" w:type="dxa"/>
          </w:tcPr>
          <w:p w:rsidR="00DA28AD" w:rsidRPr="004B26BE" w:rsidRDefault="00DA28AD" w:rsidP="00036946">
            <w:pPr>
              <w:keepNext/>
              <w:jc w:val="center"/>
              <w:cnfStyle w:val="000000000000" w:firstRow="0" w:lastRow="0" w:firstColumn="0" w:lastColumn="0" w:oddVBand="0" w:evenVBand="0" w:oddHBand="0" w:evenHBand="0" w:firstRowFirstColumn="0" w:firstRowLastColumn="0" w:lastRowFirstColumn="0" w:lastRowLastColumn="0"/>
            </w:pPr>
            <w:r>
              <w:t>7.9</w:t>
            </w:r>
          </w:p>
        </w:tc>
      </w:tr>
    </w:tbl>
    <w:p w:rsidR="00DA28AD" w:rsidRDefault="00DA28AD" w:rsidP="00DA28AD">
      <w:pPr>
        <w:jc w:val="center"/>
        <w:rPr>
          <w:sz w:val="18"/>
        </w:rPr>
      </w:pPr>
      <w:r>
        <w:rPr>
          <w:sz w:val="18"/>
        </w:rPr>
        <w:t>(Source: Mint Research, 2016)</w:t>
      </w:r>
    </w:p>
    <w:p w:rsidR="00DA28AD" w:rsidRDefault="00F267E9" w:rsidP="00E819FA">
      <w:r>
        <w:fldChar w:fldCharType="begin"/>
      </w:r>
      <w:r>
        <w:instrText xml:space="preserve"> REF _Ref464120914 \h </w:instrText>
      </w:r>
      <w:r>
        <w:fldChar w:fldCharType="separate"/>
      </w:r>
      <w:r w:rsidR="002F60EE">
        <w:t xml:space="preserve">Table </w:t>
      </w:r>
      <w:r w:rsidR="002F60EE">
        <w:rPr>
          <w:noProof/>
        </w:rPr>
        <w:t>2</w:t>
      </w:r>
      <w:r>
        <w:fldChar w:fldCharType="end"/>
      </w:r>
      <w:r>
        <w:t xml:space="preserve"> </w:t>
      </w:r>
      <w:r w:rsidR="00DA28AD">
        <w:t xml:space="preserve">below, which is disaggregated by income </w:t>
      </w:r>
      <w:r w:rsidR="00B21597">
        <w:t>support</w:t>
      </w:r>
      <w:r w:rsidR="00DA28AD">
        <w:t xml:space="preserve"> payment type, tells a similar story with all mean</w:t>
      </w:r>
      <w:r w:rsidR="00660290">
        <w:t xml:space="preserve"> figure</w:t>
      </w:r>
      <w:r w:rsidR="00DA28AD">
        <w:t>s below the nati</w:t>
      </w:r>
      <w:r w:rsidR="00660290">
        <w:t xml:space="preserve">onal averages </w:t>
      </w:r>
      <w:r>
        <w:t>for</w:t>
      </w:r>
      <w:r w:rsidR="00660290">
        <w:t xml:space="preserve"> all households</w:t>
      </w:r>
      <w:r>
        <w:t>, of 5.8</w:t>
      </w:r>
      <w:r w:rsidR="00660290">
        <w:t xml:space="preserve">.  There is also a noticeable difference in Age Pensioner household.  The underlying survey data suggested that Age Pensioners were as likely to have a desktop computer as any other household, but less likely to have a laptop/tablet, smart phone, TV or other connected devices.  Add this to the phone data which showed Age Pensioners were more likely to have a landline and a mobile with no data than any other group, and we see Age Pensioners </w:t>
      </w:r>
      <w:r>
        <w:t>have</w:t>
      </w:r>
      <w:r w:rsidR="00660290">
        <w:t xml:space="preserve"> a very different relation</w:t>
      </w:r>
      <w:r>
        <w:t>ship</w:t>
      </w:r>
      <w:r w:rsidR="00660290">
        <w:t xml:space="preserve"> to telecommunications and the digital world than other low income households.</w:t>
      </w:r>
    </w:p>
    <w:p w:rsidR="00DA28AD" w:rsidRDefault="00DA28AD" w:rsidP="00DA28AD">
      <w:pPr>
        <w:pStyle w:val="Caption"/>
        <w:keepNext/>
      </w:pPr>
      <w:bookmarkStart w:id="27" w:name="_Ref464120914"/>
      <w:bookmarkStart w:id="28" w:name="_Toc458979636"/>
      <w:bookmarkStart w:id="29" w:name="_Toc465151868"/>
      <w:bookmarkStart w:id="30" w:name="_Toc465167613"/>
      <w:r>
        <w:t xml:space="preserve">Table </w:t>
      </w:r>
      <w:r w:rsidR="002F60EE">
        <w:fldChar w:fldCharType="begin"/>
      </w:r>
      <w:r w:rsidR="002F60EE">
        <w:instrText xml:space="preserve"> SEQ Table \* ARABIC </w:instrText>
      </w:r>
      <w:r w:rsidR="002F60EE">
        <w:fldChar w:fldCharType="separate"/>
      </w:r>
      <w:r w:rsidR="002F60EE">
        <w:rPr>
          <w:noProof/>
        </w:rPr>
        <w:t>2</w:t>
      </w:r>
      <w:r w:rsidR="002F60EE">
        <w:rPr>
          <w:noProof/>
        </w:rPr>
        <w:fldChar w:fldCharType="end"/>
      </w:r>
      <w:bookmarkEnd w:id="27"/>
      <w:r>
        <w:t xml:space="preserve">: Internet-connected </w:t>
      </w:r>
      <w:r w:rsidR="00F267E9">
        <w:t>d</w:t>
      </w:r>
      <w:r>
        <w:t xml:space="preserve">evices per </w:t>
      </w:r>
      <w:r w:rsidR="00F267E9">
        <w:t>h</w:t>
      </w:r>
      <w:r>
        <w:t>ousehold, by payment type</w:t>
      </w:r>
      <w:bookmarkEnd w:id="28"/>
      <w:bookmarkEnd w:id="29"/>
      <w:bookmarkEnd w:id="30"/>
    </w:p>
    <w:tbl>
      <w:tblPr>
        <w:tblStyle w:val="LightList-Accent1"/>
        <w:tblW w:w="6345" w:type="dxa"/>
        <w:jc w:val="center"/>
        <w:tblLayout w:type="fixed"/>
        <w:tblLook w:val="04A0" w:firstRow="1" w:lastRow="0" w:firstColumn="1" w:lastColumn="0" w:noHBand="0" w:noVBand="1"/>
        <w:tblDescription w:val="Those on Youth Allowance have the most connected devices"/>
      </w:tblPr>
      <w:tblGrid>
        <w:gridCol w:w="4219"/>
        <w:gridCol w:w="2126"/>
      </w:tblGrid>
      <w:tr w:rsidR="00DA28AD" w:rsidRPr="00AB392C" w:rsidTr="002B426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219" w:type="dxa"/>
          </w:tcPr>
          <w:p w:rsidR="00DA28AD" w:rsidRPr="00DA28AD" w:rsidRDefault="00DA28AD" w:rsidP="00036946">
            <w:pPr>
              <w:keepNext/>
              <w:rPr>
                <w:bCs w:val="0"/>
                <w:color w:val="FFFFFF"/>
                <w:lang w:val="en-US" w:eastAsia="ja-JP"/>
              </w:rPr>
            </w:pPr>
            <w:r w:rsidRPr="00DA28AD">
              <w:rPr>
                <w:bCs w:val="0"/>
                <w:color w:val="FFFFFF"/>
                <w:lang w:val="en-US" w:eastAsia="ja-JP"/>
              </w:rPr>
              <w:t xml:space="preserve">Payment type </w:t>
            </w:r>
          </w:p>
        </w:tc>
        <w:tc>
          <w:tcPr>
            <w:tcW w:w="2126" w:type="dxa"/>
          </w:tcPr>
          <w:p w:rsidR="00DA28AD" w:rsidRDefault="00DA28AD" w:rsidP="00DA28AD">
            <w:pPr>
              <w:keepNext/>
              <w:cnfStyle w:val="100000000000" w:firstRow="1" w:lastRow="0" w:firstColumn="0" w:lastColumn="0" w:oddVBand="0" w:evenVBand="0" w:oddHBand="0" w:evenHBand="0" w:firstRowFirstColumn="0" w:firstRowLastColumn="0" w:lastRowFirstColumn="0" w:lastRowLastColumn="0"/>
              <w:rPr>
                <w:color w:val="FFFFFF"/>
                <w:lang w:val="en-US" w:eastAsia="ja-JP"/>
              </w:rPr>
            </w:pPr>
            <w:r>
              <w:rPr>
                <w:color w:val="FFFFFF"/>
                <w:lang w:val="en-US" w:eastAsia="ja-JP"/>
              </w:rPr>
              <w:t>Mean number of devices</w:t>
            </w:r>
          </w:p>
        </w:tc>
      </w:tr>
      <w:tr w:rsidR="00DA28AD" w:rsidRPr="00AB392C" w:rsidTr="00F1346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19" w:type="dxa"/>
          </w:tcPr>
          <w:p w:rsidR="00DA28AD" w:rsidRPr="004B26BE" w:rsidRDefault="00DA28AD" w:rsidP="00036946">
            <w:pPr>
              <w:keepNext/>
              <w:rPr>
                <w:b w:val="0"/>
                <w:lang w:val="en-US" w:eastAsia="ja-JP"/>
              </w:rPr>
            </w:pPr>
            <w:r>
              <w:rPr>
                <w:b w:val="0"/>
                <w:lang w:val="en-US" w:eastAsia="ja-JP"/>
              </w:rPr>
              <w:t>Age Pension</w:t>
            </w:r>
          </w:p>
        </w:tc>
        <w:tc>
          <w:tcPr>
            <w:tcW w:w="2126" w:type="dxa"/>
          </w:tcPr>
          <w:p w:rsidR="00DA28AD" w:rsidRPr="004B26BE" w:rsidRDefault="00DA28AD" w:rsidP="00036946">
            <w:pPr>
              <w:keepNext/>
              <w:jc w:val="center"/>
              <w:cnfStyle w:val="000000100000" w:firstRow="0" w:lastRow="0" w:firstColumn="0" w:lastColumn="0" w:oddVBand="0" w:evenVBand="0" w:oddHBand="1" w:evenHBand="0" w:firstRowFirstColumn="0" w:firstRowLastColumn="0" w:lastRowFirstColumn="0" w:lastRowLastColumn="0"/>
            </w:pPr>
            <w:r>
              <w:t>2.7</w:t>
            </w:r>
          </w:p>
        </w:tc>
      </w:tr>
      <w:tr w:rsidR="00DA28AD" w:rsidRPr="00AB392C" w:rsidTr="00F13467">
        <w:trPr>
          <w:trHeight w:val="20"/>
          <w:jc w:val="center"/>
        </w:trPr>
        <w:tc>
          <w:tcPr>
            <w:cnfStyle w:val="001000000000" w:firstRow="0" w:lastRow="0" w:firstColumn="1" w:lastColumn="0" w:oddVBand="0" w:evenVBand="0" w:oddHBand="0" w:evenHBand="0" w:firstRowFirstColumn="0" w:firstRowLastColumn="0" w:lastRowFirstColumn="0" w:lastRowLastColumn="0"/>
            <w:tcW w:w="4219" w:type="dxa"/>
          </w:tcPr>
          <w:p w:rsidR="00DA28AD" w:rsidRPr="004B26BE" w:rsidRDefault="00DA28AD" w:rsidP="00036946">
            <w:pPr>
              <w:keepNext/>
              <w:rPr>
                <w:b w:val="0"/>
                <w:lang w:val="en-US" w:eastAsia="ja-JP"/>
              </w:rPr>
            </w:pPr>
            <w:r w:rsidRPr="004B26BE">
              <w:rPr>
                <w:b w:val="0"/>
                <w:lang w:val="en-US" w:eastAsia="ja-JP"/>
              </w:rPr>
              <w:t xml:space="preserve">Disability Support Pension </w:t>
            </w:r>
          </w:p>
        </w:tc>
        <w:tc>
          <w:tcPr>
            <w:tcW w:w="2126" w:type="dxa"/>
          </w:tcPr>
          <w:p w:rsidR="00DA28AD" w:rsidRPr="004B26BE" w:rsidRDefault="00DA28AD" w:rsidP="00036946">
            <w:pPr>
              <w:keepNext/>
              <w:jc w:val="center"/>
              <w:cnfStyle w:val="000000000000" w:firstRow="0" w:lastRow="0" w:firstColumn="0" w:lastColumn="0" w:oddVBand="0" w:evenVBand="0" w:oddHBand="0" w:evenHBand="0" w:firstRowFirstColumn="0" w:firstRowLastColumn="0" w:lastRowFirstColumn="0" w:lastRowLastColumn="0"/>
            </w:pPr>
            <w:r>
              <w:t>4.3</w:t>
            </w:r>
          </w:p>
        </w:tc>
      </w:tr>
      <w:tr w:rsidR="00DA28AD" w:rsidRPr="00AB392C" w:rsidTr="00F1346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19" w:type="dxa"/>
          </w:tcPr>
          <w:p w:rsidR="00DA28AD" w:rsidRPr="004B26BE" w:rsidRDefault="00DA28AD" w:rsidP="00DA28AD">
            <w:pPr>
              <w:keepNext/>
              <w:rPr>
                <w:b w:val="0"/>
                <w:lang w:val="en-US" w:eastAsia="ja-JP"/>
              </w:rPr>
            </w:pPr>
            <w:r w:rsidRPr="004B26BE">
              <w:rPr>
                <w:b w:val="0"/>
                <w:lang w:val="en-US" w:eastAsia="ja-JP"/>
              </w:rPr>
              <w:t>Newstart Allowance</w:t>
            </w:r>
          </w:p>
        </w:tc>
        <w:tc>
          <w:tcPr>
            <w:tcW w:w="2126" w:type="dxa"/>
          </w:tcPr>
          <w:p w:rsidR="00DA28AD" w:rsidRPr="004B26BE" w:rsidRDefault="00DA28AD" w:rsidP="00DA28AD">
            <w:pPr>
              <w:keepNext/>
              <w:jc w:val="center"/>
              <w:cnfStyle w:val="000000100000" w:firstRow="0" w:lastRow="0" w:firstColumn="0" w:lastColumn="0" w:oddVBand="0" w:evenVBand="0" w:oddHBand="1" w:evenHBand="0" w:firstRowFirstColumn="0" w:firstRowLastColumn="0" w:lastRowFirstColumn="0" w:lastRowLastColumn="0"/>
            </w:pPr>
            <w:r>
              <w:t>4.4</w:t>
            </w:r>
          </w:p>
        </w:tc>
      </w:tr>
      <w:tr w:rsidR="00DA28AD" w:rsidRPr="00AB392C" w:rsidTr="00F13467">
        <w:trPr>
          <w:trHeight w:val="20"/>
          <w:jc w:val="center"/>
        </w:trPr>
        <w:tc>
          <w:tcPr>
            <w:cnfStyle w:val="001000000000" w:firstRow="0" w:lastRow="0" w:firstColumn="1" w:lastColumn="0" w:oddVBand="0" w:evenVBand="0" w:oddHBand="0" w:evenHBand="0" w:firstRowFirstColumn="0" w:firstRowLastColumn="0" w:lastRowFirstColumn="0" w:lastRowLastColumn="0"/>
            <w:tcW w:w="4219" w:type="dxa"/>
          </w:tcPr>
          <w:p w:rsidR="00DA28AD" w:rsidRPr="004B26BE" w:rsidRDefault="00DA28AD" w:rsidP="00036946">
            <w:pPr>
              <w:keepNext/>
              <w:rPr>
                <w:b w:val="0"/>
                <w:lang w:val="en-US" w:eastAsia="ja-JP"/>
              </w:rPr>
            </w:pPr>
            <w:r>
              <w:rPr>
                <w:b w:val="0"/>
                <w:lang w:val="en-US" w:eastAsia="ja-JP"/>
              </w:rPr>
              <w:t>Parenting Payment</w:t>
            </w:r>
          </w:p>
        </w:tc>
        <w:tc>
          <w:tcPr>
            <w:tcW w:w="2126" w:type="dxa"/>
          </w:tcPr>
          <w:p w:rsidR="00DA28AD" w:rsidRPr="004B26BE" w:rsidRDefault="00DA28AD" w:rsidP="00DA28AD">
            <w:pPr>
              <w:keepNext/>
              <w:jc w:val="center"/>
              <w:cnfStyle w:val="000000000000" w:firstRow="0" w:lastRow="0" w:firstColumn="0" w:lastColumn="0" w:oddVBand="0" w:evenVBand="0" w:oddHBand="0" w:evenHBand="0" w:firstRowFirstColumn="0" w:firstRowLastColumn="0" w:lastRowFirstColumn="0" w:lastRowLastColumn="0"/>
            </w:pPr>
            <w:r>
              <w:t>5.1</w:t>
            </w:r>
          </w:p>
        </w:tc>
      </w:tr>
      <w:tr w:rsidR="00DA28AD" w:rsidRPr="00AB392C" w:rsidTr="00F1346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19" w:type="dxa"/>
          </w:tcPr>
          <w:p w:rsidR="00DA28AD" w:rsidRPr="004B26BE" w:rsidRDefault="00DA28AD" w:rsidP="00036946">
            <w:pPr>
              <w:keepNext/>
              <w:rPr>
                <w:b w:val="0"/>
                <w:lang w:val="en-US" w:eastAsia="ja-JP"/>
              </w:rPr>
            </w:pPr>
            <w:r>
              <w:rPr>
                <w:b w:val="0"/>
                <w:lang w:val="en-US" w:eastAsia="ja-JP"/>
              </w:rPr>
              <w:t>Low Income Health Care Card</w:t>
            </w:r>
            <w:r w:rsidRPr="004B26BE">
              <w:rPr>
                <w:b w:val="0"/>
                <w:lang w:val="en-US" w:eastAsia="ja-JP"/>
              </w:rPr>
              <w:t xml:space="preserve"> </w:t>
            </w:r>
          </w:p>
        </w:tc>
        <w:tc>
          <w:tcPr>
            <w:tcW w:w="2126" w:type="dxa"/>
          </w:tcPr>
          <w:p w:rsidR="00DA28AD" w:rsidRPr="004B26BE" w:rsidRDefault="00DA28AD" w:rsidP="00036946">
            <w:pPr>
              <w:keepNext/>
              <w:jc w:val="center"/>
              <w:cnfStyle w:val="000000100000" w:firstRow="0" w:lastRow="0" w:firstColumn="0" w:lastColumn="0" w:oddVBand="0" w:evenVBand="0" w:oddHBand="1" w:evenHBand="0" w:firstRowFirstColumn="0" w:firstRowLastColumn="0" w:lastRowFirstColumn="0" w:lastRowLastColumn="0"/>
              <w:rPr>
                <w:lang w:val="en-US" w:eastAsia="ja-JP"/>
              </w:rPr>
            </w:pPr>
            <w:r>
              <w:rPr>
                <w:lang w:val="en-US" w:eastAsia="ja-JP"/>
              </w:rPr>
              <w:t>5.1</w:t>
            </w:r>
          </w:p>
        </w:tc>
      </w:tr>
      <w:tr w:rsidR="00DA28AD" w:rsidRPr="00AB392C" w:rsidTr="00F13467">
        <w:trPr>
          <w:trHeight w:val="20"/>
          <w:jc w:val="center"/>
        </w:trPr>
        <w:tc>
          <w:tcPr>
            <w:cnfStyle w:val="001000000000" w:firstRow="0" w:lastRow="0" w:firstColumn="1" w:lastColumn="0" w:oddVBand="0" w:evenVBand="0" w:oddHBand="0" w:evenHBand="0" w:firstRowFirstColumn="0" w:firstRowLastColumn="0" w:lastRowFirstColumn="0" w:lastRowLastColumn="0"/>
            <w:tcW w:w="4219" w:type="dxa"/>
          </w:tcPr>
          <w:p w:rsidR="00DA28AD" w:rsidRDefault="00DA28AD" w:rsidP="00036946">
            <w:pPr>
              <w:keepNext/>
              <w:rPr>
                <w:b w:val="0"/>
                <w:lang w:val="en-US" w:eastAsia="ja-JP"/>
              </w:rPr>
            </w:pPr>
            <w:proofErr w:type="spellStart"/>
            <w:r>
              <w:rPr>
                <w:b w:val="0"/>
                <w:lang w:val="en-US" w:eastAsia="ja-JP"/>
              </w:rPr>
              <w:t>Carer</w:t>
            </w:r>
            <w:proofErr w:type="spellEnd"/>
            <w:r>
              <w:rPr>
                <w:b w:val="0"/>
                <w:lang w:val="en-US" w:eastAsia="ja-JP"/>
              </w:rPr>
              <w:t xml:space="preserve"> Allowance/</w:t>
            </w:r>
            <w:proofErr w:type="spellStart"/>
            <w:r>
              <w:rPr>
                <w:b w:val="0"/>
                <w:lang w:val="en-US" w:eastAsia="ja-JP"/>
              </w:rPr>
              <w:t>Carer</w:t>
            </w:r>
            <w:proofErr w:type="spellEnd"/>
            <w:r>
              <w:rPr>
                <w:b w:val="0"/>
                <w:lang w:val="en-US" w:eastAsia="ja-JP"/>
              </w:rPr>
              <w:t xml:space="preserve"> Payment</w:t>
            </w:r>
          </w:p>
        </w:tc>
        <w:tc>
          <w:tcPr>
            <w:tcW w:w="2126" w:type="dxa"/>
          </w:tcPr>
          <w:p w:rsidR="00DA28AD" w:rsidRPr="004B26BE" w:rsidRDefault="00DA28AD" w:rsidP="00DA28AD">
            <w:pPr>
              <w:keepNext/>
              <w:jc w:val="center"/>
              <w:cnfStyle w:val="000000000000" w:firstRow="0" w:lastRow="0" w:firstColumn="0" w:lastColumn="0" w:oddVBand="0" w:evenVBand="0" w:oddHBand="0" w:evenHBand="0" w:firstRowFirstColumn="0" w:firstRowLastColumn="0" w:lastRowFirstColumn="0" w:lastRowLastColumn="0"/>
            </w:pPr>
            <w:r>
              <w:t>5.5</w:t>
            </w:r>
          </w:p>
        </w:tc>
      </w:tr>
      <w:tr w:rsidR="00DA28AD" w:rsidRPr="00AB392C" w:rsidTr="00F1346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219" w:type="dxa"/>
          </w:tcPr>
          <w:p w:rsidR="00DA28AD" w:rsidRPr="004B26BE" w:rsidRDefault="00DA28AD" w:rsidP="00036946">
            <w:pPr>
              <w:keepNext/>
              <w:rPr>
                <w:b w:val="0"/>
                <w:lang w:val="en-US" w:eastAsia="ja-JP"/>
              </w:rPr>
            </w:pPr>
            <w:r>
              <w:rPr>
                <w:b w:val="0"/>
                <w:lang w:val="en-US" w:eastAsia="ja-JP"/>
              </w:rPr>
              <w:t>Youth Allowance</w:t>
            </w:r>
          </w:p>
        </w:tc>
        <w:tc>
          <w:tcPr>
            <w:tcW w:w="2126" w:type="dxa"/>
          </w:tcPr>
          <w:p w:rsidR="00DA28AD" w:rsidRDefault="00DA28AD" w:rsidP="00036946">
            <w:pPr>
              <w:keepNext/>
              <w:jc w:val="center"/>
              <w:cnfStyle w:val="000000100000" w:firstRow="0" w:lastRow="0" w:firstColumn="0" w:lastColumn="0" w:oddVBand="0" w:evenVBand="0" w:oddHBand="1" w:evenHBand="0" w:firstRowFirstColumn="0" w:firstRowLastColumn="0" w:lastRowFirstColumn="0" w:lastRowLastColumn="0"/>
            </w:pPr>
            <w:r>
              <w:t>7.3</w:t>
            </w:r>
          </w:p>
        </w:tc>
      </w:tr>
    </w:tbl>
    <w:p w:rsidR="00DA28AD" w:rsidRDefault="00DA28AD" w:rsidP="00DA28AD">
      <w:pPr>
        <w:jc w:val="center"/>
        <w:rPr>
          <w:sz w:val="18"/>
        </w:rPr>
      </w:pPr>
      <w:r>
        <w:rPr>
          <w:sz w:val="18"/>
        </w:rPr>
        <w:t>(Source: Mint Research, 2016)</w:t>
      </w:r>
    </w:p>
    <w:p w:rsidR="00E819FA" w:rsidRDefault="00660290" w:rsidP="00E819FA">
      <w:r>
        <w:lastRenderedPageBreak/>
        <w:t>For much of the rest of the population though, the</w:t>
      </w:r>
      <w:r w:rsidR="00E819FA">
        <w:t xml:space="preserve"> rapid increase </w:t>
      </w:r>
      <w:r w:rsidR="00DA28AD">
        <w:t xml:space="preserve">in devices across society </w:t>
      </w:r>
      <w:r w:rsidR="00E819FA">
        <w:t>has been driven by (and in turn facilitated</w:t>
      </w:r>
      <w:r w:rsidR="00F267E9">
        <w:t xml:space="preserve"> by</w:t>
      </w:r>
      <w:r w:rsidR="00E819FA">
        <w:t xml:space="preserve">) the increasing number and integration of telecommunication platforms, which has itself driven new telecommunications expenditures on ever smarter devices. While many devices at first glance may not seem essential, as they become embedded in daily life, they in turn change the way people live, </w:t>
      </w:r>
      <w:r w:rsidR="00F267E9">
        <w:t xml:space="preserve">quickly </w:t>
      </w:r>
      <w:r w:rsidR="003A46DB">
        <w:t>becoming</w:t>
      </w:r>
      <w:r w:rsidR="00E819FA">
        <w:t xml:space="preserve"> essential</w:t>
      </w:r>
      <w:r w:rsidR="00F267E9">
        <w:t xml:space="preserve"> to this new way of life</w:t>
      </w:r>
      <w:r w:rsidR="00E819FA">
        <w:t xml:space="preserve">. </w:t>
      </w:r>
      <w:r w:rsidR="00DA28AD">
        <w:t xml:space="preserve"> </w:t>
      </w:r>
    </w:p>
    <w:p w:rsidR="00E819FA" w:rsidRDefault="00E819FA" w:rsidP="00E819FA">
      <w:pPr>
        <w:pStyle w:val="Heading2"/>
      </w:pPr>
      <w:bookmarkStart w:id="31" w:name="_Toc465167557"/>
      <w:r>
        <w:t>One size does not fit all</w:t>
      </w:r>
      <w:bookmarkEnd w:id="31"/>
    </w:p>
    <w:p w:rsidR="00DA28AD" w:rsidRDefault="00E819FA" w:rsidP="00DA28AD">
      <w:r>
        <w:t xml:space="preserve">To meet </w:t>
      </w:r>
      <w:r w:rsidR="00E57AA7">
        <w:t>these new telecommunication needs</w:t>
      </w:r>
      <w:r w:rsidR="00DC20E5">
        <w:t xml:space="preserve"> there is</w:t>
      </w:r>
      <w:r>
        <w:t xml:space="preserve"> </w:t>
      </w:r>
      <w:r w:rsidR="00F267E9">
        <w:t xml:space="preserve">a </w:t>
      </w:r>
      <w:r>
        <w:t>range of different s</w:t>
      </w:r>
      <w:r w:rsidR="001E07E2">
        <w:t>ervices available on the market.</w:t>
      </w:r>
      <w:r>
        <w:t xml:space="preserve"> </w:t>
      </w:r>
      <w:r w:rsidR="001E07E2">
        <w:t xml:space="preserve"> </w:t>
      </w:r>
      <w:r w:rsidRPr="001E07E2">
        <w:t>For example</w:t>
      </w:r>
      <w:r w:rsidR="00793516">
        <w:t>,</w:t>
      </w:r>
      <w:r w:rsidRPr="001E07E2">
        <w:t xml:space="preserve"> for voice </w:t>
      </w:r>
      <w:r w:rsidR="00793516">
        <w:t xml:space="preserve">communications </w:t>
      </w:r>
      <w:r w:rsidRPr="001E07E2">
        <w:t>people may use a fixed line ‘copper’ connection, a 3G or 4G mobile connection and/or a mobile or fixed line broadband connection.</w:t>
      </w:r>
      <w:r w:rsidR="00387CB7">
        <w:t xml:space="preserve"> </w:t>
      </w:r>
      <w:r w:rsidRPr="001E07E2">
        <w:t xml:space="preserve">For data people may use mobile or wireless broadband, fixed line ADSL, naked DSL or dial up broadband, </w:t>
      </w:r>
      <w:r w:rsidR="005F4474">
        <w:t xml:space="preserve">satellite, </w:t>
      </w:r>
      <w:r w:rsidRPr="001E07E2">
        <w:t>fibre broadband through the pay TV cable network</w:t>
      </w:r>
      <w:r w:rsidR="005F4474">
        <w:t>, or satellite or fibre broadband through the NBN</w:t>
      </w:r>
      <w:r w:rsidRPr="001E07E2">
        <w:t>.</w:t>
      </w:r>
      <w:r w:rsidR="00387CB7">
        <w:t xml:space="preserve"> </w:t>
      </w:r>
      <w:r>
        <w:t xml:space="preserve"> As the types of telecommunications services, devices and capabilities grow, Australians are commonly using a combination of services and devices to meet their needs</w:t>
      </w:r>
      <w:r w:rsidR="008C7A14">
        <w:t xml:space="preserve">. </w:t>
      </w:r>
      <w:r w:rsidR="00DA28AD">
        <w:t xml:space="preserve"> It was notable that even among the low income consumers in our study, over half reported being connected via a landline, mobile phone and a separate internet connection.</w:t>
      </w:r>
    </w:p>
    <w:p w:rsidR="00DA28AD" w:rsidRDefault="00DA28AD" w:rsidP="00793516">
      <w:r>
        <w:t xml:space="preserve">This is not extravagance but rather fitting “horses for courses”. </w:t>
      </w:r>
      <w:r w:rsidR="008C7A14">
        <w:t>For example</w:t>
      </w:r>
      <w:r>
        <w:t>,</w:t>
      </w:r>
      <w:r w:rsidR="008C7A14">
        <w:t xml:space="preserve"> a smart</w:t>
      </w:r>
      <w:r w:rsidR="00E819FA">
        <w:t xml:space="preserve"> mobile phone may be sufficient to contact friends and family and complete other essential life tasks on the go, such as checking bank balances, viewing public transport timetab</w:t>
      </w:r>
      <w:r>
        <w:t>les or checking work email.  However,</w:t>
      </w:r>
      <w:r w:rsidR="00E819FA">
        <w:t xml:space="preserve"> the small size of the screen and the cost of mobile broadband means that it may not be sufficient or practical to complete more data ‘hungry’ or compl</w:t>
      </w:r>
      <w:r w:rsidR="008C7A14">
        <w:t xml:space="preserve">ex tasks, such as </w:t>
      </w:r>
      <w:r w:rsidR="00E819FA">
        <w:t>completing school work or university assignments</w:t>
      </w:r>
      <w:r w:rsidR="00793516">
        <w:t>, applying for jobs</w:t>
      </w:r>
      <w:r w:rsidR="00E819FA">
        <w:t xml:space="preserve"> or watching a movie with family and friends</w:t>
      </w:r>
      <w:r w:rsidR="00FF7817">
        <w:t xml:space="preserve"> </w:t>
      </w:r>
      <w:sdt>
        <w:sdtPr>
          <w:id w:val="1803803646"/>
          <w:citation/>
        </w:sdtPr>
        <w:sdtContent>
          <w:r w:rsidR="00C907D6">
            <w:fldChar w:fldCharType="begin"/>
          </w:r>
          <w:r w:rsidR="00FF7817">
            <w:instrText xml:space="preserve"> CITATION ACC16 \l 3081 </w:instrText>
          </w:r>
          <w:r w:rsidR="00C907D6">
            <w:fldChar w:fldCharType="separate"/>
          </w:r>
          <w:r w:rsidR="000D79D7">
            <w:rPr>
              <w:noProof/>
            </w:rPr>
            <w:t>(ACCC, 2016)</w:t>
          </w:r>
          <w:r w:rsidR="00C907D6">
            <w:fldChar w:fldCharType="end"/>
          </w:r>
        </w:sdtContent>
      </w:sdt>
      <w:r>
        <w:t>.</w:t>
      </w:r>
      <w:r w:rsidR="00E57AA7">
        <w:t xml:space="preserve">  This was confirmed by a focus group participant:</w:t>
      </w:r>
    </w:p>
    <w:p w:rsidR="00E57AA7" w:rsidRPr="009E4FF5" w:rsidRDefault="00E57AA7" w:rsidP="00E57AA7">
      <w:pPr>
        <w:spacing w:before="120"/>
        <w:ind w:left="567" w:right="567"/>
        <w:rPr>
          <w:rFonts w:eastAsia="Calibri" w:cs="Arial"/>
        </w:rPr>
      </w:pPr>
      <w:r w:rsidRPr="009E4FF5">
        <w:rPr>
          <w:rFonts w:eastAsia="Calibri" w:cs="Arial"/>
        </w:rPr>
        <w:t>“[</w:t>
      </w:r>
      <w:proofErr w:type="gramStart"/>
      <w:r w:rsidRPr="009E4FF5">
        <w:rPr>
          <w:rFonts w:eastAsia="Calibri" w:cs="Arial"/>
        </w:rPr>
        <w:t>my</w:t>
      </w:r>
      <w:proofErr w:type="gramEnd"/>
      <w:r w:rsidRPr="009E4FF5">
        <w:rPr>
          <w:rFonts w:eastAsia="Calibri" w:cs="Arial"/>
        </w:rPr>
        <w:t xml:space="preserve"> mobile phone] it’s compact, it’s transportable, it’s multifunctional… [</w:t>
      </w:r>
      <w:proofErr w:type="gramStart"/>
      <w:r w:rsidRPr="009E4FF5">
        <w:rPr>
          <w:rFonts w:eastAsia="Calibri" w:cs="Arial"/>
        </w:rPr>
        <w:t>but</w:t>
      </w:r>
      <w:proofErr w:type="gramEnd"/>
      <w:r w:rsidRPr="009E4FF5">
        <w:rPr>
          <w:rFonts w:eastAsia="Calibri" w:cs="Arial"/>
        </w:rPr>
        <w:t>] as I study and I’m a parent, and I’ve got a vision issue… I often switch between devices if I need like a bigger screen to work with”.</w:t>
      </w:r>
    </w:p>
    <w:p w:rsidR="0088682F" w:rsidRPr="0088682F" w:rsidRDefault="00DA28AD" w:rsidP="00793516">
      <w:r>
        <w:t>Similarly, w</w:t>
      </w:r>
      <w:r w:rsidR="00E819FA">
        <w:t>hile a single person or couple may only require one mobile phone each and one fixed line home connection t</w:t>
      </w:r>
      <w:r w:rsidR="002B31D2">
        <w:t>o a desk</w:t>
      </w:r>
      <w:r w:rsidR="00E819FA">
        <w:t>top computer, a family may need a number of Wi-Fi enabled devices connected to the fixed line home broadband with enough data and speed for all members of the household to complete all their tasks at the same time.</w:t>
      </w:r>
      <w:r w:rsidR="00793516">
        <w:t xml:space="preserve"> </w:t>
      </w:r>
      <w:r>
        <w:t xml:space="preserve"> Again, t</w:t>
      </w:r>
      <w:r w:rsidR="00793516">
        <w:t>his is true even for those on low incomes, as focus group participant</w:t>
      </w:r>
      <w:r w:rsidR="00E57AA7">
        <w:t>s</w:t>
      </w:r>
      <w:r w:rsidR="00793516">
        <w:t xml:space="preserve"> explained:</w:t>
      </w:r>
    </w:p>
    <w:p w:rsidR="0088682F" w:rsidRDefault="0088682F" w:rsidP="0088682F">
      <w:pPr>
        <w:spacing w:before="120"/>
        <w:ind w:left="567" w:right="567"/>
        <w:rPr>
          <w:rFonts w:eastAsia="Calibri" w:cs="Arial"/>
        </w:rPr>
      </w:pPr>
      <w:r>
        <w:rPr>
          <w:rFonts w:eastAsia="Calibri" w:cs="Arial"/>
        </w:rPr>
        <w:t>“[I have an unlimited plan]</w:t>
      </w:r>
      <w:r w:rsidR="00894E22">
        <w:rPr>
          <w:rFonts w:eastAsia="Calibri" w:cs="Arial"/>
        </w:rPr>
        <w:t xml:space="preserve"> b</w:t>
      </w:r>
      <w:r w:rsidRPr="0088682F">
        <w:rPr>
          <w:rFonts w:eastAsia="Calibri" w:cs="Arial"/>
        </w:rPr>
        <w:t>ecause we use a lot, well, actually, at one stage when the three of us were all studying, when my daug</w:t>
      </w:r>
      <w:r>
        <w:rPr>
          <w:rFonts w:eastAsia="Calibri" w:cs="Arial"/>
        </w:rPr>
        <w:t>hter was at home, we used a lot</w:t>
      </w:r>
      <w:r w:rsidR="00DE631D">
        <w:rPr>
          <w:rFonts w:eastAsia="Calibri" w:cs="Arial"/>
        </w:rPr>
        <w:t>.</w:t>
      </w:r>
      <w:r>
        <w:rPr>
          <w:rFonts w:eastAsia="Calibri" w:cs="Arial"/>
        </w:rPr>
        <w:t>”</w:t>
      </w:r>
    </w:p>
    <w:p w:rsidR="00E57AA7" w:rsidRDefault="00E57AA7" w:rsidP="00E57AA7">
      <w:pPr>
        <w:ind w:left="567"/>
      </w:pPr>
      <w:r>
        <w:lastRenderedPageBreak/>
        <w:t>“I’ve got teenagers: I have no option but to have the internet.”</w:t>
      </w:r>
    </w:p>
    <w:p w:rsidR="00731B9A" w:rsidRDefault="00E819FA" w:rsidP="00E819FA">
      <w:r>
        <w:t xml:space="preserve">As needs vary between people of different ages, geographic locations, living and working arrangements, family types and so on, the combination of telecommunications services and devices people use to meet their social and economic needs can vary greatly. </w:t>
      </w:r>
      <w:r w:rsidR="00387CB7">
        <w:t xml:space="preserve"> </w:t>
      </w:r>
      <w:r>
        <w:t>As such, there is no longer a one size fits all model of essent</w:t>
      </w:r>
      <w:r w:rsidR="00E57AA7">
        <w:t>ial telecommunications services</w:t>
      </w:r>
      <w:r>
        <w:t xml:space="preserve">.  </w:t>
      </w:r>
    </w:p>
    <w:p w:rsidR="00B24D2A" w:rsidRDefault="008959B9" w:rsidP="008959B9">
      <w:pPr>
        <w:pStyle w:val="Heading2"/>
      </w:pPr>
      <w:bookmarkStart w:id="32" w:name="_Toc465167558"/>
      <w:r w:rsidRPr="008959B9">
        <w:t>Essential</w:t>
      </w:r>
      <w:r w:rsidR="00373118">
        <w:t>,</w:t>
      </w:r>
      <w:r w:rsidRPr="008959B9">
        <w:t xml:space="preserve"> </w:t>
      </w:r>
      <w:r w:rsidR="00B33546">
        <w:t>but not yet</w:t>
      </w:r>
      <w:r w:rsidRPr="008959B9">
        <w:t xml:space="preserve"> universal</w:t>
      </w:r>
      <w:bookmarkEnd w:id="32"/>
      <w:r>
        <w:t xml:space="preserve"> </w:t>
      </w:r>
    </w:p>
    <w:p w:rsidR="00DA28AD" w:rsidRDefault="007373B3" w:rsidP="007373B3">
      <w:r>
        <w:t xml:space="preserve">While mobile phones and the internet are the essential telecommunications </w:t>
      </w:r>
      <w:r w:rsidR="006177CE">
        <w:t xml:space="preserve">tools </w:t>
      </w:r>
      <w:r>
        <w:t>of the digital age, their usage is not universal.</w:t>
      </w:r>
      <w:r w:rsidR="00DA28AD">
        <w:t xml:space="preserve">  ACMA </w:t>
      </w:r>
      <w:sdt>
        <w:sdtPr>
          <w:id w:val="1366335041"/>
          <w:citation/>
        </w:sdtPr>
        <w:sdtContent>
          <w:r w:rsidR="00C907D6" w:rsidRPr="00C072DB">
            <w:fldChar w:fldCharType="begin"/>
          </w:r>
          <w:r w:rsidR="00DA28AD">
            <w:instrText xml:space="preserve">CITATION ACM14 \n  \l 3081 </w:instrText>
          </w:r>
          <w:r w:rsidR="00C907D6" w:rsidRPr="00C072DB">
            <w:fldChar w:fldCharType="separate"/>
          </w:r>
          <w:r w:rsidR="000D79D7">
            <w:rPr>
              <w:noProof/>
            </w:rPr>
            <w:t>(Older Australians resist cutting the cord, 2014)</w:t>
          </w:r>
          <w:r w:rsidR="00C907D6" w:rsidRPr="00C072DB">
            <w:fldChar w:fldCharType="end"/>
          </w:r>
        </w:sdtContent>
      </w:sdt>
      <w:r w:rsidR="00E57AA7">
        <w:t xml:space="preserve"> data found that 93</w:t>
      </w:r>
      <w:r w:rsidR="00DA28AD">
        <w:t>% of people use a mobile phone, while in our survey of low income consumers 61% of respondents said that they had a mobile phone with data, and 30</w:t>
      </w:r>
      <w:r w:rsidR="006177CE">
        <w:t>%</w:t>
      </w:r>
      <w:r w:rsidR="00DA28AD">
        <w:t xml:space="preserve"> had a phone with no data.  </w:t>
      </w:r>
      <w:r w:rsidR="00E57AA7">
        <w:t>In relation to the internet, the</w:t>
      </w:r>
      <w:r w:rsidR="00DA28AD">
        <w:t xml:space="preserve"> ABS </w:t>
      </w:r>
      <w:sdt>
        <w:sdtPr>
          <w:id w:val="1673834459"/>
          <w:citation/>
        </w:sdtPr>
        <w:sdtContent>
          <w:r w:rsidR="00C907D6" w:rsidRPr="00C072DB">
            <w:fldChar w:fldCharType="begin"/>
          </w:r>
          <w:r w:rsidR="00A41244">
            <w:instrText xml:space="preserve">CITATION ABS152 \n  \t  \l 3081 </w:instrText>
          </w:r>
          <w:r w:rsidR="00C907D6" w:rsidRPr="00C072DB">
            <w:fldChar w:fldCharType="separate"/>
          </w:r>
          <w:r w:rsidR="00A41244">
            <w:rPr>
              <w:noProof/>
            </w:rPr>
            <w:t>(2015)</w:t>
          </w:r>
          <w:r w:rsidR="00C907D6" w:rsidRPr="00C072DB">
            <w:fldChar w:fldCharType="end"/>
          </w:r>
        </w:sdtContent>
      </w:sdt>
      <w:r w:rsidR="00DA28AD">
        <w:t xml:space="preserve"> found that a</w:t>
      </w:r>
      <w:r w:rsidR="00C072DB">
        <w:t xml:space="preserve">pproximately </w:t>
      </w:r>
      <w:r w:rsidRPr="00C072DB">
        <w:t>15% of Australian</w:t>
      </w:r>
      <w:r w:rsidR="001C51DB" w:rsidRPr="00C072DB">
        <w:t xml:space="preserve"> households</w:t>
      </w:r>
      <w:r w:rsidRPr="00C072DB">
        <w:t xml:space="preserve"> do not use the internet</w:t>
      </w:r>
      <w:r w:rsidR="00DA28AD">
        <w:t xml:space="preserve">, while our survey suggested higher usage with only 8% of respondents not having internet access at home. </w:t>
      </w:r>
      <w:r w:rsidR="00387CB7">
        <w:t xml:space="preserve"> </w:t>
      </w:r>
      <w:r w:rsidR="00DA28AD">
        <w:t>However the figure was 21% among respondents surveyed by telephone, suggesting a sampling bias and the likelihood that internet disconnection is more widespread among low income households</w:t>
      </w:r>
      <w:r w:rsidR="00E57AA7">
        <w:t xml:space="preserve"> than in our survey sample</w:t>
      </w:r>
      <w:r w:rsidR="00DA28AD">
        <w:t>.</w:t>
      </w:r>
    </w:p>
    <w:p w:rsidR="007373B3" w:rsidRDefault="00DA28AD" w:rsidP="007373B3">
      <w:r>
        <w:t xml:space="preserve">Given the discussion above about how essential telecommunications </w:t>
      </w:r>
      <w:r w:rsidR="0012724F">
        <w:t xml:space="preserve">now </w:t>
      </w:r>
      <w:proofErr w:type="gramStart"/>
      <w:r>
        <w:t>are,</w:t>
      </w:r>
      <w:proofErr w:type="gramEnd"/>
      <w:r>
        <w:t xml:space="preserve"> the goal would presumably be 100% access and use, but such u</w:t>
      </w:r>
      <w:r w:rsidR="00A516CF">
        <w:t>niversality is</w:t>
      </w:r>
      <w:r w:rsidR="002B31D2">
        <w:t xml:space="preserve"> </w:t>
      </w:r>
      <w:r w:rsidR="007373B3">
        <w:t>being held back by three key barriers</w:t>
      </w:r>
      <w:r w:rsidR="003A46DB">
        <w:t>:</w:t>
      </w:r>
      <w:r w:rsidR="007373B3">
        <w:t xml:space="preserve"> lack of availability, a lack of literacy, and a lack of affordability </w:t>
      </w:r>
      <w:sdt>
        <w:sdtPr>
          <w:id w:val="-1732685318"/>
          <w:citation/>
        </w:sdtPr>
        <w:sdtContent>
          <w:r w:rsidR="00C907D6" w:rsidRPr="001C51DB">
            <w:fldChar w:fldCharType="begin"/>
          </w:r>
          <w:r w:rsidR="001C51DB" w:rsidRPr="001C51DB">
            <w:instrText xml:space="preserve"> CITATION ACC15 \l 3081 </w:instrText>
          </w:r>
          <w:r w:rsidR="00C907D6" w:rsidRPr="001C51DB">
            <w:fldChar w:fldCharType="separate"/>
          </w:r>
          <w:r w:rsidR="000D79D7">
            <w:rPr>
              <w:noProof/>
            </w:rPr>
            <w:t>(ACCAN, 2015)</w:t>
          </w:r>
          <w:r w:rsidR="00C907D6" w:rsidRPr="001C51DB">
            <w:fldChar w:fldCharType="end"/>
          </w:r>
        </w:sdtContent>
      </w:sdt>
      <w:r w:rsidR="007373B3" w:rsidRPr="001C51DB">
        <w:t xml:space="preserve">. </w:t>
      </w:r>
      <w:r w:rsidR="00387CB7">
        <w:t xml:space="preserve"> </w:t>
      </w:r>
      <w:r w:rsidR="007373B3" w:rsidRPr="001C51DB">
        <w:t>These</w:t>
      </w:r>
      <w:r w:rsidR="007373B3">
        <w:t xml:space="preserve"> barriers impact different individuals and demographic groups to different degrees, but generally the availability barrier is strongest for people who live in rural, remote or other geographically hard to reach locations, the literacy barrier is strongest for older people</w:t>
      </w:r>
      <w:r w:rsidR="00A516CF">
        <w:t>, migrants</w:t>
      </w:r>
      <w:r w:rsidR="007373B3">
        <w:t xml:space="preserve"> and the most socially and economically excluded, and the affordability barrier is stro</w:t>
      </w:r>
      <w:r w:rsidR="00C072DB">
        <w:t xml:space="preserve">ngest for people on low incomes. </w:t>
      </w:r>
    </w:p>
    <w:p w:rsidR="00DA28AD" w:rsidRDefault="00E57AA7" w:rsidP="007373B3">
      <w:r>
        <w:t>In the</w:t>
      </w:r>
      <w:r w:rsidR="00DA28AD">
        <w:t xml:space="preserve"> context</w:t>
      </w:r>
      <w:r>
        <w:t xml:space="preserve"> of this report on affordability, it </w:t>
      </w:r>
      <w:r w:rsidR="00DA28AD">
        <w:t xml:space="preserve">is clear from the above that the broad societal shifts to mobile and digital technology are </w:t>
      </w:r>
      <w:r w:rsidR="003A46DB">
        <w:t>just as</w:t>
      </w:r>
      <w:r w:rsidR="00DA28AD">
        <w:t xml:space="preserve"> significant</w:t>
      </w:r>
      <w:r w:rsidR="00DA28AD" w:rsidRPr="00DA28AD">
        <w:t xml:space="preserve"> </w:t>
      </w:r>
      <w:r w:rsidR="00DA28AD">
        <w:t xml:space="preserve">for those on low incomes </w:t>
      </w:r>
      <w:r w:rsidR="003A46DB">
        <w:t>as</w:t>
      </w:r>
      <w:r w:rsidR="00DA28AD">
        <w:t xml:space="preserve"> for the rest of the population.  </w:t>
      </w:r>
      <w:r w:rsidR="006177CE">
        <w:t>W</w:t>
      </w:r>
      <w:r w:rsidR="00DA28AD">
        <w:t>hether those on low incomes can afford to pay for the services that go with those shifts, or whether getting and maintaining those services is causing financial pressure and hardship</w:t>
      </w:r>
      <w:r w:rsidR="003A46DB">
        <w:t>,</w:t>
      </w:r>
      <w:r w:rsidR="00DA28AD">
        <w:t xml:space="preserve"> </w:t>
      </w:r>
      <w:r w:rsidR="008360DC">
        <w:t>are</w:t>
      </w:r>
      <w:r w:rsidR="00DA28AD">
        <w:t xml:space="preserve"> key question</w:t>
      </w:r>
      <w:r w:rsidR="008360DC">
        <w:t>s</w:t>
      </w:r>
      <w:r>
        <w:t xml:space="preserve"> </w:t>
      </w:r>
      <w:r w:rsidR="006177CE">
        <w:t>addressed</w:t>
      </w:r>
      <w:r>
        <w:t xml:space="preserve"> in the </w:t>
      </w:r>
      <w:r w:rsidR="003A46DB">
        <w:t>following</w:t>
      </w:r>
      <w:r>
        <w:t xml:space="preserve"> section</w:t>
      </w:r>
      <w:r w:rsidR="008360DC">
        <w:t>.</w:t>
      </w:r>
    </w:p>
    <w:p w:rsidR="00DA28AD" w:rsidRDefault="00DA28AD" w:rsidP="00793516"/>
    <w:p w:rsidR="00B24A13" w:rsidRPr="00C06073" w:rsidRDefault="00B24A13" w:rsidP="00C06073">
      <w:pPr>
        <w:sectPr w:rsidR="00B24A13" w:rsidRPr="00C06073" w:rsidSect="00BE561F">
          <w:pgSz w:w="11906" w:h="16838"/>
          <w:pgMar w:top="1701" w:right="1701" w:bottom="2698" w:left="1701" w:header="720" w:footer="933" w:gutter="0"/>
          <w:cols w:space="720"/>
          <w:docGrid w:linePitch="299"/>
        </w:sectPr>
      </w:pPr>
    </w:p>
    <w:p w:rsidR="00132A0F" w:rsidRDefault="002C0F03" w:rsidP="0027163C">
      <w:pPr>
        <w:pStyle w:val="Heading1"/>
        <w:numPr>
          <w:ilvl w:val="0"/>
          <w:numId w:val="15"/>
        </w:numPr>
      </w:pPr>
      <w:bookmarkStart w:id="33" w:name="_Toc465167559"/>
      <w:r>
        <w:rPr>
          <w:noProof/>
          <w:lang w:val="en-AU" w:eastAsia="en-AU"/>
        </w:rPr>
        <w:lastRenderedPageBreak/>
        <mc:AlternateContent>
          <mc:Choice Requires="wps">
            <w:drawing>
              <wp:anchor distT="0" distB="0" distL="114300" distR="114300" simplePos="0" relativeHeight="251662336" behindDoc="0" locked="0" layoutInCell="1" allowOverlap="1" wp14:anchorId="47229BC6" wp14:editId="15BEDEF6">
                <wp:simplePos x="0" y="0"/>
                <wp:positionH relativeFrom="column">
                  <wp:posOffset>-62865</wp:posOffset>
                </wp:positionH>
                <wp:positionV relativeFrom="paragraph">
                  <wp:posOffset>1559560</wp:posOffset>
                </wp:positionV>
                <wp:extent cx="5010150" cy="4519930"/>
                <wp:effectExtent l="0" t="0" r="19050" b="13970"/>
                <wp:wrapTopAndBottom/>
                <wp:docPr id="9" name="Text Box 9"/>
                <wp:cNvGraphicFramePr/>
                <a:graphic xmlns:a="http://schemas.openxmlformats.org/drawingml/2006/main">
                  <a:graphicData uri="http://schemas.microsoft.com/office/word/2010/wordprocessingShape">
                    <wps:wsp>
                      <wps:cNvSpPr txBox="1"/>
                      <wps:spPr>
                        <a:xfrm>
                          <a:off x="0" y="0"/>
                          <a:ext cx="5010150" cy="4519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1CFF" w:rsidRPr="002C0F03" w:rsidRDefault="00881CFF" w:rsidP="002C0F03">
                            <w:pPr>
                              <w:rPr>
                                <w:b/>
                                <w:sz w:val="28"/>
                                <w:szCs w:val="28"/>
                              </w:rPr>
                            </w:pPr>
                            <w:r w:rsidRPr="002C0F03">
                              <w:rPr>
                                <w:b/>
                                <w:sz w:val="28"/>
                                <w:szCs w:val="28"/>
                              </w:rPr>
                              <w:t>Key</w:t>
                            </w:r>
                            <w:r>
                              <w:rPr>
                                <w:b/>
                              </w:rPr>
                              <w:t xml:space="preserve"> </w:t>
                            </w:r>
                            <w:r w:rsidRPr="002C0F03">
                              <w:rPr>
                                <w:b/>
                                <w:sz w:val="28"/>
                                <w:szCs w:val="28"/>
                              </w:rPr>
                              <w:t>Findings</w:t>
                            </w:r>
                          </w:p>
                          <w:p w:rsidR="00881CFF" w:rsidRPr="00567914" w:rsidRDefault="00881CFF" w:rsidP="00567914">
                            <w:pPr>
                              <w:pStyle w:val="ListParagraph"/>
                              <w:numPr>
                                <w:ilvl w:val="0"/>
                                <w:numId w:val="14"/>
                              </w:numPr>
                              <w:rPr>
                                <w:rFonts w:ascii="Arial" w:hAnsi="Arial" w:cs="Arial"/>
                              </w:rPr>
                            </w:pPr>
                            <w:r w:rsidRPr="00567914">
                              <w:rPr>
                                <w:rFonts w:ascii="Arial" w:hAnsi="Arial" w:cs="Arial"/>
                              </w:rPr>
                              <w:t>Telecommunications expenditure is significant and regressive, and 66% of low income consumers in our survey rated telecommunications among the five most important factors in their household budget.</w:t>
                            </w:r>
                          </w:p>
                          <w:p w:rsidR="00881CFF" w:rsidRPr="00567914" w:rsidRDefault="00881CFF" w:rsidP="00567914">
                            <w:pPr>
                              <w:pStyle w:val="ListParagraph"/>
                              <w:numPr>
                                <w:ilvl w:val="0"/>
                                <w:numId w:val="14"/>
                              </w:numPr>
                              <w:rPr>
                                <w:rFonts w:ascii="Arial" w:hAnsi="Arial" w:cs="Arial"/>
                              </w:rPr>
                            </w:pPr>
                            <w:r w:rsidRPr="00567914">
                              <w:rPr>
                                <w:rFonts w:ascii="Arial" w:hAnsi="Arial" w:cs="Arial"/>
                              </w:rPr>
                              <w:t>62% of respondents reported experiencing either difficulty paying, having to cut back, or having to stop using one or more telecommunications services for financial reasons in the last 12 months.</w:t>
                            </w:r>
                          </w:p>
                          <w:p w:rsidR="00881CFF" w:rsidRPr="00567914" w:rsidRDefault="00881CFF" w:rsidP="00567914">
                            <w:pPr>
                              <w:pStyle w:val="ListParagraph"/>
                              <w:numPr>
                                <w:ilvl w:val="0"/>
                                <w:numId w:val="14"/>
                              </w:numPr>
                              <w:rPr>
                                <w:rFonts w:ascii="Arial" w:hAnsi="Arial" w:cs="Arial"/>
                              </w:rPr>
                            </w:pPr>
                            <w:r w:rsidRPr="00567914">
                              <w:rPr>
                                <w:rFonts w:ascii="Arial" w:hAnsi="Arial" w:cs="Arial"/>
                              </w:rPr>
                              <w:t>Ongoing bills cause significantly more problems for affordability than upfront connection costs.</w:t>
                            </w:r>
                          </w:p>
                          <w:p w:rsidR="00881CFF" w:rsidRPr="00567914" w:rsidRDefault="00881CFF" w:rsidP="00567914">
                            <w:pPr>
                              <w:pStyle w:val="ListParagraph"/>
                              <w:numPr>
                                <w:ilvl w:val="0"/>
                                <w:numId w:val="14"/>
                              </w:numPr>
                              <w:rPr>
                                <w:rFonts w:ascii="Arial" w:hAnsi="Arial" w:cs="Arial"/>
                              </w:rPr>
                            </w:pPr>
                            <w:r w:rsidRPr="00567914">
                              <w:rPr>
                                <w:rFonts w:ascii="Arial" w:hAnsi="Arial" w:cs="Arial"/>
                              </w:rPr>
                              <w:t>Survey respondents on Newstart, Youth Allowance and Parenting Payment were more likely to have telecommunications affordability problems than those on other Centrelink payments.</w:t>
                            </w:r>
                          </w:p>
                          <w:p w:rsidR="00881CFF" w:rsidRPr="00567914" w:rsidRDefault="00881CFF" w:rsidP="00567914">
                            <w:pPr>
                              <w:pStyle w:val="ListParagraph"/>
                              <w:numPr>
                                <w:ilvl w:val="0"/>
                                <w:numId w:val="14"/>
                              </w:numPr>
                              <w:rPr>
                                <w:rFonts w:ascii="Arial" w:hAnsi="Arial" w:cs="Arial"/>
                              </w:rPr>
                            </w:pPr>
                            <w:r w:rsidRPr="00567914">
                              <w:rPr>
                                <w:rFonts w:ascii="Arial" w:hAnsi="Arial" w:cs="Arial"/>
                              </w:rPr>
                              <w:t>Those with dependent children were also likely to experience more financial difficulty with telecommunications than others in the survey.</w:t>
                            </w:r>
                          </w:p>
                          <w:p w:rsidR="00881CFF" w:rsidRPr="00567914" w:rsidRDefault="00881CFF" w:rsidP="00567914">
                            <w:pPr>
                              <w:pStyle w:val="ListParagraph"/>
                              <w:numPr>
                                <w:ilvl w:val="0"/>
                                <w:numId w:val="14"/>
                              </w:numPr>
                              <w:rPr>
                                <w:rFonts w:ascii="Arial" w:hAnsi="Arial" w:cs="Arial"/>
                              </w:rPr>
                            </w:pPr>
                            <w:r w:rsidRPr="00567914">
                              <w:rPr>
                                <w:rFonts w:ascii="Arial" w:hAnsi="Arial" w:cs="Arial"/>
                              </w:rPr>
                              <w:t>Decisions to cut-back or stop using telecommunications was not technologically neutral</w:t>
                            </w:r>
                            <w:r>
                              <w:rPr>
                                <w:rFonts w:ascii="Arial" w:hAnsi="Arial" w:cs="Arial"/>
                              </w:rPr>
                              <w:t>,</w:t>
                            </w:r>
                            <w:r w:rsidRPr="00567914">
                              <w:rPr>
                                <w:rFonts w:ascii="Arial" w:hAnsi="Arial" w:cs="Arial"/>
                              </w:rPr>
                              <w:t xml:space="preserve"> with mobile phones </w:t>
                            </w:r>
                            <w:r>
                              <w:rPr>
                                <w:rFonts w:ascii="Arial" w:hAnsi="Arial" w:cs="Arial"/>
                              </w:rPr>
                              <w:t xml:space="preserve">to </w:t>
                            </w:r>
                            <w:r w:rsidRPr="00567914">
                              <w:rPr>
                                <w:rFonts w:ascii="Arial" w:hAnsi="Arial" w:cs="Arial"/>
                              </w:rPr>
                              <w:t>most likely have use limited, and landlines most likely to be stopped altogether.</w:t>
                            </w:r>
                          </w:p>
                          <w:p w:rsidR="00881CFF" w:rsidRPr="00567914" w:rsidRDefault="00881CFF" w:rsidP="00567914">
                            <w:pPr>
                              <w:pStyle w:val="ListParagraph"/>
                              <w:numPr>
                                <w:ilvl w:val="0"/>
                                <w:numId w:val="14"/>
                              </w:numPr>
                              <w:rPr>
                                <w:rFonts w:ascii="Arial" w:hAnsi="Arial" w:cs="Arial"/>
                              </w:rPr>
                            </w:pPr>
                            <w:r w:rsidRPr="00567914">
                              <w:rPr>
                                <w:rFonts w:ascii="Arial" w:hAnsi="Arial" w:cs="Arial"/>
                              </w:rPr>
                              <w:t>The digital divide causes hardship to those going without communications, can compound poverty and other vulnerability, and also imposes significant costs on government and the wider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left:0;text-align:left;margin-left:-4.95pt;margin-top:122.8pt;width:394.5pt;height:355.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" fillcolor="white [3201]" strokeweight=".5pt">
                <v:textbox>
                  <w:txbxContent>
                    <w:p w:rsidR="00881CFF" w:rsidRPr="002C0F03" w:rsidRDefault="00881CFF" w:rsidP="002C0F03">
                      <w:pPr>
                        <w:rPr>
                          <w:b/>
                          <w:sz w:val="28"/>
                          <w:szCs w:val="28"/>
                        </w:rPr>
                      </w:pPr>
                      <w:r w:rsidRPr="002C0F03">
                        <w:rPr>
                          <w:b/>
                          <w:sz w:val="28"/>
                          <w:szCs w:val="28"/>
                        </w:rPr>
                        <w:t>Key</w:t>
                      </w:r>
                      <w:r>
                        <w:rPr>
                          <w:b/>
                        </w:rPr>
                        <w:t xml:space="preserve"> </w:t>
                      </w:r>
                      <w:r w:rsidRPr="002C0F03">
                        <w:rPr>
                          <w:b/>
                          <w:sz w:val="28"/>
                          <w:szCs w:val="28"/>
                        </w:rPr>
                        <w:t>Findings</w:t>
                      </w:r>
                    </w:p>
                    <w:p w:rsidR="00881CFF" w:rsidRPr="00567914" w:rsidRDefault="00881CFF" w:rsidP="00567914">
                      <w:pPr>
                        <w:pStyle w:val="ListParagraph"/>
                        <w:numPr>
                          <w:ilvl w:val="0"/>
                          <w:numId w:val="14"/>
                        </w:numPr>
                        <w:rPr>
                          <w:rFonts w:ascii="Arial" w:hAnsi="Arial" w:cs="Arial"/>
                        </w:rPr>
                      </w:pPr>
                      <w:r w:rsidRPr="00567914">
                        <w:rPr>
                          <w:rFonts w:ascii="Arial" w:hAnsi="Arial" w:cs="Arial"/>
                        </w:rPr>
                        <w:t>Telecommunications expenditure is significant and regressive, and 66% of low income consumers in our survey rated telecommunications among the five most important factors in their household budget.</w:t>
                      </w:r>
                    </w:p>
                    <w:p w:rsidR="00881CFF" w:rsidRPr="00567914" w:rsidRDefault="00881CFF" w:rsidP="00567914">
                      <w:pPr>
                        <w:pStyle w:val="ListParagraph"/>
                        <w:numPr>
                          <w:ilvl w:val="0"/>
                          <w:numId w:val="14"/>
                        </w:numPr>
                        <w:rPr>
                          <w:rFonts w:ascii="Arial" w:hAnsi="Arial" w:cs="Arial"/>
                        </w:rPr>
                      </w:pPr>
                      <w:r w:rsidRPr="00567914">
                        <w:rPr>
                          <w:rFonts w:ascii="Arial" w:hAnsi="Arial" w:cs="Arial"/>
                        </w:rPr>
                        <w:t>62% of respondents reported experiencing either difficulty paying, having to cut back, or having to stop using one or more telecommunications services for financial reasons in the last 12 months.</w:t>
                      </w:r>
                    </w:p>
                    <w:p w:rsidR="00881CFF" w:rsidRPr="00567914" w:rsidRDefault="00881CFF" w:rsidP="00567914">
                      <w:pPr>
                        <w:pStyle w:val="ListParagraph"/>
                        <w:numPr>
                          <w:ilvl w:val="0"/>
                          <w:numId w:val="14"/>
                        </w:numPr>
                        <w:rPr>
                          <w:rFonts w:ascii="Arial" w:hAnsi="Arial" w:cs="Arial"/>
                        </w:rPr>
                      </w:pPr>
                      <w:r w:rsidRPr="00567914">
                        <w:rPr>
                          <w:rFonts w:ascii="Arial" w:hAnsi="Arial" w:cs="Arial"/>
                        </w:rPr>
                        <w:t>Ongoing bills cause significantly more problems for affordability than upfront connection costs.</w:t>
                      </w:r>
                    </w:p>
                    <w:p w:rsidR="00881CFF" w:rsidRPr="00567914" w:rsidRDefault="00881CFF" w:rsidP="00567914">
                      <w:pPr>
                        <w:pStyle w:val="ListParagraph"/>
                        <w:numPr>
                          <w:ilvl w:val="0"/>
                          <w:numId w:val="14"/>
                        </w:numPr>
                        <w:rPr>
                          <w:rFonts w:ascii="Arial" w:hAnsi="Arial" w:cs="Arial"/>
                        </w:rPr>
                      </w:pPr>
                      <w:r w:rsidRPr="00567914">
                        <w:rPr>
                          <w:rFonts w:ascii="Arial" w:hAnsi="Arial" w:cs="Arial"/>
                        </w:rPr>
                        <w:t>Survey respondents on Newstart, Youth Allowance and Parenting Payment were more likely to have telecommunications affordability problems than those on other Centrelink payments.</w:t>
                      </w:r>
                    </w:p>
                    <w:p w:rsidR="00881CFF" w:rsidRPr="00567914" w:rsidRDefault="00881CFF" w:rsidP="00567914">
                      <w:pPr>
                        <w:pStyle w:val="ListParagraph"/>
                        <w:numPr>
                          <w:ilvl w:val="0"/>
                          <w:numId w:val="14"/>
                        </w:numPr>
                        <w:rPr>
                          <w:rFonts w:ascii="Arial" w:hAnsi="Arial" w:cs="Arial"/>
                        </w:rPr>
                      </w:pPr>
                      <w:r w:rsidRPr="00567914">
                        <w:rPr>
                          <w:rFonts w:ascii="Arial" w:hAnsi="Arial" w:cs="Arial"/>
                        </w:rPr>
                        <w:t>Those with dependent children were also likely to experience more financial difficulty with telecommunications than others in the survey.</w:t>
                      </w:r>
                    </w:p>
                    <w:p w:rsidR="00881CFF" w:rsidRPr="00567914" w:rsidRDefault="00881CFF" w:rsidP="00567914">
                      <w:pPr>
                        <w:pStyle w:val="ListParagraph"/>
                        <w:numPr>
                          <w:ilvl w:val="0"/>
                          <w:numId w:val="14"/>
                        </w:numPr>
                        <w:rPr>
                          <w:rFonts w:ascii="Arial" w:hAnsi="Arial" w:cs="Arial"/>
                        </w:rPr>
                      </w:pPr>
                      <w:r w:rsidRPr="00567914">
                        <w:rPr>
                          <w:rFonts w:ascii="Arial" w:hAnsi="Arial" w:cs="Arial"/>
                        </w:rPr>
                        <w:t>Decisions to cut-back or stop using telecommunications was not technologically neutral</w:t>
                      </w:r>
                      <w:r>
                        <w:rPr>
                          <w:rFonts w:ascii="Arial" w:hAnsi="Arial" w:cs="Arial"/>
                        </w:rPr>
                        <w:t>,</w:t>
                      </w:r>
                      <w:r w:rsidRPr="00567914">
                        <w:rPr>
                          <w:rFonts w:ascii="Arial" w:hAnsi="Arial" w:cs="Arial"/>
                        </w:rPr>
                        <w:t xml:space="preserve"> with mobile phones </w:t>
                      </w:r>
                      <w:r>
                        <w:rPr>
                          <w:rFonts w:ascii="Arial" w:hAnsi="Arial" w:cs="Arial"/>
                        </w:rPr>
                        <w:t xml:space="preserve">to </w:t>
                      </w:r>
                      <w:r w:rsidRPr="00567914">
                        <w:rPr>
                          <w:rFonts w:ascii="Arial" w:hAnsi="Arial" w:cs="Arial"/>
                        </w:rPr>
                        <w:t>most likely have use limited, and landlines most likely to be stopped altogether.</w:t>
                      </w:r>
                    </w:p>
                    <w:p w:rsidR="00881CFF" w:rsidRPr="00567914" w:rsidRDefault="00881CFF" w:rsidP="00567914">
                      <w:pPr>
                        <w:pStyle w:val="ListParagraph"/>
                        <w:numPr>
                          <w:ilvl w:val="0"/>
                          <w:numId w:val="14"/>
                        </w:numPr>
                        <w:rPr>
                          <w:rFonts w:ascii="Arial" w:hAnsi="Arial" w:cs="Arial"/>
                        </w:rPr>
                      </w:pPr>
                      <w:r w:rsidRPr="00567914">
                        <w:rPr>
                          <w:rFonts w:ascii="Arial" w:hAnsi="Arial" w:cs="Arial"/>
                        </w:rPr>
                        <w:t>The digital divide causes hardship to those going without communications, can compound poverty and other vulnerability, and also imposes significant costs on government and the wider community.</w:t>
                      </w:r>
                    </w:p>
                  </w:txbxContent>
                </v:textbox>
                <w10:wrap type="topAndBottom"/>
              </v:shape>
            </w:pict>
          </mc:Fallback>
        </mc:AlternateContent>
      </w:r>
      <w:r w:rsidR="009E6F53">
        <w:t>T</w:t>
      </w:r>
      <w:r w:rsidR="008959B9">
        <w:t>elecommunications</w:t>
      </w:r>
      <w:r w:rsidR="009E6F53">
        <w:t xml:space="preserve"> (</w:t>
      </w:r>
      <w:proofErr w:type="gramStart"/>
      <w:r w:rsidR="009E6F53">
        <w:t>un)</w:t>
      </w:r>
      <w:proofErr w:type="gramEnd"/>
      <w:r w:rsidR="009E6F53">
        <w:t>affordability for low income consumers</w:t>
      </w:r>
      <w:bookmarkEnd w:id="33"/>
    </w:p>
    <w:p w:rsidR="002C0F03" w:rsidRDefault="002C0F03" w:rsidP="002C0F03">
      <w:pPr>
        <w:rPr>
          <w:lang w:val="en-US" w:eastAsia="ja-JP"/>
        </w:rPr>
      </w:pPr>
    </w:p>
    <w:p w:rsidR="008360DC" w:rsidRDefault="008360DC" w:rsidP="008360DC">
      <w:pPr>
        <w:pStyle w:val="Heading2"/>
      </w:pPr>
      <w:bookmarkStart w:id="34" w:name="_Toc465167560"/>
      <w:r>
        <w:t xml:space="preserve">A </w:t>
      </w:r>
      <w:r w:rsidR="00373118">
        <w:t>significant and regressive expenditure</w:t>
      </w:r>
      <w:bookmarkEnd w:id="34"/>
    </w:p>
    <w:p w:rsidR="008360DC" w:rsidRDefault="00E82B6B" w:rsidP="008360DC">
      <w:pPr>
        <w:autoSpaceDE w:val="0"/>
        <w:autoSpaceDN w:val="0"/>
        <w:adjustRightInd w:val="0"/>
      </w:pPr>
      <w:r w:rsidRPr="0041038D">
        <w:t>In Australia today, telecommunications make up a significant component of household expenditure</w:t>
      </w:r>
      <w:r w:rsidR="0081316D" w:rsidRPr="0041038D">
        <w:t xml:space="preserve">. </w:t>
      </w:r>
      <w:r w:rsidR="008360DC">
        <w:t xml:space="preserve"> Using ABS data from the 2009/10 Household Expenditure Survey, </w:t>
      </w:r>
      <w:r w:rsidR="0081316D" w:rsidRPr="0041038D">
        <w:t xml:space="preserve">SACOSS </w:t>
      </w:r>
      <w:sdt>
        <w:sdtPr>
          <w:id w:val="-496347742"/>
          <w:citation/>
        </w:sdtPr>
        <w:sdtContent>
          <w:r w:rsidR="00C907D6" w:rsidRPr="0041038D">
            <w:fldChar w:fldCharType="begin"/>
          </w:r>
          <w:r w:rsidR="0081316D" w:rsidRPr="0041038D">
            <w:instrText xml:space="preserve">CITATION SAC15 \n  \t  \l 3081 </w:instrText>
          </w:r>
          <w:r w:rsidR="00C907D6" w:rsidRPr="0041038D">
            <w:fldChar w:fldCharType="separate"/>
          </w:r>
          <w:r w:rsidR="000D79D7">
            <w:rPr>
              <w:noProof/>
            </w:rPr>
            <w:t>(2015)</w:t>
          </w:r>
          <w:r w:rsidR="00C907D6" w:rsidRPr="0041038D">
            <w:fldChar w:fldCharType="end"/>
          </w:r>
        </w:sdtContent>
      </w:sdt>
      <w:r w:rsidR="0081316D" w:rsidRPr="0041038D">
        <w:t xml:space="preserve"> has previously </w:t>
      </w:r>
      <w:r w:rsidR="008360DC">
        <w:t xml:space="preserve">estimated that telecommunications accounted for 3.6% of average household expenditure. </w:t>
      </w:r>
      <w:r w:rsidR="00387CB7">
        <w:t xml:space="preserve"> </w:t>
      </w:r>
      <w:r w:rsidR="008360DC">
        <w:t>At the time this was more than the weekly budget expenditure on domestic fuel and power (i</w:t>
      </w:r>
      <w:r w:rsidR="00BB4C08">
        <w:t>.</w:t>
      </w:r>
      <w:r w:rsidR="008360DC">
        <w:t xml:space="preserve">e. electricity and gas), although these </w:t>
      </w:r>
      <w:r w:rsidR="008360DC">
        <w:lastRenderedPageBreak/>
        <w:t>figures are dated with energy prices and telecommunications usage both skyrocketing since then.</w:t>
      </w:r>
    </w:p>
    <w:p w:rsidR="008360DC" w:rsidRDefault="008360DC" w:rsidP="008360DC">
      <w:pPr>
        <w:autoSpaceDE w:val="0"/>
        <w:autoSpaceDN w:val="0"/>
        <w:adjustRightInd w:val="0"/>
      </w:pPr>
      <w:r>
        <w:t xml:space="preserve">Telecommunications expenditure is not only significant in the household </w:t>
      </w:r>
      <w:proofErr w:type="gramStart"/>
      <w:r>
        <w:t>budget,</w:t>
      </w:r>
      <w:proofErr w:type="gramEnd"/>
      <w:r>
        <w:t xml:space="preserve"> it is also regressive in that it impacts proportionately more on low income households</w:t>
      </w:r>
      <w:r w:rsidR="00FD33AE">
        <w:t>, as evident in</w:t>
      </w:r>
      <w:r w:rsidR="00C4610E">
        <w:t xml:space="preserve"> </w:t>
      </w:r>
      <w:r w:rsidR="00C4610E">
        <w:fldChar w:fldCharType="begin"/>
      </w:r>
      <w:r w:rsidR="00C4610E">
        <w:instrText xml:space="preserve"> REF _Ref464122422 \h </w:instrText>
      </w:r>
      <w:r w:rsidR="00C4610E">
        <w:fldChar w:fldCharType="separate"/>
      </w:r>
      <w:r w:rsidR="002F60EE">
        <w:t xml:space="preserve">Figure </w:t>
      </w:r>
      <w:r w:rsidR="002F60EE">
        <w:rPr>
          <w:noProof/>
        </w:rPr>
        <w:t>1</w:t>
      </w:r>
      <w:r w:rsidR="00C4610E">
        <w:fldChar w:fldCharType="end"/>
      </w:r>
      <w:r>
        <w:t xml:space="preserve">. </w:t>
      </w:r>
    </w:p>
    <w:p w:rsidR="00FD33AE" w:rsidRDefault="00FD33AE" w:rsidP="00FD33AE">
      <w:pPr>
        <w:pStyle w:val="Caption"/>
      </w:pPr>
      <w:bookmarkStart w:id="35" w:name="_Ref464122422"/>
      <w:bookmarkStart w:id="36" w:name="_Toc465151869"/>
      <w:bookmarkStart w:id="37" w:name="_Toc465167603"/>
      <w:r>
        <w:t xml:space="preserve">Figure </w:t>
      </w:r>
      <w:r w:rsidR="002F60EE">
        <w:fldChar w:fldCharType="begin"/>
      </w:r>
      <w:r w:rsidR="002F60EE">
        <w:instrText xml:space="preserve"> SEQ Figure \* ARABIC </w:instrText>
      </w:r>
      <w:r w:rsidR="002F60EE">
        <w:fldChar w:fldCharType="separate"/>
      </w:r>
      <w:r w:rsidR="002F60EE">
        <w:rPr>
          <w:noProof/>
        </w:rPr>
        <w:t>1</w:t>
      </w:r>
      <w:r w:rsidR="002F60EE">
        <w:rPr>
          <w:noProof/>
        </w:rPr>
        <w:fldChar w:fldCharType="end"/>
      </w:r>
      <w:bookmarkEnd w:id="35"/>
      <w:r>
        <w:t xml:space="preserve">: Telecommunication </w:t>
      </w:r>
      <w:r w:rsidR="00373118">
        <w:t>expenditure by income quintile</w:t>
      </w:r>
      <w:bookmarkEnd w:id="36"/>
      <w:bookmarkEnd w:id="37"/>
    </w:p>
    <w:p w:rsidR="00FD33AE" w:rsidRDefault="00EE0A6D" w:rsidP="00FD33AE">
      <w:pPr>
        <w:jc w:val="center"/>
        <w:rPr>
          <w:sz w:val="18"/>
        </w:rPr>
      </w:pPr>
      <w:r w:rsidRPr="00EE0A6D">
        <w:rPr>
          <w:noProof/>
          <w:highlight w:val="yellow"/>
        </w:rPr>
        <w:drawing>
          <wp:inline distT="0" distB="0" distL="0" distR="0" wp14:anchorId="35229C99" wp14:editId="0BDE760C">
            <wp:extent cx="5061098" cy="2445488"/>
            <wp:effectExtent l="0" t="0" r="6350" b="0"/>
            <wp:docPr id="1026" name="Chart 1" descr="Bar graph shows that those on the lowest income quintiles spent the greatest proportion of their incomes on telecommunications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Chart 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65653" cy="2447689"/>
                    </a:xfrm>
                    <a:prstGeom prst="rect">
                      <a:avLst/>
                    </a:prstGeom>
                    <a:noFill/>
                    <a:ln>
                      <a:noFill/>
                    </a:ln>
                    <a:extLst/>
                  </pic:spPr>
                </pic:pic>
              </a:graphicData>
            </a:graphic>
          </wp:inline>
        </w:drawing>
      </w:r>
      <w:r w:rsidR="00FD33AE">
        <w:rPr>
          <w:sz w:val="18"/>
        </w:rPr>
        <w:t>Source:</w:t>
      </w:r>
      <w:r w:rsidR="00F908B8">
        <w:rPr>
          <w:noProof/>
          <w:sz w:val="18"/>
        </w:rPr>
        <w:t xml:space="preserve"> </w:t>
      </w:r>
      <w:r w:rsidR="00F908B8" w:rsidRPr="000D79D7">
        <w:rPr>
          <w:noProof/>
          <w:sz w:val="18"/>
        </w:rPr>
        <w:t>(SACOSS, 2015)</w:t>
      </w:r>
    </w:p>
    <w:p w:rsidR="008360DC" w:rsidRDefault="008360DC" w:rsidP="008360DC">
      <w:pPr>
        <w:autoSpaceDE w:val="0"/>
        <w:autoSpaceDN w:val="0"/>
        <w:adjustRightInd w:val="0"/>
      </w:pPr>
      <w:r>
        <w:t>It i</w:t>
      </w:r>
      <w:r w:rsidR="00E82B6B" w:rsidRPr="0041038D">
        <w:t xml:space="preserve">s also important to note that while </w:t>
      </w:r>
      <w:r w:rsidR="00BB4C08">
        <w:t>telecommunications</w:t>
      </w:r>
      <w:r w:rsidR="00E82B6B" w:rsidRPr="0041038D">
        <w:t xml:space="preserve"> prices have general</w:t>
      </w:r>
      <w:r w:rsidR="0081316D" w:rsidRPr="0041038D">
        <w:t>ly declined in Australia</w:t>
      </w:r>
      <w:r>
        <w:t xml:space="preserve"> in recent years</w:t>
      </w:r>
      <w:r w:rsidR="0081316D" w:rsidRPr="0041038D">
        <w:t xml:space="preserve">, compared to international </w:t>
      </w:r>
      <w:r w:rsidR="00E82B6B" w:rsidRPr="0041038D">
        <w:t>prices</w:t>
      </w:r>
      <w:r w:rsidR="0081316D" w:rsidRPr="0041038D">
        <w:t>, Australia’s</w:t>
      </w:r>
      <w:r w:rsidR="00576E69" w:rsidRPr="0041038D">
        <w:t xml:space="preserve"> </w:t>
      </w:r>
      <w:r>
        <w:t xml:space="preserve">are </w:t>
      </w:r>
      <w:r w:rsidR="00E82B6B" w:rsidRPr="0041038D">
        <w:t>still rela</w:t>
      </w:r>
      <w:r w:rsidR="00576E69" w:rsidRPr="0041038D">
        <w:t xml:space="preserve">tively high </w:t>
      </w:r>
      <w:sdt>
        <w:sdtPr>
          <w:id w:val="-605189803"/>
          <w:citation/>
        </w:sdtPr>
        <w:sdtContent>
          <w:r w:rsidR="00C907D6" w:rsidRPr="0041038D">
            <w:fldChar w:fldCharType="begin"/>
          </w:r>
          <w:r w:rsidR="00670956">
            <w:instrText xml:space="preserve">CITATION Swi15 \t  \l 3081 </w:instrText>
          </w:r>
          <w:r w:rsidR="00C907D6" w:rsidRPr="0041038D">
            <w:fldChar w:fldCharType="separate"/>
          </w:r>
          <w:r w:rsidR="00670956">
            <w:rPr>
              <w:noProof/>
            </w:rPr>
            <w:t>(Swinburne Institute for Social Research, Centre for Social Impact, Telstra Corporation Ltd, 2015)</w:t>
          </w:r>
          <w:r w:rsidR="00C907D6" w:rsidRPr="0041038D">
            <w:fldChar w:fldCharType="end"/>
          </w:r>
        </w:sdtContent>
      </w:sdt>
      <w:r w:rsidR="00793516">
        <w:t>.</w:t>
      </w:r>
      <w:r w:rsidR="0081316D">
        <w:t xml:space="preserve"> </w:t>
      </w:r>
      <w:r>
        <w:t xml:space="preserve"> It is not surprising then that 66% of low income consumers in our survey rated telecommunication costs </w:t>
      </w:r>
      <w:r w:rsidR="00FD33AE">
        <w:t>in the top five most important</w:t>
      </w:r>
      <w:r>
        <w:t xml:space="preserve"> factors in their day to day household budgets.</w:t>
      </w:r>
    </w:p>
    <w:p w:rsidR="00B565B1" w:rsidRPr="0041038D" w:rsidRDefault="008360DC" w:rsidP="00793516">
      <w:pPr>
        <w:autoSpaceDE w:val="0"/>
        <w:autoSpaceDN w:val="0"/>
        <w:adjustRightInd w:val="0"/>
        <w:spacing w:after="0"/>
      </w:pPr>
      <w:r>
        <w:t xml:space="preserve">However, the fact that a household expenditure is significant (and even regressive) does not in itself make that item unaffordable.  </w:t>
      </w:r>
      <w:r w:rsidR="00E82B6B" w:rsidRPr="0041038D">
        <w:t xml:space="preserve">A good or service is generally considered </w:t>
      </w:r>
      <w:r w:rsidR="009E6F53" w:rsidRPr="0041038D">
        <w:t>affo</w:t>
      </w:r>
      <w:r w:rsidR="00E82B6B" w:rsidRPr="0041038D">
        <w:t>rdable</w:t>
      </w:r>
      <w:r w:rsidR="009E6F53" w:rsidRPr="0041038D">
        <w:t xml:space="preserve"> </w:t>
      </w:r>
      <w:r w:rsidR="00E82B6B" w:rsidRPr="0041038D">
        <w:t xml:space="preserve">if </w:t>
      </w:r>
      <w:r w:rsidR="009E6F53" w:rsidRPr="0041038D">
        <w:t>a</w:t>
      </w:r>
      <w:r w:rsidR="00E82B6B" w:rsidRPr="0041038D">
        <w:t xml:space="preserve"> consumer is</w:t>
      </w:r>
      <w:r w:rsidR="009E6F53" w:rsidRPr="0041038D">
        <w:t xml:space="preserve"> able to purchase it </w:t>
      </w:r>
      <w:r w:rsidR="00E82B6B" w:rsidRPr="0041038D">
        <w:t>at a level</w:t>
      </w:r>
      <w:r w:rsidR="00E82B6B">
        <w:t xml:space="preserve"> considered to be the ‘social norm’ </w:t>
      </w:r>
      <w:r w:rsidR="009E6F53" w:rsidRPr="0041038D">
        <w:t>without suffering financial difficulty</w:t>
      </w:r>
      <w:r w:rsidR="004621B7" w:rsidRPr="0041038D">
        <w:t xml:space="preserve"> </w:t>
      </w:r>
      <w:r w:rsidR="00E82B6B" w:rsidRPr="0041038D">
        <w:t xml:space="preserve">or </w:t>
      </w:r>
      <w:r w:rsidR="004621B7">
        <w:t xml:space="preserve">sacrificing spending </w:t>
      </w:r>
      <w:r w:rsidR="004621B7" w:rsidRPr="00FC6034">
        <w:t>on other essential items</w:t>
      </w:r>
      <w:r w:rsidR="004621B7" w:rsidRPr="0041038D">
        <w:t xml:space="preserve"> </w:t>
      </w:r>
      <w:sdt>
        <w:sdtPr>
          <w:id w:val="1747149707"/>
          <w:citation/>
        </w:sdtPr>
        <w:sdtContent>
          <w:r w:rsidR="00C907D6" w:rsidRPr="0041038D">
            <w:fldChar w:fldCharType="begin"/>
          </w:r>
          <w:r w:rsidR="00FC6034" w:rsidRPr="0041038D">
            <w:instrText xml:space="preserve"> CITATION Pav15 \l 3081  \m Ofc14</w:instrText>
          </w:r>
          <w:r w:rsidR="00C907D6" w:rsidRPr="0041038D">
            <w:fldChar w:fldCharType="separate"/>
          </w:r>
          <w:r w:rsidR="000D79D7">
            <w:rPr>
              <w:noProof/>
            </w:rPr>
            <w:t>(Pavlidis &amp; Hawkins, 2015; Ofcom, 2014)</w:t>
          </w:r>
          <w:r w:rsidR="00C907D6" w:rsidRPr="0041038D">
            <w:fldChar w:fldCharType="end"/>
          </w:r>
        </w:sdtContent>
      </w:sdt>
      <w:r w:rsidR="00FC6034" w:rsidRPr="00FC6034">
        <w:t>.</w:t>
      </w:r>
      <w:r w:rsidR="00FC6034">
        <w:t xml:space="preserve"> </w:t>
      </w:r>
      <w:r w:rsidR="00B565B1" w:rsidRPr="0041038D">
        <w:t xml:space="preserve"> </w:t>
      </w:r>
      <w:r>
        <w:t>Yet t</w:t>
      </w:r>
      <w:r w:rsidR="00B565B1" w:rsidRPr="0041038D">
        <w:t xml:space="preserve">he reality of living on a low income puts </w:t>
      </w:r>
      <w:r w:rsidR="00C4610E">
        <w:t>people at</w:t>
      </w:r>
      <w:r w:rsidR="00B565B1" w:rsidRPr="0041038D">
        <w:t xml:space="preserve"> greater risk of struggling to afford </w:t>
      </w:r>
      <w:r>
        <w:t xml:space="preserve">a range of </w:t>
      </w:r>
      <w:r w:rsidR="00B565B1" w:rsidRPr="0041038D">
        <w:t>essential items</w:t>
      </w:r>
      <w:r w:rsidR="00FD33AE">
        <w:t>, and telecommunications are no exception</w:t>
      </w:r>
      <w:r w:rsidR="00B565B1" w:rsidRPr="0041038D">
        <w:t>.</w:t>
      </w:r>
      <w:r w:rsidR="00C761A6">
        <w:t xml:space="preserve"> </w:t>
      </w:r>
      <w:r>
        <w:t xml:space="preserve"> </w:t>
      </w:r>
    </w:p>
    <w:p w:rsidR="00FC1287" w:rsidRDefault="000A50ED" w:rsidP="0069004B">
      <w:pPr>
        <w:pStyle w:val="Heading2"/>
      </w:pPr>
      <w:bookmarkStart w:id="38" w:name="_Toc465167561"/>
      <w:r w:rsidRPr="008360DC">
        <w:t>Disconnecte</w:t>
      </w:r>
      <w:r w:rsidR="00373118">
        <w:t xml:space="preserve">d and </w:t>
      </w:r>
      <w:r w:rsidR="003207E8" w:rsidRPr="008360DC">
        <w:t>struggli</w:t>
      </w:r>
      <w:r w:rsidR="000D360E">
        <w:t>ng</w:t>
      </w:r>
      <w:bookmarkEnd w:id="38"/>
    </w:p>
    <w:p w:rsidR="00FD33AE" w:rsidRDefault="00910360" w:rsidP="008360DC">
      <w:r>
        <w:t xml:space="preserve">At the extreme end, a minority of low income Australians are disconnected completely </w:t>
      </w:r>
      <w:r w:rsidR="0057602C">
        <w:t xml:space="preserve">from the internet </w:t>
      </w:r>
      <w:r>
        <w:t xml:space="preserve">because of cost. </w:t>
      </w:r>
      <w:r w:rsidR="008360DC">
        <w:t xml:space="preserve"> </w:t>
      </w:r>
      <w:r w:rsidR="00F713E7" w:rsidRPr="00C25552">
        <w:t xml:space="preserve">ABS data </w:t>
      </w:r>
      <w:sdt>
        <w:sdtPr>
          <w:id w:val="606926716"/>
          <w:citation/>
        </w:sdtPr>
        <w:sdtContent>
          <w:r w:rsidR="00C907D6">
            <w:fldChar w:fldCharType="begin"/>
          </w:r>
          <w:r w:rsidR="00A41244">
            <w:instrText xml:space="preserve">CITATION ABS152 \n  \t  \l 3081 </w:instrText>
          </w:r>
          <w:r w:rsidR="00C907D6">
            <w:fldChar w:fldCharType="separate"/>
          </w:r>
          <w:r w:rsidR="00A41244">
            <w:rPr>
              <w:noProof/>
            </w:rPr>
            <w:t>(2015)</w:t>
          </w:r>
          <w:r w:rsidR="00C907D6">
            <w:fldChar w:fldCharType="end"/>
          </w:r>
        </w:sdtContent>
      </w:sdt>
      <w:r w:rsidR="008360DC" w:rsidRPr="00C25552">
        <w:t xml:space="preserve"> </w:t>
      </w:r>
      <w:r w:rsidR="00F713E7" w:rsidRPr="00C25552">
        <w:t>shows that</w:t>
      </w:r>
      <w:r w:rsidR="00FE01CF">
        <w:t xml:space="preserve"> between a quarter and a third of low income households do not have </w:t>
      </w:r>
      <w:r w:rsidR="00FE01CF" w:rsidRPr="00C25552">
        <w:t>internet access at home</w:t>
      </w:r>
      <w:r w:rsidR="00FE01CF">
        <w:t>, with 17% of these disconnected</w:t>
      </w:r>
      <w:r w:rsidR="00610523">
        <w:t xml:space="preserve"> because of cost</w:t>
      </w:r>
      <w:r w:rsidR="00FE01CF">
        <w:t xml:space="preserve">. </w:t>
      </w:r>
      <w:r w:rsidR="008360DC">
        <w:t xml:space="preserve"> </w:t>
      </w:r>
    </w:p>
    <w:p w:rsidR="008360DC" w:rsidRDefault="008360DC" w:rsidP="008360DC">
      <w:r>
        <w:lastRenderedPageBreak/>
        <w:t>Our survey added to this data by asking about barriers to getting extra internet services (</w:t>
      </w:r>
      <w:proofErr w:type="spellStart"/>
      <w:r>
        <w:t>ie</w:t>
      </w:r>
      <w:proofErr w:type="spellEnd"/>
      <w:r>
        <w:t>. platforms, not applications)</w:t>
      </w:r>
      <w:r w:rsidR="00952611">
        <w:t xml:space="preserve"> in addition to the platforms and services respondents already had</w:t>
      </w:r>
      <w:r>
        <w:t>: of the 47% who want</w:t>
      </w:r>
      <w:r w:rsidR="00FD33AE">
        <w:t>ed</w:t>
      </w:r>
      <w:r>
        <w:t xml:space="preserve"> </w:t>
      </w:r>
      <w:r w:rsidR="00FD33AE">
        <w:t>additional</w:t>
      </w:r>
      <w:r>
        <w:t xml:space="preserve"> services 16% cited upfront costs as the barrier and 18% cited ongoing costs. </w:t>
      </w:r>
      <w:r w:rsidR="00387CB7">
        <w:t xml:space="preserve"> </w:t>
      </w:r>
      <w:r>
        <w:t xml:space="preserve">While these numbers (around 8% </w:t>
      </w:r>
      <w:r w:rsidR="00FD33AE">
        <w:t>of the survey sample) are small</w:t>
      </w:r>
      <w:r>
        <w:t xml:space="preserve">, they may be significant in relation to the discussion </w:t>
      </w:r>
      <w:r w:rsidR="00FD33AE">
        <w:t xml:space="preserve">(later) </w:t>
      </w:r>
      <w:r>
        <w:t>of a small but deeply entrenched group on the wrong side of the digital divide.</w:t>
      </w:r>
    </w:p>
    <w:p w:rsidR="00FD33AE" w:rsidRDefault="008360DC" w:rsidP="008360DC">
      <w:r>
        <w:t xml:space="preserve">In general though (possibly due to our online sampling bias) the level of disconnection </w:t>
      </w:r>
      <w:r w:rsidR="00FD33AE">
        <w:t xml:space="preserve">suggested by </w:t>
      </w:r>
      <w:r>
        <w:t>the ABS data is higher than among our survey respondents</w:t>
      </w:r>
      <w:r w:rsidR="00FD33AE">
        <w:t>,</w:t>
      </w:r>
      <w:r>
        <w:t xml:space="preserve"> for whom the more common experience is to be connected to a mobile phone and internet service, but struggling to pay bills.  </w:t>
      </w:r>
      <w:r w:rsidRPr="00C761A6">
        <w:t xml:space="preserve">62% of respondents reported experiencing either difficulty paying, having to cut back, or having to stop using one or more telecommunications services for financial reasons in the last 12 months. </w:t>
      </w:r>
      <w:r>
        <w:t xml:space="preserve"> </w:t>
      </w:r>
    </w:p>
    <w:p w:rsidR="008360DC" w:rsidRDefault="008360DC" w:rsidP="008360DC">
      <w:r>
        <w:t xml:space="preserve">This echoed earlier findings from </w:t>
      </w:r>
      <w:proofErr w:type="spellStart"/>
      <w:r w:rsidRPr="00C761A6">
        <w:t>Anglicare</w:t>
      </w:r>
      <w:proofErr w:type="spellEnd"/>
      <w:r w:rsidRPr="00C761A6">
        <w:t xml:space="preserve"> Victoria’s Hardship</w:t>
      </w:r>
      <w:r>
        <w:t xml:space="preserve"> Survey </w:t>
      </w:r>
      <w:sdt>
        <w:sdtPr>
          <w:id w:val="-867840119"/>
          <w:citation/>
        </w:sdtPr>
        <w:sdtContent>
          <w:r w:rsidR="00C907D6">
            <w:fldChar w:fldCharType="begin"/>
          </w:r>
          <w:r>
            <w:instrText xml:space="preserve">CITATION Wis131 \n  \t  \l 3081 </w:instrText>
          </w:r>
          <w:r w:rsidR="00C907D6">
            <w:fldChar w:fldCharType="separate"/>
          </w:r>
          <w:r w:rsidR="000D79D7">
            <w:rPr>
              <w:noProof/>
            </w:rPr>
            <w:t>(2013)</w:t>
          </w:r>
          <w:r w:rsidR="00C907D6">
            <w:fldChar w:fldCharType="end"/>
          </w:r>
        </w:sdtContent>
      </w:sdt>
      <w:r>
        <w:t xml:space="preserve"> which found that half</w:t>
      </w:r>
      <w:r w:rsidRPr="00A14841">
        <w:t xml:space="preserve"> of </w:t>
      </w:r>
      <w:r>
        <w:t>their low income respondents</w:t>
      </w:r>
      <w:r w:rsidRPr="00A14841">
        <w:t xml:space="preserve"> had diffic</w:t>
      </w:r>
      <w:r>
        <w:t>ulty paying a telecommunication</w:t>
      </w:r>
      <w:r w:rsidRPr="00A14841">
        <w:t xml:space="preserve"> bill in the past 12 months because of financial hardshi</w:t>
      </w:r>
      <w:r>
        <w:t>p.</w:t>
      </w:r>
    </w:p>
    <w:p w:rsidR="00FD33AE" w:rsidRDefault="008360DC" w:rsidP="008360DC">
      <w:r>
        <w:t xml:space="preserve">It was notable in our survey though that the primary hardship was with the ongoing costs of telecommunications, not the initial set up costs.  The upfront costs of phone connections for the majority of survey respondents across all phone types was less than $100, with average upfront cost of internet connection slightly higher.  </w:t>
      </w:r>
    </w:p>
    <w:p w:rsidR="00FD33AE" w:rsidRDefault="008360DC" w:rsidP="00EE0A6D">
      <w:pPr>
        <w:rPr>
          <w:b/>
          <w:bCs/>
          <w:sz w:val="20"/>
        </w:rPr>
      </w:pPr>
      <w:r>
        <w:t xml:space="preserve">While these costs clearly represent significant imposition on those households having difficulty, as </w:t>
      </w:r>
      <w:r w:rsidR="00C4610E">
        <w:fldChar w:fldCharType="begin"/>
      </w:r>
      <w:r w:rsidR="00C4610E">
        <w:instrText xml:space="preserve"> REF _Ref464122645 \h </w:instrText>
      </w:r>
      <w:r w:rsidR="00C4610E">
        <w:fldChar w:fldCharType="separate"/>
      </w:r>
      <w:r w:rsidR="002F60EE">
        <w:t xml:space="preserve">Figure </w:t>
      </w:r>
      <w:r w:rsidR="002F60EE">
        <w:rPr>
          <w:noProof/>
        </w:rPr>
        <w:t>2</w:t>
      </w:r>
      <w:r w:rsidR="00C4610E">
        <w:fldChar w:fldCharType="end"/>
      </w:r>
      <w:r w:rsidR="00C4610E">
        <w:t xml:space="preserve"> </w:t>
      </w:r>
      <w:r>
        <w:t xml:space="preserve">shows, the numbers of households </w:t>
      </w:r>
      <w:r w:rsidR="002471E7">
        <w:t>having</w:t>
      </w:r>
      <w:r>
        <w:t xml:space="preserve"> difficulty with upfront costs are dwarfed by the numbers having trouble with the ongoing bills.  For this reason, most of the discussion of affordability in this report will focus on ongoing costs.</w:t>
      </w:r>
    </w:p>
    <w:p w:rsidR="008360DC" w:rsidRDefault="008360DC" w:rsidP="00373118">
      <w:pPr>
        <w:pStyle w:val="Caption"/>
        <w:keepNext/>
        <w:keepLines/>
      </w:pPr>
      <w:bookmarkStart w:id="39" w:name="_Ref464122645"/>
      <w:bookmarkStart w:id="40" w:name="_Toc465151870"/>
      <w:bookmarkStart w:id="41" w:name="_Toc465167604"/>
      <w:r>
        <w:t xml:space="preserve">Figure </w:t>
      </w:r>
      <w:r w:rsidR="002F60EE">
        <w:fldChar w:fldCharType="begin"/>
      </w:r>
      <w:r w:rsidR="002F60EE">
        <w:instrText xml:space="preserve"> SEQ Figure \* ARABIC </w:instrText>
      </w:r>
      <w:r w:rsidR="002F60EE">
        <w:fldChar w:fldCharType="separate"/>
      </w:r>
      <w:r w:rsidR="002F60EE">
        <w:rPr>
          <w:noProof/>
        </w:rPr>
        <w:t>2</w:t>
      </w:r>
      <w:r w:rsidR="002F60EE">
        <w:rPr>
          <w:noProof/>
        </w:rPr>
        <w:fldChar w:fldCharType="end"/>
      </w:r>
      <w:bookmarkEnd w:id="39"/>
      <w:r>
        <w:t xml:space="preserve">: Difficulty in </w:t>
      </w:r>
      <w:r w:rsidR="00373118">
        <w:t>paying upfront and ongoing telecommunication costs</w:t>
      </w:r>
      <w:bookmarkEnd w:id="40"/>
      <w:bookmarkEnd w:id="41"/>
    </w:p>
    <w:p w:rsidR="008360DC" w:rsidRDefault="008360DC" w:rsidP="00EE0A6D">
      <w:pPr>
        <w:contextualSpacing/>
        <w:jc w:val="center"/>
      </w:pPr>
      <w:r>
        <w:rPr>
          <w:noProof/>
        </w:rPr>
        <w:drawing>
          <wp:inline distT="0" distB="0" distL="0" distR="0" wp14:anchorId="70636361" wp14:editId="2FE862D8">
            <wp:extent cx="3785190" cy="2381693"/>
            <wp:effectExtent l="0" t="0" r="25400" b="19050"/>
            <wp:docPr id="14" name="Chart 14" descr="Respondents had more difficulty paying ongoing costs than upfront"/>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07C16" w:rsidRDefault="00807C16" w:rsidP="00807C16">
      <w:pPr>
        <w:jc w:val="center"/>
        <w:rPr>
          <w:sz w:val="18"/>
        </w:rPr>
      </w:pPr>
      <w:r>
        <w:rPr>
          <w:sz w:val="18"/>
        </w:rPr>
        <w:t>(Source: Mint Research, 2016)</w:t>
      </w:r>
    </w:p>
    <w:p w:rsidR="00807C16" w:rsidRDefault="00CD2C49" w:rsidP="00807C16">
      <w:r>
        <w:lastRenderedPageBreak/>
        <w:t>Significantly</w:t>
      </w:r>
      <w:r w:rsidR="00C4610E">
        <w:t>,</w:t>
      </w:r>
      <w:r>
        <w:t xml:space="preserve"> the</w:t>
      </w:r>
      <w:r w:rsidR="008360DC">
        <w:t xml:space="preserve"> survey data showed</w:t>
      </w:r>
      <w:r>
        <w:t xml:space="preserve"> that the affordability struggle is </w:t>
      </w:r>
      <w:r w:rsidR="00C761A6">
        <w:t>more intense for some</w:t>
      </w:r>
      <w:r>
        <w:t xml:space="preserve"> low income c</w:t>
      </w:r>
      <w:r w:rsidR="000B1944">
        <w:t>onsumers</w:t>
      </w:r>
      <w:r w:rsidR="00C761A6">
        <w:t xml:space="preserve"> than others.</w:t>
      </w:r>
      <w:r>
        <w:t xml:space="preserve"> </w:t>
      </w:r>
      <w:r w:rsidR="00387CB7">
        <w:t xml:space="preserve"> </w:t>
      </w:r>
      <w:r w:rsidR="00807C16">
        <w:t xml:space="preserve">As evident in </w:t>
      </w:r>
      <w:r w:rsidR="00C4610E">
        <w:fldChar w:fldCharType="begin"/>
      </w:r>
      <w:r w:rsidR="00C4610E">
        <w:instrText xml:space="preserve"> REF _Ref464122699 \h </w:instrText>
      </w:r>
      <w:r w:rsidR="00C4610E">
        <w:fldChar w:fldCharType="separate"/>
      </w:r>
      <w:r w:rsidR="002F60EE">
        <w:t xml:space="preserve">Figure </w:t>
      </w:r>
      <w:r w:rsidR="002F60EE">
        <w:rPr>
          <w:noProof/>
        </w:rPr>
        <w:t>3</w:t>
      </w:r>
      <w:r w:rsidR="00C4610E">
        <w:fldChar w:fldCharType="end"/>
      </w:r>
      <w:r w:rsidR="00C4610E">
        <w:t xml:space="preserve"> </w:t>
      </w:r>
      <w:r w:rsidR="00FD33AE">
        <w:t>below</w:t>
      </w:r>
      <w:r w:rsidR="00807C16">
        <w:t xml:space="preserve">, those on Newstart and Youth Allowance are most likely </w:t>
      </w:r>
      <w:r w:rsidR="00807C16">
        <w:rPr>
          <w:lang w:val="en-US" w:eastAsia="ja-JP"/>
        </w:rPr>
        <w:t xml:space="preserve">to </w:t>
      </w:r>
      <w:r w:rsidR="00817DD1">
        <w:rPr>
          <w:lang w:val="en-US" w:eastAsia="ja-JP"/>
        </w:rPr>
        <w:t>be having</w:t>
      </w:r>
      <w:r>
        <w:rPr>
          <w:lang w:val="en-US" w:eastAsia="ja-JP"/>
        </w:rPr>
        <w:t xml:space="preserve"> difficulty</w:t>
      </w:r>
      <w:r w:rsidR="00807C16">
        <w:rPr>
          <w:lang w:val="en-US" w:eastAsia="ja-JP"/>
        </w:rPr>
        <w:t xml:space="preserve"> paying, be cutting back or stopping</w:t>
      </w:r>
      <w:r>
        <w:rPr>
          <w:lang w:val="en-US" w:eastAsia="ja-JP"/>
        </w:rPr>
        <w:t xml:space="preserve"> their telecommunications </w:t>
      </w:r>
      <w:r w:rsidR="00807C16">
        <w:rPr>
          <w:lang w:val="en-US" w:eastAsia="ja-JP"/>
        </w:rPr>
        <w:t xml:space="preserve">services, while those </w:t>
      </w:r>
      <w:r w:rsidR="002471E7">
        <w:rPr>
          <w:lang w:val="en-US" w:eastAsia="ja-JP"/>
        </w:rPr>
        <w:t>receiving</w:t>
      </w:r>
      <w:r w:rsidR="00807C16">
        <w:rPr>
          <w:lang w:val="en-US" w:eastAsia="ja-JP"/>
        </w:rPr>
        <w:t xml:space="preserve"> the Age Pension have the fewest problems.  </w:t>
      </w:r>
      <w:r w:rsidR="00807C16">
        <w:t xml:space="preserve">These findings are unsurprising given the </w:t>
      </w:r>
      <w:r w:rsidR="00807C16" w:rsidRPr="00144DEA">
        <w:t xml:space="preserve">latest ACOSS </w:t>
      </w:r>
      <w:r w:rsidR="00807C16" w:rsidRPr="00807C16">
        <w:rPr>
          <w:i/>
        </w:rPr>
        <w:t>Poverty in Australia</w:t>
      </w:r>
      <w:r w:rsidR="00807C16">
        <w:t xml:space="preserve"> </w:t>
      </w:r>
      <w:sdt>
        <w:sdtPr>
          <w:id w:val="1698192171"/>
          <w:citation/>
        </w:sdtPr>
        <w:sdtContent>
          <w:r w:rsidR="00C907D6">
            <w:fldChar w:fldCharType="begin"/>
          </w:r>
          <w:r w:rsidR="00807C16">
            <w:instrText xml:space="preserve">CITATION ACO14 \n  \t  \l 3081 </w:instrText>
          </w:r>
          <w:r w:rsidR="00C907D6">
            <w:fldChar w:fldCharType="separate"/>
          </w:r>
          <w:r w:rsidR="000D79D7">
            <w:rPr>
              <w:noProof/>
            </w:rPr>
            <w:t>(2014)</w:t>
          </w:r>
          <w:r w:rsidR="00C907D6">
            <w:fldChar w:fldCharType="end"/>
          </w:r>
        </w:sdtContent>
      </w:sdt>
      <w:r w:rsidR="00807C16" w:rsidRPr="00144DEA">
        <w:t xml:space="preserve"> report shows that 55% of people relying on Newstart and 50.6% of those on Youth Allowance</w:t>
      </w:r>
      <w:r w:rsidR="00807C16" w:rsidRPr="00807C16">
        <w:t xml:space="preserve"> </w:t>
      </w:r>
      <w:r w:rsidR="00807C16" w:rsidRPr="00144DEA">
        <w:t>are living in poverty</w:t>
      </w:r>
      <w:r w:rsidR="00807C16">
        <w:t>, and that</w:t>
      </w:r>
      <w:r w:rsidR="00807C16" w:rsidRPr="00144DEA">
        <w:t xml:space="preserve"> the maximum rate of many social security payments is </w:t>
      </w:r>
      <w:r w:rsidR="002471E7">
        <w:t>below</w:t>
      </w:r>
      <w:r w:rsidR="00807C16" w:rsidRPr="00144DEA">
        <w:t xml:space="preserve"> the poverty line</w:t>
      </w:r>
      <w:r w:rsidR="00807C16">
        <w:t>.</w:t>
      </w:r>
      <w:r w:rsidR="00807C16" w:rsidRPr="00144DEA">
        <w:t xml:space="preserve"> </w:t>
      </w:r>
    </w:p>
    <w:p w:rsidR="00807C16" w:rsidRDefault="00807C16" w:rsidP="00807C16">
      <w:pPr>
        <w:pStyle w:val="Caption"/>
      </w:pPr>
      <w:bookmarkStart w:id="42" w:name="_Ref464122699"/>
      <w:bookmarkStart w:id="43" w:name="_Toc465151871"/>
      <w:bookmarkStart w:id="44" w:name="_Toc465167605"/>
      <w:r>
        <w:t xml:space="preserve">Figure </w:t>
      </w:r>
      <w:r w:rsidR="002F60EE">
        <w:fldChar w:fldCharType="begin"/>
      </w:r>
      <w:r w:rsidR="002F60EE">
        <w:instrText xml:space="preserve"> SEQ Figure \* ARABIC </w:instrText>
      </w:r>
      <w:r w:rsidR="002F60EE">
        <w:fldChar w:fldCharType="separate"/>
      </w:r>
      <w:r w:rsidR="002F60EE">
        <w:rPr>
          <w:noProof/>
        </w:rPr>
        <w:t>3</w:t>
      </w:r>
      <w:r w:rsidR="002F60EE">
        <w:rPr>
          <w:noProof/>
        </w:rPr>
        <w:fldChar w:fldCharType="end"/>
      </w:r>
      <w:bookmarkEnd w:id="42"/>
      <w:r>
        <w:t>: Affordability, by payment type</w:t>
      </w:r>
      <w:bookmarkEnd w:id="43"/>
      <w:bookmarkEnd w:id="44"/>
    </w:p>
    <w:p w:rsidR="00807C16" w:rsidRDefault="00807C16" w:rsidP="00EE0A6D">
      <w:pPr>
        <w:contextualSpacing/>
        <w:jc w:val="center"/>
      </w:pPr>
      <w:r>
        <w:rPr>
          <w:noProof/>
        </w:rPr>
        <w:drawing>
          <wp:inline distT="0" distB="0" distL="0" distR="0" wp14:anchorId="0124D3CF" wp14:editId="7CDE6FC8">
            <wp:extent cx="4518837" cy="2700670"/>
            <wp:effectExtent l="0" t="0" r="15240" b="23495"/>
            <wp:docPr id="18" name="Chart 18" descr="Those on youth allowance, parenting payment and newstart allowance had more difficulty paying than other payment typ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07C16" w:rsidRDefault="00807C16" w:rsidP="00807C16">
      <w:pPr>
        <w:jc w:val="center"/>
        <w:rPr>
          <w:sz w:val="18"/>
        </w:rPr>
      </w:pPr>
      <w:r>
        <w:rPr>
          <w:sz w:val="18"/>
        </w:rPr>
        <w:t>(Source: Mint Research, 2016)</w:t>
      </w:r>
    </w:p>
    <w:p w:rsidR="00807C16" w:rsidRDefault="00CD2C49" w:rsidP="00807C16">
      <w:r>
        <w:rPr>
          <w:lang w:val="en-US" w:eastAsia="ja-JP"/>
        </w:rPr>
        <w:t xml:space="preserve">The survey also found that low income </w:t>
      </w:r>
      <w:r w:rsidR="00A814F2">
        <w:rPr>
          <w:lang w:val="en-US" w:eastAsia="ja-JP"/>
        </w:rPr>
        <w:t>families with dependent children</w:t>
      </w:r>
      <w:r w:rsidR="00F33AF5">
        <w:rPr>
          <w:lang w:val="en-US" w:eastAsia="ja-JP"/>
        </w:rPr>
        <w:t xml:space="preserve"> </w:t>
      </w:r>
      <w:r w:rsidR="00132A0F">
        <w:t>are</w:t>
      </w:r>
      <w:r w:rsidR="00A814F2" w:rsidRPr="00281461">
        <w:t xml:space="preserve"> experiencing</w:t>
      </w:r>
      <w:r>
        <w:t xml:space="preserve"> </w:t>
      </w:r>
      <w:r w:rsidR="00132A0F">
        <w:t>high</w:t>
      </w:r>
      <w:r>
        <w:t>er</w:t>
      </w:r>
      <w:r w:rsidR="00132A0F">
        <w:t xml:space="preserve"> rates of financial difficulty</w:t>
      </w:r>
      <w:r>
        <w:t xml:space="preserve"> </w:t>
      </w:r>
      <w:r w:rsidR="00FD33AE">
        <w:t>to those</w:t>
      </w:r>
      <w:r>
        <w:t xml:space="preserve"> without children</w:t>
      </w:r>
      <w:r w:rsidR="00807C16">
        <w:t>, as is evident in</w:t>
      </w:r>
      <w:r w:rsidR="0027163C">
        <w:t xml:space="preserve"> </w:t>
      </w:r>
      <w:r w:rsidR="0027163C">
        <w:fldChar w:fldCharType="begin"/>
      </w:r>
      <w:r w:rsidR="0027163C">
        <w:instrText xml:space="preserve"> REF _Ref464122767 \h </w:instrText>
      </w:r>
      <w:r w:rsidR="0027163C">
        <w:fldChar w:fldCharType="separate"/>
      </w:r>
      <w:r w:rsidR="002F60EE">
        <w:t xml:space="preserve">Figure </w:t>
      </w:r>
      <w:r w:rsidR="002F60EE">
        <w:rPr>
          <w:noProof/>
        </w:rPr>
        <w:t>4</w:t>
      </w:r>
      <w:r w:rsidR="0027163C">
        <w:fldChar w:fldCharType="end"/>
      </w:r>
      <w:r w:rsidR="00807C16">
        <w:t xml:space="preserve">.  </w:t>
      </w:r>
      <w:r w:rsidR="00952611">
        <w:t>The exception here is the mixed adult household category, probably due to a bias toward students and very low income earners in those households.</w:t>
      </w:r>
    </w:p>
    <w:p w:rsidR="00807C16" w:rsidRDefault="00807C16" w:rsidP="00596982">
      <w:pPr>
        <w:pStyle w:val="Caption"/>
        <w:keepNext/>
      </w:pPr>
      <w:bookmarkStart w:id="45" w:name="_Ref464122767"/>
      <w:bookmarkStart w:id="46" w:name="_Toc465151872"/>
      <w:bookmarkStart w:id="47" w:name="_Toc465167606"/>
      <w:r>
        <w:lastRenderedPageBreak/>
        <w:t xml:space="preserve">Figure </w:t>
      </w:r>
      <w:r w:rsidR="002F60EE">
        <w:fldChar w:fldCharType="begin"/>
      </w:r>
      <w:r w:rsidR="002F60EE">
        <w:instrText xml:space="preserve"> SEQ Figure \* ARABIC </w:instrText>
      </w:r>
      <w:r w:rsidR="002F60EE">
        <w:fldChar w:fldCharType="separate"/>
      </w:r>
      <w:r w:rsidR="002F60EE">
        <w:rPr>
          <w:noProof/>
        </w:rPr>
        <w:t>4</w:t>
      </w:r>
      <w:r w:rsidR="002F60EE">
        <w:rPr>
          <w:noProof/>
        </w:rPr>
        <w:fldChar w:fldCharType="end"/>
      </w:r>
      <w:bookmarkEnd w:id="45"/>
      <w:r>
        <w:t>: Affordability, by household structure type</w:t>
      </w:r>
      <w:bookmarkEnd w:id="46"/>
      <w:bookmarkEnd w:id="47"/>
    </w:p>
    <w:p w:rsidR="00807C16" w:rsidRDefault="00807C16" w:rsidP="00EE0A6D">
      <w:pPr>
        <w:contextualSpacing/>
        <w:jc w:val="center"/>
      </w:pPr>
      <w:r>
        <w:rPr>
          <w:noProof/>
        </w:rPr>
        <w:drawing>
          <wp:inline distT="0" distB="0" distL="0" distR="0" wp14:anchorId="7C7345B6" wp14:editId="6D465EA9">
            <wp:extent cx="4525200" cy="2686050"/>
            <wp:effectExtent l="0" t="0" r="27940" b="19050"/>
            <wp:docPr id="19" name="Chart 19" descr="Single parent living with children, couple with children and mixed adult households had the most difficulty paying, cutting back, stopping telecommunications in the past 12 month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B57DF" w:rsidRDefault="003B57DF" w:rsidP="003B57DF">
      <w:pPr>
        <w:jc w:val="center"/>
        <w:rPr>
          <w:sz w:val="18"/>
        </w:rPr>
      </w:pPr>
      <w:r>
        <w:rPr>
          <w:sz w:val="18"/>
        </w:rPr>
        <w:t>(Source: Mint Research, 2016)</w:t>
      </w:r>
    </w:p>
    <w:p w:rsidR="003B57DF" w:rsidRDefault="003B57DF" w:rsidP="003B57DF">
      <w:r>
        <w:t>It</w:t>
      </w:r>
      <w:r w:rsidR="00DA5AF1">
        <w:t xml:space="preserve"> is also unsurprising that families with dependent children are experiencing high</w:t>
      </w:r>
      <w:r w:rsidR="00CB0BAF">
        <w:t>er</w:t>
      </w:r>
      <w:r w:rsidR="00DA5AF1">
        <w:t xml:space="preserve"> rat</w:t>
      </w:r>
      <w:r w:rsidR="000B1944">
        <w:t>es of financial difficult</w:t>
      </w:r>
      <w:r w:rsidR="00793516">
        <w:t>y</w:t>
      </w:r>
      <w:r w:rsidR="002471E7">
        <w:t>,</w:t>
      </w:r>
      <w:r>
        <w:t xml:space="preserve"> given </w:t>
      </w:r>
      <w:r w:rsidR="002471E7">
        <w:t>that these</w:t>
      </w:r>
      <w:r>
        <w:t xml:space="preserve"> households </w:t>
      </w:r>
      <w:r w:rsidR="002471E7">
        <w:t>generally have more</w:t>
      </w:r>
      <w:r>
        <w:t xml:space="preserve"> devices</w:t>
      </w:r>
      <w:r w:rsidR="000B1944">
        <w:t>.</w:t>
      </w:r>
      <w:r w:rsidR="00793516">
        <w:t xml:space="preserve"> </w:t>
      </w:r>
      <w:r w:rsidR="000B1944">
        <w:t xml:space="preserve"> I</w:t>
      </w:r>
      <w:r w:rsidR="00CB0BAF">
        <w:t>n today’s mobile and digital age children usually possess a personal mobile phone, and</w:t>
      </w:r>
      <w:r w:rsidR="00097E3C">
        <w:t xml:space="preserve"> </w:t>
      </w:r>
      <w:r>
        <w:t xml:space="preserve">as noted earlier, </w:t>
      </w:r>
      <w:r w:rsidR="00097E3C">
        <w:t>are expected to have</w:t>
      </w:r>
      <w:r w:rsidR="00CB0BAF">
        <w:t xml:space="preserve"> an internet connected </w:t>
      </w:r>
      <w:r w:rsidR="00247C7A">
        <w:t>personal computer/tablet</w:t>
      </w:r>
      <w:r w:rsidR="00CB0BAF">
        <w:t xml:space="preserve"> for school and to engage socially with their friends. </w:t>
      </w:r>
      <w:r w:rsidR="00097E3C">
        <w:t xml:space="preserve"> </w:t>
      </w:r>
      <w:r>
        <w:t xml:space="preserve">But this comes at a cost to affordability, as </w:t>
      </w:r>
      <w:r w:rsidR="00FD33AE">
        <w:t>a</w:t>
      </w:r>
      <w:r>
        <w:t xml:space="preserve"> focus group participant noted:</w:t>
      </w:r>
      <w:r w:rsidRPr="006A76A0">
        <w:t xml:space="preserve"> </w:t>
      </w:r>
    </w:p>
    <w:p w:rsidR="003B57DF" w:rsidRPr="00553591" w:rsidRDefault="003B57DF" w:rsidP="003B57DF">
      <w:pPr>
        <w:spacing w:before="120"/>
        <w:ind w:left="567" w:right="567"/>
        <w:rPr>
          <w:rFonts w:eastAsia="Calibri" w:cs="Arial"/>
        </w:rPr>
      </w:pPr>
      <w:r>
        <w:rPr>
          <w:rFonts w:eastAsia="Calibri" w:cs="Arial"/>
        </w:rPr>
        <w:t>“</w:t>
      </w:r>
      <w:proofErr w:type="gramStart"/>
      <w:r w:rsidRPr="00553591">
        <w:rPr>
          <w:rFonts w:eastAsia="Calibri" w:cs="Arial"/>
        </w:rPr>
        <w:t>she</w:t>
      </w:r>
      <w:proofErr w:type="gramEnd"/>
      <w:r w:rsidRPr="00553591">
        <w:rPr>
          <w:rFonts w:eastAsia="Calibri" w:cs="Arial"/>
        </w:rPr>
        <w:t xml:space="preserve"> has a big family.  And she has, all have children, they are students in high sc</w:t>
      </w:r>
      <w:r>
        <w:rPr>
          <w:rFonts w:eastAsia="Calibri" w:cs="Arial"/>
        </w:rPr>
        <w:t xml:space="preserve">hool like that.  And </w:t>
      </w:r>
      <w:r w:rsidRPr="00553591">
        <w:rPr>
          <w:rFonts w:eastAsia="Calibri" w:cs="Arial"/>
        </w:rPr>
        <w:t xml:space="preserve">children, they need internet.  And really cost her a lot.  And then she has high bills.  </w:t>
      </w:r>
      <w:proofErr w:type="gramStart"/>
      <w:r w:rsidRPr="00553591">
        <w:rPr>
          <w:rFonts w:eastAsia="Calibri" w:cs="Arial"/>
        </w:rPr>
        <w:t>Electricity, gas, water.</w:t>
      </w:r>
      <w:proofErr w:type="gramEnd"/>
      <w:r w:rsidRPr="00553591">
        <w:rPr>
          <w:rFonts w:eastAsia="Calibri" w:cs="Arial"/>
        </w:rPr>
        <w:t xml:space="preserve">  And then plus the internet, lik</w:t>
      </w:r>
      <w:r>
        <w:rPr>
          <w:rFonts w:eastAsia="Calibri" w:cs="Arial"/>
        </w:rPr>
        <w:t>e the mobile is cost her a lot….</w:t>
      </w:r>
      <w:r w:rsidRPr="00553591">
        <w:rPr>
          <w:rFonts w:eastAsia="Calibri" w:cs="Arial"/>
        </w:rPr>
        <w:t xml:space="preserve">The children, they need internet and the adults they need a phone, small.  And then they cost </w:t>
      </w:r>
      <w:proofErr w:type="gramStart"/>
      <w:r w:rsidRPr="00553591">
        <w:rPr>
          <w:rFonts w:eastAsia="Calibri" w:cs="Arial"/>
        </w:rPr>
        <w:t>her a</w:t>
      </w:r>
      <w:proofErr w:type="gramEnd"/>
      <w:r w:rsidRPr="00553591">
        <w:rPr>
          <w:rFonts w:eastAsia="Calibri" w:cs="Arial"/>
        </w:rPr>
        <w:t xml:space="preserve"> lot</w:t>
      </w:r>
      <w:r w:rsidR="002471E7">
        <w:rPr>
          <w:rFonts w:eastAsia="Calibri" w:cs="Arial"/>
        </w:rPr>
        <w:t>.</w:t>
      </w:r>
      <w:r>
        <w:rPr>
          <w:rFonts w:eastAsia="Calibri" w:cs="Arial"/>
        </w:rPr>
        <w:t>”</w:t>
      </w:r>
      <w:r>
        <w:rPr>
          <w:rStyle w:val="FootnoteReference"/>
          <w:rFonts w:eastAsia="Calibri" w:cs="Arial"/>
        </w:rPr>
        <w:footnoteReference w:id="2"/>
      </w:r>
    </w:p>
    <w:p w:rsidR="003207E8" w:rsidRPr="003207E8" w:rsidRDefault="0027163C" w:rsidP="0069004B">
      <w:pPr>
        <w:pStyle w:val="Heading2"/>
      </w:pPr>
      <w:bookmarkStart w:id="48" w:name="_Toc465167562"/>
      <w:r>
        <w:t>Restricting usage</w:t>
      </w:r>
      <w:bookmarkEnd w:id="48"/>
    </w:p>
    <w:p w:rsidR="00FD33AE" w:rsidRDefault="00247C7A" w:rsidP="00247C7A">
      <w:r>
        <w:t>To manage this financial difficulty and remain connected to their essential telecommunications</w:t>
      </w:r>
      <w:r w:rsidR="002471E7">
        <w:t xml:space="preserve"> services</w:t>
      </w:r>
      <w:r>
        <w:t xml:space="preserve">, many low income Australians are forced to restrict their usage of </w:t>
      </w:r>
      <w:r w:rsidRPr="006826E6">
        <w:t>telecommunication.</w:t>
      </w:r>
      <w:r w:rsidR="003B57DF">
        <w:t xml:space="preserve"> </w:t>
      </w:r>
      <w:r>
        <w:t xml:space="preserve"> One common method is to limit the number of telecommunication</w:t>
      </w:r>
      <w:r w:rsidR="006826E6">
        <w:t>s</w:t>
      </w:r>
      <w:r>
        <w:t xml:space="preserve"> services</w:t>
      </w:r>
      <w:r w:rsidR="006826E6">
        <w:t xml:space="preserve"> that</w:t>
      </w:r>
      <w:r>
        <w:t xml:space="preserve"> they are connected t</w:t>
      </w:r>
      <w:r w:rsidRPr="006826E6">
        <w:t xml:space="preserve">o. </w:t>
      </w:r>
      <w:proofErr w:type="spellStart"/>
      <w:r w:rsidR="006826E6">
        <w:t>Morsill</w:t>
      </w:r>
      <w:r w:rsidRPr="006826E6">
        <w:t>o</w:t>
      </w:r>
      <w:proofErr w:type="spellEnd"/>
      <w:r w:rsidR="006826E6" w:rsidRPr="006826E6">
        <w:t xml:space="preserve"> </w:t>
      </w:r>
      <w:sdt>
        <w:sdtPr>
          <w:id w:val="2083798899"/>
          <w:citation/>
        </w:sdtPr>
        <w:sdtContent>
          <w:r w:rsidR="00C907D6" w:rsidRPr="006826E6">
            <w:fldChar w:fldCharType="begin"/>
          </w:r>
          <w:r w:rsidR="006826E6" w:rsidRPr="006826E6">
            <w:instrText xml:space="preserve">CITATION Mor12 \n  \t  \l 3081 </w:instrText>
          </w:r>
          <w:r w:rsidR="00C907D6" w:rsidRPr="006826E6">
            <w:fldChar w:fldCharType="separate"/>
          </w:r>
          <w:r w:rsidR="000D79D7">
            <w:rPr>
              <w:noProof/>
            </w:rPr>
            <w:t>(2012)</w:t>
          </w:r>
          <w:r w:rsidR="00C907D6" w:rsidRPr="006826E6">
            <w:fldChar w:fldCharType="end"/>
          </w:r>
        </w:sdtContent>
      </w:sdt>
      <w:r w:rsidRPr="006826E6">
        <w:t xml:space="preserve"> found</w:t>
      </w:r>
      <w:r>
        <w:t xml:space="preserve"> that unlike most Australians who are connected to multiple services and devices, “</w:t>
      </w:r>
      <w:r w:rsidRPr="00B86CCE">
        <w:t>for a person on a low income, th</w:t>
      </w:r>
      <w:r w:rsidR="00817DD1">
        <w:t>e decision is not so much "and/add" but "either/</w:t>
      </w:r>
      <w:r w:rsidRPr="00B86CCE">
        <w:t xml:space="preserve">or" in terms </w:t>
      </w:r>
      <w:r w:rsidRPr="00B86CCE">
        <w:lastRenderedPageBreak/>
        <w:t>of devices and services</w:t>
      </w:r>
      <w:r>
        <w:t xml:space="preserve">”. </w:t>
      </w:r>
      <w:r w:rsidR="003B57DF">
        <w:t xml:space="preserve"> </w:t>
      </w:r>
      <w:proofErr w:type="spellStart"/>
      <w:r>
        <w:t>Anglicare</w:t>
      </w:r>
      <w:proofErr w:type="spellEnd"/>
      <w:r w:rsidR="006931C8">
        <w:t xml:space="preserve"> </w:t>
      </w:r>
      <w:sdt>
        <w:sdtPr>
          <w:id w:val="-985233755"/>
          <w:citation/>
        </w:sdtPr>
        <w:sdtContent>
          <w:r w:rsidR="00C907D6">
            <w:fldChar w:fldCharType="begin"/>
          </w:r>
          <w:r w:rsidR="006931C8">
            <w:instrText xml:space="preserve">CITATION Wis13 \n  \t  \l 3081 </w:instrText>
          </w:r>
          <w:r w:rsidR="00C907D6">
            <w:fldChar w:fldCharType="separate"/>
          </w:r>
          <w:r w:rsidR="000D79D7">
            <w:rPr>
              <w:noProof/>
            </w:rPr>
            <w:t>(2013)</w:t>
          </w:r>
          <w:r w:rsidR="00C907D6">
            <w:fldChar w:fldCharType="end"/>
          </w:r>
        </w:sdtContent>
      </w:sdt>
      <w:r>
        <w:t xml:space="preserve"> found that 45% of t</w:t>
      </w:r>
      <w:r w:rsidR="006931C8">
        <w:t>heir clients</w:t>
      </w:r>
      <w:r>
        <w:t xml:space="preserve"> had only one telecommunications device</w:t>
      </w:r>
      <w:r w:rsidR="006931C8">
        <w:t>,</w:t>
      </w:r>
      <w:r>
        <w:t xml:space="preserve"> typically a pre-</w:t>
      </w:r>
      <w:r w:rsidRPr="006931C8">
        <w:t xml:space="preserve">paid mobile </w:t>
      </w:r>
      <w:r w:rsidR="00FD33AE">
        <w:t>phone.</w:t>
      </w:r>
    </w:p>
    <w:p w:rsidR="00FD33AE" w:rsidRDefault="00FD33AE" w:rsidP="00247C7A">
      <w:r>
        <w:t xml:space="preserve">This highlights that the “either/or” choice may not be technologically neutral. </w:t>
      </w:r>
      <w:r w:rsidR="00387CB7">
        <w:t xml:space="preserve"> </w:t>
      </w:r>
      <w:r>
        <w:t>O</w:t>
      </w:r>
      <w:r w:rsidR="003B57DF">
        <w:t>ur survey found that financial pressures had caused 10% of respondents to stop using a landline in the last 12 months</w:t>
      </w:r>
      <w:r>
        <w:t xml:space="preserve"> (</w:t>
      </w:r>
      <w:r w:rsidR="003B57DF">
        <w:t xml:space="preserve">the highest rate of stoppage of any </w:t>
      </w:r>
      <w:r>
        <w:t xml:space="preserve">important </w:t>
      </w:r>
      <w:r w:rsidR="003B57DF">
        <w:t>household expense</w:t>
      </w:r>
      <w:r>
        <w:t>)</w:t>
      </w:r>
      <w:r w:rsidR="003B57DF">
        <w:t xml:space="preserve">.  </w:t>
      </w:r>
      <w:r>
        <w:t>By comparison, o</w:t>
      </w:r>
      <w:r w:rsidR="003B57DF">
        <w:t>nly 3% of respondents stopped using mobile phones</w:t>
      </w:r>
      <w:r>
        <w:t xml:space="preserve"> or the internet</w:t>
      </w:r>
      <w:r w:rsidR="003B57DF">
        <w:t xml:space="preserve"> for financial reasons in the same period, </w:t>
      </w:r>
      <w:r>
        <w:t>although they were more likely to cut back on them.</w:t>
      </w:r>
      <w:r w:rsidR="00C25E6D">
        <w:t xml:space="preserve"> </w:t>
      </w:r>
      <w:r w:rsidR="00387CB7">
        <w:t xml:space="preserve"> </w:t>
      </w:r>
      <w:r w:rsidR="003B57DF">
        <w:t xml:space="preserve">Around half of respondents </w:t>
      </w:r>
      <w:r>
        <w:t>said that</w:t>
      </w:r>
      <w:r w:rsidR="008A0DA4">
        <w:t xml:space="preserve"> they</w:t>
      </w:r>
      <w:r>
        <w:t xml:space="preserve"> </w:t>
      </w:r>
      <w:r w:rsidR="003B57DF" w:rsidRPr="00DF3159">
        <w:t xml:space="preserve">usually, always or sometimes limit their </w:t>
      </w:r>
      <w:r w:rsidR="003B57DF">
        <w:t>use of a mobile phone</w:t>
      </w:r>
      <w:r w:rsidR="003B57DF" w:rsidRPr="00DF3159">
        <w:t>, while just under half limit</w:t>
      </w:r>
      <w:r w:rsidR="003B57DF">
        <w:t>ed</w:t>
      </w:r>
      <w:r w:rsidR="003B57DF" w:rsidRPr="00DF3159">
        <w:t xml:space="preserve"> their use of a landline phone (43%) and the internet (41%). </w:t>
      </w:r>
      <w:r w:rsidR="003B57DF">
        <w:t xml:space="preserve"> </w:t>
      </w:r>
    </w:p>
    <w:p w:rsidR="003B57DF" w:rsidRDefault="003B57DF" w:rsidP="00247C7A">
      <w:r w:rsidRPr="00DF3159">
        <w:t xml:space="preserve">While on the surface </w:t>
      </w:r>
      <w:r w:rsidR="00FD33AE" w:rsidRPr="00DF3159">
        <w:t>this</w:t>
      </w:r>
      <w:r w:rsidR="00FD33AE">
        <w:t xml:space="preserve"> cutting back</w:t>
      </w:r>
      <w:r w:rsidR="00FD33AE" w:rsidRPr="00DF3159">
        <w:t xml:space="preserve"> might </w:t>
      </w:r>
      <w:r w:rsidRPr="00DF3159">
        <w:t>seem like a harmless and obvious coping strategy for low income consumers to manage their financial pressures</w:t>
      </w:r>
      <w:r>
        <w:t>,</w:t>
      </w:r>
      <w:r w:rsidRPr="00DF3159">
        <w:t xml:space="preserve"> </w:t>
      </w:r>
      <w:r>
        <w:t xml:space="preserve">as noted in the previous discussion, </w:t>
      </w:r>
      <w:r w:rsidRPr="00DF3159">
        <w:t xml:space="preserve">in limiting their usage they also risk not being able to do </w:t>
      </w:r>
      <w:r>
        <w:t xml:space="preserve">essential activities like look for work, study and access Centrelink – all of which have </w:t>
      </w:r>
      <w:r w:rsidR="00FD33AE">
        <w:t xml:space="preserve">long term </w:t>
      </w:r>
      <w:r>
        <w:t xml:space="preserve">economic consequences for those already struggling. </w:t>
      </w:r>
    </w:p>
    <w:p w:rsidR="00F56E28" w:rsidRDefault="000D360E" w:rsidP="003B57DF">
      <w:r>
        <w:t>There may</w:t>
      </w:r>
      <w:r w:rsidR="00FD33AE">
        <w:t xml:space="preserve"> also be short-term costs.</w:t>
      </w:r>
      <w:r w:rsidR="003B57DF">
        <w:t xml:space="preserve">  For instance, a common reason given by</w:t>
      </w:r>
      <w:r w:rsidR="006931C8">
        <w:t xml:space="preserve"> focus group </w:t>
      </w:r>
      <w:r w:rsidR="008D5B89">
        <w:t>participants for choosing a pre-paid plan is that it allows them greater control and flexibility over th</w:t>
      </w:r>
      <w:r w:rsidR="003B57DF">
        <w:t>eir spend on telecommunications</w:t>
      </w:r>
      <w:r w:rsidR="008D5B89">
        <w:t xml:space="preserve">. </w:t>
      </w:r>
      <w:r w:rsidR="003B57DF">
        <w:t xml:space="preserve"> </w:t>
      </w:r>
      <w:r w:rsidR="008D5B89">
        <w:t xml:space="preserve">However, </w:t>
      </w:r>
      <w:r w:rsidR="003B57DF">
        <w:t xml:space="preserve">as we shall see in Section 4 of this report, such plans often have poverty premiums embedded through higher unit costs and hidden charges, and </w:t>
      </w:r>
      <w:r w:rsidR="008D5B89">
        <w:t xml:space="preserve">participants </w:t>
      </w:r>
      <w:r w:rsidR="00F56E28">
        <w:t>who relied</w:t>
      </w:r>
      <w:r w:rsidR="008D5B89">
        <w:t xml:space="preserve"> on a pre-paid mobile phone </w:t>
      </w:r>
      <w:r w:rsidR="00F56E28">
        <w:t>also reported going for periods of time without the use of their phone when they r</w:t>
      </w:r>
      <w:r w:rsidR="0027163C">
        <w:t>a</w:t>
      </w:r>
      <w:r w:rsidR="00F56E28">
        <w:t xml:space="preserve">n out of </w:t>
      </w:r>
      <w:r w:rsidR="003B57DF">
        <w:t xml:space="preserve">credit and </w:t>
      </w:r>
      <w:r w:rsidR="0027163C">
        <w:t>could not</w:t>
      </w:r>
      <w:r w:rsidR="003B57DF">
        <w:t xml:space="preserve"> afford to top up.</w:t>
      </w:r>
    </w:p>
    <w:p w:rsidR="00F56E28" w:rsidRDefault="00DF3159" w:rsidP="00247C7A">
      <w:r>
        <w:t>For people reliant on income support, the impacts of going without phone and internet access can be particularly severe</w:t>
      </w:r>
      <w:r w:rsidR="00A308CF">
        <w:t>.</w:t>
      </w:r>
      <w:r w:rsidR="00F56E28">
        <w:t xml:space="preserve"> </w:t>
      </w:r>
      <w:r w:rsidR="003B57DF">
        <w:t xml:space="preserve"> </w:t>
      </w:r>
      <w:r w:rsidR="00F56E28">
        <w:t xml:space="preserve">As </w:t>
      </w:r>
      <w:r w:rsidR="00A750F8">
        <w:t>focu</w:t>
      </w:r>
      <w:r w:rsidR="00F56E28">
        <w:t>s group participants pointed out:</w:t>
      </w:r>
    </w:p>
    <w:p w:rsidR="00F56E28" w:rsidRDefault="00F56E28" w:rsidP="00F56E28">
      <w:pPr>
        <w:spacing w:before="120"/>
        <w:ind w:left="567" w:right="567"/>
        <w:rPr>
          <w:rFonts w:eastAsia="Calibri" w:cs="Arial"/>
        </w:rPr>
      </w:pPr>
      <w:r>
        <w:rPr>
          <w:rFonts w:eastAsia="Calibri" w:cs="Arial"/>
        </w:rPr>
        <w:t>“</w:t>
      </w:r>
      <w:proofErr w:type="gramStart"/>
      <w:r w:rsidR="00DF3159" w:rsidRPr="00F56E28">
        <w:rPr>
          <w:rFonts w:eastAsia="Calibri" w:cs="Arial"/>
        </w:rPr>
        <w:t>if</w:t>
      </w:r>
      <w:proofErr w:type="gramEnd"/>
      <w:r w:rsidR="00DF3159" w:rsidRPr="00F56E28">
        <w:rPr>
          <w:rFonts w:eastAsia="Calibri" w:cs="Arial"/>
        </w:rPr>
        <w:t xml:space="preserve"> I don’t have credit to [report my income to Centrelink], then I’m really screwed...I don’t get paid if I don’t report”. </w:t>
      </w:r>
    </w:p>
    <w:p w:rsidR="00A308CF" w:rsidRPr="00F56E28" w:rsidRDefault="00A308CF" w:rsidP="00F56E28">
      <w:pPr>
        <w:spacing w:before="120"/>
        <w:ind w:left="567" w:right="567"/>
        <w:rPr>
          <w:rFonts w:eastAsia="Calibri" w:cs="Arial"/>
        </w:rPr>
      </w:pPr>
      <w:r w:rsidRPr="00F56E28">
        <w:rPr>
          <w:rFonts w:eastAsia="Calibri" w:cs="Arial"/>
        </w:rPr>
        <w:t>“</w:t>
      </w:r>
      <w:r w:rsidR="00F56E28">
        <w:rPr>
          <w:rFonts w:eastAsia="Calibri" w:cs="Arial"/>
        </w:rPr>
        <w:t>[I] p</w:t>
      </w:r>
      <w:r w:rsidRPr="00F56E28">
        <w:rPr>
          <w:rFonts w:eastAsia="Calibri" w:cs="Arial"/>
        </w:rPr>
        <w:t>retty much</w:t>
      </w:r>
      <w:r w:rsidR="00F56E28">
        <w:rPr>
          <w:rFonts w:eastAsia="Calibri" w:cs="Arial"/>
        </w:rPr>
        <w:t xml:space="preserve"> go</w:t>
      </w:r>
      <w:r w:rsidRPr="00F56E28">
        <w:rPr>
          <w:rFonts w:eastAsia="Calibri" w:cs="Arial"/>
        </w:rPr>
        <w:t xml:space="preserve"> without a phone for a month….It makes it extremely difficult.  I have to either borrow friends’ phones to make phone calls for jobs”. </w:t>
      </w:r>
    </w:p>
    <w:p w:rsidR="00535292" w:rsidRDefault="003B57DF" w:rsidP="003B57DF">
      <w:r>
        <w:t xml:space="preserve">Faced with acute financial pressures and costs </w:t>
      </w:r>
      <w:r w:rsidR="00FD33AE">
        <w:t>in either</w:t>
      </w:r>
      <w:r>
        <w:t xml:space="preserve"> </w:t>
      </w:r>
      <w:r w:rsidRPr="00FD33AE">
        <w:t xml:space="preserve">having </w:t>
      </w:r>
      <w:r w:rsidR="00FD33AE">
        <w:t>or</w:t>
      </w:r>
      <w:r w:rsidRPr="00FD33AE">
        <w:t xml:space="preserve"> not having </w:t>
      </w:r>
      <w:r>
        <w:t xml:space="preserve">telecommunications, </w:t>
      </w:r>
      <w:r w:rsidR="00553591">
        <w:t>m</w:t>
      </w:r>
      <w:r w:rsidR="00082CE8">
        <w:t xml:space="preserve">any </w:t>
      </w:r>
      <w:r w:rsidR="00247C7A" w:rsidRPr="00082CE8">
        <w:t xml:space="preserve">low income Australians </w:t>
      </w:r>
      <w:r w:rsidR="00082CE8" w:rsidRPr="00082CE8">
        <w:t>are</w:t>
      </w:r>
      <w:r w:rsidR="0082054C">
        <w:t xml:space="preserve"> finding themselves</w:t>
      </w:r>
      <w:r w:rsidR="00082CE8" w:rsidRPr="00082CE8">
        <w:t xml:space="preserve"> </w:t>
      </w:r>
      <w:r w:rsidR="0055525E">
        <w:t>caught</w:t>
      </w:r>
      <w:r>
        <w:t xml:space="preserve"> between a rock and a hard place. </w:t>
      </w:r>
      <w:r w:rsidR="00387CB7">
        <w:t xml:space="preserve"> </w:t>
      </w:r>
      <w:r>
        <w:t>They are</w:t>
      </w:r>
      <w:r w:rsidR="0055525E">
        <w:t xml:space="preserve"> either forced to</w:t>
      </w:r>
      <w:r w:rsidR="00247C7A" w:rsidRPr="00082CE8">
        <w:t xml:space="preserve"> cut back on other essential items (such as food, energy</w:t>
      </w:r>
      <w:r w:rsidR="00B72550">
        <w:t xml:space="preserve"> or </w:t>
      </w:r>
      <w:r w:rsidR="00247C7A" w:rsidRPr="00082CE8">
        <w:t>social activities) or risk falling into debt and deepe</w:t>
      </w:r>
      <w:r w:rsidR="001850DB">
        <w:t xml:space="preserve">ning their financial hardship </w:t>
      </w:r>
      <w:r w:rsidR="00082CE8" w:rsidRPr="00082CE8">
        <w:t>to continue to use their telecommunication</w:t>
      </w:r>
      <w:r w:rsidR="0055525E">
        <w:t>s</w:t>
      </w:r>
      <w:r w:rsidR="0082054C">
        <w:t xml:space="preserve">. </w:t>
      </w:r>
      <w:r w:rsidR="00387CB7">
        <w:t xml:space="preserve"> </w:t>
      </w:r>
      <w:r w:rsidR="00535292">
        <w:t>As focus group participant</w:t>
      </w:r>
      <w:r w:rsidR="00FD33AE">
        <w:t>s</w:t>
      </w:r>
      <w:r w:rsidR="00535292">
        <w:t xml:space="preserve"> noted:</w:t>
      </w:r>
    </w:p>
    <w:p w:rsidR="00793516" w:rsidRDefault="00793516" w:rsidP="00793516">
      <w:pPr>
        <w:spacing w:before="120"/>
        <w:ind w:left="567" w:right="567"/>
        <w:rPr>
          <w:rFonts w:eastAsia="Calibri" w:cs="Arial"/>
        </w:rPr>
      </w:pPr>
      <w:r>
        <w:rPr>
          <w:rFonts w:eastAsia="Calibri" w:cs="Arial"/>
        </w:rPr>
        <w:t>“</w:t>
      </w:r>
      <w:proofErr w:type="gramStart"/>
      <w:r w:rsidRPr="00553591">
        <w:rPr>
          <w:rFonts w:eastAsia="Calibri" w:cs="Arial"/>
        </w:rPr>
        <w:t>it’s</w:t>
      </w:r>
      <w:proofErr w:type="gramEnd"/>
      <w:r w:rsidRPr="00553591">
        <w:rPr>
          <w:rFonts w:eastAsia="Calibri" w:cs="Arial"/>
        </w:rPr>
        <w:t xml:space="preserve"> a choice that I’ve made in my overall budget-wise that okay, this is important to us, we need this so I’m going to do this.  </w:t>
      </w:r>
      <w:proofErr w:type="gramStart"/>
      <w:r w:rsidRPr="00553591">
        <w:rPr>
          <w:rFonts w:eastAsia="Calibri" w:cs="Arial"/>
        </w:rPr>
        <w:t xml:space="preserve">And even if it’s at the </w:t>
      </w:r>
      <w:r w:rsidRPr="00553591">
        <w:rPr>
          <w:rFonts w:eastAsia="Calibri" w:cs="Arial"/>
        </w:rPr>
        <w:lastRenderedPageBreak/>
        <w:t>expense of whatever, then bad luck.</w:t>
      </w:r>
      <w:proofErr w:type="gramEnd"/>
      <w:r w:rsidRPr="00553591">
        <w:rPr>
          <w:rFonts w:eastAsia="Calibri" w:cs="Arial"/>
        </w:rPr>
        <w:t xml:space="preserve">  This is what we need, so it’s just a matter of prioritising it and [being]</w:t>
      </w:r>
      <w:r w:rsidR="00FD33AE">
        <w:rPr>
          <w:rFonts w:eastAsia="Calibri" w:cs="Arial"/>
        </w:rPr>
        <w:t xml:space="preserve"> </w:t>
      </w:r>
      <w:r w:rsidRPr="00553591">
        <w:rPr>
          <w:rFonts w:eastAsia="Calibri" w:cs="Arial"/>
        </w:rPr>
        <w:t>stuck in the mud, basically”</w:t>
      </w:r>
    </w:p>
    <w:p w:rsidR="00535292" w:rsidRDefault="00FD33AE" w:rsidP="00793516">
      <w:pPr>
        <w:spacing w:before="120"/>
        <w:ind w:left="567" w:right="567"/>
        <w:rPr>
          <w:rFonts w:eastAsia="Calibri" w:cs="Arial"/>
        </w:rPr>
      </w:pPr>
      <w:r>
        <w:rPr>
          <w:rFonts w:eastAsia="Calibri" w:cs="Arial"/>
        </w:rPr>
        <w:t xml:space="preserve"> </w:t>
      </w:r>
      <w:r w:rsidR="00535292">
        <w:rPr>
          <w:rFonts w:eastAsia="Calibri" w:cs="Arial"/>
        </w:rPr>
        <w:t>“</w:t>
      </w:r>
      <w:r w:rsidR="00535292" w:rsidRPr="00535292">
        <w:rPr>
          <w:rFonts w:eastAsia="Calibri" w:cs="Arial"/>
        </w:rPr>
        <w:t xml:space="preserve">Well something has to go.  I get mine </w:t>
      </w:r>
      <w:r w:rsidR="00793516">
        <w:rPr>
          <w:rFonts w:eastAsia="Calibri" w:cs="Arial"/>
        </w:rPr>
        <w:t xml:space="preserve">[bill] </w:t>
      </w:r>
      <w:r w:rsidR="00535292" w:rsidRPr="00535292">
        <w:rPr>
          <w:rFonts w:eastAsia="Calibri" w:cs="Arial"/>
        </w:rPr>
        <w:t>monthly, but some</w:t>
      </w:r>
      <w:r w:rsidR="00793516">
        <w:rPr>
          <w:rFonts w:eastAsia="Calibri" w:cs="Arial"/>
        </w:rPr>
        <w:t xml:space="preserve">thing has </w:t>
      </w:r>
      <w:r w:rsidR="00535292" w:rsidRPr="00535292">
        <w:rPr>
          <w:rFonts w:eastAsia="Calibri" w:cs="Arial"/>
        </w:rPr>
        <w:t>to give, reduce your food supply or you cut out some social activities, whatever, because you can</w:t>
      </w:r>
      <w:r w:rsidR="00535292">
        <w:rPr>
          <w:rFonts w:eastAsia="Calibri" w:cs="Arial"/>
        </w:rPr>
        <w:t>’t afford to do both</w:t>
      </w:r>
      <w:r w:rsidR="00031D7C">
        <w:rPr>
          <w:rFonts w:eastAsia="Calibri" w:cs="Arial"/>
        </w:rPr>
        <w:t>.</w:t>
      </w:r>
      <w:r w:rsidR="00535292">
        <w:rPr>
          <w:rFonts w:eastAsia="Calibri" w:cs="Arial"/>
        </w:rPr>
        <w:t>”</w:t>
      </w:r>
    </w:p>
    <w:p w:rsidR="00031D7C" w:rsidRDefault="00031D7C" w:rsidP="00FD33AE">
      <w:pPr>
        <w:autoSpaceDE w:val="0"/>
        <w:autoSpaceDN w:val="0"/>
        <w:adjustRightInd w:val="0"/>
        <w:rPr>
          <w:rFonts w:cs="Arial"/>
          <w:szCs w:val="22"/>
        </w:rPr>
      </w:pPr>
      <w:r>
        <w:rPr>
          <w:rFonts w:eastAsia="Calibri" w:cs="Arial"/>
        </w:rPr>
        <w:t xml:space="preserve">Finally, it should be noted that the costs of cutting back or limiting telecommunications are not simply financial.  Following from the essential role of telecommunications in so many areas of life, </w:t>
      </w:r>
      <w:r>
        <w:rPr>
          <w:rFonts w:cs="Arial"/>
          <w:szCs w:val="22"/>
        </w:rPr>
        <w:t>Walton</w:t>
      </w:r>
      <w:r w:rsidRPr="0030619B">
        <w:rPr>
          <w:rFonts w:cs="Arial"/>
          <w:szCs w:val="22"/>
        </w:rPr>
        <w:t xml:space="preserve"> </w:t>
      </w:r>
      <w:sdt>
        <w:sdtPr>
          <w:rPr>
            <w:rFonts w:cs="Arial"/>
            <w:szCs w:val="22"/>
          </w:rPr>
          <w:id w:val="276920180"/>
          <w:citation/>
        </w:sdtPr>
        <w:sdtContent>
          <w:r w:rsidR="00C907D6">
            <w:rPr>
              <w:rFonts w:cs="Arial"/>
              <w:szCs w:val="22"/>
            </w:rPr>
            <w:fldChar w:fldCharType="begin"/>
          </w:r>
          <w:r>
            <w:rPr>
              <w:rFonts w:cs="Arial"/>
              <w:szCs w:val="22"/>
            </w:rPr>
            <w:instrText xml:space="preserve">CITATION Wal13 \n  \t  \l 3081 </w:instrText>
          </w:r>
          <w:r w:rsidR="00C907D6">
            <w:rPr>
              <w:rFonts w:cs="Arial"/>
              <w:szCs w:val="22"/>
            </w:rPr>
            <w:fldChar w:fldCharType="separate"/>
          </w:r>
          <w:r w:rsidR="000D79D7" w:rsidRPr="000D79D7">
            <w:rPr>
              <w:rFonts w:cs="Arial"/>
              <w:noProof/>
              <w:szCs w:val="22"/>
            </w:rPr>
            <w:t>(2013)</w:t>
          </w:r>
          <w:r w:rsidR="00C907D6">
            <w:rPr>
              <w:rFonts w:cs="Arial"/>
              <w:szCs w:val="22"/>
            </w:rPr>
            <w:fldChar w:fldCharType="end"/>
          </w:r>
        </w:sdtContent>
      </w:sdt>
      <w:r>
        <w:rPr>
          <w:rFonts w:cs="Arial"/>
          <w:szCs w:val="22"/>
        </w:rPr>
        <w:t xml:space="preserve"> has</w:t>
      </w:r>
      <w:r w:rsidRPr="0030619B">
        <w:rPr>
          <w:rFonts w:cs="Arial"/>
          <w:szCs w:val="22"/>
        </w:rPr>
        <w:t xml:space="preserve"> noted</w:t>
      </w:r>
      <w:r>
        <w:rPr>
          <w:rFonts w:cs="Arial"/>
          <w:szCs w:val="22"/>
        </w:rPr>
        <w:t xml:space="preserve"> telecommunication technology:</w:t>
      </w:r>
      <w:r w:rsidRPr="0030619B">
        <w:rPr>
          <w:rFonts w:cs="Arial"/>
          <w:szCs w:val="22"/>
        </w:rPr>
        <w:t xml:space="preserve"> </w:t>
      </w:r>
    </w:p>
    <w:p w:rsidR="00031D7C" w:rsidRPr="0029121A" w:rsidRDefault="00031D7C" w:rsidP="00031D7C">
      <w:pPr>
        <w:autoSpaceDE w:val="0"/>
        <w:autoSpaceDN w:val="0"/>
        <w:adjustRightInd w:val="0"/>
        <w:spacing w:after="0"/>
        <w:ind w:left="720"/>
        <w:rPr>
          <w:rFonts w:cs="Arial"/>
          <w:szCs w:val="22"/>
        </w:rPr>
      </w:pPr>
      <w:r>
        <w:rPr>
          <w:rFonts w:cs="Arial"/>
          <w:szCs w:val="22"/>
        </w:rPr>
        <w:t>“</w:t>
      </w:r>
      <w:proofErr w:type="gramStart"/>
      <w:r w:rsidRPr="0030619B">
        <w:rPr>
          <w:rFonts w:cs="Arial"/>
          <w:szCs w:val="22"/>
        </w:rPr>
        <w:t>now</w:t>
      </w:r>
      <w:proofErr w:type="gramEnd"/>
      <w:r w:rsidRPr="0030619B">
        <w:rPr>
          <w:rFonts w:cs="Arial"/>
          <w:szCs w:val="22"/>
        </w:rPr>
        <w:t xml:space="preserve"> lies at the heart of most of the activities which are seen to constitute ‘social inclusion’ - from playing an active role in one’s neighbourhood and community to maintaining one’s personal finances. </w:t>
      </w:r>
      <w:r w:rsidR="00387CB7">
        <w:rPr>
          <w:rFonts w:cs="Arial"/>
          <w:szCs w:val="22"/>
        </w:rPr>
        <w:t xml:space="preserve"> </w:t>
      </w:r>
      <w:r w:rsidRPr="0030619B">
        <w:rPr>
          <w:rFonts w:cs="Arial"/>
          <w:szCs w:val="22"/>
        </w:rPr>
        <w:t xml:space="preserve">The inclusive role of ICT has recently been reinforced by the digital migration of most </w:t>
      </w:r>
      <w:r>
        <w:rPr>
          <w:rFonts w:cs="Arial"/>
          <w:szCs w:val="22"/>
        </w:rPr>
        <w:t>government and public services."</w:t>
      </w:r>
    </w:p>
    <w:p w:rsidR="0079538A" w:rsidRDefault="00031D7C" w:rsidP="0069004B">
      <w:pPr>
        <w:pStyle w:val="Heading2"/>
      </w:pPr>
      <w:bookmarkStart w:id="49" w:name="_Toc465167563"/>
      <w:r>
        <w:t>Affordability and t</w:t>
      </w:r>
      <w:r w:rsidR="003B57DF" w:rsidRPr="003B57DF">
        <w:t xml:space="preserve">he Digital </w:t>
      </w:r>
      <w:r w:rsidR="000A50ED" w:rsidRPr="003B57DF">
        <w:t>Divide</w:t>
      </w:r>
      <w:bookmarkEnd w:id="49"/>
    </w:p>
    <w:p w:rsidR="00031D7C" w:rsidRDefault="00F13665" w:rsidP="00031D7C">
      <w:pPr>
        <w:rPr>
          <w:rFonts w:cs="Arial"/>
          <w:szCs w:val="22"/>
        </w:rPr>
      </w:pPr>
      <w:r w:rsidRPr="0030630B">
        <w:rPr>
          <w:rFonts w:cs="Arial"/>
          <w:szCs w:val="22"/>
        </w:rPr>
        <w:t xml:space="preserve">The reduced ability </w:t>
      </w:r>
      <w:r w:rsidR="009E5246">
        <w:rPr>
          <w:rFonts w:cs="Arial"/>
          <w:szCs w:val="22"/>
        </w:rPr>
        <w:t>of</w:t>
      </w:r>
      <w:r w:rsidRPr="0030630B">
        <w:rPr>
          <w:rFonts w:cs="Arial"/>
          <w:szCs w:val="22"/>
        </w:rPr>
        <w:t xml:space="preserve"> low i</w:t>
      </w:r>
      <w:r w:rsidR="00F56190">
        <w:rPr>
          <w:rFonts w:cs="Arial"/>
          <w:szCs w:val="22"/>
        </w:rPr>
        <w:t xml:space="preserve">ncome Australians to </w:t>
      </w:r>
      <w:r w:rsidR="00031D7C">
        <w:rPr>
          <w:rFonts w:cs="Arial"/>
          <w:szCs w:val="22"/>
        </w:rPr>
        <w:t>afford telecommunication</w:t>
      </w:r>
      <w:r w:rsidR="009E5246">
        <w:rPr>
          <w:rFonts w:cs="Arial"/>
          <w:szCs w:val="22"/>
        </w:rPr>
        <w:t>s</w:t>
      </w:r>
      <w:r w:rsidRPr="0030630B">
        <w:rPr>
          <w:rFonts w:cs="Arial"/>
          <w:szCs w:val="22"/>
        </w:rPr>
        <w:t xml:space="preserve"> is</w:t>
      </w:r>
      <w:r w:rsidR="005D2B2C" w:rsidRPr="0030630B">
        <w:rPr>
          <w:rFonts w:cs="Arial"/>
          <w:szCs w:val="22"/>
        </w:rPr>
        <w:t xml:space="preserve"> </w:t>
      </w:r>
      <w:r w:rsidR="00031D7C">
        <w:rPr>
          <w:rFonts w:cs="Arial"/>
          <w:szCs w:val="22"/>
        </w:rPr>
        <w:t>contributing to the</w:t>
      </w:r>
      <w:r w:rsidR="00397A97" w:rsidRPr="0030630B">
        <w:rPr>
          <w:rFonts w:cs="Arial"/>
          <w:szCs w:val="22"/>
        </w:rPr>
        <w:t xml:space="preserve"> digital divide between those Australians that have access to the interne</w:t>
      </w:r>
      <w:r w:rsidR="00F56190">
        <w:rPr>
          <w:rFonts w:cs="Arial"/>
          <w:szCs w:val="22"/>
        </w:rPr>
        <w:t>t and can afford to use it unrestricted</w:t>
      </w:r>
      <w:r w:rsidR="00031D7C">
        <w:rPr>
          <w:rFonts w:cs="Arial"/>
          <w:szCs w:val="22"/>
        </w:rPr>
        <w:t>ly</w:t>
      </w:r>
      <w:r w:rsidR="00397A97" w:rsidRPr="0030630B">
        <w:rPr>
          <w:rFonts w:cs="Arial"/>
          <w:szCs w:val="22"/>
        </w:rPr>
        <w:t xml:space="preserve"> to meet their needs, and those that haven’t got it or can o</w:t>
      </w:r>
      <w:r w:rsidR="0030630B" w:rsidRPr="0030630B">
        <w:rPr>
          <w:rFonts w:cs="Arial"/>
          <w:szCs w:val="22"/>
        </w:rPr>
        <w:t xml:space="preserve">nly afford to use it sparingly. </w:t>
      </w:r>
      <w:r w:rsidR="00031D7C">
        <w:rPr>
          <w:rFonts w:cs="Arial"/>
          <w:szCs w:val="22"/>
        </w:rPr>
        <w:t xml:space="preserve"> However, given the economic and social importance of digital access and the fact that digital exclusion is more likely to be experienced by people who are already disadvantaged, the effects are likely to compound and further entrench poverty, exclusion and disadvantage.  </w:t>
      </w:r>
    </w:p>
    <w:p w:rsidR="0030619B" w:rsidRDefault="00031D7C" w:rsidP="00031D7C">
      <w:pPr>
        <w:rPr>
          <w:rFonts w:cs="Arial"/>
          <w:szCs w:val="22"/>
        </w:rPr>
      </w:pPr>
      <w:r>
        <w:rPr>
          <w:rFonts w:cs="Arial"/>
          <w:szCs w:val="22"/>
        </w:rPr>
        <w:t>In a world in which we are told by government</w:t>
      </w:r>
      <w:sdt>
        <w:sdtPr>
          <w:rPr>
            <w:rFonts w:cs="Arial"/>
            <w:szCs w:val="22"/>
          </w:rPr>
          <w:id w:val="1830633408"/>
          <w:citation/>
        </w:sdtPr>
        <w:sdtContent>
          <w:r w:rsidR="00C907D6">
            <w:rPr>
              <w:rFonts w:cs="Arial"/>
              <w:szCs w:val="22"/>
            </w:rPr>
            <w:fldChar w:fldCharType="begin"/>
          </w:r>
          <w:r>
            <w:rPr>
              <w:rFonts w:cs="Arial"/>
              <w:szCs w:val="22"/>
            </w:rPr>
            <w:instrText xml:space="preserve"> CITATION Tur15 \l 3081 </w:instrText>
          </w:r>
          <w:r w:rsidR="00C907D6">
            <w:rPr>
              <w:rFonts w:cs="Arial"/>
              <w:szCs w:val="22"/>
            </w:rPr>
            <w:fldChar w:fldCharType="separate"/>
          </w:r>
          <w:r w:rsidR="000D79D7">
            <w:rPr>
              <w:rFonts w:cs="Arial"/>
              <w:noProof/>
              <w:szCs w:val="22"/>
            </w:rPr>
            <w:t xml:space="preserve"> </w:t>
          </w:r>
          <w:r w:rsidR="000D79D7" w:rsidRPr="000D79D7">
            <w:rPr>
              <w:rFonts w:cs="Arial"/>
              <w:noProof/>
              <w:szCs w:val="22"/>
            </w:rPr>
            <w:t>(Turnbull, 2015)</w:t>
          </w:r>
          <w:r w:rsidR="00C907D6">
            <w:rPr>
              <w:rFonts w:cs="Arial"/>
              <w:szCs w:val="22"/>
            </w:rPr>
            <w:fldChar w:fldCharType="end"/>
          </w:r>
        </w:sdtContent>
      </w:sdt>
      <w:r>
        <w:rPr>
          <w:rFonts w:cs="Arial"/>
          <w:szCs w:val="22"/>
        </w:rPr>
        <w:t xml:space="preserve"> and industry </w:t>
      </w:r>
      <w:sdt>
        <w:sdtPr>
          <w:rPr>
            <w:rFonts w:cs="Arial"/>
            <w:szCs w:val="22"/>
          </w:rPr>
          <w:id w:val="63613521"/>
          <w:citation/>
        </w:sdtPr>
        <w:sdtContent>
          <w:r w:rsidR="00C907D6">
            <w:rPr>
              <w:rFonts w:cs="Arial"/>
              <w:szCs w:val="22"/>
            </w:rPr>
            <w:fldChar w:fldCharType="begin"/>
          </w:r>
          <w:r>
            <w:rPr>
              <w:rFonts w:cs="Arial"/>
              <w:szCs w:val="22"/>
            </w:rPr>
            <w:instrText xml:space="preserve"> CITATION Del15 \l 3081 </w:instrText>
          </w:r>
          <w:r w:rsidR="00C907D6">
            <w:rPr>
              <w:rFonts w:cs="Arial"/>
              <w:szCs w:val="22"/>
            </w:rPr>
            <w:fldChar w:fldCharType="separate"/>
          </w:r>
          <w:r w:rsidR="000D79D7" w:rsidRPr="000D79D7">
            <w:rPr>
              <w:rFonts w:cs="Arial"/>
              <w:noProof/>
              <w:szCs w:val="22"/>
            </w:rPr>
            <w:t>(Deloitte, 2015)</w:t>
          </w:r>
          <w:r w:rsidR="00C907D6">
            <w:rPr>
              <w:rFonts w:cs="Arial"/>
              <w:szCs w:val="22"/>
            </w:rPr>
            <w:fldChar w:fldCharType="end"/>
          </w:r>
        </w:sdtContent>
      </w:sdt>
      <w:r>
        <w:rPr>
          <w:rFonts w:cs="Arial"/>
          <w:szCs w:val="22"/>
        </w:rPr>
        <w:t xml:space="preserve"> that the jobs of the future are likely to be higher skilled and require strong digital literacy, access and experience, there is a real risk that those without will be left behind. </w:t>
      </w:r>
      <w:r w:rsidR="00387CB7">
        <w:rPr>
          <w:rFonts w:cs="Arial"/>
          <w:szCs w:val="22"/>
        </w:rPr>
        <w:t xml:space="preserve"> </w:t>
      </w:r>
      <w:r>
        <w:rPr>
          <w:rFonts w:cs="Arial"/>
          <w:szCs w:val="22"/>
        </w:rPr>
        <w:t>And while there is evidence that in recent years more people are going online so that we may have fewer people on the wrong side of the digital divide, as technology advances further into life, the divide itself may get deeper.</w:t>
      </w:r>
      <w:r w:rsidR="00FD33AE">
        <w:rPr>
          <w:rFonts w:cs="Arial"/>
          <w:szCs w:val="22"/>
        </w:rPr>
        <w:t xml:space="preserve"> </w:t>
      </w:r>
      <w:r w:rsidR="00387CB7">
        <w:rPr>
          <w:rFonts w:cs="Arial"/>
          <w:szCs w:val="22"/>
        </w:rPr>
        <w:t xml:space="preserve"> </w:t>
      </w:r>
      <w:r>
        <w:rPr>
          <w:rFonts w:cs="Arial"/>
          <w:szCs w:val="22"/>
        </w:rPr>
        <w:t xml:space="preserve">As </w:t>
      </w:r>
      <w:r w:rsidR="00F56190">
        <w:rPr>
          <w:rFonts w:cs="Arial"/>
          <w:szCs w:val="22"/>
        </w:rPr>
        <w:t>Ewing</w:t>
      </w:r>
      <w:r>
        <w:rPr>
          <w:rFonts w:cs="Arial"/>
          <w:szCs w:val="22"/>
        </w:rPr>
        <w:t xml:space="preserve"> noted</w:t>
      </w:r>
      <w:r w:rsidR="00F56190">
        <w:rPr>
          <w:rFonts w:cs="Arial"/>
          <w:szCs w:val="22"/>
        </w:rPr>
        <w:t xml:space="preserve"> in The Conversation</w:t>
      </w:r>
      <w:r w:rsidR="00F56190" w:rsidRPr="00F56190">
        <w:rPr>
          <w:rFonts w:cs="Arial"/>
          <w:szCs w:val="22"/>
        </w:rPr>
        <w:t xml:space="preserve"> </w:t>
      </w:r>
      <w:sdt>
        <w:sdtPr>
          <w:rPr>
            <w:rFonts w:cs="Arial"/>
            <w:szCs w:val="22"/>
          </w:rPr>
          <w:id w:val="50664238"/>
          <w:citation/>
        </w:sdtPr>
        <w:sdtContent>
          <w:r w:rsidR="00C907D6" w:rsidRPr="00363C19">
            <w:rPr>
              <w:rFonts w:cs="Arial"/>
              <w:szCs w:val="22"/>
            </w:rPr>
            <w:fldChar w:fldCharType="begin"/>
          </w:r>
          <w:r w:rsidR="00F56190">
            <w:rPr>
              <w:rFonts w:cs="Arial"/>
              <w:szCs w:val="22"/>
            </w:rPr>
            <w:instrText xml:space="preserve">CITATION The16 \n  \t  \l 3081 </w:instrText>
          </w:r>
          <w:r w:rsidR="00C907D6" w:rsidRPr="00363C19">
            <w:rPr>
              <w:rFonts w:cs="Arial"/>
              <w:szCs w:val="22"/>
            </w:rPr>
            <w:fldChar w:fldCharType="separate"/>
          </w:r>
          <w:r w:rsidR="000D79D7" w:rsidRPr="000D79D7">
            <w:rPr>
              <w:rFonts w:cs="Arial"/>
              <w:noProof/>
              <w:szCs w:val="22"/>
            </w:rPr>
            <w:t>(2016)</w:t>
          </w:r>
          <w:r w:rsidR="00C907D6" w:rsidRPr="00363C19">
            <w:rPr>
              <w:rFonts w:cs="Arial"/>
              <w:szCs w:val="22"/>
            </w:rPr>
            <w:fldChar w:fldCharType="end"/>
          </w:r>
        </w:sdtContent>
      </w:sdt>
      <w:r>
        <w:rPr>
          <w:rFonts w:cs="Arial"/>
          <w:szCs w:val="22"/>
        </w:rPr>
        <w:t xml:space="preserve"> </w:t>
      </w:r>
      <w:r w:rsidR="00397A97" w:rsidRPr="00363C19">
        <w:rPr>
          <w:rFonts w:cs="Arial"/>
          <w:szCs w:val="22"/>
        </w:rPr>
        <w:t>“</w:t>
      </w:r>
      <w:r>
        <w:rPr>
          <w:rFonts w:cs="Arial"/>
          <w:szCs w:val="22"/>
        </w:rPr>
        <w:t xml:space="preserve">the kicker … is that </w:t>
      </w:r>
      <w:r w:rsidR="00397A97" w:rsidRPr="00363C19">
        <w:rPr>
          <w:rFonts w:cs="Arial"/>
          <w:szCs w:val="22"/>
        </w:rPr>
        <w:t xml:space="preserve">as more and more Australians are online, the disadvantage of being offline grows”.  </w:t>
      </w:r>
    </w:p>
    <w:p w:rsidR="00C46420" w:rsidRDefault="00C46420" w:rsidP="00C46420">
      <w:pPr>
        <w:rPr>
          <w:rFonts w:cs="Arial"/>
          <w:szCs w:val="22"/>
        </w:rPr>
      </w:pPr>
      <w:r>
        <w:rPr>
          <w:rFonts w:cs="Arial"/>
          <w:szCs w:val="22"/>
        </w:rPr>
        <w:t xml:space="preserve">The digital divide however is not just something that impacts the </w:t>
      </w:r>
      <w:r w:rsidR="0030619B">
        <w:rPr>
          <w:rFonts w:cs="Arial"/>
          <w:szCs w:val="22"/>
        </w:rPr>
        <w:t>poor; it is something that</w:t>
      </w:r>
      <w:r>
        <w:rPr>
          <w:rFonts w:cs="Arial"/>
          <w:szCs w:val="22"/>
        </w:rPr>
        <w:t xml:space="preserve"> impacts on all of us through </w:t>
      </w:r>
      <w:r w:rsidR="008F2C84">
        <w:rPr>
          <w:rFonts w:cs="Arial"/>
          <w:szCs w:val="22"/>
        </w:rPr>
        <w:t xml:space="preserve">lost social and economic gains </w:t>
      </w:r>
      <w:sdt>
        <w:sdtPr>
          <w:rPr>
            <w:rFonts w:cs="Arial"/>
            <w:szCs w:val="22"/>
          </w:rPr>
          <w:id w:val="229350274"/>
          <w:citation/>
        </w:sdtPr>
        <w:sdtContent>
          <w:r w:rsidR="00C907D6">
            <w:rPr>
              <w:rFonts w:cs="Arial"/>
              <w:szCs w:val="22"/>
            </w:rPr>
            <w:fldChar w:fldCharType="begin"/>
          </w:r>
          <w:r w:rsidR="008F2C84">
            <w:rPr>
              <w:rFonts w:cs="Arial"/>
              <w:szCs w:val="22"/>
            </w:rPr>
            <w:instrText xml:space="preserve"> CITATION Mor12 \l 3081  \m Wal13 \m Swi15</w:instrText>
          </w:r>
          <w:r w:rsidR="00C907D6">
            <w:rPr>
              <w:rFonts w:cs="Arial"/>
              <w:szCs w:val="22"/>
            </w:rPr>
            <w:fldChar w:fldCharType="separate"/>
          </w:r>
          <w:r w:rsidR="000D79D7" w:rsidRPr="000D79D7">
            <w:rPr>
              <w:rFonts w:cs="Arial"/>
              <w:noProof/>
              <w:szCs w:val="22"/>
            </w:rPr>
            <w:t>(Morsillo, 2012; Walton, Kop, Spriggs, &amp; Fitzgerald, 2013; Swinburne Institute for Social Research, Centre for Social Impact, Telstra Corporation Ltd, 2015)</w:t>
          </w:r>
          <w:r w:rsidR="00C907D6">
            <w:rPr>
              <w:rFonts w:cs="Arial"/>
              <w:szCs w:val="22"/>
            </w:rPr>
            <w:fldChar w:fldCharType="end"/>
          </w:r>
        </w:sdtContent>
      </w:sdt>
      <w:r w:rsidR="007530CF" w:rsidRPr="0030630B">
        <w:rPr>
          <w:rFonts w:cs="Arial"/>
          <w:szCs w:val="22"/>
        </w:rPr>
        <w:t xml:space="preserve">. </w:t>
      </w:r>
      <w:r w:rsidR="00387CB7">
        <w:rPr>
          <w:rFonts w:cs="Arial"/>
          <w:szCs w:val="22"/>
        </w:rPr>
        <w:t xml:space="preserve"> </w:t>
      </w:r>
      <w:r w:rsidR="00FD33AE">
        <w:rPr>
          <w:rFonts w:cs="Arial"/>
          <w:szCs w:val="22"/>
        </w:rPr>
        <w:t>A</w:t>
      </w:r>
      <w:r w:rsidR="007530CF" w:rsidRPr="0030630B">
        <w:rPr>
          <w:rFonts w:cs="Arial"/>
          <w:szCs w:val="22"/>
        </w:rPr>
        <w:t xml:space="preserve">n Allen </w:t>
      </w:r>
      <w:r>
        <w:rPr>
          <w:rFonts w:cs="Arial"/>
          <w:szCs w:val="22"/>
        </w:rPr>
        <w:t xml:space="preserve">Consulting </w:t>
      </w:r>
      <w:sdt>
        <w:sdtPr>
          <w:rPr>
            <w:rFonts w:cs="Arial"/>
            <w:szCs w:val="22"/>
          </w:rPr>
          <w:id w:val="2139759374"/>
          <w:citation/>
        </w:sdtPr>
        <w:sdtContent>
          <w:r w:rsidR="00C907D6">
            <w:rPr>
              <w:rFonts w:cs="Arial"/>
              <w:szCs w:val="22"/>
            </w:rPr>
            <w:fldChar w:fldCharType="begin"/>
          </w:r>
          <w:r w:rsidR="008F2C84">
            <w:rPr>
              <w:rFonts w:cs="Arial"/>
              <w:szCs w:val="22"/>
            </w:rPr>
            <w:instrText xml:space="preserve">CITATION All10 \n  \t  \l 3081 </w:instrText>
          </w:r>
          <w:r w:rsidR="00C907D6">
            <w:rPr>
              <w:rFonts w:cs="Arial"/>
              <w:szCs w:val="22"/>
            </w:rPr>
            <w:fldChar w:fldCharType="separate"/>
          </w:r>
          <w:r w:rsidR="000D79D7" w:rsidRPr="000D79D7">
            <w:rPr>
              <w:rFonts w:cs="Arial"/>
              <w:noProof/>
              <w:szCs w:val="22"/>
            </w:rPr>
            <w:t>(2010)</w:t>
          </w:r>
          <w:r w:rsidR="00C907D6">
            <w:rPr>
              <w:rFonts w:cs="Arial"/>
              <w:szCs w:val="22"/>
            </w:rPr>
            <w:fldChar w:fldCharType="end"/>
          </w:r>
        </w:sdtContent>
      </w:sdt>
      <w:r w:rsidR="008F2C84">
        <w:rPr>
          <w:rFonts w:cs="Arial"/>
          <w:szCs w:val="22"/>
        </w:rPr>
        <w:t xml:space="preserve"> </w:t>
      </w:r>
      <w:r>
        <w:rPr>
          <w:rFonts w:cs="Arial"/>
          <w:szCs w:val="22"/>
        </w:rPr>
        <w:t>report estimated</w:t>
      </w:r>
      <w:r w:rsidR="00FD33AE">
        <w:rPr>
          <w:rFonts w:cs="Arial"/>
          <w:szCs w:val="22"/>
        </w:rPr>
        <w:t xml:space="preserve"> that a 10% increase in</w:t>
      </w:r>
      <w:r w:rsidR="007530CF" w:rsidRPr="0030630B">
        <w:rPr>
          <w:rFonts w:cs="Arial"/>
          <w:szCs w:val="22"/>
        </w:rPr>
        <w:t xml:space="preserve"> the number of Australian hou</w:t>
      </w:r>
      <w:r w:rsidR="005A1B38">
        <w:rPr>
          <w:rFonts w:cs="Arial"/>
          <w:szCs w:val="22"/>
        </w:rPr>
        <w:t xml:space="preserve">seholds connected to </w:t>
      </w:r>
      <w:r w:rsidR="009E5246">
        <w:rPr>
          <w:rFonts w:cs="Arial"/>
          <w:szCs w:val="22"/>
        </w:rPr>
        <w:t xml:space="preserve">the internet </w:t>
      </w:r>
      <w:r w:rsidR="007530CF" w:rsidRPr="0030630B">
        <w:rPr>
          <w:rFonts w:cs="Arial"/>
          <w:szCs w:val="22"/>
        </w:rPr>
        <w:t>would provide $2.4 billion a year in hous</w:t>
      </w:r>
      <w:r w:rsidR="00FD33AE">
        <w:rPr>
          <w:rFonts w:cs="Arial"/>
          <w:szCs w:val="22"/>
        </w:rPr>
        <w:t xml:space="preserve">ehold gains, </w:t>
      </w:r>
      <w:r w:rsidR="007530CF" w:rsidRPr="0030630B">
        <w:rPr>
          <w:rFonts w:cs="Arial"/>
          <w:szCs w:val="22"/>
        </w:rPr>
        <w:t>largely through time-saving activities such as telecommuting, distance study, online saving</w:t>
      </w:r>
      <w:r>
        <w:rPr>
          <w:rFonts w:cs="Arial"/>
          <w:szCs w:val="22"/>
        </w:rPr>
        <w:t xml:space="preserve">s and access to health services. </w:t>
      </w:r>
      <w:r w:rsidR="00387CB7">
        <w:rPr>
          <w:rFonts w:cs="Arial"/>
          <w:szCs w:val="22"/>
        </w:rPr>
        <w:t xml:space="preserve"> </w:t>
      </w:r>
      <w:r w:rsidR="0030619B">
        <w:rPr>
          <w:rFonts w:cs="Arial"/>
          <w:szCs w:val="22"/>
        </w:rPr>
        <w:t>Similarly</w:t>
      </w:r>
      <w:r w:rsidR="0083047B">
        <w:rPr>
          <w:rFonts w:cs="Arial"/>
          <w:szCs w:val="22"/>
        </w:rPr>
        <w:t>,</w:t>
      </w:r>
      <w:r w:rsidR="0030619B">
        <w:rPr>
          <w:rFonts w:cs="Arial"/>
          <w:szCs w:val="22"/>
        </w:rPr>
        <w:t xml:space="preserve"> Delo</w:t>
      </w:r>
      <w:r>
        <w:rPr>
          <w:rFonts w:cs="Arial"/>
          <w:szCs w:val="22"/>
        </w:rPr>
        <w:t>itte</w:t>
      </w:r>
      <w:r w:rsidR="008F2C84">
        <w:rPr>
          <w:rFonts w:cs="Arial"/>
          <w:szCs w:val="22"/>
        </w:rPr>
        <w:t xml:space="preserve"> </w:t>
      </w:r>
      <w:sdt>
        <w:sdtPr>
          <w:rPr>
            <w:rFonts w:cs="Arial"/>
            <w:szCs w:val="22"/>
          </w:rPr>
          <w:id w:val="-374467165"/>
          <w:citation/>
        </w:sdtPr>
        <w:sdtContent>
          <w:r w:rsidR="00C907D6">
            <w:rPr>
              <w:rFonts w:cs="Arial"/>
              <w:szCs w:val="22"/>
            </w:rPr>
            <w:fldChar w:fldCharType="begin"/>
          </w:r>
          <w:r w:rsidR="008F2C84">
            <w:rPr>
              <w:rFonts w:cs="Arial"/>
              <w:szCs w:val="22"/>
            </w:rPr>
            <w:instrText xml:space="preserve">CITATION Del15 \n  \t  \l 3081 </w:instrText>
          </w:r>
          <w:r w:rsidR="00C907D6">
            <w:rPr>
              <w:rFonts w:cs="Arial"/>
              <w:szCs w:val="22"/>
            </w:rPr>
            <w:fldChar w:fldCharType="separate"/>
          </w:r>
          <w:r w:rsidR="000D79D7" w:rsidRPr="000D79D7">
            <w:rPr>
              <w:rFonts w:cs="Arial"/>
              <w:noProof/>
              <w:szCs w:val="22"/>
            </w:rPr>
            <w:t>(2015)</w:t>
          </w:r>
          <w:r w:rsidR="00C907D6">
            <w:rPr>
              <w:rFonts w:cs="Arial"/>
              <w:szCs w:val="22"/>
            </w:rPr>
            <w:fldChar w:fldCharType="end"/>
          </w:r>
        </w:sdtContent>
      </w:sdt>
      <w:r>
        <w:rPr>
          <w:rFonts w:cs="Arial"/>
          <w:szCs w:val="22"/>
        </w:rPr>
        <w:t xml:space="preserve"> has noted that if </w:t>
      </w:r>
      <w:r w:rsidR="005A1B38">
        <w:rPr>
          <w:rFonts w:cs="Arial"/>
          <w:szCs w:val="22"/>
        </w:rPr>
        <w:t xml:space="preserve">the </w:t>
      </w:r>
      <w:r>
        <w:rPr>
          <w:rFonts w:cs="Arial"/>
          <w:szCs w:val="22"/>
        </w:rPr>
        <w:t xml:space="preserve">number </w:t>
      </w:r>
      <w:r>
        <w:rPr>
          <w:rFonts w:cs="Arial"/>
          <w:szCs w:val="22"/>
        </w:rPr>
        <w:lastRenderedPageBreak/>
        <w:t>of transaction</w:t>
      </w:r>
      <w:r w:rsidR="00FD33AE">
        <w:rPr>
          <w:rFonts w:cs="Arial"/>
          <w:szCs w:val="22"/>
        </w:rPr>
        <w:t>s</w:t>
      </w:r>
      <w:r>
        <w:rPr>
          <w:rFonts w:cs="Arial"/>
          <w:szCs w:val="22"/>
        </w:rPr>
        <w:t xml:space="preserve"> currently </w:t>
      </w:r>
      <w:r w:rsidRPr="008F2C84">
        <w:rPr>
          <w:lang w:val="en-US" w:eastAsia="ja-JP"/>
        </w:rPr>
        <w:t>taking place using non-digital methods were reduced by 20% in ten years’ time, savings to government and citizens would amount t</w:t>
      </w:r>
      <w:r w:rsidR="008F2C84">
        <w:rPr>
          <w:lang w:val="en-US" w:eastAsia="ja-JP"/>
        </w:rPr>
        <w:t>o $17.9 billion</w:t>
      </w:r>
      <w:r w:rsidRPr="008F2C84">
        <w:rPr>
          <w:lang w:val="en-US" w:eastAsia="ja-JP"/>
        </w:rPr>
        <w:t>.</w:t>
      </w:r>
      <w:r w:rsidRPr="00BC048C">
        <w:rPr>
          <w:rFonts w:cs="Arial"/>
          <w:szCs w:val="22"/>
        </w:rPr>
        <w:t xml:space="preserve"> </w:t>
      </w:r>
    </w:p>
    <w:p w:rsidR="00C46420" w:rsidRDefault="00C46420" w:rsidP="00F13665">
      <w:pPr>
        <w:rPr>
          <w:rFonts w:cs="Arial"/>
          <w:szCs w:val="22"/>
        </w:rPr>
      </w:pPr>
      <w:r>
        <w:rPr>
          <w:rFonts w:cs="Arial"/>
          <w:szCs w:val="22"/>
        </w:rPr>
        <w:t>The potential social re</w:t>
      </w:r>
      <w:r w:rsidR="008F2C84">
        <w:rPr>
          <w:rFonts w:cs="Arial"/>
          <w:szCs w:val="22"/>
        </w:rPr>
        <w:t xml:space="preserve">turns are also large. As </w:t>
      </w:r>
      <w:proofErr w:type="spellStart"/>
      <w:r w:rsidR="008F2C84">
        <w:rPr>
          <w:rFonts w:cs="Arial"/>
          <w:szCs w:val="22"/>
        </w:rPr>
        <w:t>Morsillo</w:t>
      </w:r>
      <w:proofErr w:type="spellEnd"/>
      <w:r w:rsidR="008F2C84">
        <w:rPr>
          <w:rFonts w:cs="Arial"/>
          <w:szCs w:val="22"/>
        </w:rPr>
        <w:t xml:space="preserve"> </w:t>
      </w:r>
      <w:sdt>
        <w:sdtPr>
          <w:rPr>
            <w:rFonts w:cs="Arial"/>
            <w:szCs w:val="22"/>
          </w:rPr>
          <w:id w:val="-1742012291"/>
          <w:citation/>
        </w:sdtPr>
        <w:sdtContent>
          <w:r w:rsidR="00C907D6">
            <w:rPr>
              <w:rFonts w:cs="Arial"/>
              <w:szCs w:val="22"/>
            </w:rPr>
            <w:fldChar w:fldCharType="begin"/>
          </w:r>
          <w:r w:rsidR="008F2C84">
            <w:rPr>
              <w:rFonts w:cs="Arial"/>
              <w:szCs w:val="22"/>
            </w:rPr>
            <w:instrText xml:space="preserve">CITATION Mor12 \n  \t  \l 3081 </w:instrText>
          </w:r>
          <w:r w:rsidR="00C907D6">
            <w:rPr>
              <w:rFonts w:cs="Arial"/>
              <w:szCs w:val="22"/>
            </w:rPr>
            <w:fldChar w:fldCharType="separate"/>
          </w:r>
          <w:r w:rsidR="000D79D7" w:rsidRPr="000D79D7">
            <w:rPr>
              <w:rFonts w:cs="Arial"/>
              <w:noProof/>
              <w:szCs w:val="22"/>
            </w:rPr>
            <w:t>(2012)</w:t>
          </w:r>
          <w:r w:rsidR="00C907D6">
            <w:rPr>
              <w:rFonts w:cs="Arial"/>
              <w:szCs w:val="22"/>
            </w:rPr>
            <w:fldChar w:fldCharType="end"/>
          </w:r>
        </w:sdtContent>
      </w:sdt>
      <w:r w:rsidR="007530CF" w:rsidRPr="0030630B">
        <w:rPr>
          <w:rFonts w:cs="Arial"/>
          <w:szCs w:val="22"/>
        </w:rPr>
        <w:t xml:space="preserve"> notes</w:t>
      </w:r>
      <w:r>
        <w:rPr>
          <w:rFonts w:cs="Arial"/>
          <w:szCs w:val="22"/>
        </w:rPr>
        <w:t>:</w:t>
      </w:r>
      <w:r w:rsidR="007530CF" w:rsidRPr="0030630B">
        <w:rPr>
          <w:rFonts w:cs="Arial"/>
          <w:szCs w:val="22"/>
        </w:rPr>
        <w:t xml:space="preserve"> </w:t>
      </w:r>
    </w:p>
    <w:p w:rsidR="00C46420" w:rsidRDefault="00C46420" w:rsidP="005A1B38">
      <w:pPr>
        <w:ind w:left="720"/>
        <w:rPr>
          <w:rFonts w:cs="Arial"/>
          <w:szCs w:val="22"/>
        </w:rPr>
      </w:pPr>
      <w:r>
        <w:rPr>
          <w:rFonts w:cs="Arial"/>
          <w:szCs w:val="22"/>
        </w:rPr>
        <w:t xml:space="preserve">“[there is a large] </w:t>
      </w:r>
      <w:r w:rsidR="007530CF" w:rsidRPr="0030630B">
        <w:rPr>
          <w:rFonts w:cs="Arial"/>
          <w:szCs w:val="22"/>
        </w:rPr>
        <w:t>potential social return on making the internet more affor</w:t>
      </w:r>
      <w:r>
        <w:rPr>
          <w:rFonts w:cs="Arial"/>
          <w:szCs w:val="22"/>
        </w:rPr>
        <w:t>da</w:t>
      </w:r>
      <w:r w:rsidR="007530CF" w:rsidRPr="0030630B">
        <w:rPr>
          <w:rFonts w:cs="Arial"/>
          <w:szCs w:val="22"/>
        </w:rPr>
        <w:t xml:space="preserve">ble and accessible </w:t>
      </w:r>
      <w:r w:rsidR="00F13665" w:rsidRPr="0030630B">
        <w:rPr>
          <w:rFonts w:cs="Arial"/>
          <w:szCs w:val="22"/>
        </w:rPr>
        <w:t>for all Austr</w:t>
      </w:r>
      <w:r>
        <w:rPr>
          <w:rFonts w:cs="Arial"/>
          <w:szCs w:val="22"/>
        </w:rPr>
        <w:t>alians,</w:t>
      </w:r>
      <w:r w:rsidR="00F13665" w:rsidRPr="0030630B">
        <w:rPr>
          <w:rFonts w:cs="Arial"/>
          <w:szCs w:val="22"/>
        </w:rPr>
        <w:t xml:space="preserve"> n</w:t>
      </w:r>
      <w:r w:rsidR="007530CF" w:rsidRPr="0030630B">
        <w:rPr>
          <w:rFonts w:cs="Arial"/>
          <w:szCs w:val="22"/>
        </w:rPr>
        <w:t>amely the improved social outcomes in health, education, employment and family relationships that may accrue from connecting a person on a low income to a stable broadband service….There is also the potential, of course, for Government services to be provided more efficiently thus offsetting the cost of such an intervention”</w:t>
      </w:r>
      <w:r w:rsidR="00F13665" w:rsidRPr="0030630B">
        <w:rPr>
          <w:rFonts w:cs="Arial"/>
          <w:szCs w:val="22"/>
        </w:rPr>
        <w:t xml:space="preserve">. </w:t>
      </w:r>
    </w:p>
    <w:p w:rsidR="008360DC" w:rsidRDefault="00F718F0" w:rsidP="008360DC">
      <w:r>
        <w:rPr>
          <w:rFonts w:cs="Arial"/>
          <w:szCs w:val="22"/>
        </w:rPr>
        <w:t xml:space="preserve">It is clear that the digital divide is a </w:t>
      </w:r>
      <w:r w:rsidRPr="0030630B">
        <w:rPr>
          <w:rFonts w:cs="Arial"/>
          <w:szCs w:val="22"/>
        </w:rPr>
        <w:t>major social justice challenge</w:t>
      </w:r>
      <w:r>
        <w:rPr>
          <w:rFonts w:cs="Arial"/>
          <w:szCs w:val="22"/>
        </w:rPr>
        <w:t xml:space="preserve">, but if tackled effectively </w:t>
      </w:r>
      <w:r w:rsidR="00FD33AE">
        <w:rPr>
          <w:rFonts w:cs="Arial"/>
          <w:szCs w:val="22"/>
        </w:rPr>
        <w:t>could potentially</w:t>
      </w:r>
      <w:r>
        <w:rPr>
          <w:rFonts w:cs="Arial"/>
          <w:szCs w:val="22"/>
        </w:rPr>
        <w:t xml:space="preserve"> </w:t>
      </w:r>
      <w:r w:rsidRPr="0030630B">
        <w:rPr>
          <w:rFonts w:cs="Arial"/>
          <w:szCs w:val="22"/>
        </w:rPr>
        <w:t>reap great benefits</w:t>
      </w:r>
      <w:r>
        <w:rPr>
          <w:rFonts w:cs="Arial"/>
          <w:szCs w:val="22"/>
        </w:rPr>
        <w:t xml:space="preserve"> for all Australians. </w:t>
      </w:r>
      <w:r w:rsidR="00387CB7">
        <w:rPr>
          <w:rFonts w:cs="Arial"/>
          <w:szCs w:val="22"/>
        </w:rPr>
        <w:t xml:space="preserve"> </w:t>
      </w:r>
      <w:r w:rsidR="00CD1751">
        <w:rPr>
          <w:rFonts w:cs="Arial"/>
          <w:szCs w:val="22"/>
        </w:rPr>
        <w:t xml:space="preserve">Further, as argued above, affordability is one of the key challenges in addressing the digital divide, </w:t>
      </w:r>
      <w:r w:rsidR="00C25E6D">
        <w:rPr>
          <w:rFonts w:cs="Arial"/>
          <w:szCs w:val="22"/>
        </w:rPr>
        <w:t>yet</w:t>
      </w:r>
      <w:r w:rsidR="00CD1751">
        <w:rPr>
          <w:rFonts w:cs="Arial"/>
          <w:szCs w:val="22"/>
        </w:rPr>
        <w:t xml:space="preserve"> </w:t>
      </w:r>
      <w:r w:rsidR="008360DC">
        <w:rPr>
          <w:rFonts w:cs="Arial"/>
          <w:szCs w:val="22"/>
        </w:rPr>
        <w:t>a</w:t>
      </w:r>
      <w:r w:rsidR="008360DC" w:rsidRPr="00BC048C">
        <w:rPr>
          <w:rFonts w:cs="Arial"/>
          <w:szCs w:val="22"/>
        </w:rPr>
        <w:t xml:space="preserve">s </w:t>
      </w:r>
      <w:proofErr w:type="spellStart"/>
      <w:r w:rsidR="008360DC" w:rsidRPr="00BC048C">
        <w:rPr>
          <w:rFonts w:cs="Arial"/>
          <w:szCs w:val="22"/>
        </w:rPr>
        <w:t>Goggin</w:t>
      </w:r>
      <w:proofErr w:type="spellEnd"/>
      <w:r w:rsidR="008360DC">
        <w:rPr>
          <w:rFonts w:cs="Arial"/>
          <w:szCs w:val="22"/>
        </w:rPr>
        <w:t xml:space="preserve"> </w:t>
      </w:r>
      <w:sdt>
        <w:sdtPr>
          <w:rPr>
            <w:rFonts w:cs="Arial"/>
            <w:szCs w:val="22"/>
          </w:rPr>
          <w:id w:val="1433015058"/>
          <w:citation/>
        </w:sdtPr>
        <w:sdtContent>
          <w:r w:rsidR="00C907D6">
            <w:rPr>
              <w:rFonts w:cs="Arial"/>
              <w:szCs w:val="22"/>
            </w:rPr>
            <w:fldChar w:fldCharType="begin"/>
          </w:r>
          <w:r w:rsidR="008360DC">
            <w:rPr>
              <w:rFonts w:cs="Arial"/>
              <w:szCs w:val="22"/>
            </w:rPr>
            <w:instrText xml:space="preserve">CITATION Gog14 \n  \t  \l 3081 </w:instrText>
          </w:r>
          <w:r w:rsidR="00C907D6">
            <w:rPr>
              <w:rFonts w:cs="Arial"/>
              <w:szCs w:val="22"/>
            </w:rPr>
            <w:fldChar w:fldCharType="separate"/>
          </w:r>
          <w:r w:rsidR="000D79D7" w:rsidRPr="000D79D7">
            <w:rPr>
              <w:rFonts w:cs="Arial"/>
              <w:noProof/>
              <w:szCs w:val="22"/>
            </w:rPr>
            <w:t>(2014)</w:t>
          </w:r>
          <w:r w:rsidR="00C907D6">
            <w:rPr>
              <w:rFonts w:cs="Arial"/>
              <w:szCs w:val="22"/>
            </w:rPr>
            <w:fldChar w:fldCharType="end"/>
          </w:r>
        </w:sdtContent>
      </w:sdt>
      <w:r w:rsidR="008360DC" w:rsidRPr="00BC048C">
        <w:rPr>
          <w:rFonts w:cs="Arial"/>
          <w:szCs w:val="22"/>
        </w:rPr>
        <w:t xml:space="preserve"> has noted, “</w:t>
      </w:r>
      <w:proofErr w:type="gramStart"/>
      <w:r w:rsidR="008360DC" w:rsidRPr="00BC048C">
        <w:rPr>
          <w:rFonts w:cs="Arial"/>
          <w:szCs w:val="22"/>
        </w:rPr>
        <w:t>affordability</w:t>
      </w:r>
      <w:proofErr w:type="gramEnd"/>
      <w:r w:rsidR="008360DC" w:rsidRPr="00BC048C">
        <w:rPr>
          <w:rFonts w:cs="Arial"/>
          <w:szCs w:val="22"/>
        </w:rPr>
        <w:t xml:space="preserve"> is often invoked as an issue, but dedicated and comprehensive policies and targets and evaluation…have no</w:t>
      </w:r>
      <w:r w:rsidR="008360DC">
        <w:rPr>
          <w:rFonts w:cs="Arial"/>
          <w:szCs w:val="22"/>
        </w:rPr>
        <w:t xml:space="preserve">t eventuated”. </w:t>
      </w:r>
    </w:p>
    <w:p w:rsidR="008360DC" w:rsidRDefault="008360DC" w:rsidP="00813975">
      <w:pPr>
        <w:rPr>
          <w:rFonts w:cs="Arial"/>
          <w:szCs w:val="22"/>
        </w:rPr>
      </w:pPr>
      <w:r>
        <w:rPr>
          <w:rFonts w:cs="Arial"/>
          <w:szCs w:val="22"/>
        </w:rPr>
        <w:t>Th</w:t>
      </w:r>
      <w:r w:rsidR="0083047B">
        <w:rPr>
          <w:rFonts w:cs="Arial"/>
          <w:szCs w:val="22"/>
        </w:rPr>
        <w:t>e</w:t>
      </w:r>
      <w:r>
        <w:rPr>
          <w:rFonts w:cs="Arial"/>
          <w:szCs w:val="22"/>
        </w:rPr>
        <w:t xml:space="preserve"> next section of this report aims to fill</w:t>
      </w:r>
      <w:r w:rsidRPr="00BC048C">
        <w:rPr>
          <w:rFonts w:cs="Arial"/>
          <w:szCs w:val="22"/>
        </w:rPr>
        <w:t xml:space="preserve"> </w:t>
      </w:r>
      <w:r>
        <w:rPr>
          <w:rFonts w:cs="Arial"/>
          <w:szCs w:val="22"/>
        </w:rPr>
        <w:t xml:space="preserve">some of </w:t>
      </w:r>
      <w:r w:rsidRPr="00BC048C">
        <w:rPr>
          <w:rFonts w:cs="Arial"/>
          <w:szCs w:val="22"/>
        </w:rPr>
        <w:t>this gap by examining the</w:t>
      </w:r>
      <w:r>
        <w:rPr>
          <w:rFonts w:cs="Arial"/>
          <w:szCs w:val="22"/>
        </w:rPr>
        <w:t xml:space="preserve"> adequacy</w:t>
      </w:r>
      <w:r w:rsidRPr="00BC048C">
        <w:rPr>
          <w:rFonts w:cs="Arial"/>
          <w:szCs w:val="22"/>
        </w:rPr>
        <w:t xml:space="preserve"> of the Centrelink Telephone </w:t>
      </w:r>
      <w:proofErr w:type="gramStart"/>
      <w:r w:rsidRPr="00BC048C">
        <w:rPr>
          <w:rFonts w:cs="Arial"/>
          <w:szCs w:val="22"/>
        </w:rPr>
        <w:t>Allowance,</w:t>
      </w:r>
      <w:proofErr w:type="gramEnd"/>
      <w:r w:rsidRPr="00BC048C">
        <w:rPr>
          <w:rFonts w:cs="Arial"/>
          <w:szCs w:val="22"/>
        </w:rPr>
        <w:t xml:space="preserve"> and the suitability of the telecommunication p</w:t>
      </w:r>
      <w:r>
        <w:rPr>
          <w:rFonts w:cs="Arial"/>
          <w:szCs w:val="22"/>
        </w:rPr>
        <w:t xml:space="preserve">roducts available on the market for low income consumers. </w:t>
      </w:r>
    </w:p>
    <w:p w:rsidR="00D16666" w:rsidRPr="00D16666" w:rsidRDefault="002C0F03" w:rsidP="0027163C">
      <w:pPr>
        <w:pStyle w:val="Heading1"/>
        <w:numPr>
          <w:ilvl w:val="0"/>
          <w:numId w:val="15"/>
        </w:numPr>
      </w:pPr>
      <w:bookmarkStart w:id="50" w:name="_Toc465167564"/>
      <w:r>
        <w:rPr>
          <w:noProof/>
          <w:lang w:val="en-AU" w:eastAsia="en-AU"/>
        </w:rPr>
        <w:lastRenderedPageBreak/>
        <mc:AlternateContent>
          <mc:Choice Requires="wps">
            <w:drawing>
              <wp:anchor distT="0" distB="0" distL="114300" distR="114300" simplePos="0" relativeHeight="251664384" behindDoc="0" locked="0" layoutInCell="1" allowOverlap="1" wp14:anchorId="31F6BE43" wp14:editId="61EDDFC3">
                <wp:simplePos x="0" y="0"/>
                <wp:positionH relativeFrom="column">
                  <wp:posOffset>91440</wp:posOffset>
                </wp:positionH>
                <wp:positionV relativeFrom="paragraph">
                  <wp:posOffset>1160780</wp:posOffset>
                </wp:positionV>
                <wp:extent cx="5010150" cy="4867910"/>
                <wp:effectExtent l="0" t="0" r="19050" b="27940"/>
                <wp:wrapTopAndBottom/>
                <wp:docPr id="15" name="Text Box 15"/>
                <wp:cNvGraphicFramePr/>
                <a:graphic xmlns:a="http://schemas.openxmlformats.org/drawingml/2006/main">
                  <a:graphicData uri="http://schemas.microsoft.com/office/word/2010/wordprocessingShape">
                    <wps:wsp>
                      <wps:cNvSpPr txBox="1"/>
                      <wps:spPr>
                        <a:xfrm>
                          <a:off x="0" y="0"/>
                          <a:ext cx="5010150" cy="4867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1CFF" w:rsidRPr="002C0F03" w:rsidRDefault="00881CFF" w:rsidP="002C0F03">
                            <w:pPr>
                              <w:rPr>
                                <w:b/>
                                <w:sz w:val="28"/>
                                <w:szCs w:val="28"/>
                              </w:rPr>
                            </w:pPr>
                            <w:r w:rsidRPr="002C0F03">
                              <w:rPr>
                                <w:b/>
                                <w:sz w:val="28"/>
                                <w:szCs w:val="28"/>
                              </w:rPr>
                              <w:t>Key</w:t>
                            </w:r>
                            <w:r>
                              <w:rPr>
                                <w:b/>
                              </w:rPr>
                              <w:t xml:space="preserve"> </w:t>
                            </w:r>
                            <w:r w:rsidRPr="002C0F03">
                              <w:rPr>
                                <w:b/>
                                <w:sz w:val="28"/>
                                <w:szCs w:val="28"/>
                              </w:rPr>
                              <w:t>Findings</w:t>
                            </w:r>
                          </w:p>
                          <w:p w:rsidR="00881CFF" w:rsidRPr="00AE31C4" w:rsidRDefault="00881CFF" w:rsidP="00AE31C4">
                            <w:pPr>
                              <w:pStyle w:val="ListParagraph"/>
                              <w:numPr>
                                <w:ilvl w:val="0"/>
                                <w:numId w:val="16"/>
                              </w:numPr>
                              <w:rPr>
                                <w:rFonts w:ascii="Arial" w:hAnsi="Arial" w:cs="Arial"/>
                              </w:rPr>
                            </w:pPr>
                            <w:r w:rsidRPr="00AE31C4">
                              <w:rPr>
                                <w:rFonts w:ascii="Arial" w:hAnsi="Arial" w:cs="Arial"/>
                              </w:rPr>
                              <w:t>The Centrelink Telephone Allowance (CTA) has a complex eligibility criteria based on telecommunications being seen as an emergency function rather than an everyday essential service.</w:t>
                            </w:r>
                          </w:p>
                          <w:p w:rsidR="00881CFF" w:rsidRPr="00AE31C4" w:rsidRDefault="00881CFF" w:rsidP="00AE31C4">
                            <w:pPr>
                              <w:pStyle w:val="ListParagraph"/>
                              <w:numPr>
                                <w:ilvl w:val="0"/>
                                <w:numId w:val="16"/>
                              </w:numPr>
                              <w:rPr>
                                <w:rFonts w:ascii="Arial" w:hAnsi="Arial" w:cs="Arial"/>
                              </w:rPr>
                            </w:pPr>
                            <w:r w:rsidRPr="00AE31C4">
                              <w:rPr>
                                <w:rFonts w:ascii="Arial" w:hAnsi="Arial" w:cs="Arial"/>
                              </w:rPr>
                              <w:t>The highest rates of CTA go to those on the higher level income support payments (pensions, carer payments), while those on the lowest payments receive the lower rate of CTA or none at all (Newstart, Parenting Payment, Youth Allowance). There is little justification for this targeting in telecommunications usage patterns.</w:t>
                            </w:r>
                          </w:p>
                          <w:p w:rsidR="00881CFF" w:rsidRPr="00AE31C4" w:rsidRDefault="00881CFF" w:rsidP="00AE31C4">
                            <w:pPr>
                              <w:pStyle w:val="ListParagraph"/>
                              <w:numPr>
                                <w:ilvl w:val="0"/>
                                <w:numId w:val="16"/>
                              </w:numPr>
                              <w:rPr>
                                <w:rFonts w:ascii="Arial" w:hAnsi="Arial" w:cs="Arial"/>
                              </w:rPr>
                            </w:pPr>
                            <w:r w:rsidRPr="00AE31C4">
                              <w:rPr>
                                <w:rFonts w:ascii="Arial" w:hAnsi="Arial" w:cs="Arial"/>
                              </w:rPr>
                              <w:t>The data on whether, or to what extent, the CTA made a difference to telecommunications affordability was unclear because of poor targeting and differences in the base rate payments which impacted on the amount of money in the household budget generally.</w:t>
                            </w:r>
                          </w:p>
                          <w:p w:rsidR="00881CFF" w:rsidRPr="00AE31C4" w:rsidRDefault="00881CFF" w:rsidP="00AE31C4">
                            <w:pPr>
                              <w:pStyle w:val="ListParagraph"/>
                              <w:numPr>
                                <w:ilvl w:val="0"/>
                                <w:numId w:val="16"/>
                              </w:numPr>
                              <w:rPr>
                                <w:rFonts w:ascii="Arial" w:hAnsi="Arial" w:cs="Arial"/>
                              </w:rPr>
                            </w:pPr>
                            <w:r w:rsidRPr="00AE31C4">
                              <w:rPr>
                                <w:rFonts w:ascii="Arial" w:hAnsi="Arial" w:cs="Arial"/>
                                <w:lang w:val="en-US" w:eastAsia="ja-JP"/>
                              </w:rPr>
                              <w:t>Less than half of the recipients of the CTA surveyed were satisfied with the CTA rate</w:t>
                            </w:r>
                            <w:r w:rsidRPr="00AE31C4">
                              <w:rPr>
                                <w:rFonts w:ascii="Arial" w:hAnsi="Arial" w:cs="Arial"/>
                              </w:rPr>
                              <w:t xml:space="preserve"> and an increase to $60 per quarter was the lowest figure where the majority of survey respondents believed that it would make a difference to affordability.</w:t>
                            </w:r>
                          </w:p>
                          <w:p w:rsidR="00881CFF" w:rsidRPr="00AE31C4" w:rsidRDefault="00881CFF" w:rsidP="00AE31C4">
                            <w:pPr>
                              <w:pStyle w:val="ListParagraph"/>
                              <w:numPr>
                                <w:ilvl w:val="0"/>
                                <w:numId w:val="16"/>
                              </w:numPr>
                              <w:rPr>
                                <w:rFonts w:ascii="Arial" w:hAnsi="Arial" w:cs="Arial"/>
                              </w:rPr>
                            </w:pPr>
                            <w:r w:rsidRPr="00AE31C4">
                              <w:rPr>
                                <w:rFonts w:ascii="Arial" w:hAnsi="Arial" w:cs="Arial"/>
                              </w:rPr>
                              <w:t>A majority of survey respondents would prefer CTA to be paid fortnightly or monthly, rather than the quarterly as is currently the case with the stand-alone CTA.</w:t>
                            </w:r>
                          </w:p>
                          <w:p w:rsidR="00881CFF" w:rsidRPr="00AE31C4" w:rsidRDefault="00881CFF" w:rsidP="00AE31C4">
                            <w:pPr>
                              <w:pStyle w:val="ListParagraph"/>
                              <w:numPr>
                                <w:ilvl w:val="0"/>
                                <w:numId w:val="16"/>
                              </w:numPr>
                              <w:rPr>
                                <w:rFonts w:ascii="Arial" w:hAnsi="Arial" w:cs="Arial"/>
                              </w:rPr>
                            </w:pPr>
                            <w:r w:rsidRPr="00AE31C4">
                              <w:rPr>
                                <w:rFonts w:ascii="Arial" w:hAnsi="Arial" w:cs="Arial"/>
                              </w:rPr>
                              <w:t xml:space="preserve">The telecommunications affordability survey data and any subsequent call to expand the CTA to all Centrelink recipients </w:t>
                            </w:r>
                            <w:proofErr w:type="gramStart"/>
                            <w:r w:rsidRPr="00AE31C4">
                              <w:rPr>
                                <w:rFonts w:ascii="Arial" w:hAnsi="Arial" w:cs="Arial"/>
                              </w:rPr>
                              <w:t>raises</w:t>
                            </w:r>
                            <w:proofErr w:type="gramEnd"/>
                            <w:r w:rsidRPr="00AE31C4">
                              <w:rPr>
                                <w:rFonts w:ascii="Arial" w:hAnsi="Arial" w:cs="Arial"/>
                              </w:rPr>
                              <w:t xml:space="preserve"> questions of the adequacy of income support payments and how the CTA fits into the broader social security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8" type="#_x0000_t202" style="position:absolute;left:0;text-align:left;margin-left:7.2pt;margin-top:91.4pt;width:394.5pt;height:383.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" fillcolor="white [3201]" strokeweight=".5pt">
                <v:textbox>
                  <w:txbxContent>
                    <w:p w:rsidR="00881CFF" w:rsidRPr="002C0F03" w:rsidRDefault="00881CFF" w:rsidP="002C0F03">
                      <w:pPr>
                        <w:rPr>
                          <w:b/>
                          <w:sz w:val="28"/>
                          <w:szCs w:val="28"/>
                        </w:rPr>
                      </w:pPr>
                      <w:r w:rsidRPr="002C0F03">
                        <w:rPr>
                          <w:b/>
                          <w:sz w:val="28"/>
                          <w:szCs w:val="28"/>
                        </w:rPr>
                        <w:t>Key</w:t>
                      </w:r>
                      <w:r>
                        <w:rPr>
                          <w:b/>
                        </w:rPr>
                        <w:t xml:space="preserve"> </w:t>
                      </w:r>
                      <w:r w:rsidRPr="002C0F03">
                        <w:rPr>
                          <w:b/>
                          <w:sz w:val="28"/>
                          <w:szCs w:val="28"/>
                        </w:rPr>
                        <w:t>Findings</w:t>
                      </w:r>
                    </w:p>
                    <w:p w:rsidR="00881CFF" w:rsidRPr="00AE31C4" w:rsidRDefault="00881CFF" w:rsidP="00AE31C4">
                      <w:pPr>
                        <w:pStyle w:val="ListParagraph"/>
                        <w:numPr>
                          <w:ilvl w:val="0"/>
                          <w:numId w:val="16"/>
                        </w:numPr>
                        <w:rPr>
                          <w:rFonts w:ascii="Arial" w:hAnsi="Arial" w:cs="Arial"/>
                        </w:rPr>
                      </w:pPr>
                      <w:r w:rsidRPr="00AE31C4">
                        <w:rPr>
                          <w:rFonts w:ascii="Arial" w:hAnsi="Arial" w:cs="Arial"/>
                        </w:rPr>
                        <w:t>The Centrelink Telephone Allowance (CTA) has a complex eligibility criteria based on telecommunications being seen as an emergency function rather than an everyday essential service.</w:t>
                      </w:r>
                    </w:p>
                    <w:p w:rsidR="00881CFF" w:rsidRPr="00AE31C4" w:rsidRDefault="00881CFF" w:rsidP="00AE31C4">
                      <w:pPr>
                        <w:pStyle w:val="ListParagraph"/>
                        <w:numPr>
                          <w:ilvl w:val="0"/>
                          <w:numId w:val="16"/>
                        </w:numPr>
                        <w:rPr>
                          <w:rFonts w:ascii="Arial" w:hAnsi="Arial" w:cs="Arial"/>
                        </w:rPr>
                      </w:pPr>
                      <w:r w:rsidRPr="00AE31C4">
                        <w:rPr>
                          <w:rFonts w:ascii="Arial" w:hAnsi="Arial" w:cs="Arial"/>
                        </w:rPr>
                        <w:t>The highest rates of CTA go to those on the higher level income support payments (pensions, carer payments), while those on the lowest payments receive the lower rate of CTA or none at all (Newstart, Parenting Payment, Youth Allowance). There is little justification for this targeting in telecommunications usage patterns.</w:t>
                      </w:r>
                    </w:p>
                    <w:p w:rsidR="00881CFF" w:rsidRPr="00AE31C4" w:rsidRDefault="00881CFF" w:rsidP="00AE31C4">
                      <w:pPr>
                        <w:pStyle w:val="ListParagraph"/>
                        <w:numPr>
                          <w:ilvl w:val="0"/>
                          <w:numId w:val="16"/>
                        </w:numPr>
                        <w:rPr>
                          <w:rFonts w:ascii="Arial" w:hAnsi="Arial" w:cs="Arial"/>
                        </w:rPr>
                      </w:pPr>
                      <w:r w:rsidRPr="00AE31C4">
                        <w:rPr>
                          <w:rFonts w:ascii="Arial" w:hAnsi="Arial" w:cs="Arial"/>
                        </w:rPr>
                        <w:t>The data on whether, or to what extent, the CTA made a difference to telecommunications affordability was unclear because of poor targeting and differences in the base rate payments which impacted on the amount of money in the household budget generally.</w:t>
                      </w:r>
                    </w:p>
                    <w:p w:rsidR="00881CFF" w:rsidRPr="00AE31C4" w:rsidRDefault="00881CFF" w:rsidP="00AE31C4">
                      <w:pPr>
                        <w:pStyle w:val="ListParagraph"/>
                        <w:numPr>
                          <w:ilvl w:val="0"/>
                          <w:numId w:val="16"/>
                        </w:numPr>
                        <w:rPr>
                          <w:rFonts w:ascii="Arial" w:hAnsi="Arial" w:cs="Arial"/>
                        </w:rPr>
                      </w:pPr>
                      <w:r w:rsidRPr="00AE31C4">
                        <w:rPr>
                          <w:rFonts w:ascii="Arial" w:hAnsi="Arial" w:cs="Arial"/>
                          <w:lang w:val="en-US" w:eastAsia="ja-JP"/>
                        </w:rPr>
                        <w:t>Less than half of the recipients of the CTA surveyed were satisfied with the CTA rate</w:t>
                      </w:r>
                      <w:r w:rsidRPr="00AE31C4">
                        <w:rPr>
                          <w:rFonts w:ascii="Arial" w:hAnsi="Arial" w:cs="Arial"/>
                        </w:rPr>
                        <w:t xml:space="preserve"> and an increase to $60 per quarter was the lowest figure where the majority of survey respondents believed that it would make a difference to affordability.</w:t>
                      </w:r>
                    </w:p>
                    <w:p w:rsidR="00881CFF" w:rsidRPr="00AE31C4" w:rsidRDefault="00881CFF" w:rsidP="00AE31C4">
                      <w:pPr>
                        <w:pStyle w:val="ListParagraph"/>
                        <w:numPr>
                          <w:ilvl w:val="0"/>
                          <w:numId w:val="16"/>
                        </w:numPr>
                        <w:rPr>
                          <w:rFonts w:ascii="Arial" w:hAnsi="Arial" w:cs="Arial"/>
                        </w:rPr>
                      </w:pPr>
                      <w:r w:rsidRPr="00AE31C4">
                        <w:rPr>
                          <w:rFonts w:ascii="Arial" w:hAnsi="Arial" w:cs="Arial"/>
                        </w:rPr>
                        <w:t>A majority of survey respondents would prefer CTA to be paid fortnightly or monthly, rather than the quarterly as is currently the case with the stand-alone CTA.</w:t>
                      </w:r>
                    </w:p>
                    <w:p w:rsidR="00881CFF" w:rsidRPr="00AE31C4" w:rsidRDefault="00881CFF" w:rsidP="00AE31C4">
                      <w:pPr>
                        <w:pStyle w:val="ListParagraph"/>
                        <w:numPr>
                          <w:ilvl w:val="0"/>
                          <w:numId w:val="16"/>
                        </w:numPr>
                        <w:rPr>
                          <w:rFonts w:ascii="Arial" w:hAnsi="Arial" w:cs="Arial"/>
                        </w:rPr>
                      </w:pPr>
                      <w:r w:rsidRPr="00AE31C4">
                        <w:rPr>
                          <w:rFonts w:ascii="Arial" w:hAnsi="Arial" w:cs="Arial"/>
                        </w:rPr>
                        <w:t xml:space="preserve">The telecommunications affordability survey data and any subsequent call to expand the CTA to all Centrelink recipients </w:t>
                      </w:r>
                      <w:proofErr w:type="gramStart"/>
                      <w:r w:rsidRPr="00AE31C4">
                        <w:rPr>
                          <w:rFonts w:ascii="Arial" w:hAnsi="Arial" w:cs="Arial"/>
                        </w:rPr>
                        <w:t>raises</w:t>
                      </w:r>
                      <w:proofErr w:type="gramEnd"/>
                      <w:r w:rsidRPr="00AE31C4">
                        <w:rPr>
                          <w:rFonts w:ascii="Arial" w:hAnsi="Arial" w:cs="Arial"/>
                        </w:rPr>
                        <w:t xml:space="preserve"> questions of the adequacy of income support payments and how the CTA fits into the broader social security system.</w:t>
                      </w:r>
                    </w:p>
                  </w:txbxContent>
                </v:textbox>
                <w10:wrap type="topAndBottom"/>
              </v:shape>
            </w:pict>
          </mc:Fallback>
        </mc:AlternateContent>
      </w:r>
      <w:r w:rsidR="00314FFE">
        <w:t xml:space="preserve">The </w:t>
      </w:r>
      <w:r w:rsidR="00D16666" w:rsidRPr="0069004B">
        <w:t xml:space="preserve">Centrelink </w:t>
      </w:r>
      <w:r w:rsidR="00D16666" w:rsidRPr="00B72325">
        <w:t>Telephone</w:t>
      </w:r>
      <w:r w:rsidR="00D16666" w:rsidRPr="0069004B">
        <w:t xml:space="preserve"> Allowance</w:t>
      </w:r>
      <w:bookmarkEnd w:id="50"/>
    </w:p>
    <w:p w:rsidR="002C0F03" w:rsidRDefault="002C0F03" w:rsidP="00B72325">
      <w:pPr>
        <w:rPr>
          <w:lang w:val="en-US" w:eastAsia="ja-JP"/>
        </w:rPr>
      </w:pPr>
    </w:p>
    <w:p w:rsidR="002C0F03" w:rsidRDefault="002C0F03" w:rsidP="002C0F03">
      <w:pPr>
        <w:pStyle w:val="Heading2"/>
      </w:pPr>
      <w:bookmarkStart w:id="51" w:name="_Toc465167565"/>
      <w:r>
        <w:t>Rates and Eligibility</w:t>
      </w:r>
      <w:bookmarkEnd w:id="51"/>
    </w:p>
    <w:p w:rsidR="003A489B" w:rsidRDefault="005A1B38" w:rsidP="00B72325">
      <w:pPr>
        <w:rPr>
          <w:lang w:val="en-US" w:eastAsia="ja-JP"/>
        </w:rPr>
      </w:pPr>
      <w:r>
        <w:rPr>
          <w:lang w:val="en-US" w:eastAsia="ja-JP"/>
        </w:rPr>
        <w:t>The primary government support available to address telecommunications affordability for low income earners is th</w:t>
      </w:r>
      <w:r w:rsidR="0069004B" w:rsidRPr="0069004B">
        <w:rPr>
          <w:lang w:val="en-US" w:eastAsia="ja-JP"/>
        </w:rPr>
        <w:t>e Centrelink Telephone Allowance (CTA)</w:t>
      </w:r>
      <w:r>
        <w:rPr>
          <w:lang w:val="en-US" w:eastAsia="ja-JP"/>
        </w:rPr>
        <w:t>.  It</w:t>
      </w:r>
      <w:r w:rsidR="0069004B" w:rsidRPr="0069004B">
        <w:rPr>
          <w:lang w:val="en-US" w:eastAsia="ja-JP"/>
        </w:rPr>
        <w:t xml:space="preserve"> is a concession paid to certain Centrelink income support recipients to help with the c</w:t>
      </w:r>
      <w:r w:rsidR="00917171">
        <w:rPr>
          <w:lang w:val="en-US" w:eastAsia="ja-JP"/>
        </w:rPr>
        <w:t>osts of maintaining a telephone,</w:t>
      </w:r>
      <w:r w:rsidR="00917171" w:rsidRPr="0069004B">
        <w:rPr>
          <w:lang w:val="en-US" w:eastAsia="ja-JP"/>
        </w:rPr>
        <w:t xml:space="preserve"> </w:t>
      </w:r>
      <w:r w:rsidR="00917171">
        <w:rPr>
          <w:lang w:val="en-US" w:eastAsia="ja-JP"/>
        </w:rPr>
        <w:t>and for some recipients</w:t>
      </w:r>
      <w:r w:rsidR="00051C91">
        <w:rPr>
          <w:lang w:val="en-US" w:eastAsia="ja-JP"/>
        </w:rPr>
        <w:t>,</w:t>
      </w:r>
      <w:r w:rsidR="00917171">
        <w:rPr>
          <w:lang w:val="en-US" w:eastAsia="ja-JP"/>
        </w:rPr>
        <w:t xml:space="preserve"> a</w:t>
      </w:r>
      <w:r w:rsidR="00051C91">
        <w:rPr>
          <w:lang w:val="en-US" w:eastAsia="ja-JP"/>
        </w:rPr>
        <w:t xml:space="preserve"> home internet service.</w:t>
      </w:r>
      <w:r w:rsidR="00387CB7">
        <w:rPr>
          <w:lang w:val="en-US" w:eastAsia="ja-JP"/>
        </w:rPr>
        <w:t xml:space="preserve"> </w:t>
      </w:r>
      <w:r w:rsidR="003A489B">
        <w:rPr>
          <w:lang w:val="en-US" w:eastAsia="ja-JP"/>
        </w:rPr>
        <w:t xml:space="preserve"> </w:t>
      </w:r>
      <w:r w:rsidR="003A489B" w:rsidRPr="0069004B">
        <w:rPr>
          <w:lang w:val="en-US" w:eastAsia="ja-JP"/>
        </w:rPr>
        <w:t xml:space="preserve">The CTA was first introduced in 1992 before the internet was widely used and according to the Centrelink Guide to Australian Government Payments is provided to assist recipients </w:t>
      </w:r>
      <w:r w:rsidR="003A489B" w:rsidRPr="0069004B">
        <w:rPr>
          <w:lang w:val="en-US" w:eastAsia="ja-JP"/>
        </w:rPr>
        <w:lastRenderedPageBreak/>
        <w:t>“with the cost of maintaining a telephone service—it is not paid to assist with the cost of tele</w:t>
      </w:r>
      <w:r w:rsidR="003A489B">
        <w:rPr>
          <w:lang w:val="en-US" w:eastAsia="ja-JP"/>
        </w:rPr>
        <w:t xml:space="preserve">phone calls” </w:t>
      </w:r>
      <w:sdt>
        <w:sdtPr>
          <w:rPr>
            <w:lang w:val="en-US" w:eastAsia="ja-JP"/>
          </w:rPr>
          <w:id w:val="2024900092"/>
          <w:citation/>
        </w:sdtPr>
        <w:sdtContent>
          <w:r w:rsidR="00C907D6">
            <w:rPr>
              <w:lang w:val="en-US" w:eastAsia="ja-JP"/>
            </w:rPr>
            <w:fldChar w:fldCharType="begin"/>
          </w:r>
          <w:r w:rsidR="002C0411">
            <w:rPr>
              <w:lang w:eastAsia="ja-JP"/>
            </w:rPr>
            <w:instrText xml:space="preserve"> CITATION Cen16 \l 3081 </w:instrText>
          </w:r>
          <w:r w:rsidR="00C907D6">
            <w:rPr>
              <w:lang w:val="en-US" w:eastAsia="ja-JP"/>
            </w:rPr>
            <w:fldChar w:fldCharType="separate"/>
          </w:r>
          <w:r w:rsidR="000D79D7">
            <w:rPr>
              <w:noProof/>
              <w:lang w:eastAsia="ja-JP"/>
            </w:rPr>
            <w:t>(Centrelink, 2016)</w:t>
          </w:r>
          <w:r w:rsidR="00C907D6">
            <w:rPr>
              <w:lang w:val="en-US" w:eastAsia="ja-JP"/>
            </w:rPr>
            <w:fldChar w:fldCharType="end"/>
          </w:r>
        </w:sdtContent>
      </w:sdt>
      <w:r w:rsidR="003A489B">
        <w:rPr>
          <w:lang w:val="en-US" w:eastAsia="ja-JP"/>
        </w:rPr>
        <w:t xml:space="preserve">. </w:t>
      </w:r>
    </w:p>
    <w:p w:rsidR="00314FFE" w:rsidRDefault="00314FFE" w:rsidP="00B72325">
      <w:pPr>
        <w:rPr>
          <w:lang w:val="en-US" w:eastAsia="ja-JP"/>
        </w:rPr>
      </w:pPr>
      <w:r>
        <w:rPr>
          <w:lang w:val="en-US" w:eastAsia="ja-JP"/>
        </w:rPr>
        <w:t>The CTA is paid at two rates:</w:t>
      </w:r>
    </w:p>
    <w:p w:rsidR="00314FFE" w:rsidRPr="00051C91" w:rsidRDefault="00314FFE" w:rsidP="00567914">
      <w:pPr>
        <w:numPr>
          <w:ilvl w:val="0"/>
          <w:numId w:val="4"/>
        </w:numPr>
        <w:rPr>
          <w:bCs/>
          <w:szCs w:val="22"/>
          <w:lang w:eastAsia="ja-JP"/>
        </w:rPr>
      </w:pPr>
      <w:r w:rsidRPr="000A50ED">
        <w:rPr>
          <w:bCs/>
          <w:szCs w:val="22"/>
          <w:lang w:eastAsia="ja-JP"/>
        </w:rPr>
        <w:t>Basic rate of $2</w:t>
      </w:r>
      <w:r w:rsidR="009F14F3">
        <w:rPr>
          <w:bCs/>
          <w:szCs w:val="22"/>
          <w:lang w:eastAsia="ja-JP"/>
        </w:rPr>
        <w:t>8</w:t>
      </w:r>
      <w:r w:rsidRPr="000A50ED">
        <w:rPr>
          <w:bCs/>
          <w:szCs w:val="22"/>
          <w:lang w:eastAsia="ja-JP"/>
        </w:rPr>
        <w:t>.</w:t>
      </w:r>
      <w:r w:rsidR="009F14F3">
        <w:rPr>
          <w:bCs/>
          <w:szCs w:val="22"/>
          <w:lang w:eastAsia="ja-JP"/>
        </w:rPr>
        <w:t>2</w:t>
      </w:r>
      <w:r w:rsidRPr="000A50ED">
        <w:rPr>
          <w:bCs/>
          <w:szCs w:val="22"/>
          <w:lang w:eastAsia="ja-JP"/>
        </w:rPr>
        <w:t>0/quarter</w:t>
      </w:r>
      <w:r w:rsidRPr="00051C91">
        <w:rPr>
          <w:bCs/>
          <w:szCs w:val="22"/>
          <w:lang w:eastAsia="ja-JP"/>
        </w:rPr>
        <w:t xml:space="preserve"> </w:t>
      </w:r>
      <w:r>
        <w:rPr>
          <w:bCs/>
          <w:szCs w:val="22"/>
          <w:lang w:eastAsia="ja-JP"/>
        </w:rPr>
        <w:t xml:space="preserve">for eligible recipients with a </w:t>
      </w:r>
      <w:r w:rsidRPr="00B14D99">
        <w:rPr>
          <w:bCs/>
          <w:szCs w:val="22"/>
          <w:lang w:eastAsia="ja-JP"/>
        </w:rPr>
        <w:t>telephone connection</w:t>
      </w:r>
      <w:r>
        <w:rPr>
          <w:bCs/>
          <w:szCs w:val="22"/>
          <w:lang w:eastAsia="ja-JP"/>
        </w:rPr>
        <w:t xml:space="preserve"> (fixed or mobile) </w:t>
      </w:r>
    </w:p>
    <w:p w:rsidR="00314FFE" w:rsidRDefault="00314FFE" w:rsidP="00567914">
      <w:pPr>
        <w:numPr>
          <w:ilvl w:val="0"/>
          <w:numId w:val="3"/>
        </w:numPr>
        <w:rPr>
          <w:bCs/>
          <w:szCs w:val="22"/>
          <w:lang w:eastAsia="ja-JP"/>
        </w:rPr>
      </w:pPr>
      <w:r w:rsidRPr="000A50ED">
        <w:rPr>
          <w:bCs/>
          <w:szCs w:val="22"/>
          <w:lang w:eastAsia="ja-JP"/>
        </w:rPr>
        <w:t>Higher rate of $4</w:t>
      </w:r>
      <w:r w:rsidR="009F14F3">
        <w:rPr>
          <w:bCs/>
          <w:szCs w:val="22"/>
          <w:lang w:eastAsia="ja-JP"/>
        </w:rPr>
        <w:t>2</w:t>
      </w:r>
      <w:r w:rsidRPr="000A50ED">
        <w:rPr>
          <w:bCs/>
          <w:szCs w:val="22"/>
          <w:lang w:eastAsia="ja-JP"/>
        </w:rPr>
        <w:t>.</w:t>
      </w:r>
      <w:r w:rsidR="009F14F3">
        <w:rPr>
          <w:bCs/>
          <w:szCs w:val="22"/>
          <w:lang w:eastAsia="ja-JP"/>
        </w:rPr>
        <w:t>0</w:t>
      </w:r>
      <w:r w:rsidRPr="000A50ED">
        <w:rPr>
          <w:bCs/>
          <w:szCs w:val="22"/>
          <w:lang w:eastAsia="ja-JP"/>
        </w:rPr>
        <w:t>0/quarter</w:t>
      </w:r>
      <w:r w:rsidRPr="00051C91">
        <w:rPr>
          <w:bCs/>
          <w:szCs w:val="22"/>
          <w:lang w:eastAsia="ja-JP"/>
        </w:rPr>
        <w:t xml:space="preserve"> </w:t>
      </w:r>
      <w:r>
        <w:rPr>
          <w:bCs/>
          <w:szCs w:val="22"/>
          <w:lang w:eastAsia="ja-JP"/>
        </w:rPr>
        <w:t xml:space="preserve">for </w:t>
      </w:r>
      <w:r w:rsidRPr="00C25E6D">
        <w:t>eligible recipients</w:t>
      </w:r>
      <w:r>
        <w:rPr>
          <w:bCs/>
          <w:szCs w:val="22"/>
          <w:lang w:eastAsia="ja-JP"/>
        </w:rPr>
        <w:t xml:space="preserve"> with a </w:t>
      </w:r>
      <w:r w:rsidRPr="00051C91">
        <w:rPr>
          <w:bCs/>
          <w:szCs w:val="22"/>
          <w:lang w:eastAsia="ja-JP"/>
        </w:rPr>
        <w:t xml:space="preserve">home internet service connected, such as a dial up service, broadband service or </w:t>
      </w:r>
      <w:r>
        <w:rPr>
          <w:bCs/>
          <w:szCs w:val="22"/>
          <w:lang w:eastAsia="ja-JP"/>
        </w:rPr>
        <w:t xml:space="preserve">an internet connection via </w:t>
      </w:r>
      <w:r w:rsidRPr="00051C91">
        <w:rPr>
          <w:bCs/>
          <w:szCs w:val="22"/>
          <w:lang w:eastAsia="ja-JP"/>
        </w:rPr>
        <w:t>mobile phone connection (fixed or mobile)</w:t>
      </w:r>
      <w:r>
        <w:rPr>
          <w:bCs/>
          <w:szCs w:val="22"/>
          <w:lang w:eastAsia="ja-JP"/>
        </w:rPr>
        <w:t>.</w:t>
      </w:r>
    </w:p>
    <w:p w:rsidR="00314FFE" w:rsidRDefault="00051C91" w:rsidP="00B72325">
      <w:pPr>
        <w:rPr>
          <w:lang w:val="en-US" w:eastAsia="ja-JP"/>
        </w:rPr>
      </w:pPr>
      <w:r>
        <w:rPr>
          <w:lang w:val="en-US" w:eastAsia="ja-JP"/>
        </w:rPr>
        <w:t xml:space="preserve">Eligibility for the CTA is dependent on a complex range of factors including the type of base payment received and the length of time in receipt, </w:t>
      </w:r>
      <w:r w:rsidR="003A489B">
        <w:rPr>
          <w:lang w:val="en-US" w:eastAsia="ja-JP"/>
        </w:rPr>
        <w:t xml:space="preserve">the </w:t>
      </w:r>
      <w:r>
        <w:rPr>
          <w:lang w:val="en-US" w:eastAsia="ja-JP"/>
        </w:rPr>
        <w:t>age</w:t>
      </w:r>
      <w:r w:rsidR="003A489B">
        <w:rPr>
          <w:lang w:val="en-US" w:eastAsia="ja-JP"/>
        </w:rPr>
        <w:t xml:space="preserve"> of the recipient</w:t>
      </w:r>
      <w:r>
        <w:rPr>
          <w:lang w:val="en-US" w:eastAsia="ja-JP"/>
        </w:rPr>
        <w:t>,</w:t>
      </w:r>
      <w:r w:rsidR="001F4114">
        <w:rPr>
          <w:lang w:val="en-US" w:eastAsia="ja-JP"/>
        </w:rPr>
        <w:t xml:space="preserve"> </w:t>
      </w:r>
      <w:r w:rsidR="00E62BD1">
        <w:rPr>
          <w:lang w:val="en-US" w:eastAsia="ja-JP"/>
        </w:rPr>
        <w:t xml:space="preserve">capacity to work, and </w:t>
      </w:r>
      <w:r w:rsidR="001F4114">
        <w:rPr>
          <w:lang w:val="en-US" w:eastAsia="ja-JP"/>
        </w:rPr>
        <w:t>whether the recipient has</w:t>
      </w:r>
      <w:r>
        <w:rPr>
          <w:lang w:val="en-US" w:eastAsia="ja-JP"/>
        </w:rPr>
        <w:t xml:space="preserve"> dependent children</w:t>
      </w:r>
      <w:r w:rsidRPr="00DC410B">
        <w:rPr>
          <w:lang w:val="en-US" w:eastAsia="ja-JP"/>
        </w:rPr>
        <w:t xml:space="preserve">. </w:t>
      </w:r>
      <w:r w:rsidR="00387CB7">
        <w:rPr>
          <w:lang w:val="en-US" w:eastAsia="ja-JP"/>
        </w:rPr>
        <w:t xml:space="preserve"> </w:t>
      </w:r>
      <w:r w:rsidR="005A1B38" w:rsidRPr="00DC410B">
        <w:rPr>
          <w:lang w:val="en-US" w:eastAsia="ja-JP"/>
        </w:rPr>
        <w:t xml:space="preserve">The </w:t>
      </w:r>
      <w:r w:rsidR="00314FFE">
        <w:rPr>
          <w:lang w:val="en-US" w:eastAsia="ja-JP"/>
        </w:rPr>
        <w:t>full, labyrinthine eligibility</w:t>
      </w:r>
      <w:r w:rsidR="005A1B38" w:rsidRPr="00DC410B">
        <w:rPr>
          <w:lang w:val="en-US" w:eastAsia="ja-JP"/>
        </w:rPr>
        <w:t xml:space="preserve"> criteria </w:t>
      </w:r>
      <w:r w:rsidR="009E5246">
        <w:rPr>
          <w:lang w:val="en-US" w:eastAsia="ja-JP"/>
        </w:rPr>
        <w:t>are</w:t>
      </w:r>
      <w:r w:rsidR="005A1B38" w:rsidRPr="00DC410B">
        <w:rPr>
          <w:lang w:val="en-US" w:eastAsia="ja-JP"/>
        </w:rPr>
        <w:t xml:space="preserve"> </w:t>
      </w:r>
      <w:r w:rsidR="00314FFE">
        <w:rPr>
          <w:lang w:val="en-US" w:eastAsia="ja-JP"/>
        </w:rPr>
        <w:t>set out</w:t>
      </w:r>
      <w:r w:rsidR="005A1B38" w:rsidRPr="00DC410B">
        <w:rPr>
          <w:lang w:val="en-US" w:eastAsia="ja-JP"/>
        </w:rPr>
        <w:t xml:space="preserve"> in Appendix</w:t>
      </w:r>
      <w:r w:rsidR="00DC410B" w:rsidRPr="00DC410B">
        <w:rPr>
          <w:lang w:val="en-US" w:eastAsia="ja-JP"/>
        </w:rPr>
        <w:t xml:space="preserve"> 2</w:t>
      </w:r>
      <w:r w:rsidR="00314FFE">
        <w:rPr>
          <w:lang w:val="en-US" w:eastAsia="ja-JP"/>
        </w:rPr>
        <w:t xml:space="preserve">, but as best as we can </w:t>
      </w:r>
      <w:r w:rsidR="00314FFE" w:rsidRPr="00C25E6D">
        <w:t>summarise</w:t>
      </w:r>
      <w:r w:rsidR="00314FFE">
        <w:rPr>
          <w:lang w:val="en-US" w:eastAsia="ja-JP"/>
        </w:rPr>
        <w:t xml:space="preserve"> an impenetrable system, there are three basic possibilities for any Centrelink recipient as follows:</w:t>
      </w:r>
    </w:p>
    <w:p w:rsidR="00314FFE" w:rsidRPr="00314FFE" w:rsidRDefault="00314FFE" w:rsidP="00567914">
      <w:pPr>
        <w:pStyle w:val="ListParagraph"/>
        <w:numPr>
          <w:ilvl w:val="0"/>
          <w:numId w:val="8"/>
        </w:numPr>
        <w:rPr>
          <w:rFonts w:ascii="Arial" w:hAnsi="Arial" w:cs="Arial"/>
          <w:lang w:val="en-US" w:eastAsia="ja-JP"/>
        </w:rPr>
      </w:pPr>
      <w:r w:rsidRPr="00314FFE">
        <w:rPr>
          <w:rFonts w:ascii="Arial" w:hAnsi="Arial" w:cs="Arial"/>
          <w:lang w:val="en-US" w:eastAsia="ja-JP"/>
        </w:rPr>
        <w:t xml:space="preserve">The base rate </w:t>
      </w:r>
      <w:r w:rsidR="00E62BD1">
        <w:rPr>
          <w:rFonts w:ascii="Arial" w:hAnsi="Arial" w:cs="Arial"/>
          <w:lang w:val="en-US" w:eastAsia="ja-JP"/>
        </w:rPr>
        <w:t>CTA is paid directly as a stand-</w:t>
      </w:r>
      <w:r w:rsidRPr="00314FFE">
        <w:rPr>
          <w:rFonts w:ascii="Arial" w:hAnsi="Arial" w:cs="Arial"/>
          <w:lang w:val="en-US" w:eastAsia="ja-JP"/>
        </w:rPr>
        <w:t>alone allowance.</w:t>
      </w:r>
      <w:r w:rsidR="00387CB7">
        <w:rPr>
          <w:rFonts w:ascii="Arial" w:hAnsi="Arial" w:cs="Arial"/>
          <w:lang w:val="en-US" w:eastAsia="ja-JP"/>
        </w:rPr>
        <w:t xml:space="preserve"> </w:t>
      </w:r>
      <w:r w:rsidRPr="00314FFE">
        <w:rPr>
          <w:rFonts w:ascii="Arial" w:hAnsi="Arial" w:cs="Arial"/>
          <w:lang w:val="en-US" w:eastAsia="ja-JP"/>
        </w:rPr>
        <w:t xml:space="preserve"> This is paid for a range of Centrelink payments where the recipient is </w:t>
      </w:r>
      <w:r>
        <w:rPr>
          <w:rFonts w:ascii="Arial" w:hAnsi="Arial" w:cs="Arial"/>
          <w:lang w:val="en-US" w:eastAsia="ja-JP"/>
        </w:rPr>
        <w:t>usually</w:t>
      </w:r>
      <w:r w:rsidRPr="00314FFE">
        <w:rPr>
          <w:rFonts w:ascii="Arial" w:hAnsi="Arial" w:cs="Arial"/>
          <w:lang w:val="en-US" w:eastAsia="ja-JP"/>
        </w:rPr>
        <w:t xml:space="preserve"> </w:t>
      </w:r>
      <w:r w:rsidR="00817DD1">
        <w:rPr>
          <w:rFonts w:ascii="Arial" w:hAnsi="Arial" w:cs="Arial"/>
          <w:lang w:val="en-US" w:eastAsia="ja-JP"/>
        </w:rPr>
        <w:t>over</w:t>
      </w:r>
      <w:r w:rsidR="00E62BD1">
        <w:rPr>
          <w:rFonts w:ascii="Arial" w:hAnsi="Arial" w:cs="Arial"/>
          <w:lang w:val="en-US" w:eastAsia="ja-JP"/>
        </w:rPr>
        <w:t xml:space="preserve"> </w:t>
      </w:r>
      <w:r w:rsidRPr="00314FFE">
        <w:rPr>
          <w:rFonts w:ascii="Arial" w:hAnsi="Arial" w:cs="Arial"/>
          <w:lang w:val="en-US" w:eastAsia="ja-JP"/>
        </w:rPr>
        <w:t xml:space="preserve">60, </w:t>
      </w:r>
      <w:r w:rsidR="00817DD1">
        <w:rPr>
          <w:rFonts w:ascii="Arial" w:hAnsi="Arial" w:cs="Arial"/>
          <w:lang w:val="en-US" w:eastAsia="ja-JP"/>
        </w:rPr>
        <w:t xml:space="preserve">is a single parent, </w:t>
      </w:r>
      <w:r w:rsidRPr="00314FFE">
        <w:rPr>
          <w:rFonts w:ascii="Arial" w:hAnsi="Arial" w:cs="Arial"/>
          <w:lang w:val="en-US" w:eastAsia="ja-JP"/>
        </w:rPr>
        <w:t>has dependents,</w:t>
      </w:r>
      <w:r w:rsidRPr="00E62BD1">
        <w:rPr>
          <w:rFonts w:ascii="Arial" w:hAnsi="Arial" w:cs="Arial"/>
          <w:lang w:val="en-US" w:eastAsia="ja-JP"/>
        </w:rPr>
        <w:t xml:space="preserve"> or</w:t>
      </w:r>
      <w:r w:rsidRPr="00314FFE">
        <w:rPr>
          <w:rFonts w:ascii="Arial" w:hAnsi="Arial" w:cs="Arial"/>
          <w:lang w:val="en-US" w:eastAsia="ja-JP"/>
        </w:rPr>
        <w:t xml:space="preserve"> a limited capacity to work.</w:t>
      </w:r>
    </w:p>
    <w:p w:rsidR="00314FFE" w:rsidRPr="00314FFE" w:rsidRDefault="00E62BD1" w:rsidP="00567914">
      <w:pPr>
        <w:pStyle w:val="ListParagraph"/>
        <w:numPr>
          <w:ilvl w:val="0"/>
          <w:numId w:val="8"/>
        </w:numPr>
        <w:rPr>
          <w:rFonts w:ascii="Arial" w:hAnsi="Arial" w:cs="Arial"/>
          <w:lang w:val="en-US" w:eastAsia="ja-JP"/>
        </w:rPr>
      </w:pPr>
      <w:r>
        <w:rPr>
          <w:rFonts w:ascii="Arial" w:hAnsi="Arial" w:cs="Arial"/>
          <w:lang w:val="en-US" w:eastAsia="ja-JP"/>
        </w:rPr>
        <w:t>The CTA (</w:t>
      </w:r>
      <w:r w:rsidR="00314FFE" w:rsidRPr="00314FFE">
        <w:rPr>
          <w:rFonts w:ascii="Arial" w:hAnsi="Arial" w:cs="Arial"/>
          <w:lang w:val="en-US" w:eastAsia="ja-JP"/>
        </w:rPr>
        <w:t xml:space="preserve">higher rate) is incorporated into the Pension Supplement which </w:t>
      </w:r>
      <w:r w:rsidR="009E5246">
        <w:rPr>
          <w:rFonts w:ascii="Arial" w:hAnsi="Arial" w:cs="Arial"/>
          <w:lang w:val="en-US" w:eastAsia="ja-JP"/>
        </w:rPr>
        <w:t xml:space="preserve">is </w:t>
      </w:r>
      <w:r w:rsidR="00314FFE" w:rsidRPr="00314FFE">
        <w:rPr>
          <w:rFonts w:ascii="Arial" w:hAnsi="Arial" w:cs="Arial"/>
          <w:lang w:val="en-US" w:eastAsia="ja-JP"/>
        </w:rPr>
        <w:t xml:space="preserve">paid fortnightly to Aged and most Disability </w:t>
      </w:r>
      <w:r w:rsidR="00314FFE">
        <w:rPr>
          <w:rFonts w:ascii="Arial" w:hAnsi="Arial" w:cs="Arial"/>
          <w:lang w:val="en-US" w:eastAsia="ja-JP"/>
        </w:rPr>
        <w:t xml:space="preserve">Support </w:t>
      </w:r>
      <w:r w:rsidR="00314FFE" w:rsidRPr="00314FFE">
        <w:rPr>
          <w:rFonts w:ascii="Arial" w:hAnsi="Arial" w:cs="Arial"/>
          <w:lang w:val="en-US" w:eastAsia="ja-JP"/>
        </w:rPr>
        <w:t>Pensioners</w:t>
      </w:r>
      <w:r w:rsidR="00314FFE">
        <w:rPr>
          <w:rFonts w:ascii="Arial" w:hAnsi="Arial" w:cs="Arial"/>
          <w:lang w:val="en-US" w:eastAsia="ja-JP"/>
        </w:rPr>
        <w:t xml:space="preserve"> (DSP)</w:t>
      </w:r>
      <w:r w:rsidR="00314FFE" w:rsidRPr="00314FFE">
        <w:rPr>
          <w:rFonts w:ascii="Arial" w:hAnsi="Arial" w:cs="Arial"/>
          <w:lang w:val="en-US" w:eastAsia="ja-JP"/>
        </w:rPr>
        <w:t xml:space="preserve">, and </w:t>
      </w:r>
      <w:r w:rsidR="00314FFE">
        <w:rPr>
          <w:rFonts w:ascii="Arial" w:hAnsi="Arial" w:cs="Arial"/>
          <w:lang w:val="en-US" w:eastAsia="ja-JP"/>
        </w:rPr>
        <w:t xml:space="preserve">to </w:t>
      </w:r>
      <w:proofErr w:type="gramStart"/>
      <w:r w:rsidR="00314FFE" w:rsidRPr="00314FFE">
        <w:rPr>
          <w:rFonts w:ascii="Arial" w:hAnsi="Arial" w:cs="Arial"/>
          <w:lang w:val="en-US" w:eastAsia="ja-JP"/>
        </w:rPr>
        <w:t>selected</w:t>
      </w:r>
      <w:proofErr w:type="gramEnd"/>
      <w:r w:rsidR="00314FFE" w:rsidRPr="00314FFE">
        <w:rPr>
          <w:rFonts w:ascii="Arial" w:hAnsi="Arial" w:cs="Arial"/>
          <w:lang w:val="en-US" w:eastAsia="ja-JP"/>
        </w:rPr>
        <w:t xml:space="preserve"> other payment recipients.</w:t>
      </w:r>
    </w:p>
    <w:p w:rsidR="00314FFE" w:rsidRPr="00314FFE" w:rsidRDefault="00314FFE" w:rsidP="00567914">
      <w:pPr>
        <w:pStyle w:val="ListParagraph"/>
        <w:numPr>
          <w:ilvl w:val="0"/>
          <w:numId w:val="8"/>
        </w:numPr>
        <w:rPr>
          <w:rFonts w:ascii="Arial" w:hAnsi="Arial" w:cs="Arial"/>
          <w:lang w:val="en-US" w:eastAsia="ja-JP"/>
        </w:rPr>
      </w:pPr>
      <w:r w:rsidRPr="00314FFE">
        <w:rPr>
          <w:rFonts w:ascii="Arial" w:hAnsi="Arial" w:cs="Arial"/>
          <w:lang w:val="en-US" w:eastAsia="ja-JP"/>
        </w:rPr>
        <w:t xml:space="preserve">There is no CTA payable. </w:t>
      </w:r>
      <w:r w:rsidR="00387CB7">
        <w:rPr>
          <w:rFonts w:ascii="Arial" w:hAnsi="Arial" w:cs="Arial"/>
          <w:lang w:val="en-US" w:eastAsia="ja-JP"/>
        </w:rPr>
        <w:t xml:space="preserve"> </w:t>
      </w:r>
      <w:r w:rsidRPr="00314FFE">
        <w:rPr>
          <w:rFonts w:ascii="Arial" w:hAnsi="Arial" w:cs="Arial"/>
          <w:lang w:val="en-US" w:eastAsia="ja-JP"/>
        </w:rPr>
        <w:t>This is usually where the Centrelink recipient is under 60, has no dependents and has a full capacity to work.</w:t>
      </w:r>
    </w:p>
    <w:p w:rsidR="00314FFE" w:rsidRDefault="00314FFE" w:rsidP="00B72325">
      <w:pPr>
        <w:rPr>
          <w:lang w:val="en-US" w:eastAsia="ja-JP"/>
        </w:rPr>
      </w:pPr>
      <w:r>
        <w:rPr>
          <w:lang w:val="en-US" w:eastAsia="ja-JP"/>
        </w:rPr>
        <w:t xml:space="preserve">There are however various exceptions and quirks. </w:t>
      </w:r>
      <w:r w:rsidR="00387CB7">
        <w:rPr>
          <w:lang w:val="en-US" w:eastAsia="ja-JP"/>
        </w:rPr>
        <w:t xml:space="preserve"> </w:t>
      </w:r>
      <w:r>
        <w:rPr>
          <w:lang w:val="en-US" w:eastAsia="ja-JP"/>
        </w:rPr>
        <w:t>Those on DSP who are under 21 and have no children do not receive the Pension Supplement, but receive the stand</w:t>
      </w:r>
      <w:r w:rsidR="009E5246">
        <w:rPr>
          <w:lang w:val="en-US" w:eastAsia="ja-JP"/>
        </w:rPr>
        <w:t>-</w:t>
      </w:r>
      <w:r>
        <w:rPr>
          <w:lang w:val="en-US" w:eastAsia="ja-JP"/>
        </w:rPr>
        <w:t xml:space="preserve">alone CTA payment (but at the higher rate if they have internet). </w:t>
      </w:r>
      <w:r w:rsidR="00387CB7">
        <w:rPr>
          <w:lang w:val="en-US" w:eastAsia="ja-JP"/>
        </w:rPr>
        <w:t xml:space="preserve"> </w:t>
      </w:r>
      <w:r>
        <w:rPr>
          <w:lang w:val="en-US" w:eastAsia="ja-JP"/>
        </w:rPr>
        <w:t xml:space="preserve">Conversely, those on Parenting Payment – Single receive a reduced </w:t>
      </w:r>
      <w:r w:rsidR="009E5246">
        <w:rPr>
          <w:lang w:val="en-US" w:eastAsia="ja-JP"/>
        </w:rPr>
        <w:t>P</w:t>
      </w:r>
      <w:r>
        <w:rPr>
          <w:lang w:val="en-US" w:eastAsia="ja-JP"/>
        </w:rPr>
        <w:t xml:space="preserve">ension </w:t>
      </w:r>
      <w:r w:rsidR="009E5246">
        <w:rPr>
          <w:lang w:val="en-US" w:eastAsia="ja-JP"/>
        </w:rPr>
        <w:t>S</w:t>
      </w:r>
      <w:r>
        <w:rPr>
          <w:lang w:val="en-US" w:eastAsia="ja-JP"/>
        </w:rPr>
        <w:t>upplement, but also the basic CTA</w:t>
      </w:r>
      <w:r w:rsidR="00E62BD1">
        <w:rPr>
          <w:lang w:val="en-US" w:eastAsia="ja-JP"/>
        </w:rPr>
        <w:t xml:space="preserve"> </w:t>
      </w:r>
      <w:sdt>
        <w:sdtPr>
          <w:rPr>
            <w:lang w:val="en-US" w:eastAsia="ja-JP"/>
          </w:rPr>
          <w:id w:val="-19167990"/>
          <w:citation/>
        </w:sdtPr>
        <w:sdtContent>
          <w:r w:rsidR="00C907D6">
            <w:rPr>
              <w:lang w:val="en-US" w:eastAsia="ja-JP"/>
            </w:rPr>
            <w:fldChar w:fldCharType="begin"/>
          </w:r>
          <w:r w:rsidR="00E62BD1">
            <w:rPr>
              <w:lang w:eastAsia="ja-JP"/>
            </w:rPr>
            <w:instrText xml:space="preserve"> CITATION Cen16 \l 3081 </w:instrText>
          </w:r>
          <w:r w:rsidR="00C907D6">
            <w:rPr>
              <w:lang w:val="en-US" w:eastAsia="ja-JP"/>
            </w:rPr>
            <w:fldChar w:fldCharType="separate"/>
          </w:r>
          <w:r w:rsidR="000D79D7">
            <w:rPr>
              <w:noProof/>
              <w:lang w:eastAsia="ja-JP"/>
            </w:rPr>
            <w:t>(Centrelink, 2016)</w:t>
          </w:r>
          <w:r w:rsidR="00C907D6">
            <w:rPr>
              <w:lang w:val="en-US" w:eastAsia="ja-JP"/>
            </w:rPr>
            <w:fldChar w:fldCharType="end"/>
          </w:r>
        </w:sdtContent>
      </w:sdt>
      <w:r>
        <w:rPr>
          <w:lang w:val="en-US" w:eastAsia="ja-JP"/>
        </w:rPr>
        <w:t>.</w:t>
      </w:r>
    </w:p>
    <w:p w:rsidR="00314FFE" w:rsidRDefault="00314FFE" w:rsidP="00B72325">
      <w:pPr>
        <w:rPr>
          <w:lang w:val="en-US" w:eastAsia="ja-JP"/>
        </w:rPr>
      </w:pPr>
      <w:r>
        <w:rPr>
          <w:lang w:val="en-US" w:eastAsia="ja-JP"/>
        </w:rPr>
        <w:t xml:space="preserve">While there may be historical reasons for why such </w:t>
      </w:r>
      <w:r w:rsidR="000C1BEE">
        <w:rPr>
          <w:lang w:val="en-US" w:eastAsia="ja-JP"/>
        </w:rPr>
        <w:t xml:space="preserve">a </w:t>
      </w:r>
      <w:r>
        <w:rPr>
          <w:lang w:val="en-US" w:eastAsia="ja-JP"/>
        </w:rPr>
        <w:t>system developed, as SACOSS has previously observed, there is an underlying notion</w:t>
      </w:r>
    </w:p>
    <w:p w:rsidR="00314FFE" w:rsidRPr="0069004B" w:rsidRDefault="00314FFE" w:rsidP="00B72325">
      <w:pPr>
        <w:ind w:left="720"/>
        <w:rPr>
          <w:lang w:val="en-US" w:eastAsia="ja-JP"/>
        </w:rPr>
      </w:pPr>
      <w:r>
        <w:rPr>
          <w:lang w:val="en-US" w:eastAsia="ja-JP"/>
        </w:rPr>
        <w:t>“</w:t>
      </w:r>
      <w:proofErr w:type="gramStart"/>
      <w:r w:rsidRPr="0069004B">
        <w:rPr>
          <w:lang w:val="en-US" w:eastAsia="ja-JP"/>
        </w:rPr>
        <w:t>that</w:t>
      </w:r>
      <w:proofErr w:type="gramEnd"/>
      <w:r w:rsidRPr="0069004B">
        <w:rPr>
          <w:lang w:val="en-US" w:eastAsia="ja-JP"/>
        </w:rPr>
        <w:t xml:space="preserve"> telecommunications are only essential where there are children or someone with disability – basically a view of emergency rather than essential services. </w:t>
      </w:r>
      <w:r w:rsidR="00387CB7">
        <w:rPr>
          <w:lang w:val="en-US" w:eastAsia="ja-JP"/>
        </w:rPr>
        <w:t xml:space="preserve"> </w:t>
      </w:r>
      <w:r w:rsidRPr="0069004B">
        <w:rPr>
          <w:lang w:val="en-US" w:eastAsia="ja-JP"/>
        </w:rPr>
        <w:t xml:space="preserve">This not only excludes some of the poorest in our community who might need phone and internet services (for instance, for job seeking or other support services) … this ‘emergency service’ model fails to understand or address the increased importance of telecommunications to all aspects of life in a modern society.” </w:t>
      </w:r>
      <w:proofErr w:type="gramStart"/>
      <w:r w:rsidR="00F908B8">
        <w:rPr>
          <w:noProof/>
          <w:lang w:eastAsia="ja-JP"/>
        </w:rPr>
        <w:t>(SACOSS, 2015)</w:t>
      </w:r>
      <w:r>
        <w:rPr>
          <w:lang w:val="en-US" w:eastAsia="ja-JP"/>
        </w:rPr>
        <w:t>.</w:t>
      </w:r>
      <w:proofErr w:type="gramEnd"/>
    </w:p>
    <w:p w:rsidR="00314FFE" w:rsidRDefault="00314FFE" w:rsidP="00B72325">
      <w:pPr>
        <w:rPr>
          <w:lang w:val="en-US" w:eastAsia="ja-JP"/>
        </w:rPr>
      </w:pPr>
      <w:r>
        <w:rPr>
          <w:lang w:val="en-US" w:eastAsia="ja-JP"/>
        </w:rPr>
        <w:lastRenderedPageBreak/>
        <w:t>This is a problematic foundation for the CTA, but the opaqueness of the eligibility criteria, plus the fact that the payment is either a relatively small sum paid quarterly or is rolled into the Pension Supplement, also contributes to a lack of awareness among Centrelink recipients</w:t>
      </w:r>
      <w:r w:rsidR="00E62BD1">
        <w:rPr>
          <w:lang w:val="en-US" w:eastAsia="ja-JP"/>
        </w:rPr>
        <w:t xml:space="preserve"> (and others) about the CTA. </w:t>
      </w:r>
      <w:r w:rsidR="00387CB7">
        <w:rPr>
          <w:lang w:val="en-US" w:eastAsia="ja-JP"/>
        </w:rPr>
        <w:t xml:space="preserve"> </w:t>
      </w:r>
      <w:r w:rsidR="00E62BD1">
        <w:rPr>
          <w:lang w:val="en-US" w:eastAsia="ja-JP"/>
        </w:rPr>
        <w:t>Half</w:t>
      </w:r>
      <w:r>
        <w:rPr>
          <w:lang w:val="en-US" w:eastAsia="ja-JP"/>
        </w:rPr>
        <w:t xml:space="preserve"> of survey respondents who we believe, based on the eligibility criteria</w:t>
      </w:r>
      <w:r w:rsidR="00E62BD1">
        <w:rPr>
          <w:lang w:val="en-US" w:eastAsia="ja-JP"/>
        </w:rPr>
        <w:t>,</w:t>
      </w:r>
      <w:r>
        <w:rPr>
          <w:lang w:val="en-US" w:eastAsia="ja-JP"/>
        </w:rPr>
        <w:t xml:space="preserve"> should have been receiving the CTA were not aware w</w:t>
      </w:r>
      <w:r w:rsidR="00E62BD1">
        <w:rPr>
          <w:lang w:val="en-US" w:eastAsia="ja-JP"/>
        </w:rPr>
        <w:t>hether they were or not, while 2</w:t>
      </w:r>
      <w:r>
        <w:rPr>
          <w:lang w:val="en-US" w:eastAsia="ja-JP"/>
        </w:rPr>
        <w:t>0% of those who we believe were ineligible though</w:t>
      </w:r>
      <w:r w:rsidR="00E62BD1">
        <w:rPr>
          <w:lang w:val="en-US" w:eastAsia="ja-JP"/>
        </w:rPr>
        <w:t>t</w:t>
      </w:r>
      <w:r>
        <w:rPr>
          <w:lang w:val="en-US" w:eastAsia="ja-JP"/>
        </w:rPr>
        <w:t xml:space="preserve"> they were receiving the stand</w:t>
      </w:r>
      <w:r w:rsidR="009E5246">
        <w:rPr>
          <w:lang w:val="en-US" w:eastAsia="ja-JP"/>
        </w:rPr>
        <w:t>-</w:t>
      </w:r>
      <w:r>
        <w:rPr>
          <w:lang w:val="en-US" w:eastAsia="ja-JP"/>
        </w:rPr>
        <w:t xml:space="preserve">alone payment.  </w:t>
      </w:r>
    </w:p>
    <w:p w:rsidR="00314FFE" w:rsidRDefault="00314FFE" w:rsidP="00B72325">
      <w:pPr>
        <w:rPr>
          <w:lang w:val="en-US" w:eastAsia="ja-JP"/>
        </w:rPr>
      </w:pPr>
      <w:r>
        <w:rPr>
          <w:lang w:val="en-US" w:eastAsia="ja-JP"/>
        </w:rPr>
        <w:t>This level of awareness may say something about the adequacy of the CTA, but it may also be particularly important in the case of eligibility for the stand-alone payment, because while it is paid automatically, to qualify recipients need to inform Centrelink that they have a phone. If they are not aware of the allowance, some recipients who are eligible may be missing out.</w:t>
      </w:r>
    </w:p>
    <w:p w:rsidR="00314FFE" w:rsidRDefault="00314FFE" w:rsidP="00B72325">
      <w:pPr>
        <w:rPr>
          <w:lang w:val="en-US" w:eastAsia="ja-JP"/>
        </w:rPr>
      </w:pPr>
      <w:r>
        <w:rPr>
          <w:lang w:val="en-US" w:eastAsia="ja-JP"/>
        </w:rPr>
        <w:t xml:space="preserve">The complexity and lack of clarity around who is and is not entitled to or actually receiving the CTA makes it difficult to interpret some of the survey data in relation to the allowance. </w:t>
      </w:r>
      <w:r w:rsidR="00387CB7">
        <w:rPr>
          <w:lang w:val="en-US" w:eastAsia="ja-JP"/>
        </w:rPr>
        <w:t xml:space="preserve"> </w:t>
      </w:r>
      <w:r>
        <w:rPr>
          <w:lang w:val="en-US" w:eastAsia="ja-JP"/>
        </w:rPr>
        <w:t>However some broad observations can be made, in relation to the targeting and adequacy of the CTA, and the timing and nature of the payments.</w:t>
      </w:r>
    </w:p>
    <w:p w:rsidR="00E908CC" w:rsidRDefault="00314FFE" w:rsidP="00B72325">
      <w:pPr>
        <w:pStyle w:val="Heading2"/>
      </w:pPr>
      <w:bookmarkStart w:id="52" w:name="_Toc465167566"/>
      <w:r>
        <w:t>Targeting</w:t>
      </w:r>
      <w:bookmarkEnd w:id="52"/>
    </w:p>
    <w:p w:rsidR="009970C9" w:rsidRDefault="00BE561F" w:rsidP="00B72325">
      <w:r>
        <w:t xml:space="preserve">As noted earlier, </w:t>
      </w:r>
      <w:r w:rsidRPr="00C761A6">
        <w:t xml:space="preserve">62% of </w:t>
      </w:r>
      <w:r>
        <w:t xml:space="preserve">survey </w:t>
      </w:r>
      <w:r w:rsidRPr="00C761A6">
        <w:t>respondents reported experiencing either difficulty paying, having to cut back, or having to stop using one or more telecommunications services for financial reasons in the last 12 months</w:t>
      </w:r>
      <w:r w:rsidR="009970C9">
        <w:t xml:space="preserve">. </w:t>
      </w:r>
      <w:r w:rsidR="005B4E77">
        <w:fldChar w:fldCharType="begin"/>
      </w:r>
      <w:r w:rsidR="005B4E77">
        <w:instrText xml:space="preserve"> REF _Ref464126522 \h </w:instrText>
      </w:r>
      <w:r w:rsidR="005B4E77">
        <w:fldChar w:fldCharType="separate"/>
      </w:r>
      <w:r w:rsidR="002F60EE">
        <w:t xml:space="preserve">Figure </w:t>
      </w:r>
      <w:r w:rsidR="002F60EE">
        <w:rPr>
          <w:noProof/>
        </w:rPr>
        <w:t>5</w:t>
      </w:r>
      <w:r w:rsidR="005B4E77">
        <w:fldChar w:fldCharType="end"/>
      </w:r>
      <w:r w:rsidR="009970C9">
        <w:t xml:space="preserve"> </w:t>
      </w:r>
      <w:r>
        <w:t xml:space="preserve">disaggregates that figure according to our calculations of which recipients were entitled to receive the CTA. </w:t>
      </w:r>
      <w:r w:rsidR="00387CB7">
        <w:t xml:space="preserve"> </w:t>
      </w:r>
      <w:r>
        <w:t>The stand-alone CTA is shown separately to those receiving the Pension Supplement (as there are marked difference</w:t>
      </w:r>
      <w:r w:rsidR="009970C9">
        <w:t>s</w:t>
      </w:r>
      <w:r>
        <w:t xml:space="preserve"> within that category), but all CTA recipients are combined in the last column.</w:t>
      </w:r>
    </w:p>
    <w:p w:rsidR="009970C9" w:rsidRDefault="009970C9" w:rsidP="00373118">
      <w:pPr>
        <w:pStyle w:val="Caption"/>
        <w:keepNext/>
        <w:keepLines/>
        <w:rPr>
          <w:lang w:val="en-US" w:eastAsia="ja-JP"/>
        </w:rPr>
      </w:pPr>
      <w:bookmarkStart w:id="53" w:name="_Ref464126522"/>
      <w:bookmarkStart w:id="54" w:name="_Toc465151873"/>
      <w:bookmarkStart w:id="55" w:name="_Toc465167607"/>
      <w:r>
        <w:lastRenderedPageBreak/>
        <w:t xml:space="preserve">Figure </w:t>
      </w:r>
      <w:r w:rsidR="002F60EE">
        <w:fldChar w:fldCharType="begin"/>
      </w:r>
      <w:r w:rsidR="002F60EE">
        <w:instrText xml:space="preserve"> SEQ Figure \* ARABIC </w:instrText>
      </w:r>
      <w:r w:rsidR="002F60EE">
        <w:fldChar w:fldCharType="separate"/>
      </w:r>
      <w:r w:rsidR="002F60EE">
        <w:rPr>
          <w:noProof/>
        </w:rPr>
        <w:t>5</w:t>
      </w:r>
      <w:r w:rsidR="002F60EE">
        <w:rPr>
          <w:noProof/>
        </w:rPr>
        <w:fldChar w:fldCharType="end"/>
      </w:r>
      <w:bookmarkEnd w:id="53"/>
      <w:r>
        <w:t>: Affordability, by payment type and CTA eligibility</w:t>
      </w:r>
      <w:bookmarkEnd w:id="54"/>
      <w:bookmarkEnd w:id="55"/>
    </w:p>
    <w:p w:rsidR="00BE561F" w:rsidRDefault="00BE561F" w:rsidP="00B72325">
      <w:pPr>
        <w:jc w:val="center"/>
        <w:rPr>
          <w:lang w:val="en-US" w:eastAsia="ja-JP"/>
        </w:rPr>
      </w:pPr>
      <w:r>
        <w:rPr>
          <w:noProof/>
        </w:rPr>
        <w:drawing>
          <wp:inline distT="0" distB="0" distL="0" distR="0" wp14:anchorId="073A047B" wp14:editId="57CA9D5A">
            <wp:extent cx="4105275" cy="2609850"/>
            <wp:effectExtent l="0" t="0" r="9525" b="19050"/>
            <wp:docPr id="21" name="Chart 21" descr="proportionately fewer recipients of the CTA were having affordability issues than those who were not receiving the CTA"/>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E561F" w:rsidRDefault="00BE561F" w:rsidP="00B72325">
      <w:pPr>
        <w:jc w:val="center"/>
        <w:rPr>
          <w:sz w:val="18"/>
        </w:rPr>
      </w:pPr>
      <w:r>
        <w:rPr>
          <w:sz w:val="18"/>
        </w:rPr>
        <w:t>(Source: Mint Research, 2016)</w:t>
      </w:r>
    </w:p>
    <w:p w:rsidR="009970C9" w:rsidRDefault="00BE561F" w:rsidP="00B72325">
      <w:pPr>
        <w:rPr>
          <w:lang w:val="en-US" w:eastAsia="ja-JP"/>
        </w:rPr>
      </w:pPr>
      <w:r>
        <w:rPr>
          <w:lang w:val="en-US" w:eastAsia="ja-JP"/>
        </w:rPr>
        <w:t>Clearly, looking at the second and the last columns, proportionately fewer recipients of the CTA were having affordability issues than those</w:t>
      </w:r>
      <w:r w:rsidR="009970C9">
        <w:rPr>
          <w:lang w:val="en-US" w:eastAsia="ja-JP"/>
        </w:rPr>
        <w:t xml:space="preserve"> who were not receiving the CTA.  However, </w:t>
      </w:r>
      <w:r>
        <w:rPr>
          <w:lang w:val="en-US" w:eastAsia="ja-JP"/>
        </w:rPr>
        <w:t xml:space="preserve">with the exception of Aged Pensioners, more than half of respondents </w:t>
      </w:r>
      <w:r w:rsidR="009970C9">
        <w:rPr>
          <w:lang w:val="en-US" w:eastAsia="ja-JP"/>
        </w:rPr>
        <w:t xml:space="preserve">in every group reported </w:t>
      </w:r>
      <w:r>
        <w:rPr>
          <w:lang w:val="en-US" w:eastAsia="ja-JP"/>
        </w:rPr>
        <w:t xml:space="preserve">having difficulty paying or cutting back or stopping services.  </w:t>
      </w:r>
    </w:p>
    <w:p w:rsidR="009970C9" w:rsidRDefault="00BE561F" w:rsidP="00B72325">
      <w:pPr>
        <w:rPr>
          <w:lang w:val="en-US" w:eastAsia="ja-JP"/>
        </w:rPr>
      </w:pPr>
      <w:r>
        <w:rPr>
          <w:lang w:val="en-US" w:eastAsia="ja-JP"/>
        </w:rPr>
        <w:t>The other sta</w:t>
      </w:r>
      <w:r w:rsidR="009970C9">
        <w:rPr>
          <w:lang w:val="en-US" w:eastAsia="ja-JP"/>
        </w:rPr>
        <w:t xml:space="preserve">nd-out observation from </w:t>
      </w:r>
      <w:r w:rsidR="005B4E77">
        <w:rPr>
          <w:lang w:val="en-US" w:eastAsia="ja-JP"/>
        </w:rPr>
        <w:fldChar w:fldCharType="begin"/>
      </w:r>
      <w:r w:rsidR="005B4E77">
        <w:rPr>
          <w:lang w:val="en-US" w:eastAsia="ja-JP"/>
        </w:rPr>
        <w:instrText xml:space="preserve"> REF _Ref464126522 \h </w:instrText>
      </w:r>
      <w:r w:rsidR="005B4E77">
        <w:rPr>
          <w:lang w:val="en-US" w:eastAsia="ja-JP"/>
        </w:rPr>
      </w:r>
      <w:r w:rsidR="005B4E77">
        <w:rPr>
          <w:lang w:val="en-US" w:eastAsia="ja-JP"/>
        </w:rPr>
        <w:fldChar w:fldCharType="separate"/>
      </w:r>
      <w:r w:rsidR="002F60EE">
        <w:t xml:space="preserve">Figure </w:t>
      </w:r>
      <w:r w:rsidR="002F60EE">
        <w:rPr>
          <w:noProof/>
        </w:rPr>
        <w:t>5</w:t>
      </w:r>
      <w:r w:rsidR="005B4E77">
        <w:rPr>
          <w:lang w:val="en-US" w:eastAsia="ja-JP"/>
        </w:rPr>
        <w:fldChar w:fldCharType="end"/>
      </w:r>
      <w:r>
        <w:rPr>
          <w:lang w:val="en-US" w:eastAsia="ja-JP"/>
        </w:rPr>
        <w:t xml:space="preserve"> is that more people among those </w:t>
      </w:r>
      <w:r w:rsidR="009E5246">
        <w:rPr>
          <w:lang w:val="en-US" w:eastAsia="ja-JP"/>
        </w:rPr>
        <w:t xml:space="preserve">receiving </w:t>
      </w:r>
      <w:r>
        <w:rPr>
          <w:lang w:val="en-US" w:eastAsia="ja-JP"/>
        </w:rPr>
        <w:t xml:space="preserve">the stand-alone CTA had affordability challenges than any other group – including those not receiving the CTA.  </w:t>
      </w:r>
    </w:p>
    <w:p w:rsidR="00BE561F" w:rsidRDefault="00BE561F" w:rsidP="00B72325">
      <w:pPr>
        <w:rPr>
          <w:lang w:val="en-US" w:eastAsia="ja-JP"/>
        </w:rPr>
      </w:pPr>
      <w:r>
        <w:rPr>
          <w:lang w:val="en-US" w:eastAsia="ja-JP"/>
        </w:rPr>
        <w:t>These results would appear hopeless</w:t>
      </w:r>
      <w:r w:rsidR="009970C9">
        <w:rPr>
          <w:lang w:val="en-US" w:eastAsia="ja-JP"/>
        </w:rPr>
        <w:t>ly</w:t>
      </w:r>
      <w:r>
        <w:rPr>
          <w:lang w:val="en-US" w:eastAsia="ja-JP"/>
        </w:rPr>
        <w:t xml:space="preserve"> confused, or suggest the CTA was having </w:t>
      </w:r>
      <w:r w:rsidR="009970C9">
        <w:rPr>
          <w:lang w:val="en-US" w:eastAsia="ja-JP"/>
        </w:rPr>
        <w:t>little or contradictory</w:t>
      </w:r>
      <w:r>
        <w:rPr>
          <w:lang w:val="en-US" w:eastAsia="ja-JP"/>
        </w:rPr>
        <w:t xml:space="preserve"> impact</w:t>
      </w:r>
      <w:r w:rsidR="009970C9">
        <w:rPr>
          <w:lang w:val="en-US" w:eastAsia="ja-JP"/>
        </w:rPr>
        <w:t>s</w:t>
      </w:r>
      <w:r>
        <w:rPr>
          <w:lang w:val="en-US" w:eastAsia="ja-JP"/>
        </w:rPr>
        <w:t xml:space="preserve"> on affordability, but the situation is clarified somewhat by putting the CTA into the context of the broader payments received by Centrelink recipients.</w:t>
      </w:r>
    </w:p>
    <w:p w:rsidR="009970C9" w:rsidRDefault="00BE561F" w:rsidP="00B72325">
      <w:pPr>
        <w:rPr>
          <w:lang w:val="en-US" w:eastAsia="ja-JP"/>
        </w:rPr>
      </w:pPr>
      <w:r>
        <w:rPr>
          <w:lang w:val="en-US" w:eastAsia="ja-JP"/>
        </w:rPr>
        <w:t xml:space="preserve">The broader payments context is important because, with one exception, the CTA is </w:t>
      </w:r>
      <w:r w:rsidR="009970C9">
        <w:rPr>
          <w:lang w:val="en-US" w:eastAsia="ja-JP"/>
        </w:rPr>
        <w:t>more widely available – and at a higher rate – for</w:t>
      </w:r>
      <w:r>
        <w:rPr>
          <w:lang w:val="en-US" w:eastAsia="ja-JP"/>
        </w:rPr>
        <w:t xml:space="preserve"> those who are already on the highest income support payments.  The exception is those on the Low</w:t>
      </w:r>
      <w:r w:rsidR="009E5246">
        <w:rPr>
          <w:lang w:val="en-US" w:eastAsia="ja-JP"/>
        </w:rPr>
        <w:t>-</w:t>
      </w:r>
      <w:r>
        <w:rPr>
          <w:lang w:val="en-US" w:eastAsia="ja-JP"/>
        </w:rPr>
        <w:t xml:space="preserve">Income Health Card who presumably have higher incomes (otherwise they would be entitled to other payments), but who are not entitled to the CTA.  </w:t>
      </w:r>
    </w:p>
    <w:p w:rsidR="00314FFE" w:rsidRDefault="00BE561F" w:rsidP="00B72325">
      <w:pPr>
        <w:rPr>
          <w:lang w:val="en-US" w:eastAsia="ja-JP"/>
        </w:rPr>
      </w:pPr>
      <w:r>
        <w:rPr>
          <w:lang w:val="en-US" w:eastAsia="ja-JP"/>
        </w:rPr>
        <w:t xml:space="preserve">However, for those on direct payments, as </w:t>
      </w:r>
      <w:r w:rsidR="005B4E77">
        <w:rPr>
          <w:lang w:val="en-US" w:eastAsia="ja-JP"/>
        </w:rPr>
        <w:fldChar w:fldCharType="begin"/>
      </w:r>
      <w:r w:rsidR="005B4E77">
        <w:rPr>
          <w:lang w:val="en-US" w:eastAsia="ja-JP"/>
        </w:rPr>
        <w:instrText xml:space="preserve"> REF _Ref464126749 \h </w:instrText>
      </w:r>
      <w:r w:rsidR="005B4E77">
        <w:rPr>
          <w:lang w:val="en-US" w:eastAsia="ja-JP"/>
        </w:rPr>
      </w:r>
      <w:r w:rsidR="005B4E77">
        <w:rPr>
          <w:lang w:val="en-US" w:eastAsia="ja-JP"/>
        </w:rPr>
        <w:fldChar w:fldCharType="separate"/>
      </w:r>
      <w:r w:rsidR="002F60EE">
        <w:t xml:space="preserve">Table </w:t>
      </w:r>
      <w:r w:rsidR="002F60EE">
        <w:rPr>
          <w:noProof/>
        </w:rPr>
        <w:t>3</w:t>
      </w:r>
      <w:r w:rsidR="005B4E77">
        <w:rPr>
          <w:lang w:val="en-US" w:eastAsia="ja-JP"/>
        </w:rPr>
        <w:fldChar w:fldCharType="end"/>
      </w:r>
      <w:r>
        <w:rPr>
          <w:lang w:val="en-US" w:eastAsia="ja-JP"/>
        </w:rPr>
        <w:t xml:space="preserve"> shows, the CTA eligibility and rate tends to </w:t>
      </w:r>
      <w:proofErr w:type="spellStart"/>
      <w:r>
        <w:rPr>
          <w:lang w:val="en-US" w:eastAsia="ja-JP"/>
        </w:rPr>
        <w:t>favour</w:t>
      </w:r>
      <w:proofErr w:type="spellEnd"/>
      <w:r>
        <w:rPr>
          <w:lang w:val="en-US" w:eastAsia="ja-JP"/>
        </w:rPr>
        <w:t xml:space="preserve"> those on the higher base payments. </w:t>
      </w:r>
    </w:p>
    <w:p w:rsidR="009970C9" w:rsidRDefault="009970C9" w:rsidP="00B72325">
      <w:pPr>
        <w:spacing w:after="0" w:line="240" w:lineRule="auto"/>
        <w:rPr>
          <w:b/>
          <w:bCs/>
          <w:sz w:val="20"/>
        </w:rPr>
      </w:pPr>
      <w:bookmarkStart w:id="56" w:name="_Toc452902926"/>
      <w:bookmarkStart w:id="57" w:name="_Toc453848528"/>
    </w:p>
    <w:p w:rsidR="00676E6D" w:rsidRDefault="00E908CC" w:rsidP="00373118">
      <w:pPr>
        <w:pStyle w:val="Caption"/>
        <w:keepNext/>
        <w:keepLines/>
        <w:rPr>
          <w:noProof/>
        </w:rPr>
      </w:pPr>
      <w:bookmarkStart w:id="58" w:name="_Ref464126749"/>
      <w:bookmarkStart w:id="59" w:name="_Toc458979642"/>
      <w:bookmarkStart w:id="60" w:name="_Toc465151874"/>
      <w:bookmarkStart w:id="61" w:name="_Toc465167614"/>
      <w:r>
        <w:lastRenderedPageBreak/>
        <w:t xml:space="preserve">Table </w:t>
      </w:r>
      <w:r w:rsidR="002F60EE">
        <w:fldChar w:fldCharType="begin"/>
      </w:r>
      <w:r w:rsidR="002F60EE">
        <w:instrText xml:space="preserve"> SEQ Table \* ARABIC </w:instrText>
      </w:r>
      <w:r w:rsidR="002F60EE">
        <w:fldChar w:fldCharType="separate"/>
      </w:r>
      <w:r w:rsidR="002F60EE">
        <w:rPr>
          <w:noProof/>
        </w:rPr>
        <w:t>3</w:t>
      </w:r>
      <w:r w:rsidR="002F60EE">
        <w:rPr>
          <w:noProof/>
        </w:rPr>
        <w:fldChar w:fldCharType="end"/>
      </w:r>
      <w:bookmarkEnd w:id="58"/>
      <w:r>
        <w:t xml:space="preserve">: </w:t>
      </w:r>
      <w:r w:rsidR="00BE561F">
        <w:t>Selected</w:t>
      </w:r>
      <w:r>
        <w:rPr>
          <w:noProof/>
        </w:rPr>
        <w:t xml:space="preserve"> Centrelink </w:t>
      </w:r>
      <w:r w:rsidR="005B4E77">
        <w:rPr>
          <w:noProof/>
        </w:rPr>
        <w:t>b</w:t>
      </w:r>
      <w:r w:rsidR="00BE561F">
        <w:rPr>
          <w:noProof/>
        </w:rPr>
        <w:t xml:space="preserve">ase </w:t>
      </w:r>
      <w:r w:rsidR="005B4E77">
        <w:rPr>
          <w:noProof/>
        </w:rPr>
        <w:t>p</w:t>
      </w:r>
      <w:r>
        <w:rPr>
          <w:noProof/>
        </w:rPr>
        <w:t>ayments</w:t>
      </w:r>
      <w:bookmarkEnd w:id="59"/>
      <w:bookmarkEnd w:id="60"/>
      <w:bookmarkEnd w:id="61"/>
    </w:p>
    <w:tbl>
      <w:tblPr>
        <w:tblStyle w:val="LightList-Accent1"/>
        <w:tblW w:w="8052" w:type="dxa"/>
        <w:tblLayout w:type="fixed"/>
        <w:tblLook w:val="04A0" w:firstRow="1" w:lastRow="0" w:firstColumn="1" w:lastColumn="0" w:noHBand="0" w:noVBand="1"/>
        <w:tblDescription w:val="List of Centrelink payments"/>
      </w:tblPr>
      <w:tblGrid>
        <w:gridCol w:w="3969"/>
        <w:gridCol w:w="1361"/>
        <w:gridCol w:w="1361"/>
        <w:gridCol w:w="1361"/>
      </w:tblGrid>
      <w:tr w:rsidR="00BE561F" w:rsidRPr="00BE561F" w:rsidTr="002B42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tcPr>
          <w:p w:rsidR="00BE561F" w:rsidRPr="00BE561F" w:rsidRDefault="00BE561F" w:rsidP="00373118">
            <w:pPr>
              <w:keepNext/>
              <w:keepLines/>
              <w:spacing w:after="60"/>
              <w:rPr>
                <w:bCs w:val="0"/>
                <w:color w:val="FFFFFF"/>
                <w:lang w:val="en-US" w:eastAsia="ja-JP"/>
              </w:rPr>
            </w:pPr>
            <w:r w:rsidRPr="00BE561F">
              <w:rPr>
                <w:bCs w:val="0"/>
                <w:color w:val="FFFFFF"/>
                <w:lang w:val="en-US" w:eastAsia="ja-JP"/>
              </w:rPr>
              <w:t xml:space="preserve">Payment type </w:t>
            </w:r>
          </w:p>
        </w:tc>
        <w:tc>
          <w:tcPr>
            <w:tcW w:w="1361" w:type="dxa"/>
          </w:tcPr>
          <w:p w:rsidR="00BE561F" w:rsidRPr="00BE561F" w:rsidRDefault="009970C9" w:rsidP="00373118">
            <w:pPr>
              <w:keepNext/>
              <w:keepLines/>
              <w:spacing w:after="60"/>
              <w:jc w:val="center"/>
              <w:cnfStyle w:val="100000000000" w:firstRow="1" w:lastRow="0" w:firstColumn="0" w:lastColumn="0" w:oddVBand="0" w:evenVBand="0" w:oddHBand="0" w:evenHBand="0" w:firstRowFirstColumn="0" w:firstRowLastColumn="0" w:lastRowFirstColumn="0" w:lastRowLastColumn="0"/>
              <w:rPr>
                <w:bCs w:val="0"/>
                <w:color w:val="FFFFFF"/>
                <w:lang w:val="en-US" w:eastAsia="ja-JP"/>
              </w:rPr>
            </w:pPr>
            <w:r w:rsidRPr="009970C9">
              <w:rPr>
                <w:bCs w:val="0"/>
                <w:color w:val="FFFFFF"/>
                <w:spacing w:val="-4"/>
                <w:lang w:val="en-US" w:eastAsia="ja-JP"/>
              </w:rPr>
              <w:t>Fortnightly</w:t>
            </w:r>
            <w:r>
              <w:rPr>
                <w:bCs w:val="0"/>
                <w:color w:val="FFFFFF"/>
                <w:spacing w:val="-4"/>
                <w:lang w:val="en-US" w:eastAsia="ja-JP"/>
              </w:rPr>
              <w:br/>
            </w:r>
            <w:r w:rsidR="00BE561F" w:rsidRPr="00BE561F">
              <w:rPr>
                <w:bCs w:val="0"/>
                <w:color w:val="FFFFFF"/>
                <w:lang w:val="en-US" w:eastAsia="ja-JP"/>
              </w:rPr>
              <w:t>Payment</w:t>
            </w:r>
          </w:p>
        </w:tc>
        <w:tc>
          <w:tcPr>
            <w:tcW w:w="1361" w:type="dxa"/>
          </w:tcPr>
          <w:p w:rsidR="00BE561F" w:rsidRPr="00BE561F" w:rsidRDefault="00BE561F" w:rsidP="00373118">
            <w:pPr>
              <w:keepNext/>
              <w:keepLines/>
              <w:spacing w:after="60"/>
              <w:jc w:val="center"/>
              <w:cnfStyle w:val="100000000000" w:firstRow="1" w:lastRow="0" w:firstColumn="0" w:lastColumn="0" w:oddVBand="0" w:evenVBand="0" w:oddHBand="0" w:evenHBand="0" w:firstRowFirstColumn="0" w:firstRowLastColumn="0" w:lastRowFirstColumn="0" w:lastRowLastColumn="0"/>
              <w:rPr>
                <w:color w:val="FFFFFF"/>
                <w:lang w:val="en-US" w:eastAsia="ja-JP"/>
              </w:rPr>
            </w:pPr>
            <w:r w:rsidRPr="00BE561F">
              <w:rPr>
                <w:color w:val="FFFFFF"/>
                <w:lang w:val="en-US" w:eastAsia="ja-JP"/>
              </w:rPr>
              <w:t>CTA Eligibility</w:t>
            </w:r>
          </w:p>
        </w:tc>
        <w:tc>
          <w:tcPr>
            <w:tcW w:w="1361" w:type="dxa"/>
          </w:tcPr>
          <w:p w:rsidR="00BE561F" w:rsidRPr="00BE561F" w:rsidRDefault="00BE561F" w:rsidP="00373118">
            <w:pPr>
              <w:keepNext/>
              <w:keepLines/>
              <w:spacing w:after="60"/>
              <w:jc w:val="center"/>
              <w:cnfStyle w:val="100000000000" w:firstRow="1" w:lastRow="0" w:firstColumn="0" w:lastColumn="0" w:oddVBand="0" w:evenVBand="0" w:oddHBand="0" w:evenHBand="0" w:firstRowFirstColumn="0" w:firstRowLastColumn="0" w:lastRowFirstColumn="0" w:lastRowLastColumn="0"/>
              <w:rPr>
                <w:color w:val="FFFFFF"/>
                <w:lang w:val="en-US" w:eastAsia="ja-JP"/>
              </w:rPr>
            </w:pPr>
            <w:r>
              <w:rPr>
                <w:color w:val="FFFFFF"/>
                <w:lang w:val="en-US" w:eastAsia="ja-JP"/>
              </w:rPr>
              <w:t>CTA Level</w:t>
            </w:r>
          </w:p>
        </w:tc>
      </w:tr>
      <w:tr w:rsidR="00BE561F" w:rsidRPr="00AB392C" w:rsidTr="00944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9970C9" w:rsidRPr="004B26BE" w:rsidRDefault="00BE561F" w:rsidP="00373118">
            <w:pPr>
              <w:keepNext/>
              <w:keepLines/>
              <w:spacing w:after="60"/>
              <w:rPr>
                <w:b w:val="0"/>
                <w:lang w:val="en-US" w:eastAsia="ja-JP"/>
              </w:rPr>
            </w:pPr>
            <w:r>
              <w:rPr>
                <w:b w:val="0"/>
                <w:lang w:val="en-US" w:eastAsia="ja-JP"/>
              </w:rPr>
              <w:t xml:space="preserve">Age </w:t>
            </w:r>
            <w:r w:rsidRPr="004B26BE">
              <w:rPr>
                <w:b w:val="0"/>
                <w:lang w:val="en-US" w:eastAsia="ja-JP"/>
              </w:rPr>
              <w:t>Pension</w:t>
            </w:r>
            <w:r>
              <w:rPr>
                <w:b w:val="0"/>
                <w:lang w:val="en-US" w:eastAsia="ja-JP"/>
              </w:rPr>
              <w:br/>
              <w:t>Disability Support Pension</w:t>
            </w:r>
            <w:r w:rsidR="009970C9">
              <w:rPr>
                <w:b w:val="0"/>
                <w:lang w:val="en-US" w:eastAsia="ja-JP"/>
              </w:rPr>
              <w:br/>
            </w:r>
            <w:proofErr w:type="spellStart"/>
            <w:r w:rsidR="009970C9">
              <w:rPr>
                <w:b w:val="0"/>
                <w:lang w:val="en-US" w:eastAsia="ja-JP"/>
              </w:rPr>
              <w:t>Carer</w:t>
            </w:r>
            <w:proofErr w:type="spellEnd"/>
            <w:r w:rsidR="009970C9">
              <w:rPr>
                <w:b w:val="0"/>
                <w:lang w:val="en-US" w:eastAsia="ja-JP"/>
              </w:rPr>
              <w:t xml:space="preserve"> Payment</w:t>
            </w:r>
          </w:p>
        </w:tc>
        <w:tc>
          <w:tcPr>
            <w:tcW w:w="1361" w:type="dxa"/>
          </w:tcPr>
          <w:p w:rsidR="00BE561F" w:rsidRPr="004B26BE" w:rsidRDefault="00BE561F"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rPr>
                <w:lang w:val="en-US" w:eastAsia="ja-JP"/>
              </w:rPr>
            </w:pPr>
            <w:r w:rsidRPr="004B26BE">
              <w:t>$79</w:t>
            </w:r>
            <w:r>
              <w:t>5</w:t>
            </w:r>
            <w:r w:rsidRPr="004B26BE">
              <w:rPr>
                <w:lang w:val="en-US" w:eastAsia="ja-JP"/>
              </w:rPr>
              <w:t xml:space="preserve"> </w:t>
            </w:r>
          </w:p>
        </w:tc>
        <w:tc>
          <w:tcPr>
            <w:tcW w:w="1361" w:type="dxa"/>
          </w:tcPr>
          <w:p w:rsidR="00BE561F" w:rsidRPr="004B26BE" w:rsidRDefault="00BE561F"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pPr>
            <w:r>
              <w:t>Yes</w:t>
            </w:r>
          </w:p>
        </w:tc>
        <w:tc>
          <w:tcPr>
            <w:tcW w:w="1361" w:type="dxa"/>
          </w:tcPr>
          <w:p w:rsidR="00BE561F" w:rsidRPr="004B26BE" w:rsidRDefault="00BE561F"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pPr>
            <w:r>
              <w:t>Higher rate</w:t>
            </w:r>
          </w:p>
        </w:tc>
      </w:tr>
      <w:tr w:rsidR="00BE561F" w:rsidRPr="00AB392C" w:rsidTr="00944F2E">
        <w:trPr>
          <w:trHeight w:val="353"/>
        </w:trPr>
        <w:tc>
          <w:tcPr>
            <w:cnfStyle w:val="001000000000" w:firstRow="0" w:lastRow="0" w:firstColumn="1" w:lastColumn="0" w:oddVBand="0" w:evenVBand="0" w:oddHBand="0" w:evenHBand="0" w:firstRowFirstColumn="0" w:firstRowLastColumn="0" w:lastRowFirstColumn="0" w:lastRowLastColumn="0"/>
            <w:tcW w:w="3969" w:type="dxa"/>
          </w:tcPr>
          <w:p w:rsidR="00BE561F" w:rsidRPr="004B26BE" w:rsidRDefault="00BE561F" w:rsidP="00373118">
            <w:pPr>
              <w:keepNext/>
              <w:keepLines/>
              <w:spacing w:after="60"/>
              <w:rPr>
                <w:b w:val="0"/>
                <w:lang w:val="en-US" w:eastAsia="ja-JP"/>
              </w:rPr>
            </w:pPr>
            <w:r w:rsidRPr="004B26BE">
              <w:rPr>
                <w:b w:val="0"/>
                <w:lang w:val="en-US" w:eastAsia="ja-JP"/>
              </w:rPr>
              <w:t xml:space="preserve">Parenting Payment </w:t>
            </w:r>
            <w:r>
              <w:rPr>
                <w:b w:val="0"/>
                <w:lang w:val="en-US" w:eastAsia="ja-JP"/>
              </w:rPr>
              <w:t>- Single</w:t>
            </w:r>
          </w:p>
        </w:tc>
        <w:tc>
          <w:tcPr>
            <w:tcW w:w="1361" w:type="dxa"/>
          </w:tcPr>
          <w:p w:rsidR="00BE561F" w:rsidRPr="004B26BE" w:rsidRDefault="00BE561F" w:rsidP="00373118">
            <w:pPr>
              <w:keepNext/>
              <w:keepLines/>
              <w:spacing w:after="60"/>
              <w:jc w:val="center"/>
              <w:cnfStyle w:val="000000000000" w:firstRow="0" w:lastRow="0" w:firstColumn="0" w:lastColumn="0" w:oddVBand="0" w:evenVBand="0" w:oddHBand="0" w:evenHBand="0" w:firstRowFirstColumn="0" w:firstRowLastColumn="0" w:lastRowFirstColumn="0" w:lastRowLastColumn="0"/>
              <w:rPr>
                <w:lang w:val="en-US" w:eastAsia="ja-JP"/>
              </w:rPr>
            </w:pPr>
            <w:r w:rsidRPr="004B26BE">
              <w:rPr>
                <w:lang w:val="en-US" w:eastAsia="ja-JP"/>
              </w:rPr>
              <w:t>$</w:t>
            </w:r>
            <w:r>
              <w:rPr>
                <w:lang w:val="en-US" w:eastAsia="ja-JP"/>
              </w:rPr>
              <w:t>737</w:t>
            </w:r>
          </w:p>
        </w:tc>
        <w:tc>
          <w:tcPr>
            <w:tcW w:w="1361" w:type="dxa"/>
          </w:tcPr>
          <w:p w:rsidR="00BE561F" w:rsidRPr="004B26BE" w:rsidRDefault="00BE561F" w:rsidP="00373118">
            <w:pPr>
              <w:keepNext/>
              <w:keepLines/>
              <w:spacing w:after="60"/>
              <w:jc w:val="cente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Yes</w:t>
            </w:r>
          </w:p>
        </w:tc>
        <w:tc>
          <w:tcPr>
            <w:tcW w:w="1361" w:type="dxa"/>
          </w:tcPr>
          <w:p w:rsidR="00BE561F" w:rsidRPr="004B26BE" w:rsidRDefault="00BE561F" w:rsidP="00373118">
            <w:pPr>
              <w:keepNext/>
              <w:keepLines/>
              <w:spacing w:after="60"/>
              <w:jc w:val="cente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Basic rate</w:t>
            </w:r>
            <w:r>
              <w:rPr>
                <w:lang w:val="en-US" w:eastAsia="ja-JP"/>
              </w:rPr>
              <w:br/>
              <w:t xml:space="preserve">(+ </w:t>
            </w:r>
            <w:proofErr w:type="spellStart"/>
            <w:r>
              <w:rPr>
                <w:lang w:val="en-US" w:eastAsia="ja-JP"/>
              </w:rPr>
              <w:t>Supp</w:t>
            </w:r>
            <w:proofErr w:type="spellEnd"/>
            <w:r>
              <w:rPr>
                <w:lang w:val="en-US" w:eastAsia="ja-JP"/>
              </w:rPr>
              <w:t>)</w:t>
            </w:r>
          </w:p>
        </w:tc>
      </w:tr>
      <w:tr w:rsidR="00BE561F" w:rsidRPr="00AB392C" w:rsidTr="00944F2E">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3969" w:type="dxa"/>
          </w:tcPr>
          <w:p w:rsidR="00BE561F" w:rsidRPr="004B26BE" w:rsidRDefault="00BE561F" w:rsidP="00373118">
            <w:pPr>
              <w:keepNext/>
              <w:keepLines/>
              <w:spacing w:after="60"/>
              <w:rPr>
                <w:b w:val="0"/>
                <w:lang w:val="en-US" w:eastAsia="ja-JP"/>
              </w:rPr>
            </w:pPr>
            <w:r w:rsidRPr="004B26BE">
              <w:rPr>
                <w:b w:val="0"/>
                <w:lang w:val="en-US" w:eastAsia="ja-JP"/>
              </w:rPr>
              <w:t xml:space="preserve">Newstart Allowance </w:t>
            </w:r>
            <w:r>
              <w:rPr>
                <w:b w:val="0"/>
                <w:lang w:val="en-US" w:eastAsia="ja-JP"/>
              </w:rPr>
              <w:t xml:space="preserve">– Single parent, principal child </w:t>
            </w:r>
            <w:proofErr w:type="spellStart"/>
            <w:r>
              <w:rPr>
                <w:b w:val="0"/>
                <w:lang w:val="en-US" w:eastAsia="ja-JP"/>
              </w:rPr>
              <w:t>carer</w:t>
            </w:r>
            <w:proofErr w:type="spellEnd"/>
          </w:p>
        </w:tc>
        <w:tc>
          <w:tcPr>
            <w:tcW w:w="1361" w:type="dxa"/>
          </w:tcPr>
          <w:p w:rsidR="00BE561F" w:rsidRPr="004B26BE" w:rsidRDefault="00BE561F"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rPr>
                <w:lang w:val="en-US" w:eastAsia="ja-JP"/>
              </w:rPr>
            </w:pPr>
            <w:r w:rsidRPr="004B26BE">
              <w:t>$57</w:t>
            </w:r>
            <w:r>
              <w:t>1</w:t>
            </w:r>
          </w:p>
        </w:tc>
        <w:tc>
          <w:tcPr>
            <w:tcW w:w="1361" w:type="dxa"/>
          </w:tcPr>
          <w:p w:rsidR="00BE561F" w:rsidRPr="004B26BE" w:rsidRDefault="00BE561F"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pPr>
            <w:r>
              <w:t>Yes</w:t>
            </w:r>
          </w:p>
        </w:tc>
        <w:tc>
          <w:tcPr>
            <w:tcW w:w="1361" w:type="dxa"/>
          </w:tcPr>
          <w:p w:rsidR="00BE561F" w:rsidRPr="004B26BE" w:rsidRDefault="00BE561F"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pPr>
            <w:r>
              <w:t>Basic Rate</w:t>
            </w:r>
          </w:p>
        </w:tc>
      </w:tr>
      <w:tr w:rsidR="00BE561F" w:rsidRPr="00AB392C" w:rsidTr="00944F2E">
        <w:trPr>
          <w:trHeight w:val="643"/>
        </w:trPr>
        <w:tc>
          <w:tcPr>
            <w:cnfStyle w:val="001000000000" w:firstRow="0" w:lastRow="0" w:firstColumn="1" w:lastColumn="0" w:oddVBand="0" w:evenVBand="0" w:oddHBand="0" w:evenHBand="0" w:firstRowFirstColumn="0" w:firstRowLastColumn="0" w:lastRowFirstColumn="0" w:lastRowLastColumn="0"/>
            <w:tcW w:w="3969" w:type="dxa"/>
          </w:tcPr>
          <w:p w:rsidR="00BE561F" w:rsidRPr="004B26BE" w:rsidRDefault="00BE561F" w:rsidP="00373118">
            <w:pPr>
              <w:keepNext/>
              <w:keepLines/>
              <w:spacing w:after="60"/>
              <w:rPr>
                <w:b w:val="0"/>
                <w:lang w:val="en-US" w:eastAsia="ja-JP"/>
              </w:rPr>
            </w:pPr>
            <w:r w:rsidRPr="004B26BE">
              <w:rPr>
                <w:b w:val="0"/>
                <w:lang w:val="en-US" w:eastAsia="ja-JP"/>
              </w:rPr>
              <w:t>Youth Allowance</w:t>
            </w:r>
            <w:r>
              <w:rPr>
                <w:b w:val="0"/>
                <w:lang w:val="en-US" w:eastAsia="ja-JP"/>
              </w:rPr>
              <w:t xml:space="preserve"> – Single parent, principal child </w:t>
            </w:r>
            <w:proofErr w:type="spellStart"/>
            <w:r>
              <w:rPr>
                <w:b w:val="0"/>
                <w:lang w:val="en-US" w:eastAsia="ja-JP"/>
              </w:rPr>
              <w:t>carer</w:t>
            </w:r>
            <w:proofErr w:type="spellEnd"/>
          </w:p>
        </w:tc>
        <w:tc>
          <w:tcPr>
            <w:tcW w:w="1361" w:type="dxa"/>
          </w:tcPr>
          <w:p w:rsidR="00BE561F" w:rsidRPr="004B26BE" w:rsidRDefault="00BE561F" w:rsidP="00373118">
            <w:pPr>
              <w:keepNext/>
              <w:keepLines/>
              <w:spacing w:after="60"/>
              <w:jc w:val="center"/>
              <w:cnfStyle w:val="000000000000" w:firstRow="0" w:lastRow="0" w:firstColumn="0" w:lastColumn="0" w:oddVBand="0" w:evenVBand="0" w:oddHBand="0" w:evenHBand="0" w:firstRowFirstColumn="0" w:firstRowLastColumn="0" w:lastRowFirstColumn="0" w:lastRowLastColumn="0"/>
              <w:rPr>
                <w:lang w:val="en-US" w:eastAsia="ja-JP"/>
              </w:rPr>
            </w:pPr>
            <w:r w:rsidRPr="004B26BE">
              <w:t>$56</w:t>
            </w:r>
            <w:r>
              <w:t>8</w:t>
            </w:r>
          </w:p>
        </w:tc>
        <w:tc>
          <w:tcPr>
            <w:tcW w:w="1361" w:type="dxa"/>
          </w:tcPr>
          <w:p w:rsidR="00BE561F" w:rsidRPr="004B26BE" w:rsidRDefault="00BE561F" w:rsidP="00373118">
            <w:pPr>
              <w:keepNext/>
              <w:keepLines/>
              <w:spacing w:after="60"/>
              <w:jc w:val="center"/>
              <w:cnfStyle w:val="000000000000" w:firstRow="0" w:lastRow="0" w:firstColumn="0" w:lastColumn="0" w:oddVBand="0" w:evenVBand="0" w:oddHBand="0" w:evenHBand="0" w:firstRowFirstColumn="0" w:firstRowLastColumn="0" w:lastRowFirstColumn="0" w:lastRowLastColumn="0"/>
            </w:pPr>
            <w:r>
              <w:t>Yes</w:t>
            </w:r>
          </w:p>
        </w:tc>
        <w:tc>
          <w:tcPr>
            <w:tcW w:w="1361" w:type="dxa"/>
          </w:tcPr>
          <w:p w:rsidR="00BE561F" w:rsidRPr="004B26BE" w:rsidRDefault="00BE561F" w:rsidP="00373118">
            <w:pPr>
              <w:keepNext/>
              <w:keepLines/>
              <w:spacing w:after="60"/>
              <w:jc w:val="center"/>
              <w:cnfStyle w:val="000000000000" w:firstRow="0" w:lastRow="0" w:firstColumn="0" w:lastColumn="0" w:oddVBand="0" w:evenVBand="0" w:oddHBand="0" w:evenHBand="0" w:firstRowFirstColumn="0" w:firstRowLastColumn="0" w:lastRowFirstColumn="0" w:lastRowLastColumn="0"/>
            </w:pPr>
            <w:r>
              <w:t>Basic Rate</w:t>
            </w:r>
          </w:p>
        </w:tc>
      </w:tr>
      <w:tr w:rsidR="00BE561F" w:rsidRPr="00AB392C" w:rsidTr="00944F2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969" w:type="dxa"/>
          </w:tcPr>
          <w:p w:rsidR="00BE561F" w:rsidRPr="004B26BE" w:rsidRDefault="00BE561F" w:rsidP="00373118">
            <w:pPr>
              <w:keepNext/>
              <w:keepLines/>
              <w:spacing w:after="60"/>
              <w:rPr>
                <w:b w:val="0"/>
                <w:lang w:val="en-US" w:eastAsia="ja-JP"/>
              </w:rPr>
            </w:pPr>
            <w:r w:rsidRPr="004B26BE">
              <w:rPr>
                <w:b w:val="0"/>
                <w:lang w:val="en-US" w:eastAsia="ja-JP"/>
              </w:rPr>
              <w:t xml:space="preserve">Newstart </w:t>
            </w:r>
            <w:r>
              <w:rPr>
                <w:b w:val="0"/>
                <w:lang w:val="en-US" w:eastAsia="ja-JP"/>
              </w:rPr>
              <w:t>– Single, u</w:t>
            </w:r>
            <w:r w:rsidRPr="004B26BE">
              <w:rPr>
                <w:b w:val="0"/>
                <w:lang w:val="en-US" w:eastAsia="ja-JP"/>
              </w:rPr>
              <w:t xml:space="preserve">nder </w:t>
            </w:r>
            <w:r>
              <w:rPr>
                <w:b w:val="0"/>
                <w:lang w:val="en-US" w:eastAsia="ja-JP"/>
              </w:rPr>
              <w:t>60, no children,</w:t>
            </w:r>
            <w:r w:rsidR="005B4E77">
              <w:rPr>
                <w:b w:val="0"/>
                <w:lang w:val="en-US" w:eastAsia="ja-JP"/>
              </w:rPr>
              <w:t xml:space="preserve"> </w:t>
            </w:r>
            <w:r w:rsidRPr="004B26BE">
              <w:rPr>
                <w:b w:val="0"/>
                <w:lang w:val="en-US" w:eastAsia="ja-JP"/>
              </w:rPr>
              <w:t>full capacity to work or study</w:t>
            </w:r>
          </w:p>
        </w:tc>
        <w:tc>
          <w:tcPr>
            <w:tcW w:w="1361" w:type="dxa"/>
          </w:tcPr>
          <w:p w:rsidR="00BE561F" w:rsidRPr="004B26BE" w:rsidRDefault="00BE561F"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pPr>
            <w:r>
              <w:t>$528</w:t>
            </w:r>
          </w:p>
          <w:p w:rsidR="00BE561F" w:rsidRPr="004B26BE" w:rsidRDefault="00BE561F"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rPr>
                <w:lang w:val="en-US" w:eastAsia="ja-JP"/>
              </w:rPr>
            </w:pPr>
          </w:p>
        </w:tc>
        <w:tc>
          <w:tcPr>
            <w:tcW w:w="1361" w:type="dxa"/>
          </w:tcPr>
          <w:p w:rsidR="00BE561F" w:rsidRDefault="00BE561F"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pPr>
            <w:r>
              <w:t>No</w:t>
            </w:r>
          </w:p>
        </w:tc>
        <w:tc>
          <w:tcPr>
            <w:tcW w:w="1361" w:type="dxa"/>
          </w:tcPr>
          <w:p w:rsidR="00BE561F" w:rsidRDefault="005B4E77"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pPr>
            <w:r>
              <w:t>-</w:t>
            </w:r>
          </w:p>
        </w:tc>
      </w:tr>
      <w:tr w:rsidR="009970C9" w:rsidRPr="00AB392C" w:rsidTr="00944F2E">
        <w:trPr>
          <w:trHeight w:val="353"/>
        </w:trPr>
        <w:tc>
          <w:tcPr>
            <w:cnfStyle w:val="001000000000" w:firstRow="0" w:lastRow="0" w:firstColumn="1" w:lastColumn="0" w:oddVBand="0" w:evenVBand="0" w:oddHBand="0" w:evenHBand="0" w:firstRowFirstColumn="0" w:firstRowLastColumn="0" w:lastRowFirstColumn="0" w:lastRowLastColumn="0"/>
            <w:tcW w:w="3969" w:type="dxa"/>
          </w:tcPr>
          <w:p w:rsidR="009970C9" w:rsidRPr="00BE561F" w:rsidRDefault="009970C9" w:rsidP="00373118">
            <w:pPr>
              <w:keepNext/>
              <w:keepLines/>
              <w:spacing w:after="60"/>
              <w:rPr>
                <w:b w:val="0"/>
                <w:lang w:val="en-US" w:eastAsia="ja-JP"/>
              </w:rPr>
            </w:pPr>
            <w:r>
              <w:rPr>
                <w:b w:val="0"/>
                <w:lang w:val="en-US" w:eastAsia="ja-JP"/>
              </w:rPr>
              <w:t>Parenting Payment - Partnered</w:t>
            </w:r>
          </w:p>
        </w:tc>
        <w:tc>
          <w:tcPr>
            <w:tcW w:w="1361" w:type="dxa"/>
          </w:tcPr>
          <w:p w:rsidR="009970C9" w:rsidRPr="004B26BE" w:rsidRDefault="009970C9" w:rsidP="00373118">
            <w:pPr>
              <w:keepNext/>
              <w:keepLines/>
              <w:spacing w:after="60"/>
              <w:jc w:val="cente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$476</w:t>
            </w:r>
          </w:p>
        </w:tc>
        <w:tc>
          <w:tcPr>
            <w:tcW w:w="1361" w:type="dxa"/>
          </w:tcPr>
          <w:p w:rsidR="009970C9" w:rsidRPr="004B26BE" w:rsidRDefault="009970C9" w:rsidP="00373118">
            <w:pPr>
              <w:keepNext/>
              <w:keepLines/>
              <w:spacing w:after="60"/>
              <w:jc w:val="cente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Limited</w:t>
            </w:r>
          </w:p>
        </w:tc>
        <w:tc>
          <w:tcPr>
            <w:tcW w:w="1361" w:type="dxa"/>
          </w:tcPr>
          <w:p w:rsidR="009970C9" w:rsidRPr="004B26BE" w:rsidRDefault="009970C9" w:rsidP="00373118">
            <w:pPr>
              <w:keepNext/>
              <w:keepLines/>
              <w:spacing w:after="60"/>
              <w:jc w:val="cente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Basic Rate</w:t>
            </w:r>
            <w:r>
              <w:rPr>
                <w:lang w:val="en-US" w:eastAsia="ja-JP"/>
              </w:rPr>
              <w:br/>
            </w:r>
          </w:p>
        </w:tc>
      </w:tr>
      <w:tr w:rsidR="00BE561F" w:rsidRPr="00AB392C" w:rsidTr="00944F2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69" w:type="dxa"/>
          </w:tcPr>
          <w:p w:rsidR="00BE561F" w:rsidRPr="004B26BE" w:rsidRDefault="00BE561F" w:rsidP="00373118">
            <w:pPr>
              <w:keepNext/>
              <w:keepLines/>
              <w:spacing w:after="60"/>
              <w:rPr>
                <w:b w:val="0"/>
                <w:lang w:val="en-US" w:eastAsia="ja-JP"/>
              </w:rPr>
            </w:pPr>
            <w:r w:rsidRPr="004B26BE">
              <w:rPr>
                <w:b w:val="0"/>
                <w:lang w:val="en-US" w:eastAsia="ja-JP"/>
              </w:rPr>
              <w:t xml:space="preserve">Youth Allowance </w:t>
            </w:r>
            <w:r>
              <w:rPr>
                <w:b w:val="0"/>
                <w:lang w:val="en-US" w:eastAsia="ja-JP"/>
              </w:rPr>
              <w:t>– single, away from home and full capacity to work/</w:t>
            </w:r>
            <w:r w:rsidRPr="004B26BE">
              <w:rPr>
                <w:b w:val="0"/>
                <w:lang w:val="en-US" w:eastAsia="ja-JP"/>
              </w:rPr>
              <w:t>study</w:t>
            </w:r>
          </w:p>
        </w:tc>
        <w:tc>
          <w:tcPr>
            <w:tcW w:w="1361" w:type="dxa"/>
          </w:tcPr>
          <w:p w:rsidR="00BE561F" w:rsidRPr="004B26BE" w:rsidRDefault="00BE561F"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pPr>
            <w:r w:rsidRPr="004B26BE">
              <w:t>$433</w:t>
            </w:r>
          </w:p>
        </w:tc>
        <w:tc>
          <w:tcPr>
            <w:tcW w:w="1361" w:type="dxa"/>
          </w:tcPr>
          <w:p w:rsidR="00BE561F" w:rsidRPr="004B26BE" w:rsidRDefault="00BE561F"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pPr>
            <w:r>
              <w:t>No</w:t>
            </w:r>
          </w:p>
        </w:tc>
        <w:tc>
          <w:tcPr>
            <w:tcW w:w="1361" w:type="dxa"/>
          </w:tcPr>
          <w:p w:rsidR="00BE561F" w:rsidRPr="004B26BE" w:rsidRDefault="005B4E77"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pPr>
            <w:r>
              <w:t>-</w:t>
            </w:r>
          </w:p>
        </w:tc>
      </w:tr>
    </w:tbl>
    <w:p w:rsidR="00894E22" w:rsidRDefault="00894E22" w:rsidP="00B72325">
      <w:pPr>
        <w:jc w:val="center"/>
      </w:pPr>
      <w:r>
        <w:rPr>
          <w:sz w:val="18"/>
        </w:rPr>
        <w:t xml:space="preserve">Source: </w:t>
      </w:r>
      <w:sdt>
        <w:sdtPr>
          <w:rPr>
            <w:sz w:val="18"/>
          </w:rPr>
          <w:id w:val="1194346878"/>
          <w:citation/>
        </w:sdtPr>
        <w:sdtContent>
          <w:r w:rsidR="00C907D6">
            <w:rPr>
              <w:sz w:val="18"/>
            </w:rPr>
            <w:fldChar w:fldCharType="begin"/>
          </w:r>
          <w:r w:rsidR="009970C9">
            <w:rPr>
              <w:sz w:val="18"/>
            </w:rPr>
            <w:instrText xml:space="preserve"> CITATION Cen16 \l 3081 </w:instrText>
          </w:r>
          <w:r w:rsidR="00C907D6">
            <w:rPr>
              <w:sz w:val="18"/>
            </w:rPr>
            <w:fldChar w:fldCharType="separate"/>
          </w:r>
          <w:r w:rsidR="000D79D7" w:rsidRPr="000D79D7">
            <w:rPr>
              <w:noProof/>
              <w:sz w:val="18"/>
            </w:rPr>
            <w:t>(Centrelink, 2016)</w:t>
          </w:r>
          <w:r w:rsidR="00C907D6">
            <w:rPr>
              <w:sz w:val="18"/>
            </w:rPr>
            <w:fldChar w:fldCharType="end"/>
          </w:r>
        </w:sdtContent>
      </w:sdt>
    </w:p>
    <w:p w:rsidR="00676E6D" w:rsidRDefault="00BE561F" w:rsidP="00B72325">
      <w:r>
        <w:t xml:space="preserve">There seems little justification </w:t>
      </w:r>
      <w:r w:rsidR="009970C9">
        <w:t xml:space="preserve">for this allocation </w:t>
      </w:r>
      <w:r>
        <w:t>in telecommunication</w:t>
      </w:r>
      <w:r w:rsidR="009E5246">
        <w:t>s</w:t>
      </w:r>
      <w:r>
        <w:t xml:space="preserve"> usage patterns. As noted earlier, Aged Pensioners and those on DSP had the </w:t>
      </w:r>
      <w:r w:rsidR="009970C9">
        <w:t>fewest</w:t>
      </w:r>
      <w:r>
        <w:t xml:space="preserve"> devices per household.  Further, as</w:t>
      </w:r>
      <w:r w:rsidR="005B4E77">
        <w:t xml:space="preserve"> </w:t>
      </w:r>
      <w:r w:rsidR="005B4E77">
        <w:fldChar w:fldCharType="begin"/>
      </w:r>
      <w:r w:rsidR="005B4E77">
        <w:instrText xml:space="preserve"> REF _Ref464126853 \h </w:instrText>
      </w:r>
      <w:r w:rsidR="005B4E77">
        <w:fldChar w:fldCharType="separate"/>
      </w:r>
      <w:r w:rsidR="002F60EE">
        <w:t xml:space="preserve">Table </w:t>
      </w:r>
      <w:r w:rsidR="002F60EE">
        <w:rPr>
          <w:noProof/>
        </w:rPr>
        <w:t>4</w:t>
      </w:r>
      <w:r w:rsidR="005B4E77">
        <w:fldChar w:fldCharType="end"/>
      </w:r>
      <w:r>
        <w:t xml:space="preserve"> below shows, a higher propor</w:t>
      </w:r>
      <w:r w:rsidR="005B4E77">
        <w:t xml:space="preserve">tion of the three payment type recipients </w:t>
      </w:r>
      <w:r>
        <w:t>who universally attract the CTA (and at the highest rate) spend less than $60 per month on landlines, mobiles and the internet</w:t>
      </w:r>
      <w:r w:rsidR="009970C9">
        <w:t xml:space="preserve"> (when they have them)</w:t>
      </w:r>
      <w:r>
        <w:t xml:space="preserve"> than the other categories of inco</w:t>
      </w:r>
      <w:r w:rsidR="009970C9">
        <w:t>me support recipients who may not receive the CTA or only receive it</w:t>
      </w:r>
      <w:r>
        <w:t xml:space="preserve"> at the lower rate. </w:t>
      </w:r>
      <w:r w:rsidR="00387CB7">
        <w:t xml:space="preserve"> </w:t>
      </w:r>
      <w:r>
        <w:t>Finally, those on Youth Allowance, which has the lowest base rate and the most limited access to CTA, have the highest rates of people spending more than $60 per month on telecommunications (the inverse of the right-hand column).</w:t>
      </w:r>
      <w:r w:rsidR="009970C9">
        <w:t xml:space="preserve"> </w:t>
      </w:r>
    </w:p>
    <w:p w:rsidR="00BE561F" w:rsidRDefault="00BE561F" w:rsidP="00373118">
      <w:pPr>
        <w:pStyle w:val="Caption"/>
        <w:keepNext/>
        <w:keepLines/>
      </w:pPr>
      <w:bookmarkStart w:id="62" w:name="_Ref464126853"/>
      <w:bookmarkStart w:id="63" w:name="_Toc458979643"/>
      <w:bookmarkStart w:id="64" w:name="_Toc465151875"/>
      <w:bookmarkStart w:id="65" w:name="_Toc465167615"/>
      <w:r>
        <w:lastRenderedPageBreak/>
        <w:t xml:space="preserve">Table </w:t>
      </w:r>
      <w:r w:rsidR="002F60EE">
        <w:fldChar w:fldCharType="begin"/>
      </w:r>
      <w:r w:rsidR="002F60EE">
        <w:instrText xml:space="preserve"> SEQ Table \* ARABIC </w:instrText>
      </w:r>
      <w:r w:rsidR="002F60EE">
        <w:fldChar w:fldCharType="separate"/>
      </w:r>
      <w:r w:rsidR="002F60EE">
        <w:rPr>
          <w:noProof/>
        </w:rPr>
        <w:t>4</w:t>
      </w:r>
      <w:r w:rsidR="002F60EE">
        <w:rPr>
          <w:noProof/>
        </w:rPr>
        <w:fldChar w:fldCharType="end"/>
      </w:r>
      <w:bookmarkEnd w:id="62"/>
      <w:r>
        <w:t xml:space="preserve">: Telecommunication </w:t>
      </w:r>
      <w:r w:rsidR="005B4E77">
        <w:t>c</w:t>
      </w:r>
      <w:r>
        <w:t>osts, by payment type</w:t>
      </w:r>
      <w:bookmarkEnd w:id="63"/>
      <w:bookmarkEnd w:id="64"/>
      <w:bookmarkEnd w:id="65"/>
    </w:p>
    <w:tbl>
      <w:tblPr>
        <w:tblStyle w:val="LightList-Accent1"/>
        <w:tblW w:w="882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Description w:val="Percentage of respondents spending less than $60 per month"/>
      </w:tblPr>
      <w:tblGrid>
        <w:gridCol w:w="2891"/>
        <w:gridCol w:w="989"/>
        <w:gridCol w:w="989"/>
        <w:gridCol w:w="989"/>
        <w:gridCol w:w="989"/>
        <w:gridCol w:w="989"/>
        <w:gridCol w:w="989"/>
      </w:tblGrid>
      <w:tr w:rsidR="00BE561F" w:rsidRPr="00BE561F" w:rsidTr="00EF3B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91" w:type="dxa"/>
            <w:tcBorders>
              <w:top w:val="single" w:sz="4" w:space="0" w:color="4F81BD" w:themeColor="accent1"/>
              <w:left w:val="single" w:sz="4" w:space="0" w:color="4F81BD" w:themeColor="accent1"/>
            </w:tcBorders>
          </w:tcPr>
          <w:p w:rsidR="00BE561F" w:rsidRPr="00BE561F" w:rsidRDefault="00BE561F" w:rsidP="00373118">
            <w:pPr>
              <w:keepNext/>
              <w:keepLines/>
              <w:spacing w:after="60"/>
              <w:rPr>
                <w:bCs w:val="0"/>
                <w:color w:val="FFFFFF"/>
                <w:lang w:val="en-US" w:eastAsia="ja-JP"/>
              </w:rPr>
            </w:pPr>
          </w:p>
        </w:tc>
        <w:tc>
          <w:tcPr>
            <w:tcW w:w="5934" w:type="dxa"/>
            <w:gridSpan w:val="6"/>
            <w:tcBorders>
              <w:top w:val="single" w:sz="4" w:space="0" w:color="4F81BD" w:themeColor="accent1"/>
              <w:bottom w:val="single" w:sz="4" w:space="0" w:color="4F81BD" w:themeColor="accent1"/>
              <w:right w:val="single" w:sz="4" w:space="0" w:color="4F81BD" w:themeColor="accent1"/>
            </w:tcBorders>
          </w:tcPr>
          <w:p w:rsidR="00BE561F" w:rsidRDefault="00BE561F" w:rsidP="00373118">
            <w:pPr>
              <w:keepNext/>
              <w:keepLines/>
              <w:spacing w:after="60"/>
              <w:jc w:val="center"/>
              <w:cnfStyle w:val="100000000000" w:firstRow="1" w:lastRow="0" w:firstColumn="0" w:lastColumn="0" w:oddVBand="0" w:evenVBand="0" w:oddHBand="0" w:evenHBand="0" w:firstRowFirstColumn="0" w:firstRowLastColumn="0" w:lastRowFirstColumn="0" w:lastRowLastColumn="0"/>
              <w:rPr>
                <w:color w:val="FFFFFF"/>
                <w:lang w:val="en-US" w:eastAsia="ja-JP"/>
              </w:rPr>
            </w:pPr>
            <w:r>
              <w:rPr>
                <w:color w:val="FFFFFF"/>
                <w:lang w:val="en-US" w:eastAsia="ja-JP"/>
              </w:rPr>
              <w:t>% spending less than $60 per month</w:t>
            </w:r>
          </w:p>
        </w:tc>
      </w:tr>
      <w:tr w:rsidR="00BE561F" w:rsidRPr="00BE561F" w:rsidTr="00EF3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1" w:type="dxa"/>
            <w:tcBorders>
              <w:top w:val="none" w:sz="0" w:space="0" w:color="auto"/>
              <w:left w:val="single" w:sz="4" w:space="0" w:color="4F81BD" w:themeColor="accent1"/>
              <w:bottom w:val="single" w:sz="4" w:space="0" w:color="4F81BD" w:themeColor="accent1"/>
            </w:tcBorders>
            <w:shd w:val="clear" w:color="auto" w:fill="4F81BD" w:themeFill="accent1"/>
          </w:tcPr>
          <w:p w:rsidR="00BE561F" w:rsidRPr="00BE561F" w:rsidRDefault="00BE561F" w:rsidP="00373118">
            <w:pPr>
              <w:keepNext/>
              <w:keepLines/>
              <w:spacing w:after="60"/>
              <w:rPr>
                <w:bCs w:val="0"/>
                <w:color w:val="FFFFFF"/>
                <w:lang w:val="en-US" w:eastAsia="ja-JP"/>
              </w:rPr>
            </w:pPr>
            <w:r w:rsidRPr="00BE561F">
              <w:rPr>
                <w:bCs w:val="0"/>
                <w:color w:val="FFFFFF"/>
                <w:lang w:val="en-US" w:eastAsia="ja-JP"/>
              </w:rPr>
              <w:t>Ongoing Telecommunication Cost</w:t>
            </w:r>
          </w:p>
        </w:tc>
        <w:tc>
          <w:tcPr>
            <w:tcW w:w="989" w:type="dxa"/>
            <w:tcBorders>
              <w:top w:val="single" w:sz="4" w:space="0" w:color="4F81BD" w:themeColor="accent1"/>
              <w:bottom w:val="single" w:sz="4" w:space="0" w:color="4F81BD" w:themeColor="accent1"/>
            </w:tcBorders>
            <w:shd w:val="clear" w:color="auto" w:fill="4F81BD" w:themeFill="accent1"/>
          </w:tcPr>
          <w:p w:rsidR="00BE561F" w:rsidRPr="00BE561F" w:rsidRDefault="00BE561F"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rPr>
                <w:b/>
                <w:bCs/>
                <w:color w:val="FFFFFF"/>
                <w:lang w:val="en-US" w:eastAsia="ja-JP"/>
              </w:rPr>
            </w:pPr>
            <w:r w:rsidRPr="00BE561F">
              <w:rPr>
                <w:b/>
                <w:bCs/>
                <w:color w:val="FFFFFF"/>
                <w:lang w:val="en-US" w:eastAsia="ja-JP"/>
              </w:rPr>
              <w:t xml:space="preserve">Age </w:t>
            </w:r>
            <w:r w:rsidRPr="00BE561F">
              <w:rPr>
                <w:b/>
                <w:bCs/>
                <w:color w:val="FFFFFF"/>
                <w:spacing w:val="-20"/>
                <w:lang w:val="en-US" w:eastAsia="ja-JP"/>
              </w:rPr>
              <w:t>Pension</w:t>
            </w:r>
          </w:p>
        </w:tc>
        <w:tc>
          <w:tcPr>
            <w:tcW w:w="989" w:type="dxa"/>
            <w:tcBorders>
              <w:top w:val="single" w:sz="4" w:space="0" w:color="4F81BD" w:themeColor="accent1"/>
              <w:bottom w:val="single" w:sz="4" w:space="0" w:color="4F81BD" w:themeColor="accent1"/>
            </w:tcBorders>
            <w:shd w:val="clear" w:color="auto" w:fill="4F81BD" w:themeFill="accent1"/>
          </w:tcPr>
          <w:p w:rsidR="00BE561F" w:rsidRPr="00BE561F" w:rsidRDefault="00BE561F"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rPr>
                <w:b/>
                <w:color w:val="FFFFFF"/>
                <w:lang w:val="en-US" w:eastAsia="ja-JP"/>
              </w:rPr>
            </w:pPr>
            <w:r w:rsidRPr="00BE561F">
              <w:rPr>
                <w:b/>
                <w:color w:val="FFFFFF"/>
                <w:lang w:val="en-US" w:eastAsia="ja-JP"/>
              </w:rPr>
              <w:t>DSP</w:t>
            </w:r>
          </w:p>
        </w:tc>
        <w:tc>
          <w:tcPr>
            <w:tcW w:w="989" w:type="dxa"/>
            <w:tcBorders>
              <w:top w:val="single" w:sz="4" w:space="0" w:color="4F81BD" w:themeColor="accent1"/>
              <w:bottom w:val="single" w:sz="4" w:space="0" w:color="4F81BD" w:themeColor="accent1"/>
            </w:tcBorders>
            <w:shd w:val="clear" w:color="auto" w:fill="4F81BD" w:themeFill="accent1"/>
          </w:tcPr>
          <w:p w:rsidR="00BE561F" w:rsidRPr="00BE561F" w:rsidRDefault="00BE561F"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rPr>
                <w:b/>
                <w:color w:val="FFFFFF"/>
                <w:lang w:val="en-US" w:eastAsia="ja-JP"/>
              </w:rPr>
            </w:pPr>
            <w:proofErr w:type="spellStart"/>
            <w:r w:rsidRPr="00BE561F">
              <w:rPr>
                <w:b/>
                <w:color w:val="FFFFFF"/>
                <w:lang w:val="en-US" w:eastAsia="ja-JP"/>
              </w:rPr>
              <w:t>Carer</w:t>
            </w:r>
            <w:proofErr w:type="spellEnd"/>
          </w:p>
        </w:tc>
        <w:tc>
          <w:tcPr>
            <w:tcW w:w="989" w:type="dxa"/>
            <w:tcBorders>
              <w:top w:val="single" w:sz="4" w:space="0" w:color="4F81BD" w:themeColor="accent1"/>
              <w:bottom w:val="single" w:sz="4" w:space="0" w:color="4F81BD" w:themeColor="accent1"/>
            </w:tcBorders>
            <w:shd w:val="clear" w:color="auto" w:fill="4F81BD" w:themeFill="accent1"/>
          </w:tcPr>
          <w:p w:rsidR="00BE561F" w:rsidRPr="00BE561F" w:rsidRDefault="00BE561F"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rPr>
                <w:b/>
                <w:color w:val="FFFFFF"/>
                <w:lang w:val="en-US" w:eastAsia="ja-JP"/>
              </w:rPr>
            </w:pPr>
            <w:r w:rsidRPr="00BE561F">
              <w:rPr>
                <w:b/>
                <w:color w:val="FFFFFF"/>
                <w:lang w:val="en-US" w:eastAsia="ja-JP"/>
              </w:rPr>
              <w:t xml:space="preserve">Parent </w:t>
            </w:r>
            <w:proofErr w:type="spellStart"/>
            <w:r w:rsidRPr="00BE561F">
              <w:rPr>
                <w:b/>
                <w:color w:val="FFFFFF"/>
                <w:lang w:val="en-US" w:eastAsia="ja-JP"/>
              </w:rPr>
              <w:t>Paymt</w:t>
            </w:r>
            <w:proofErr w:type="spellEnd"/>
          </w:p>
        </w:tc>
        <w:tc>
          <w:tcPr>
            <w:tcW w:w="989" w:type="dxa"/>
            <w:tcBorders>
              <w:top w:val="single" w:sz="4" w:space="0" w:color="4F81BD" w:themeColor="accent1"/>
              <w:bottom w:val="single" w:sz="4" w:space="0" w:color="4F81BD" w:themeColor="accent1"/>
            </w:tcBorders>
            <w:shd w:val="clear" w:color="auto" w:fill="4F81BD" w:themeFill="accent1"/>
          </w:tcPr>
          <w:p w:rsidR="00BE561F" w:rsidRPr="00BE561F" w:rsidRDefault="00BE561F"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rPr>
                <w:b/>
                <w:color w:val="FFFFFF"/>
                <w:lang w:val="en-US" w:eastAsia="ja-JP"/>
              </w:rPr>
            </w:pPr>
            <w:r w:rsidRPr="00BE561F">
              <w:rPr>
                <w:b/>
                <w:color w:val="FFFFFF"/>
                <w:lang w:val="en-US" w:eastAsia="ja-JP"/>
              </w:rPr>
              <w:t>New-start</w:t>
            </w:r>
          </w:p>
        </w:tc>
        <w:tc>
          <w:tcPr>
            <w:tcW w:w="989" w:type="dxa"/>
            <w:tcBorders>
              <w:top w:val="single" w:sz="4" w:space="0" w:color="4F81BD" w:themeColor="accent1"/>
              <w:bottom w:val="single" w:sz="4" w:space="0" w:color="4F81BD" w:themeColor="accent1"/>
              <w:right w:val="single" w:sz="4" w:space="0" w:color="4F81BD" w:themeColor="accent1"/>
            </w:tcBorders>
            <w:shd w:val="clear" w:color="auto" w:fill="4F81BD" w:themeFill="accent1"/>
          </w:tcPr>
          <w:p w:rsidR="00BE561F" w:rsidRPr="00BE561F" w:rsidRDefault="00BE561F"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rPr>
                <w:b/>
                <w:color w:val="FFFFFF"/>
                <w:lang w:val="en-US" w:eastAsia="ja-JP"/>
              </w:rPr>
            </w:pPr>
            <w:r w:rsidRPr="00BE561F">
              <w:rPr>
                <w:b/>
                <w:color w:val="FFFFFF"/>
                <w:lang w:val="en-US" w:eastAsia="ja-JP"/>
              </w:rPr>
              <w:t>Youth Allow</w:t>
            </w:r>
          </w:p>
        </w:tc>
      </w:tr>
      <w:tr w:rsidR="00BE561F" w:rsidRPr="00AB392C" w:rsidTr="008F2F06">
        <w:trPr>
          <w:trHeight w:val="353"/>
        </w:trPr>
        <w:tc>
          <w:tcPr>
            <w:cnfStyle w:val="001000000000" w:firstRow="0" w:lastRow="0" w:firstColumn="1" w:lastColumn="0" w:oddVBand="0" w:evenVBand="0" w:oddHBand="0" w:evenHBand="0" w:firstRowFirstColumn="0" w:firstRowLastColumn="0" w:lastRowFirstColumn="0" w:lastRowLastColumn="0"/>
            <w:tcW w:w="2891" w:type="dxa"/>
            <w:tcBorders>
              <w:top w:val="single" w:sz="4" w:space="0" w:color="4F81BD" w:themeColor="accent1"/>
              <w:left w:val="single" w:sz="4" w:space="0" w:color="4F81BD" w:themeColor="accent1"/>
            </w:tcBorders>
          </w:tcPr>
          <w:p w:rsidR="00BE561F" w:rsidRPr="004B26BE" w:rsidRDefault="00BE561F" w:rsidP="00373118">
            <w:pPr>
              <w:keepNext/>
              <w:keepLines/>
              <w:spacing w:after="60"/>
              <w:rPr>
                <w:b w:val="0"/>
                <w:lang w:val="en-US" w:eastAsia="ja-JP"/>
              </w:rPr>
            </w:pPr>
            <w:r>
              <w:rPr>
                <w:b w:val="0"/>
                <w:lang w:val="en-US" w:eastAsia="ja-JP"/>
              </w:rPr>
              <w:t>Landline</w:t>
            </w:r>
          </w:p>
        </w:tc>
        <w:tc>
          <w:tcPr>
            <w:tcW w:w="989" w:type="dxa"/>
            <w:tcBorders>
              <w:top w:val="single" w:sz="4" w:space="0" w:color="4F81BD" w:themeColor="accent1"/>
            </w:tcBorders>
          </w:tcPr>
          <w:p w:rsidR="00BE561F" w:rsidRPr="004B26BE" w:rsidRDefault="00BE561F" w:rsidP="00373118">
            <w:pPr>
              <w:keepNext/>
              <w:keepLines/>
              <w:spacing w:after="60"/>
              <w:jc w:val="cente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55</w:t>
            </w:r>
          </w:p>
        </w:tc>
        <w:tc>
          <w:tcPr>
            <w:tcW w:w="989" w:type="dxa"/>
            <w:tcBorders>
              <w:top w:val="single" w:sz="4" w:space="0" w:color="4F81BD" w:themeColor="accent1"/>
            </w:tcBorders>
          </w:tcPr>
          <w:p w:rsidR="00BE561F" w:rsidRPr="004B26BE" w:rsidRDefault="00BE561F" w:rsidP="00373118">
            <w:pPr>
              <w:keepNext/>
              <w:keepLines/>
              <w:spacing w:after="60"/>
              <w:jc w:val="cente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65</w:t>
            </w:r>
          </w:p>
        </w:tc>
        <w:tc>
          <w:tcPr>
            <w:tcW w:w="989" w:type="dxa"/>
            <w:tcBorders>
              <w:top w:val="single" w:sz="4" w:space="0" w:color="4F81BD" w:themeColor="accent1"/>
            </w:tcBorders>
          </w:tcPr>
          <w:p w:rsidR="00BE561F" w:rsidRPr="004B26BE" w:rsidRDefault="00BE561F" w:rsidP="00373118">
            <w:pPr>
              <w:keepNext/>
              <w:keepLines/>
              <w:spacing w:after="60"/>
              <w:jc w:val="cente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53</w:t>
            </w:r>
          </w:p>
        </w:tc>
        <w:tc>
          <w:tcPr>
            <w:tcW w:w="989" w:type="dxa"/>
            <w:tcBorders>
              <w:top w:val="single" w:sz="4" w:space="0" w:color="4F81BD" w:themeColor="accent1"/>
            </w:tcBorders>
          </w:tcPr>
          <w:p w:rsidR="00BE561F" w:rsidRPr="004B26BE" w:rsidRDefault="00BE561F" w:rsidP="00373118">
            <w:pPr>
              <w:keepNext/>
              <w:keepLines/>
              <w:spacing w:after="60"/>
              <w:jc w:val="cente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52</w:t>
            </w:r>
          </w:p>
        </w:tc>
        <w:tc>
          <w:tcPr>
            <w:tcW w:w="989" w:type="dxa"/>
            <w:tcBorders>
              <w:top w:val="single" w:sz="4" w:space="0" w:color="4F81BD" w:themeColor="accent1"/>
            </w:tcBorders>
          </w:tcPr>
          <w:p w:rsidR="00BE561F" w:rsidRPr="004B26BE" w:rsidRDefault="00BE561F" w:rsidP="00373118">
            <w:pPr>
              <w:keepNext/>
              <w:keepLines/>
              <w:spacing w:after="60"/>
              <w:jc w:val="cente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51</w:t>
            </w:r>
          </w:p>
        </w:tc>
        <w:tc>
          <w:tcPr>
            <w:tcW w:w="989" w:type="dxa"/>
            <w:tcBorders>
              <w:top w:val="single" w:sz="4" w:space="0" w:color="4F81BD" w:themeColor="accent1"/>
              <w:right w:val="single" w:sz="4" w:space="0" w:color="4F81BD" w:themeColor="accent1"/>
            </w:tcBorders>
          </w:tcPr>
          <w:p w:rsidR="00BE561F" w:rsidRPr="004B26BE" w:rsidRDefault="00BE561F" w:rsidP="00373118">
            <w:pPr>
              <w:keepNext/>
              <w:keepLines/>
              <w:spacing w:after="60"/>
              <w:jc w:val="cente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41</w:t>
            </w:r>
          </w:p>
        </w:tc>
      </w:tr>
      <w:tr w:rsidR="00BE561F" w:rsidRPr="00AB392C" w:rsidTr="008F2F06">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891" w:type="dxa"/>
            <w:tcBorders>
              <w:top w:val="none" w:sz="0" w:space="0" w:color="auto"/>
              <w:left w:val="single" w:sz="4" w:space="0" w:color="4F81BD" w:themeColor="accent1"/>
              <w:bottom w:val="none" w:sz="0" w:space="0" w:color="auto"/>
            </w:tcBorders>
          </w:tcPr>
          <w:p w:rsidR="00BE561F" w:rsidRPr="00BE561F" w:rsidRDefault="00BE561F" w:rsidP="00373118">
            <w:pPr>
              <w:keepNext/>
              <w:keepLines/>
              <w:spacing w:after="60"/>
              <w:rPr>
                <w:b w:val="0"/>
                <w:lang w:val="en-US" w:eastAsia="ja-JP"/>
              </w:rPr>
            </w:pPr>
            <w:r>
              <w:rPr>
                <w:b w:val="0"/>
                <w:lang w:val="en-US" w:eastAsia="ja-JP"/>
              </w:rPr>
              <w:t>Mobile phone with data</w:t>
            </w:r>
          </w:p>
        </w:tc>
        <w:tc>
          <w:tcPr>
            <w:tcW w:w="989" w:type="dxa"/>
            <w:tcBorders>
              <w:top w:val="none" w:sz="0" w:space="0" w:color="auto"/>
              <w:bottom w:val="none" w:sz="0" w:space="0" w:color="auto"/>
            </w:tcBorders>
          </w:tcPr>
          <w:p w:rsidR="00BE561F" w:rsidRPr="004B26BE" w:rsidRDefault="00BE561F"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rPr>
                <w:lang w:val="en-US" w:eastAsia="ja-JP"/>
              </w:rPr>
            </w:pPr>
            <w:r>
              <w:rPr>
                <w:lang w:val="en-US" w:eastAsia="ja-JP"/>
              </w:rPr>
              <w:t>63</w:t>
            </w:r>
          </w:p>
        </w:tc>
        <w:tc>
          <w:tcPr>
            <w:tcW w:w="989" w:type="dxa"/>
            <w:tcBorders>
              <w:top w:val="none" w:sz="0" w:space="0" w:color="auto"/>
              <w:bottom w:val="none" w:sz="0" w:space="0" w:color="auto"/>
            </w:tcBorders>
          </w:tcPr>
          <w:p w:rsidR="00BE561F" w:rsidRPr="004B26BE" w:rsidRDefault="00BE561F"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rPr>
                <w:lang w:val="en-US" w:eastAsia="ja-JP"/>
              </w:rPr>
            </w:pPr>
            <w:r>
              <w:rPr>
                <w:lang w:val="en-US" w:eastAsia="ja-JP"/>
              </w:rPr>
              <w:t>73</w:t>
            </w:r>
          </w:p>
        </w:tc>
        <w:tc>
          <w:tcPr>
            <w:tcW w:w="989" w:type="dxa"/>
            <w:tcBorders>
              <w:top w:val="none" w:sz="0" w:space="0" w:color="auto"/>
              <w:bottom w:val="none" w:sz="0" w:space="0" w:color="auto"/>
            </w:tcBorders>
          </w:tcPr>
          <w:p w:rsidR="00BE561F" w:rsidRPr="004B26BE" w:rsidRDefault="00BE561F"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rPr>
                <w:lang w:val="en-US" w:eastAsia="ja-JP"/>
              </w:rPr>
            </w:pPr>
            <w:r>
              <w:rPr>
                <w:lang w:val="en-US" w:eastAsia="ja-JP"/>
              </w:rPr>
              <w:t>69</w:t>
            </w:r>
          </w:p>
        </w:tc>
        <w:tc>
          <w:tcPr>
            <w:tcW w:w="989" w:type="dxa"/>
            <w:tcBorders>
              <w:top w:val="none" w:sz="0" w:space="0" w:color="auto"/>
              <w:bottom w:val="none" w:sz="0" w:space="0" w:color="auto"/>
            </w:tcBorders>
          </w:tcPr>
          <w:p w:rsidR="00BE561F" w:rsidRPr="004B26BE" w:rsidRDefault="00BE561F"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rPr>
                <w:lang w:val="en-US" w:eastAsia="ja-JP"/>
              </w:rPr>
            </w:pPr>
            <w:r>
              <w:rPr>
                <w:lang w:val="en-US" w:eastAsia="ja-JP"/>
              </w:rPr>
              <w:t>61</w:t>
            </w:r>
          </w:p>
        </w:tc>
        <w:tc>
          <w:tcPr>
            <w:tcW w:w="989" w:type="dxa"/>
            <w:tcBorders>
              <w:top w:val="none" w:sz="0" w:space="0" w:color="auto"/>
              <w:bottom w:val="none" w:sz="0" w:space="0" w:color="auto"/>
            </w:tcBorders>
          </w:tcPr>
          <w:p w:rsidR="00BE561F" w:rsidRPr="004B26BE" w:rsidRDefault="00BE561F"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rPr>
                <w:lang w:val="en-US" w:eastAsia="ja-JP"/>
              </w:rPr>
            </w:pPr>
            <w:r>
              <w:rPr>
                <w:lang w:val="en-US" w:eastAsia="ja-JP"/>
              </w:rPr>
              <w:t>59</w:t>
            </w:r>
          </w:p>
        </w:tc>
        <w:tc>
          <w:tcPr>
            <w:tcW w:w="989" w:type="dxa"/>
            <w:tcBorders>
              <w:top w:val="none" w:sz="0" w:space="0" w:color="auto"/>
              <w:bottom w:val="none" w:sz="0" w:space="0" w:color="auto"/>
              <w:right w:val="single" w:sz="4" w:space="0" w:color="4F81BD" w:themeColor="accent1"/>
            </w:tcBorders>
          </w:tcPr>
          <w:p w:rsidR="00BE561F" w:rsidRPr="004B26BE" w:rsidRDefault="00BE561F" w:rsidP="00373118">
            <w:pPr>
              <w:keepNext/>
              <w:keepLines/>
              <w:spacing w:after="60"/>
              <w:jc w:val="center"/>
              <w:cnfStyle w:val="000000100000" w:firstRow="0" w:lastRow="0" w:firstColumn="0" w:lastColumn="0" w:oddVBand="0" w:evenVBand="0" w:oddHBand="1" w:evenHBand="0" w:firstRowFirstColumn="0" w:firstRowLastColumn="0" w:lastRowFirstColumn="0" w:lastRowLastColumn="0"/>
              <w:rPr>
                <w:lang w:val="en-US" w:eastAsia="ja-JP"/>
              </w:rPr>
            </w:pPr>
            <w:r>
              <w:rPr>
                <w:lang w:val="en-US" w:eastAsia="ja-JP"/>
              </w:rPr>
              <w:t>58</w:t>
            </w:r>
          </w:p>
        </w:tc>
      </w:tr>
      <w:tr w:rsidR="00BE561F" w:rsidRPr="00AB392C" w:rsidTr="008F2F06">
        <w:trPr>
          <w:trHeight w:val="353"/>
        </w:trPr>
        <w:tc>
          <w:tcPr>
            <w:cnfStyle w:val="001000000000" w:firstRow="0" w:lastRow="0" w:firstColumn="1" w:lastColumn="0" w:oddVBand="0" w:evenVBand="0" w:oddHBand="0" w:evenHBand="0" w:firstRowFirstColumn="0" w:firstRowLastColumn="0" w:lastRowFirstColumn="0" w:lastRowLastColumn="0"/>
            <w:tcW w:w="2891" w:type="dxa"/>
            <w:tcBorders>
              <w:left w:val="single" w:sz="4" w:space="0" w:color="4F81BD" w:themeColor="accent1"/>
              <w:bottom w:val="single" w:sz="4" w:space="0" w:color="4F81BD" w:themeColor="accent1"/>
            </w:tcBorders>
          </w:tcPr>
          <w:p w:rsidR="00BE561F" w:rsidRPr="00BE561F" w:rsidRDefault="00BE561F" w:rsidP="00373118">
            <w:pPr>
              <w:keepNext/>
              <w:keepLines/>
              <w:spacing w:after="60"/>
              <w:rPr>
                <w:b w:val="0"/>
                <w:lang w:val="en-US" w:eastAsia="ja-JP"/>
              </w:rPr>
            </w:pPr>
            <w:r>
              <w:rPr>
                <w:b w:val="0"/>
                <w:lang w:val="en-US" w:eastAsia="ja-JP"/>
              </w:rPr>
              <w:t>Internet Connection</w:t>
            </w:r>
          </w:p>
        </w:tc>
        <w:tc>
          <w:tcPr>
            <w:tcW w:w="989" w:type="dxa"/>
            <w:tcBorders>
              <w:bottom w:val="single" w:sz="4" w:space="0" w:color="4F81BD" w:themeColor="accent1"/>
            </w:tcBorders>
          </w:tcPr>
          <w:p w:rsidR="00BE561F" w:rsidRPr="004B26BE" w:rsidRDefault="00BE561F" w:rsidP="00373118">
            <w:pPr>
              <w:keepNext/>
              <w:keepLines/>
              <w:spacing w:after="60"/>
              <w:jc w:val="cente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49</w:t>
            </w:r>
          </w:p>
        </w:tc>
        <w:tc>
          <w:tcPr>
            <w:tcW w:w="989" w:type="dxa"/>
            <w:tcBorders>
              <w:bottom w:val="single" w:sz="4" w:space="0" w:color="4F81BD" w:themeColor="accent1"/>
            </w:tcBorders>
          </w:tcPr>
          <w:p w:rsidR="00BE561F" w:rsidRPr="004B26BE" w:rsidRDefault="00BE561F" w:rsidP="00373118">
            <w:pPr>
              <w:keepNext/>
              <w:keepLines/>
              <w:spacing w:after="60"/>
              <w:jc w:val="cente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42</w:t>
            </w:r>
          </w:p>
        </w:tc>
        <w:tc>
          <w:tcPr>
            <w:tcW w:w="989" w:type="dxa"/>
            <w:tcBorders>
              <w:bottom w:val="single" w:sz="4" w:space="0" w:color="4F81BD" w:themeColor="accent1"/>
            </w:tcBorders>
          </w:tcPr>
          <w:p w:rsidR="00BE561F" w:rsidRPr="004B26BE" w:rsidRDefault="00BE561F" w:rsidP="00373118">
            <w:pPr>
              <w:keepNext/>
              <w:keepLines/>
              <w:spacing w:after="60"/>
              <w:jc w:val="cente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34</w:t>
            </w:r>
          </w:p>
        </w:tc>
        <w:tc>
          <w:tcPr>
            <w:tcW w:w="989" w:type="dxa"/>
            <w:tcBorders>
              <w:bottom w:val="single" w:sz="4" w:space="0" w:color="4F81BD" w:themeColor="accent1"/>
            </w:tcBorders>
          </w:tcPr>
          <w:p w:rsidR="00BE561F" w:rsidRPr="004B26BE" w:rsidRDefault="00BE561F" w:rsidP="00373118">
            <w:pPr>
              <w:keepNext/>
              <w:keepLines/>
              <w:spacing w:after="60"/>
              <w:jc w:val="cente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43</w:t>
            </w:r>
          </w:p>
        </w:tc>
        <w:tc>
          <w:tcPr>
            <w:tcW w:w="989" w:type="dxa"/>
            <w:tcBorders>
              <w:bottom w:val="single" w:sz="4" w:space="0" w:color="4F81BD" w:themeColor="accent1"/>
            </w:tcBorders>
          </w:tcPr>
          <w:p w:rsidR="00BE561F" w:rsidRPr="004B26BE" w:rsidRDefault="00BE561F" w:rsidP="00373118">
            <w:pPr>
              <w:keepNext/>
              <w:keepLines/>
              <w:spacing w:after="60"/>
              <w:jc w:val="cente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43</w:t>
            </w:r>
          </w:p>
        </w:tc>
        <w:tc>
          <w:tcPr>
            <w:tcW w:w="989" w:type="dxa"/>
            <w:tcBorders>
              <w:bottom w:val="single" w:sz="4" w:space="0" w:color="4F81BD" w:themeColor="accent1"/>
              <w:right w:val="single" w:sz="4" w:space="0" w:color="4F81BD" w:themeColor="accent1"/>
            </w:tcBorders>
          </w:tcPr>
          <w:p w:rsidR="00BE561F" w:rsidRPr="004B26BE" w:rsidRDefault="00BE561F" w:rsidP="00373118">
            <w:pPr>
              <w:keepNext/>
              <w:keepLines/>
              <w:spacing w:after="60"/>
              <w:jc w:val="cente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30</w:t>
            </w:r>
          </w:p>
        </w:tc>
      </w:tr>
    </w:tbl>
    <w:p w:rsidR="00BE561F" w:rsidRDefault="00BE561F" w:rsidP="00B72325">
      <w:pPr>
        <w:jc w:val="center"/>
        <w:rPr>
          <w:sz w:val="18"/>
        </w:rPr>
      </w:pPr>
      <w:r>
        <w:rPr>
          <w:sz w:val="18"/>
        </w:rPr>
        <w:t>(Source: Mint Research, 2016)</w:t>
      </w:r>
    </w:p>
    <w:p w:rsidR="00BE561F" w:rsidRDefault="00BE561F" w:rsidP="00B72325">
      <w:r>
        <w:t xml:space="preserve">The only way that the targeting of the CTA seems to reflect use or hardship patterns is that it is available for those </w:t>
      </w:r>
      <w:r w:rsidR="00817DD1">
        <w:t xml:space="preserve">(single parents) with dependent children – and </w:t>
      </w:r>
      <w:r>
        <w:t>as we have seen</w:t>
      </w:r>
      <w:r w:rsidR="005B4E77">
        <w:t>,</w:t>
      </w:r>
      <w:r>
        <w:t xml:space="preserve"> </w:t>
      </w:r>
      <w:r w:rsidR="00817DD1">
        <w:t>children are</w:t>
      </w:r>
      <w:r>
        <w:t xml:space="preserve"> a key factor in leading to more telecommunication use and hardship.  This</w:t>
      </w:r>
      <w:r w:rsidR="009970C9">
        <w:t>, in combination with</w:t>
      </w:r>
      <w:r>
        <w:t xml:space="preserve"> the lower income support rates</w:t>
      </w:r>
      <w:r w:rsidR="009970C9">
        <w:t>,</w:t>
      </w:r>
      <w:r>
        <w:t xml:space="preserve"> probably explains the high level of direct CTA recipients in hardship in</w:t>
      </w:r>
      <w:r w:rsidR="00040E3A">
        <w:t xml:space="preserve"> </w:t>
      </w:r>
      <w:r w:rsidR="00040E3A">
        <w:fldChar w:fldCharType="begin"/>
      </w:r>
      <w:r w:rsidR="00040E3A">
        <w:instrText xml:space="preserve"> REF _Ref464126522 \h </w:instrText>
      </w:r>
      <w:r w:rsidR="00040E3A">
        <w:fldChar w:fldCharType="separate"/>
      </w:r>
      <w:r w:rsidR="002F60EE">
        <w:t xml:space="preserve">Figure </w:t>
      </w:r>
      <w:r w:rsidR="002F60EE">
        <w:rPr>
          <w:noProof/>
        </w:rPr>
        <w:t>5</w:t>
      </w:r>
      <w:r w:rsidR="00040E3A">
        <w:fldChar w:fldCharType="end"/>
      </w:r>
      <w:r>
        <w:t xml:space="preserve">.  </w:t>
      </w:r>
    </w:p>
    <w:p w:rsidR="00BE561F" w:rsidRDefault="00BE561F" w:rsidP="00B72325">
      <w:r>
        <w:t>Overall though, it seems odd that the groups of income support recipients that tend to struggle least with telecommunications costs are eligible for the highest rate of CTA (on top of already higher base payments), while those on lower base rates are less likely to be eligible and then only</w:t>
      </w:r>
      <w:r w:rsidR="00040E3A">
        <w:t xml:space="preserve"> at</w:t>
      </w:r>
      <w:r>
        <w:t xml:space="preserve"> the lower rate.  This does not speak to a well-targeted allowance</w:t>
      </w:r>
      <w:r w:rsidR="009E5246">
        <w:t>.</w:t>
      </w:r>
      <w:r>
        <w:t xml:space="preserve"> </w:t>
      </w:r>
      <w:r w:rsidR="009E5246">
        <w:t xml:space="preserve"> At the same time,</w:t>
      </w:r>
      <w:r>
        <w:t xml:space="preserve"> the overall high levels of struggle with telecommunications costs in all categories </w:t>
      </w:r>
      <w:r w:rsidR="009E5246">
        <w:t>suggests that the CTA is inadequate</w:t>
      </w:r>
      <w:r w:rsidR="00040E3A">
        <w:t xml:space="preserve">, with </w:t>
      </w:r>
      <w:r>
        <w:t>even the 31% of pension</w:t>
      </w:r>
      <w:r w:rsidR="009E5246">
        <w:t>er</w:t>
      </w:r>
      <w:r>
        <w:t xml:space="preserve">s struggling or cutting back </w:t>
      </w:r>
      <w:r w:rsidR="00040E3A">
        <w:t>being</w:t>
      </w:r>
      <w:r>
        <w:t xml:space="preserve"> too high. </w:t>
      </w:r>
    </w:p>
    <w:p w:rsidR="008317B2" w:rsidRDefault="00EF780B" w:rsidP="00B72325">
      <w:pPr>
        <w:pStyle w:val="Heading2"/>
      </w:pPr>
      <w:bookmarkStart w:id="66" w:name="_Toc465167567"/>
      <w:r>
        <w:t>A</w:t>
      </w:r>
      <w:r w:rsidR="00E908CC">
        <w:t>dequacy</w:t>
      </w:r>
      <w:bookmarkEnd w:id="66"/>
    </w:p>
    <w:p w:rsidR="00EF780B" w:rsidRPr="00EF780B" w:rsidRDefault="00EF780B" w:rsidP="00B72325">
      <w:r>
        <w:t>As noted earlier, there was limited awareness of the existence of and eligibility for the CTA among the survey respondents</w:t>
      </w:r>
      <w:r w:rsidR="00040E3A">
        <w:t>. G</w:t>
      </w:r>
      <w:r>
        <w:t xml:space="preserve">iven that around two-thirds of respondents were probably receiving it suggests that it is not making a big contribution to either telecommunication costs or the household budget. </w:t>
      </w:r>
    </w:p>
    <w:p w:rsidR="00E96CF2" w:rsidRDefault="00EF780B" w:rsidP="00B72325">
      <w:pPr>
        <w:pStyle w:val="ListParagraph"/>
        <w:spacing w:after="120" w:line="288" w:lineRule="auto"/>
        <w:ind w:left="0"/>
        <w:contextualSpacing w:val="0"/>
        <w:rPr>
          <w:rFonts w:ascii="Arial" w:hAnsi="Arial" w:cs="Arial"/>
          <w:lang w:val="en-US" w:eastAsia="ja-JP"/>
        </w:rPr>
      </w:pPr>
      <w:r>
        <w:rPr>
          <w:rFonts w:ascii="Arial" w:hAnsi="Arial" w:cs="Arial"/>
          <w:lang w:val="en-US" w:eastAsia="ja-JP"/>
        </w:rPr>
        <w:t>L</w:t>
      </w:r>
      <w:r w:rsidR="00AE09E4" w:rsidRPr="007F7B07">
        <w:rPr>
          <w:rFonts w:ascii="Arial" w:hAnsi="Arial" w:cs="Arial"/>
          <w:lang w:val="en-US" w:eastAsia="ja-JP"/>
        </w:rPr>
        <w:t xml:space="preserve">ess than half of the recipients of the CTA </w:t>
      </w:r>
      <w:r>
        <w:rPr>
          <w:rFonts w:ascii="Arial" w:hAnsi="Arial" w:cs="Arial"/>
          <w:lang w:val="en-US" w:eastAsia="ja-JP"/>
        </w:rPr>
        <w:t>surveyed were</w:t>
      </w:r>
      <w:r w:rsidR="00AE09E4" w:rsidRPr="007F7B07">
        <w:rPr>
          <w:rFonts w:ascii="Arial" w:hAnsi="Arial" w:cs="Arial"/>
          <w:lang w:val="en-US" w:eastAsia="ja-JP"/>
        </w:rPr>
        <w:t xml:space="preserve"> satisfied with the rate that they receive. </w:t>
      </w:r>
      <w:r>
        <w:rPr>
          <w:rFonts w:ascii="Arial" w:hAnsi="Arial" w:cs="Arial"/>
          <w:lang w:val="en-US" w:eastAsia="ja-JP"/>
        </w:rPr>
        <w:t xml:space="preserve"> Unsurprisingly the satisfaction rate differed based on the rate received with only 30% of </w:t>
      </w:r>
      <w:r w:rsidR="00AE09E4" w:rsidRPr="007F7B07">
        <w:rPr>
          <w:rFonts w:ascii="Arial" w:hAnsi="Arial" w:cs="Arial"/>
          <w:lang w:val="en-US" w:eastAsia="ja-JP"/>
        </w:rPr>
        <w:t>those receiving the stand</w:t>
      </w:r>
      <w:r>
        <w:rPr>
          <w:rFonts w:ascii="Arial" w:hAnsi="Arial" w:cs="Arial"/>
          <w:lang w:val="en-US" w:eastAsia="ja-JP"/>
        </w:rPr>
        <w:t>-alone CTA being satisfied with the rate</w:t>
      </w:r>
      <w:r w:rsidR="00AE09E4" w:rsidRPr="007F7B07">
        <w:rPr>
          <w:rFonts w:ascii="Arial" w:hAnsi="Arial" w:cs="Arial"/>
          <w:lang w:val="en-US" w:eastAsia="ja-JP"/>
        </w:rPr>
        <w:t xml:space="preserve">, compared to </w:t>
      </w:r>
      <w:r>
        <w:rPr>
          <w:rFonts w:ascii="Arial" w:hAnsi="Arial" w:cs="Arial"/>
          <w:lang w:val="en-US" w:eastAsia="ja-JP"/>
        </w:rPr>
        <w:t>46%</w:t>
      </w:r>
      <w:r w:rsidR="00AE09E4" w:rsidRPr="007F7B07">
        <w:rPr>
          <w:rFonts w:ascii="Arial" w:hAnsi="Arial" w:cs="Arial"/>
          <w:lang w:val="en-US" w:eastAsia="ja-JP"/>
        </w:rPr>
        <w:t xml:space="preserve"> o</w:t>
      </w:r>
      <w:r w:rsidR="00535292">
        <w:rPr>
          <w:rFonts w:ascii="Arial" w:hAnsi="Arial" w:cs="Arial"/>
          <w:lang w:val="en-US" w:eastAsia="ja-JP"/>
        </w:rPr>
        <w:t>f Pen</w:t>
      </w:r>
      <w:r>
        <w:rPr>
          <w:rFonts w:ascii="Arial" w:hAnsi="Arial" w:cs="Arial"/>
          <w:lang w:val="en-US" w:eastAsia="ja-JP"/>
        </w:rPr>
        <w:t>sion Supplement recipients</w:t>
      </w:r>
      <w:r w:rsidR="00535292">
        <w:rPr>
          <w:rFonts w:ascii="Arial" w:hAnsi="Arial" w:cs="Arial"/>
          <w:lang w:val="en-US" w:eastAsia="ja-JP"/>
        </w:rPr>
        <w:t>.</w:t>
      </w:r>
      <w:r>
        <w:rPr>
          <w:rFonts w:ascii="Arial" w:hAnsi="Arial" w:cs="Arial"/>
          <w:lang w:val="en-US" w:eastAsia="ja-JP"/>
        </w:rPr>
        <w:t xml:space="preserve"> </w:t>
      </w:r>
      <w:r w:rsidR="00AE09E4" w:rsidRPr="007F7B07">
        <w:rPr>
          <w:rFonts w:ascii="Arial" w:hAnsi="Arial" w:cs="Arial"/>
          <w:lang w:val="en-US" w:eastAsia="ja-JP"/>
        </w:rPr>
        <w:t xml:space="preserve"> </w:t>
      </w:r>
    </w:p>
    <w:p w:rsidR="00E96CF2" w:rsidRDefault="007947FD" w:rsidP="00B72325">
      <w:pPr>
        <w:pStyle w:val="ListParagraph"/>
        <w:spacing w:after="120" w:line="288" w:lineRule="auto"/>
        <w:ind w:left="0"/>
        <w:contextualSpacing w:val="0"/>
        <w:rPr>
          <w:rFonts w:ascii="Arial" w:hAnsi="Arial" w:cs="Arial"/>
          <w:lang w:val="en-US" w:eastAsia="ja-JP"/>
        </w:rPr>
      </w:pPr>
      <w:r w:rsidRPr="007F7B07">
        <w:rPr>
          <w:rFonts w:ascii="Arial" w:hAnsi="Arial" w:cs="Arial"/>
          <w:lang w:val="en-US" w:eastAsia="ja-JP"/>
        </w:rPr>
        <w:t>It is also telling that of those unaware if they are</w:t>
      </w:r>
      <w:r w:rsidR="00E96CF2">
        <w:rPr>
          <w:rFonts w:ascii="Arial" w:hAnsi="Arial" w:cs="Arial"/>
          <w:lang w:val="en-US" w:eastAsia="ja-JP"/>
        </w:rPr>
        <w:t xml:space="preserve"> receiving the CTA</w:t>
      </w:r>
      <w:r w:rsidRPr="007F7B07">
        <w:rPr>
          <w:rFonts w:ascii="Arial" w:hAnsi="Arial" w:cs="Arial"/>
          <w:lang w:val="en-US" w:eastAsia="ja-JP"/>
        </w:rPr>
        <w:t xml:space="preserve">, </w:t>
      </w:r>
      <w:r w:rsidR="00EF780B">
        <w:rPr>
          <w:rFonts w:ascii="Arial" w:hAnsi="Arial" w:cs="Arial"/>
          <w:lang w:val="en-US" w:eastAsia="ja-JP"/>
        </w:rPr>
        <w:t>nearly one-third thought the existing rate would make little or no difference (21% said the same of the higher rate), with 40% saying the existing stand-alone rate would make “some dif</w:t>
      </w:r>
      <w:r w:rsidR="00881ECD">
        <w:rPr>
          <w:rFonts w:ascii="Arial" w:hAnsi="Arial" w:cs="Arial"/>
          <w:lang w:val="en-US" w:eastAsia="ja-JP"/>
        </w:rPr>
        <w:t>f</w:t>
      </w:r>
      <w:r w:rsidR="00EF780B">
        <w:rPr>
          <w:rFonts w:ascii="Arial" w:hAnsi="Arial" w:cs="Arial"/>
          <w:lang w:val="en-US" w:eastAsia="ja-JP"/>
        </w:rPr>
        <w:t xml:space="preserve">erence”.  </w:t>
      </w:r>
    </w:p>
    <w:p w:rsidR="007A1B27" w:rsidRDefault="00EF780B" w:rsidP="00B72325">
      <w:pPr>
        <w:pStyle w:val="ListParagraph"/>
        <w:spacing w:after="120" w:line="288" w:lineRule="auto"/>
        <w:ind w:left="0"/>
        <w:contextualSpacing w:val="0"/>
        <w:rPr>
          <w:rFonts w:ascii="Arial" w:hAnsi="Arial" w:cs="Arial"/>
          <w:lang w:val="en-US" w:eastAsia="ja-JP"/>
        </w:rPr>
      </w:pPr>
      <w:r>
        <w:rPr>
          <w:rFonts w:ascii="Arial" w:hAnsi="Arial" w:cs="Arial"/>
          <w:lang w:val="en-US" w:eastAsia="ja-JP"/>
        </w:rPr>
        <w:t>The general view of the inadequacy of the CTA was echoed in the focus groups with one participant saying:</w:t>
      </w:r>
    </w:p>
    <w:p w:rsidR="007F7B07" w:rsidRPr="00535292" w:rsidRDefault="007F7B07" w:rsidP="00B72325">
      <w:pPr>
        <w:spacing w:before="120"/>
        <w:ind w:left="567" w:right="567"/>
        <w:rPr>
          <w:rFonts w:eastAsia="Calibri" w:cs="Arial"/>
        </w:rPr>
      </w:pPr>
      <w:r w:rsidRPr="00535292">
        <w:rPr>
          <w:rFonts w:eastAsia="Calibri" w:cs="Arial"/>
        </w:rPr>
        <w:lastRenderedPageBreak/>
        <w:t>“[the] telephone allowance is ab</w:t>
      </w:r>
      <w:r w:rsidR="00EF780B">
        <w:rPr>
          <w:rFonts w:eastAsia="Calibri" w:cs="Arial"/>
        </w:rPr>
        <w:t xml:space="preserve">solutely appalling, $27 every 3 </w:t>
      </w:r>
      <w:r w:rsidRPr="00535292">
        <w:rPr>
          <w:rFonts w:eastAsia="Calibri" w:cs="Arial"/>
        </w:rPr>
        <w:t>m</w:t>
      </w:r>
      <w:r w:rsidR="00EF780B">
        <w:rPr>
          <w:rFonts w:eastAsia="Calibri" w:cs="Arial"/>
        </w:rPr>
        <w:t xml:space="preserve">onths, and doesn’t even cover 1 </w:t>
      </w:r>
      <w:r w:rsidR="00E96CF2">
        <w:rPr>
          <w:rFonts w:eastAsia="Calibri" w:cs="Arial"/>
        </w:rPr>
        <w:t>month’s…telephone or i</w:t>
      </w:r>
      <w:r w:rsidRPr="00535292">
        <w:rPr>
          <w:rFonts w:eastAsia="Calibri" w:cs="Arial"/>
        </w:rPr>
        <w:t xml:space="preserve">nternet, especially with job seekers who have to be applying for jobs online”. </w:t>
      </w:r>
    </w:p>
    <w:p w:rsidR="00EF780B" w:rsidRDefault="00EF780B" w:rsidP="00B72325">
      <w:pPr>
        <w:rPr>
          <w:lang w:val="en-US" w:eastAsia="ja-JP"/>
        </w:rPr>
      </w:pPr>
      <w:r>
        <w:rPr>
          <w:lang w:val="en-US" w:eastAsia="ja-JP"/>
        </w:rPr>
        <w:t>Respondents were also asked whether they thought particular hypothetical CTA rate increases would make a financial differen</w:t>
      </w:r>
      <w:r w:rsidR="00E96CF2">
        <w:rPr>
          <w:lang w:val="en-US" w:eastAsia="ja-JP"/>
        </w:rPr>
        <w:t>ce.  The results are in</w:t>
      </w:r>
      <w:r w:rsidR="00040E3A">
        <w:rPr>
          <w:lang w:val="en-US" w:eastAsia="ja-JP"/>
        </w:rPr>
        <w:t xml:space="preserve"> </w:t>
      </w:r>
      <w:r w:rsidR="00040E3A">
        <w:rPr>
          <w:lang w:val="en-US" w:eastAsia="ja-JP"/>
        </w:rPr>
        <w:fldChar w:fldCharType="begin"/>
      </w:r>
      <w:r w:rsidR="00040E3A">
        <w:rPr>
          <w:lang w:val="en-US" w:eastAsia="ja-JP"/>
        </w:rPr>
        <w:instrText xml:space="preserve"> REF _Ref464127281 \h </w:instrText>
      </w:r>
      <w:r w:rsidR="00040E3A">
        <w:rPr>
          <w:lang w:val="en-US" w:eastAsia="ja-JP"/>
        </w:rPr>
      </w:r>
      <w:r w:rsidR="00040E3A">
        <w:rPr>
          <w:lang w:val="en-US" w:eastAsia="ja-JP"/>
        </w:rPr>
        <w:fldChar w:fldCharType="separate"/>
      </w:r>
      <w:r w:rsidR="002F60EE">
        <w:t xml:space="preserve">Figure </w:t>
      </w:r>
      <w:r w:rsidR="002F60EE">
        <w:rPr>
          <w:noProof/>
        </w:rPr>
        <w:t>6</w:t>
      </w:r>
      <w:r w:rsidR="00040E3A">
        <w:rPr>
          <w:lang w:val="en-US" w:eastAsia="ja-JP"/>
        </w:rPr>
        <w:fldChar w:fldCharType="end"/>
      </w:r>
      <w:r>
        <w:rPr>
          <w:lang w:val="en-US" w:eastAsia="ja-JP"/>
        </w:rPr>
        <w:t>, divided by those who believed that they were receiving CTA and those who did not know.</w:t>
      </w:r>
    </w:p>
    <w:p w:rsidR="00E96CF2" w:rsidRDefault="00E96CF2" w:rsidP="00B72325">
      <w:pPr>
        <w:spacing w:after="0" w:line="240" w:lineRule="auto"/>
        <w:rPr>
          <w:b/>
          <w:bCs/>
          <w:sz w:val="20"/>
        </w:rPr>
      </w:pPr>
    </w:p>
    <w:p w:rsidR="00E908CC" w:rsidRDefault="00E908CC" w:rsidP="00373118">
      <w:pPr>
        <w:pStyle w:val="Caption"/>
        <w:keepNext/>
        <w:keepLines/>
      </w:pPr>
      <w:bookmarkStart w:id="67" w:name="_Ref464127281"/>
      <w:bookmarkStart w:id="68" w:name="_Toc465151876"/>
      <w:bookmarkStart w:id="69" w:name="_Toc465167608"/>
      <w:r>
        <w:t xml:space="preserve">Figure </w:t>
      </w:r>
      <w:r w:rsidR="002F60EE">
        <w:fldChar w:fldCharType="begin"/>
      </w:r>
      <w:r w:rsidR="002F60EE">
        <w:instrText xml:space="preserve"> SEQ Figure \* ARABIC </w:instrText>
      </w:r>
      <w:r w:rsidR="002F60EE">
        <w:fldChar w:fldCharType="separate"/>
      </w:r>
      <w:r w:rsidR="002F60EE">
        <w:rPr>
          <w:noProof/>
        </w:rPr>
        <w:t>6</w:t>
      </w:r>
      <w:r w:rsidR="002F60EE">
        <w:rPr>
          <w:noProof/>
        </w:rPr>
        <w:fldChar w:fldCharType="end"/>
      </w:r>
      <w:bookmarkEnd w:id="67"/>
      <w:r w:rsidR="00EF780B">
        <w:t>: Responses to hypothetical increases in CTA</w:t>
      </w:r>
      <w:bookmarkEnd w:id="68"/>
      <w:bookmarkEnd w:id="69"/>
    </w:p>
    <w:p w:rsidR="00535292" w:rsidRDefault="009A1824" w:rsidP="00B72325">
      <w:pPr>
        <w:contextualSpacing/>
        <w:jc w:val="center"/>
      </w:pPr>
      <w:r w:rsidRPr="009A1824">
        <w:rPr>
          <w:noProof/>
        </w:rPr>
        <w:drawing>
          <wp:inline distT="0" distB="0" distL="0" distR="0" wp14:anchorId="546775CF" wp14:editId="201F5E2B">
            <wp:extent cx="4834393" cy="3450866"/>
            <wp:effectExtent l="0" t="0" r="23495" b="16510"/>
            <wp:docPr id="7" name="Chart 7" descr="Respondents' responses to hypothethical increases, regardless of whether they believed they were getting CTA or not"/>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382A" w:rsidRDefault="00E7382A" w:rsidP="00B72325">
      <w:pPr>
        <w:jc w:val="center"/>
      </w:pPr>
      <w:r>
        <w:rPr>
          <w:sz w:val="18"/>
        </w:rPr>
        <w:t>(Source: Mint Research, 2016)</w:t>
      </w:r>
    </w:p>
    <w:p w:rsidR="009A1824" w:rsidRDefault="00EF780B" w:rsidP="00B72325">
      <w:r>
        <w:t xml:space="preserve">Those who believed that they were receiving CTA were more optimistic about the difference an increase in the CTA would make, but in both cases a majority thought a rate of $60 would make a significant financial difference.  While the recognition of the difference an increased CTA would make obviously increased as the proposed rates got higher, $60 per quarter was the lowest figure where the majority thought it would make a significant difference – the majority did not believe that the lower hypothetical figures suggested (being the existing rates) would make a significant difference. </w:t>
      </w:r>
      <w:r w:rsidR="00E7382A">
        <w:t xml:space="preserve"> This level would be an approximate doubling of the existing stand-alone allowance, and a 50% increase on the higher rate.</w:t>
      </w:r>
    </w:p>
    <w:p w:rsidR="00E7382A" w:rsidRDefault="00E7382A" w:rsidP="00B72325">
      <w:r>
        <w:t>It should be noted though that even at these increased amounts, the CTA would still only be a</w:t>
      </w:r>
      <w:r w:rsidR="00881ECD">
        <w:t xml:space="preserve"> form of</w:t>
      </w:r>
      <w:r>
        <w:t xml:space="preserve"> assistance and would not cover telecommunication costs for low</w:t>
      </w:r>
      <w:r w:rsidR="00881ECD">
        <w:t>-</w:t>
      </w:r>
      <w:r>
        <w:t xml:space="preserve">income earners.  For example, the survey data suggests that between a third and a </w:t>
      </w:r>
      <w:r>
        <w:lastRenderedPageBreak/>
        <w:t>half of respondents spend $30-$60 per month on each of landline, mobile with data, and internet (where they have them).  If a household had only one of those connections, their expenditure would still be $90 to $180 per quarter – still 1.5 to 3 times the amount of the hypothetical $60 CTA.  Further, given that just over half of the survey respondents reported being connected to all three types of telecommunications, then for a significant proportion of low income consumers</w:t>
      </w:r>
      <w:r w:rsidR="00040E3A">
        <w:t>,</w:t>
      </w:r>
      <w:r>
        <w:t xml:space="preserve"> even this hypothetical CTA rate is quickly put into perspective as a small concession – just 11% of the </w:t>
      </w:r>
      <w:r w:rsidR="00E96CF2">
        <w:t>top range bill</w:t>
      </w:r>
      <w:r>
        <w:t>.</w:t>
      </w:r>
    </w:p>
    <w:p w:rsidR="00E7382A" w:rsidRDefault="00E96CF2" w:rsidP="00B72325">
      <w:r>
        <w:t>It is also important to note that</w:t>
      </w:r>
      <w:r w:rsidR="00E7382A">
        <w:t xml:space="preserve"> these hypothetical responses </w:t>
      </w:r>
      <w:r>
        <w:t>do not distinguish between different groups (e</w:t>
      </w:r>
      <w:r w:rsidR="00881ECD">
        <w:t>.</w:t>
      </w:r>
      <w:r>
        <w:t>g. those with children), yet as we have seen, this</w:t>
      </w:r>
      <w:r w:rsidR="00E7382A">
        <w:t xml:space="preserve"> should also be a crucial consideration in assessing the adequacy of the payment.</w:t>
      </w:r>
    </w:p>
    <w:p w:rsidR="00E7382A" w:rsidRDefault="00C70B53" w:rsidP="00B72325">
      <w:pPr>
        <w:pStyle w:val="Heading2"/>
      </w:pPr>
      <w:bookmarkStart w:id="70" w:name="_Toc465167568"/>
      <w:r>
        <w:t>Form and Frequency</w:t>
      </w:r>
      <w:bookmarkEnd w:id="70"/>
    </w:p>
    <w:p w:rsidR="00E7382A" w:rsidRDefault="00E7382A" w:rsidP="00B72325">
      <w:r>
        <w:t xml:space="preserve">The final area of possible reform of the CTA canvassed in the survey was around the </w:t>
      </w:r>
      <w:r w:rsidR="00C70B53">
        <w:t>form</w:t>
      </w:r>
      <w:r>
        <w:t xml:space="preserve"> and frequency of payments.  </w:t>
      </w:r>
    </w:p>
    <w:p w:rsidR="00E7382A" w:rsidRDefault="00E7382A" w:rsidP="00B72325">
      <w:r>
        <w:t xml:space="preserve">As noted previously, the stand-alone CTA is paid quarterly, while the Pensions Supplement is paid fortnightly (although it can be paid quarterly).  The quarterly </w:t>
      </w:r>
      <w:r w:rsidR="003E4D96">
        <w:t xml:space="preserve">CTA </w:t>
      </w:r>
      <w:r>
        <w:t>payment may reflect a largely by-gone era of landline billing, but given that most telecommunication bills are now monthly and base income support payments are fortnightly, it is not surprising that survey respondents overwhelmingly preferred the CTA to respond to one of these cycles:  36% of respondents preferred</w:t>
      </w:r>
      <w:r w:rsidR="00B71F93">
        <w:t xml:space="preserve"> a fortni</w:t>
      </w:r>
      <w:r>
        <w:t>ghtly payment and 37% preferred</w:t>
      </w:r>
      <w:r w:rsidR="00B71F93">
        <w:t xml:space="preserve"> a monthly payment</w:t>
      </w:r>
      <w:r w:rsidR="001319B4">
        <w:t>. Only 10% preferred quarterly payment</w:t>
      </w:r>
      <w:r w:rsidR="003E4D96">
        <w:t>s</w:t>
      </w:r>
      <w:r w:rsidR="00040E3A">
        <w:t>. W</w:t>
      </w:r>
      <w:r>
        <w:t>hichever of these payment cycles was chosen would be vastly preferable to the current arrangement</w:t>
      </w:r>
      <w:r w:rsidR="003E4D96">
        <w:t xml:space="preserve"> for the stand-alone CTA</w:t>
      </w:r>
      <w:r>
        <w:t>.</w:t>
      </w:r>
    </w:p>
    <w:p w:rsidR="00E7382A" w:rsidRDefault="00E908CC" w:rsidP="00B72325">
      <w:r w:rsidRPr="00E7382A">
        <w:t xml:space="preserve">It was also noteworthy that </w:t>
      </w:r>
      <w:r w:rsidR="00E7382A">
        <w:t xml:space="preserve">a large majority </w:t>
      </w:r>
      <w:r w:rsidRPr="00E7382A">
        <w:t xml:space="preserve">of survey respondents </w:t>
      </w:r>
      <w:r w:rsidR="00E7382A">
        <w:t>also preferred</w:t>
      </w:r>
      <w:r w:rsidRPr="00E7382A">
        <w:t xml:space="preserve"> </w:t>
      </w:r>
      <w:r w:rsidR="00E7382A">
        <w:t xml:space="preserve">regular set payments rather than other alternatives, as evident in </w:t>
      </w:r>
      <w:r w:rsidR="00040E3A">
        <w:fldChar w:fldCharType="begin"/>
      </w:r>
      <w:r w:rsidR="00040E3A">
        <w:instrText xml:space="preserve"> REF _Ref464127561 \h </w:instrText>
      </w:r>
      <w:r w:rsidR="00040E3A">
        <w:fldChar w:fldCharType="separate"/>
      </w:r>
      <w:r w:rsidR="002F60EE">
        <w:t xml:space="preserve">Figure </w:t>
      </w:r>
      <w:r w:rsidR="002F60EE">
        <w:rPr>
          <w:noProof/>
        </w:rPr>
        <w:t>7</w:t>
      </w:r>
      <w:r w:rsidR="00040E3A">
        <w:fldChar w:fldCharType="end"/>
      </w:r>
      <w:r w:rsidR="00E7382A">
        <w:t xml:space="preserve">.  </w:t>
      </w:r>
    </w:p>
    <w:p w:rsidR="00E7382A" w:rsidRDefault="00E7382A" w:rsidP="00040E3A">
      <w:pPr>
        <w:pStyle w:val="Caption"/>
        <w:keepNext/>
      </w:pPr>
      <w:bookmarkStart w:id="71" w:name="_Ref464127561"/>
      <w:bookmarkStart w:id="72" w:name="_Toc465151877"/>
      <w:bookmarkStart w:id="73" w:name="_Toc465167609"/>
      <w:r>
        <w:lastRenderedPageBreak/>
        <w:t xml:space="preserve">Figure </w:t>
      </w:r>
      <w:r w:rsidR="002F60EE">
        <w:fldChar w:fldCharType="begin"/>
      </w:r>
      <w:r w:rsidR="002F60EE">
        <w:instrText xml:space="preserve"> SEQ Figure \* ARABIC </w:instrText>
      </w:r>
      <w:r w:rsidR="002F60EE">
        <w:fldChar w:fldCharType="separate"/>
      </w:r>
      <w:r w:rsidR="002F60EE">
        <w:rPr>
          <w:noProof/>
        </w:rPr>
        <w:t>7</w:t>
      </w:r>
      <w:r w:rsidR="002F60EE">
        <w:rPr>
          <w:noProof/>
        </w:rPr>
        <w:fldChar w:fldCharType="end"/>
      </w:r>
      <w:bookmarkEnd w:id="71"/>
      <w:r>
        <w:t>: Preferred Type of Allowance</w:t>
      </w:r>
      <w:bookmarkEnd w:id="72"/>
      <w:bookmarkEnd w:id="73"/>
    </w:p>
    <w:p w:rsidR="00E7382A" w:rsidRDefault="00E7382A" w:rsidP="00B72325">
      <w:pPr>
        <w:contextualSpacing/>
        <w:jc w:val="center"/>
      </w:pPr>
      <w:r w:rsidRPr="00E7382A">
        <w:rPr>
          <w:noProof/>
        </w:rPr>
        <w:drawing>
          <wp:inline distT="0" distB="0" distL="0" distR="0" wp14:anchorId="6E6C5489" wp14:editId="4CF3FF75">
            <wp:extent cx="3619499" cy="2707751"/>
            <wp:effectExtent l="0" t="0" r="19685" b="16510"/>
            <wp:docPr id="22" name="Chart 22" descr="Majority of respondents preferred a regular set amount as an allowa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7382A" w:rsidRDefault="00E7382A" w:rsidP="00B72325">
      <w:pPr>
        <w:jc w:val="center"/>
      </w:pPr>
      <w:r>
        <w:rPr>
          <w:sz w:val="18"/>
        </w:rPr>
        <w:t>(Source: Mint Research, 2016)</w:t>
      </w:r>
    </w:p>
    <w:p w:rsidR="00E7382A" w:rsidRDefault="00E7382A" w:rsidP="00B72325">
      <w:r>
        <w:t xml:space="preserve">Given that the data cited in Section 2 showed that upfront costs were not seen as a big issue </w:t>
      </w:r>
      <w:r w:rsidR="00C14D90">
        <w:t>by most survey respondents</w:t>
      </w:r>
      <w:r>
        <w:t xml:space="preserve"> </w:t>
      </w:r>
      <w:r w:rsidR="00C14D90">
        <w:t>(</w:t>
      </w:r>
      <w:r>
        <w:t>at least by comparison to ongoing costs</w:t>
      </w:r>
      <w:r w:rsidR="00C14D90">
        <w:t>)</w:t>
      </w:r>
      <w:r>
        <w:t xml:space="preserve">, </w:t>
      </w:r>
      <w:r w:rsidR="00426AA9">
        <w:t xml:space="preserve">it may </w:t>
      </w:r>
      <w:r>
        <w:t xml:space="preserve">not </w:t>
      </w:r>
      <w:r w:rsidR="00426AA9">
        <w:t xml:space="preserve">be </w:t>
      </w:r>
      <w:r>
        <w:t>surprising that only 6% of respondents would prefer CTA as a lump sum assistance for dis/connection.  That said, as we shall see in Section 4 of this report, the cost of disconnections and how that locks low income earners into long and inappropriate contracts was a major theme from the focus groups</w:t>
      </w:r>
      <w:r w:rsidR="00C14D90">
        <w:t>. Interestingly,</w:t>
      </w:r>
      <w:r>
        <w:t xml:space="preserve"> this appears to be seen as a contract issue – not as</w:t>
      </w:r>
      <w:r w:rsidR="00C14D90">
        <w:t xml:space="preserve"> a </w:t>
      </w:r>
      <w:r>
        <w:t>dis/connection cost issue requiring direct financial assistance.</w:t>
      </w:r>
    </w:p>
    <w:p w:rsidR="00E7382A" w:rsidRDefault="00E7382A" w:rsidP="00B72325">
      <w:r>
        <w:t>The other interes</w:t>
      </w:r>
      <w:r w:rsidR="00426AA9">
        <w:t xml:space="preserve">ting outcome evident in </w:t>
      </w:r>
      <w:r w:rsidR="00C14D90">
        <w:fldChar w:fldCharType="begin"/>
      </w:r>
      <w:r w:rsidR="00C14D90">
        <w:instrText xml:space="preserve"> REF _Ref464127561 \h </w:instrText>
      </w:r>
      <w:r w:rsidR="00C14D90">
        <w:fldChar w:fldCharType="separate"/>
      </w:r>
      <w:r w:rsidR="002F60EE">
        <w:t xml:space="preserve">Figure </w:t>
      </w:r>
      <w:r w:rsidR="002F60EE">
        <w:rPr>
          <w:noProof/>
        </w:rPr>
        <w:t>7</w:t>
      </w:r>
      <w:r w:rsidR="00C14D90">
        <w:fldChar w:fldCharType="end"/>
      </w:r>
      <w:r w:rsidR="00C14D90">
        <w:t xml:space="preserve"> </w:t>
      </w:r>
      <w:r>
        <w:t>is that only 17% of respondents supported a percentage concession payment.  SACOSS’ experience in energy advocacy is that flat rate concession payments often fail to keep up with cost increases</w:t>
      </w:r>
      <w:r w:rsidR="00426AA9">
        <w:t xml:space="preserve"> and do not reflect different household demand.  </w:t>
      </w:r>
      <w:r w:rsidR="00C25E6D">
        <w:t>Accordingly, i</w:t>
      </w:r>
      <w:r>
        <w:t>n that sphere we are arguing for a percentage-based concession</w:t>
      </w:r>
      <w:r w:rsidR="00C25E6D">
        <w:t>.  Without evidence as to why or how a telecommunications concession payment would be different, or how it would keep up with changing costs of telecommunications over time</w:t>
      </w:r>
      <w:r w:rsidR="00426AA9">
        <w:t xml:space="preserve">, </w:t>
      </w:r>
      <w:r>
        <w:t>we would have some concerns about endorsing a flat rate model for the CTA, notwithstanding the survey results.  However, given the other major problems with the CTA in terms of targeting and adequacy, that argument can probably wait.</w:t>
      </w:r>
    </w:p>
    <w:p w:rsidR="005C28F8" w:rsidRDefault="00102B3F" w:rsidP="00B72325">
      <w:pPr>
        <w:pStyle w:val="Heading2"/>
      </w:pPr>
      <w:bookmarkStart w:id="74" w:name="_Toc465167569"/>
      <w:bookmarkEnd w:id="56"/>
      <w:bookmarkEnd w:id="57"/>
      <w:r>
        <w:t>Summary</w:t>
      </w:r>
      <w:bookmarkEnd w:id="74"/>
    </w:p>
    <w:p w:rsidR="00C70B53" w:rsidRDefault="00C14D90" w:rsidP="00B72325">
      <w:r>
        <w:t xml:space="preserve">The data here raises, and </w:t>
      </w:r>
      <w:r w:rsidR="005C28F8">
        <w:t>co</w:t>
      </w:r>
      <w:r w:rsidR="00C70B53">
        <w:t>nfirms</w:t>
      </w:r>
      <w:r>
        <w:t>,</w:t>
      </w:r>
      <w:r w:rsidR="00C70B53">
        <w:t xml:space="preserve"> serious issues with the current model </w:t>
      </w:r>
      <w:r w:rsidR="005C28F8">
        <w:t xml:space="preserve">of the CTA. </w:t>
      </w:r>
      <w:r w:rsidR="00C70B53">
        <w:t xml:space="preserve"> The data clearly shows that telecommunications expenditure is essential, significant and regressive</w:t>
      </w:r>
      <w:r>
        <w:t>,</w:t>
      </w:r>
      <w:r w:rsidR="00C70B53">
        <w:t xml:space="preserve"> and that it is causing hardship and/or leading to digital exclusion. </w:t>
      </w:r>
      <w:r w:rsidR="000D0721">
        <w:t xml:space="preserve"> </w:t>
      </w:r>
      <w:r w:rsidR="00C70B53">
        <w:lastRenderedPageBreak/>
        <w:t>Given this, government support to maintain telecommunication</w:t>
      </w:r>
      <w:r w:rsidR="00881ECD">
        <w:t>s</w:t>
      </w:r>
      <w:r w:rsidR="00C70B53">
        <w:t xml:space="preserve"> connecti</w:t>
      </w:r>
      <w:r w:rsidR="00881ECD">
        <w:t>vity</w:t>
      </w:r>
      <w:r w:rsidR="00C70B53">
        <w:t xml:space="preserve"> is clearly needed. </w:t>
      </w:r>
      <w:r w:rsidR="000D0721">
        <w:t xml:space="preserve"> </w:t>
      </w:r>
      <w:r w:rsidR="00C70B53">
        <w:t xml:space="preserve">However, the concerns outlined above around the targeting, adequacy and the format and frequency of the CTA, clearly suggest a need for reform. </w:t>
      </w:r>
    </w:p>
    <w:p w:rsidR="0092080D" w:rsidRDefault="005C28F8" w:rsidP="00B72325">
      <w:r>
        <w:t xml:space="preserve">We noted at the beginning that the CTA was </w:t>
      </w:r>
      <w:r w:rsidR="00C14D90">
        <w:t>devised</w:t>
      </w:r>
      <w:r>
        <w:t xml:space="preserve"> around </w:t>
      </w:r>
      <w:r w:rsidR="00426AA9">
        <w:t>a phone service</w:t>
      </w:r>
      <w:r>
        <w:t xml:space="preserve"> and mainly for those with children or disability. </w:t>
      </w:r>
      <w:r w:rsidR="000D0721">
        <w:t xml:space="preserve"> </w:t>
      </w:r>
      <w:r>
        <w:t xml:space="preserve">However, what the data shows is that this targeting is flawed on both technology and social grounds. </w:t>
      </w:r>
      <w:r w:rsidR="000D0721">
        <w:t xml:space="preserve"> </w:t>
      </w:r>
      <w:r>
        <w:t xml:space="preserve">Technologically, it is clear from the survey data that people on low incomes are more likely to rely </w:t>
      </w:r>
      <w:r w:rsidR="00C70B53">
        <w:t>on mobile phones than landlines</w:t>
      </w:r>
      <w:r w:rsidR="0092080D">
        <w:t>, but design of any telecommunications concession is difficult because one-size of telecommunications does not fit all.</w:t>
      </w:r>
    </w:p>
    <w:p w:rsidR="00426AA9" w:rsidRDefault="00881ECD" w:rsidP="00B72325">
      <w:r>
        <w:t>Though a</w:t>
      </w:r>
      <w:r w:rsidR="005C28F8">
        <w:t>t a minimum</w:t>
      </w:r>
      <w:r w:rsidR="00426AA9">
        <w:t xml:space="preserve"> </w:t>
      </w:r>
      <w:r w:rsidR="005C28F8">
        <w:t>, if</w:t>
      </w:r>
      <w:r w:rsidR="00426AA9">
        <w:t xml:space="preserve"> you were going to simply</w:t>
      </w:r>
      <w:r w:rsidR="005C28F8">
        <w:t xml:space="preserve"> re-target the CTA to those most in need, but still keep it as a narrow “phone” allowance, it would be a payment to assist people to maintain a mobile phone </w:t>
      </w:r>
      <w:r w:rsidR="00426AA9">
        <w:t>and be structured around that. The current CTA notion of assisting with the cost of a service, but not of phone calls would have to change because the dividing line is less clear when service costs are embedded in mobile call costs</w:t>
      </w:r>
      <w:r w:rsidR="00F908B8">
        <w:rPr>
          <w:noProof/>
        </w:rPr>
        <w:t xml:space="preserve"> (SACOSS, 2015)</w:t>
      </w:r>
      <w:r w:rsidR="00426AA9">
        <w:t xml:space="preserve">. </w:t>
      </w:r>
      <w:r w:rsidR="00426AA9" w:rsidRPr="004A39BF">
        <w:rPr>
          <w:b/>
        </w:rPr>
        <w:t>A mobile-based CTA would have to have some</w:t>
      </w:r>
      <w:r w:rsidR="00C70B53" w:rsidRPr="004A39BF">
        <w:rPr>
          <w:b/>
        </w:rPr>
        <w:t xml:space="preserve"> reasonable call </w:t>
      </w:r>
      <w:r w:rsidR="00426AA9" w:rsidRPr="004A39BF">
        <w:rPr>
          <w:b/>
        </w:rPr>
        <w:t>allowance and monthly payments</w:t>
      </w:r>
      <w:r w:rsidR="00C70B53">
        <w:t xml:space="preserve">.  </w:t>
      </w:r>
    </w:p>
    <w:p w:rsidR="005C28F8" w:rsidRDefault="005C28F8" w:rsidP="00B72325">
      <w:r>
        <w:t>However,</w:t>
      </w:r>
      <w:r w:rsidR="00C70B53">
        <w:t xml:space="preserve"> the internet is clearly also an essential telecommunication</w:t>
      </w:r>
      <w:r w:rsidR="00FC2086">
        <w:t>s</w:t>
      </w:r>
      <w:r w:rsidR="00C70B53">
        <w:t xml:space="preserve"> platform and</w:t>
      </w:r>
      <w:r w:rsidR="0092080D">
        <w:t>,</w:t>
      </w:r>
      <w:r>
        <w:t xml:space="preserve"> </w:t>
      </w:r>
      <w:r w:rsidR="0092080D">
        <w:t>as w</w:t>
      </w:r>
      <w:r w:rsidR="007720C8">
        <w:t>ill be seen in the next section</w:t>
      </w:r>
      <w:r w:rsidR="0092080D">
        <w:t xml:space="preserve">, </w:t>
      </w:r>
      <w:r>
        <w:t xml:space="preserve">it was clear from the focus groups that data was one of the biggest issues for those on low incomes – they struggled to get enough at a reasonable price, and going over their limits left them open to unmanageable expenses. </w:t>
      </w:r>
      <w:r w:rsidR="000D0721">
        <w:t xml:space="preserve"> </w:t>
      </w:r>
      <w:r>
        <w:t xml:space="preserve">Thus, rather than an allowance based </w:t>
      </w:r>
      <w:r w:rsidR="00C70B53">
        <w:t>primarily on landline logic</w:t>
      </w:r>
      <w:r>
        <w:t xml:space="preserve">, </w:t>
      </w:r>
      <w:r w:rsidR="00C70B53" w:rsidRPr="00C84CA6">
        <w:rPr>
          <w:b/>
        </w:rPr>
        <w:t>the technological starting point for</w:t>
      </w:r>
      <w:r w:rsidR="00C70B53">
        <w:t xml:space="preserve"> </w:t>
      </w:r>
      <w:r w:rsidRPr="00D637FC">
        <w:rPr>
          <w:b/>
        </w:rPr>
        <w:t>a modern Telephone Allowance would be mobile based and include data</w:t>
      </w:r>
      <w:r w:rsidR="00FC2086">
        <w:rPr>
          <w:b/>
        </w:rPr>
        <w:t>.</w:t>
      </w:r>
      <w:r>
        <w:t xml:space="preserve"> </w:t>
      </w:r>
    </w:p>
    <w:p w:rsidR="00C84CA6" w:rsidRDefault="005C28F8" w:rsidP="00B72325">
      <w:r>
        <w:t xml:space="preserve">In terms of the social aspect of targeting, </w:t>
      </w:r>
      <w:r w:rsidR="00C84CA6">
        <w:t xml:space="preserve">when the three categories (by payment type) of income support recipients that receive the highest level of CTA are having least trouble with telecommunications affordability (and are already on the highest payment types), while those on lower payments can’t access the CTA </w:t>
      </w:r>
      <w:r w:rsidR="00B12E74">
        <w:t>at</w:t>
      </w:r>
      <w:r w:rsidR="00C84CA6">
        <w:t xml:space="preserve"> all, or it is not seen as enough to make a difference to struggling households, then the system i</w:t>
      </w:r>
      <w:r w:rsidR="00FC2086">
        <w:t>s</w:t>
      </w:r>
      <w:r w:rsidR="00C84CA6">
        <w:t xml:space="preserve"> clearly broken.</w:t>
      </w:r>
      <w:r>
        <w:t xml:space="preserve"> </w:t>
      </w:r>
      <w:r w:rsidR="000D0721">
        <w:t xml:space="preserve"> </w:t>
      </w:r>
      <w:r>
        <w:t xml:space="preserve">That said, </w:t>
      </w:r>
      <w:r w:rsidR="00C84CA6">
        <w:t>even among th</w:t>
      </w:r>
      <w:r w:rsidR="00094F9F">
        <w:t xml:space="preserve">ose on the </w:t>
      </w:r>
      <w:r w:rsidR="00FC2086">
        <w:t>A</w:t>
      </w:r>
      <w:r w:rsidR="00094F9F">
        <w:t xml:space="preserve">ge </w:t>
      </w:r>
      <w:r w:rsidR="00FC2086">
        <w:t>P</w:t>
      </w:r>
      <w:r w:rsidR="00094F9F">
        <w:t>ension – who are on the highest</w:t>
      </w:r>
      <w:r w:rsidR="00C84CA6">
        <w:t xml:space="preserve"> income support </w:t>
      </w:r>
      <w:r w:rsidR="00094F9F">
        <w:t>payment and are least likely to be struggling with telecommunication</w:t>
      </w:r>
      <w:r w:rsidR="00FC2086">
        <w:t>s</w:t>
      </w:r>
      <w:r w:rsidR="00094F9F">
        <w:t xml:space="preserve"> affordability</w:t>
      </w:r>
      <w:r w:rsidR="00C84CA6">
        <w:t>, some 31% still</w:t>
      </w:r>
      <w:r>
        <w:t xml:space="preserve"> reported cutting back or having difficulties paying bills, so there should no</w:t>
      </w:r>
      <w:r w:rsidR="00C84CA6">
        <w:t>t be an argument for cutting that</w:t>
      </w:r>
      <w:r>
        <w:t xml:space="preserve"> allowance. </w:t>
      </w:r>
      <w:r w:rsidR="000D0721">
        <w:t xml:space="preserve"> </w:t>
      </w:r>
      <w:r>
        <w:t xml:space="preserve">Rather </w:t>
      </w:r>
      <w:r w:rsidR="00C84CA6">
        <w:t xml:space="preserve">than an argument about better targeting by taking from one group to give to another, </w:t>
      </w:r>
      <w:r w:rsidRPr="00C84CA6">
        <w:rPr>
          <w:b/>
        </w:rPr>
        <w:t xml:space="preserve">the argument must clearly be for expanding the </w:t>
      </w:r>
      <w:r w:rsidR="00C84CA6" w:rsidRPr="00C84CA6">
        <w:rPr>
          <w:b/>
        </w:rPr>
        <w:t xml:space="preserve">overall eligibility for the </w:t>
      </w:r>
      <w:r w:rsidRPr="00C84CA6">
        <w:rPr>
          <w:b/>
        </w:rPr>
        <w:t>CTA</w:t>
      </w:r>
      <w:r>
        <w:t xml:space="preserve">. </w:t>
      </w:r>
    </w:p>
    <w:p w:rsidR="00094F9F" w:rsidRDefault="00C84CA6" w:rsidP="00B72325">
      <w:r>
        <w:t>I</w:t>
      </w:r>
      <w:r w:rsidR="005C28F8">
        <w:t xml:space="preserve">n this context, a further question arises: if (as argued here) telecommunications is an essential service for all people, then </w:t>
      </w:r>
      <w:r w:rsidR="00FC2086">
        <w:t>is there</w:t>
      </w:r>
      <w:r w:rsidR="005C28F8">
        <w:t xml:space="preserve"> a case for a universal allowance, not one targeted at particular groups of income support recipients</w:t>
      </w:r>
      <w:r w:rsidR="00FC2086">
        <w:t>?</w:t>
      </w:r>
      <w:r w:rsidR="005C28F8">
        <w:t xml:space="preserve"> </w:t>
      </w:r>
      <w:r>
        <w:t xml:space="preserve"> </w:t>
      </w:r>
      <w:r w:rsidR="00FC2086">
        <w:t>I</w:t>
      </w:r>
      <w:r w:rsidR="005C28F8">
        <w:t xml:space="preserve">f everyone has </w:t>
      </w:r>
      <w:r>
        <w:t xml:space="preserve">(or should have) </w:t>
      </w:r>
      <w:r w:rsidR="005C28F8">
        <w:t xml:space="preserve">telecommunications expenses and this is an essential expenditure causing </w:t>
      </w:r>
      <w:r w:rsidR="005C28F8">
        <w:lastRenderedPageBreak/>
        <w:t xml:space="preserve">hardship, then everyone should be entitled to </w:t>
      </w:r>
      <w:r>
        <w:t>assistance to access those essential services</w:t>
      </w:r>
      <w:r w:rsidR="005C28F8">
        <w:t>.</w:t>
      </w:r>
      <w:r w:rsidR="00FC2086">
        <w:rPr>
          <w:rStyle w:val="FootnoteReference"/>
        </w:rPr>
        <w:footnoteReference w:id="3"/>
      </w:r>
      <w:r w:rsidR="005C28F8">
        <w:t xml:space="preserve"> </w:t>
      </w:r>
    </w:p>
    <w:p w:rsidR="005C28F8" w:rsidRDefault="005C28F8" w:rsidP="00B72325">
      <w:r>
        <w:t xml:space="preserve">However, this </w:t>
      </w:r>
      <w:proofErr w:type="gramStart"/>
      <w:r w:rsidR="00C84CA6">
        <w:t>universalist</w:t>
      </w:r>
      <w:proofErr w:type="gramEnd"/>
      <w:r w:rsidR="00C84CA6">
        <w:t xml:space="preserve"> argument </w:t>
      </w:r>
      <w:r>
        <w:t>rais</w:t>
      </w:r>
      <w:r w:rsidR="00C84CA6">
        <w:t>es the issue of whether a separate telecommunication allowance</w:t>
      </w:r>
      <w:r w:rsidR="00094F9F">
        <w:t xml:space="preserve"> is needed</w:t>
      </w:r>
      <w:r>
        <w:t>, or whether there should just be an increase in the base rate of payments to ensure that they provide a genuinely liv</w:t>
      </w:r>
      <w:r w:rsidR="00364C12">
        <w:t>e</w:t>
      </w:r>
      <w:r>
        <w:t xml:space="preserve">able allowance </w:t>
      </w:r>
      <w:r w:rsidR="00C84CA6">
        <w:t xml:space="preserve">covering all essential costs </w:t>
      </w:r>
      <w:r>
        <w:t xml:space="preserve">(which is not the case now). </w:t>
      </w:r>
      <w:r w:rsidR="000D0721">
        <w:t xml:space="preserve"> </w:t>
      </w:r>
      <w:r>
        <w:t xml:space="preserve">The </w:t>
      </w:r>
      <w:r w:rsidR="00094F9F">
        <w:t xml:space="preserve">broader data from this </w:t>
      </w:r>
      <w:r>
        <w:t xml:space="preserve">survey </w:t>
      </w:r>
      <w:r w:rsidR="00F908B8">
        <w:rPr>
          <w:noProof/>
        </w:rPr>
        <w:t>(SACOSS, 2016)</w:t>
      </w:r>
      <w:r w:rsidR="00094F9F">
        <w:t xml:space="preserve"> </w:t>
      </w:r>
      <w:r>
        <w:t>was clear that those on most payment types are struggling to pay for a range of essential items, not just telecommunications, so t</w:t>
      </w:r>
      <w:r w:rsidR="00C84CA6">
        <w:t>he question is why (</w:t>
      </w:r>
      <w:r>
        <w:t xml:space="preserve">if it </w:t>
      </w:r>
      <w:r w:rsidR="00C84CA6">
        <w:t>is</w:t>
      </w:r>
      <w:r>
        <w:t xml:space="preserve"> </w:t>
      </w:r>
      <w:r w:rsidR="00C84CA6">
        <w:t xml:space="preserve">a </w:t>
      </w:r>
      <w:r>
        <w:t>universal</w:t>
      </w:r>
      <w:r w:rsidR="00C84CA6">
        <w:t xml:space="preserve"> expenditure</w:t>
      </w:r>
      <w:r>
        <w:t xml:space="preserve">) </w:t>
      </w:r>
      <w:r w:rsidR="00C84CA6">
        <w:t xml:space="preserve">would </w:t>
      </w:r>
      <w:r>
        <w:t>a separate payment be required for telecommun</w:t>
      </w:r>
      <w:r w:rsidR="008360DC">
        <w:t>i</w:t>
      </w:r>
      <w:r>
        <w:t xml:space="preserve">cations and not </w:t>
      </w:r>
      <w:r w:rsidR="00140828">
        <w:t xml:space="preserve">for </w:t>
      </w:r>
      <w:r>
        <w:t>other universal expenses such as food.</w:t>
      </w:r>
      <w:r w:rsidR="00094F9F">
        <w:t xml:space="preserve"> </w:t>
      </w:r>
    </w:p>
    <w:p w:rsidR="00DF774C" w:rsidRDefault="005C28F8" w:rsidP="00B72325">
      <w:r>
        <w:t xml:space="preserve">One obvious answer to this question is to ensure that the funding does go to maintaining access to telecommunication and all the social and economic benefits of that, rather than being spent on something else and leaving the person still without adequate telecommunication access. </w:t>
      </w:r>
      <w:r w:rsidR="000D0721">
        <w:t xml:space="preserve"> </w:t>
      </w:r>
      <w:r>
        <w:t xml:space="preserve">However, </w:t>
      </w:r>
      <w:r w:rsidRPr="00C84CA6">
        <w:rPr>
          <w:i/>
        </w:rPr>
        <w:t>any</w:t>
      </w:r>
      <w:r>
        <w:t xml:space="preserve"> cash payment is capable of being diverted into other expenditure – whether it is an increase in a base rate payment or a stand-alone allowance like the CTA. </w:t>
      </w:r>
      <w:r w:rsidR="000D0721">
        <w:t xml:space="preserve"> </w:t>
      </w:r>
      <w:r>
        <w:t xml:space="preserve">There is, for instance, no guarantee that the money received under the current CTA goes to </w:t>
      </w:r>
      <w:r w:rsidR="00C84CA6">
        <w:t>telephone costs</w:t>
      </w:r>
      <w:r w:rsidR="007720C8">
        <w:t xml:space="preserve">. </w:t>
      </w:r>
      <w:r w:rsidR="000D0721">
        <w:t xml:space="preserve"> </w:t>
      </w:r>
      <w:r w:rsidR="00094F9F">
        <w:t>T</w:t>
      </w:r>
      <w:r>
        <w:t xml:space="preserve">he only way to ensure a </w:t>
      </w:r>
      <w:r w:rsidR="00094F9F">
        <w:t>support</w:t>
      </w:r>
      <w:r>
        <w:t xml:space="preserve"> goes to the purported purpose is to make it a non-cash payment</w:t>
      </w:r>
      <w:r w:rsidR="007720C8">
        <w:t xml:space="preserve"> – which is</w:t>
      </w:r>
      <w:r w:rsidR="00094F9F">
        <w:t xml:space="preserve"> the logic of current income management welfare cards </w:t>
      </w:r>
      <w:r w:rsidR="007720C8">
        <w:t>that</w:t>
      </w:r>
      <w:r w:rsidR="00094F9F">
        <w:t xml:space="preserve"> limit expenditure options.</w:t>
      </w:r>
      <w:r>
        <w:t xml:space="preserve"> </w:t>
      </w:r>
      <w:r w:rsidR="000D0721">
        <w:t xml:space="preserve"> </w:t>
      </w:r>
      <w:r>
        <w:t xml:space="preserve">However, even apart from the </w:t>
      </w:r>
      <w:r w:rsidR="00C84CA6">
        <w:t xml:space="preserve">paternalistic assumptions and </w:t>
      </w:r>
      <w:r>
        <w:t xml:space="preserve">problematic economic sovereignty issues, such schemes are expensive to maintain and </w:t>
      </w:r>
      <w:r w:rsidR="00094F9F">
        <w:t>inconvenient to use</w:t>
      </w:r>
      <w:r w:rsidR="00817DD1">
        <w:t xml:space="preserve">. </w:t>
      </w:r>
      <w:r w:rsidR="000D0721">
        <w:t xml:space="preserve"> </w:t>
      </w:r>
      <w:r w:rsidR="00817DD1">
        <w:t xml:space="preserve">Indeed, </w:t>
      </w:r>
      <w:r w:rsidR="00094F9F">
        <w:t>the CTA</w:t>
      </w:r>
      <w:r w:rsidR="00817DD1">
        <w:t xml:space="preserve"> was introduced in 1992 as a monetised allowance to replace the previous concession voucher system</w:t>
      </w:r>
      <w:r w:rsidR="001D1D8B">
        <w:t>.</w:t>
      </w:r>
    </w:p>
    <w:p w:rsidR="00DF774C" w:rsidRDefault="005C28F8" w:rsidP="00B72325">
      <w:r w:rsidRPr="00C84CA6">
        <w:rPr>
          <w:b/>
        </w:rPr>
        <w:t>All of this suggests that assistance with telecommunications costs would be best maintained as a cash allowance, albeit a more universal one</w:t>
      </w:r>
      <w:r>
        <w:t xml:space="preserve">. </w:t>
      </w:r>
    </w:p>
    <w:p w:rsidR="00DF774C" w:rsidRDefault="00DF774C" w:rsidP="00B72325">
      <w:r>
        <w:t>T</w:t>
      </w:r>
      <w:r w:rsidR="005C28F8">
        <w:t>he ma</w:t>
      </w:r>
      <w:r w:rsidR="00C84CA6">
        <w:t>in argument</w:t>
      </w:r>
      <w:r w:rsidR="00BA50BD">
        <w:t xml:space="preserve"> </w:t>
      </w:r>
      <w:r w:rsidR="00C84CA6">
        <w:t xml:space="preserve">for </w:t>
      </w:r>
      <w:r w:rsidR="005C28F8">
        <w:t>stand-alone allowance</w:t>
      </w:r>
      <w:r w:rsidR="00C84CA6">
        <w:t>s</w:t>
      </w:r>
      <w:r w:rsidR="005C28F8">
        <w:t xml:space="preserve"> rather than an increased base allowance is </w:t>
      </w:r>
      <w:r>
        <w:t xml:space="preserve">that in theory allowances </w:t>
      </w:r>
      <w:r w:rsidR="00C84CA6">
        <w:t xml:space="preserve">can </w:t>
      </w:r>
      <w:r>
        <w:t>better target</w:t>
      </w:r>
      <w:r w:rsidR="00C84CA6">
        <w:t xml:space="preserve"> payments to </w:t>
      </w:r>
      <w:r>
        <w:t>different</w:t>
      </w:r>
      <w:r w:rsidR="00C84CA6">
        <w:t xml:space="preserve"> needs.  In the case of telecommunications, t</w:t>
      </w:r>
      <w:r w:rsidR="005C28F8">
        <w:t>he</w:t>
      </w:r>
      <w:r>
        <w:t>se different needs</w:t>
      </w:r>
      <w:r w:rsidR="005C28F8">
        <w:t xml:space="preserve"> are manifest particularly around children. </w:t>
      </w:r>
      <w:r w:rsidR="00C84CA6">
        <w:t xml:space="preserve"> As t</w:t>
      </w:r>
      <w:r w:rsidR="005C28F8">
        <w:t>he survey data showed</w:t>
      </w:r>
      <w:r w:rsidR="00C84CA6">
        <w:t>,</w:t>
      </w:r>
      <w:r w:rsidR="005C28F8">
        <w:t xml:space="preserve"> household</w:t>
      </w:r>
      <w:r w:rsidR="00C84CA6">
        <w:t>s</w:t>
      </w:r>
      <w:r w:rsidR="005C28F8">
        <w:t xml:space="preserve"> with children had the </w:t>
      </w:r>
      <w:r w:rsidR="00C84CA6">
        <w:t>highest number of telecommunication</w:t>
      </w:r>
      <w:r w:rsidR="00BA50BD">
        <w:t>s</w:t>
      </w:r>
      <w:r w:rsidR="00C84CA6">
        <w:t xml:space="preserve"> devices and </w:t>
      </w:r>
      <w:proofErr w:type="gramStart"/>
      <w:r w:rsidR="00C84CA6">
        <w:t>struggled</w:t>
      </w:r>
      <w:proofErr w:type="gramEnd"/>
      <w:r w:rsidR="00C84CA6">
        <w:t xml:space="preserve"> the most with affordability</w:t>
      </w:r>
      <w:r w:rsidR="005C28F8">
        <w:t xml:space="preserve">, but it is important to note that this is different from a number of other essential household expenditures. </w:t>
      </w:r>
      <w:r w:rsidR="000D0721">
        <w:t xml:space="preserve"> </w:t>
      </w:r>
      <w:r w:rsidR="005C28F8">
        <w:t>For instance, the amount of rent paid or energy used does not go up proportionately to the number of people in the house (i</w:t>
      </w:r>
      <w:r w:rsidR="00BA50BD">
        <w:t>.</w:t>
      </w:r>
      <w:r w:rsidR="005C28F8">
        <w:t>e. increasing a household from 1 to 2 pe</w:t>
      </w:r>
      <w:r w:rsidR="00364C12">
        <w:t>ople does not double the rent or</w:t>
      </w:r>
      <w:r w:rsidR="005C28F8">
        <w:t xml:space="preserve"> electricity use/cost). </w:t>
      </w:r>
      <w:r w:rsidR="007720C8">
        <w:t xml:space="preserve"> </w:t>
      </w:r>
      <w:r w:rsidR="005C28F8">
        <w:t xml:space="preserve">Over a certain age </w:t>
      </w:r>
      <w:r w:rsidR="005C28F8">
        <w:lastRenderedPageBreak/>
        <w:t xml:space="preserve">however, it will double the number of mobile phones required in the household, and potentially also double </w:t>
      </w:r>
      <w:r w:rsidR="00C84CA6">
        <w:t xml:space="preserve">(or more) </w:t>
      </w:r>
      <w:r w:rsidR="005C28F8">
        <w:t xml:space="preserve">the data required. </w:t>
      </w:r>
    </w:p>
    <w:p w:rsidR="005C28F8" w:rsidRDefault="005C28F8" w:rsidP="00B72325">
      <w:r>
        <w:t>Accordingly, if telecommunications are indeed a universal need, then that need relates not simply to the income support recipi</w:t>
      </w:r>
      <w:r w:rsidR="00140828">
        <w:t>ent, but the number of people</w:t>
      </w:r>
      <w:r>
        <w:t xml:space="preserve"> that are funded from that payment. </w:t>
      </w:r>
      <w:r w:rsidR="000D0721">
        <w:t xml:space="preserve"> </w:t>
      </w:r>
      <w:r w:rsidR="00B31473">
        <w:t xml:space="preserve">An allowance structure aimed at assisting access to telecommunications should have extra payments based on the number of children/dependants presumably over a certain “telecommunications” age – probably a low teen. </w:t>
      </w:r>
      <w:r w:rsidR="000D0721">
        <w:t xml:space="preserve"> </w:t>
      </w:r>
      <w:r w:rsidR="00B31473">
        <w:t>In this sense, a</w:t>
      </w:r>
      <w:r w:rsidR="00C84CA6">
        <w:t xml:space="preserve"> universal approach </w:t>
      </w:r>
      <w:r w:rsidR="00B31473">
        <w:t>does</w:t>
      </w:r>
      <w:r w:rsidR="00C84CA6">
        <w:t xml:space="preserve"> not imply a single rate for recipients</w:t>
      </w:r>
      <w:r w:rsidR="00B31473">
        <w:t>, but rather a universal support for all telecommunication</w:t>
      </w:r>
      <w:r w:rsidR="00BA50BD">
        <w:t>s</w:t>
      </w:r>
      <w:r w:rsidR="00B31473">
        <w:t xml:space="preserve"> users</w:t>
      </w:r>
      <w:r>
        <w:t>.</w:t>
      </w:r>
      <w:r w:rsidR="00B31473">
        <w:t xml:space="preserve"> </w:t>
      </w:r>
    </w:p>
    <w:p w:rsidR="00E84644" w:rsidRPr="00C25E6D" w:rsidRDefault="00B31473" w:rsidP="00B72325">
      <w:r>
        <w:t>T</w:t>
      </w:r>
      <w:r w:rsidR="005C28F8">
        <w:t>h</w:t>
      </w:r>
      <w:r>
        <w:t>e recognition of the need for differing payment rates based on the number of dependants</w:t>
      </w:r>
      <w:r w:rsidR="005C28F8">
        <w:t xml:space="preserve"> does not resolve the argument around </w:t>
      </w:r>
      <w:r w:rsidR="00116701">
        <w:t>whether</w:t>
      </w:r>
      <w:r w:rsidR="005C28F8">
        <w:t xml:space="preserve"> a stand-alone allowance </w:t>
      </w:r>
      <w:r w:rsidR="00116701">
        <w:t>is preferable to</w:t>
      </w:r>
      <w:r w:rsidR="005C28F8">
        <w:t xml:space="preserve"> an increased base payment (as both can be adjusted for dependants)</w:t>
      </w:r>
      <w:r>
        <w:t>,</w:t>
      </w:r>
      <w:r w:rsidR="005C28F8">
        <w:t xml:space="preserve"> </w:t>
      </w:r>
      <w:r w:rsidR="005C28F8" w:rsidRPr="00C25E6D">
        <w:t xml:space="preserve">but </w:t>
      </w:r>
      <w:r w:rsidRPr="00C25E6D">
        <w:t>to some extent that</w:t>
      </w:r>
      <w:r w:rsidR="00E84644" w:rsidRPr="00C25E6D">
        <w:t xml:space="preserve"> resolution may be time-based. </w:t>
      </w:r>
      <w:r w:rsidR="000D0721" w:rsidRPr="00C25E6D">
        <w:t xml:space="preserve"> </w:t>
      </w:r>
      <w:r w:rsidR="00E84644" w:rsidRPr="00C25E6D">
        <w:t xml:space="preserve">The first step would be to expand the telecommunications allowance to recognise the universal </w:t>
      </w:r>
      <w:r w:rsidRPr="00C25E6D">
        <w:t>support</w:t>
      </w:r>
      <w:r w:rsidR="00E84644" w:rsidRPr="00C25E6D">
        <w:t xml:space="preserve"> requirement and to fix the other structural and adequacy issues identified above; and then, when the universal eligibility is established, there could be a move to incorporating it into the base level payment. </w:t>
      </w:r>
      <w:r w:rsidR="000D0721" w:rsidRPr="00C25E6D">
        <w:t xml:space="preserve"> </w:t>
      </w:r>
      <w:r w:rsidR="00E84644" w:rsidRPr="00C25E6D">
        <w:t xml:space="preserve">However, in doing this there would need to be an assurance that the value of the </w:t>
      </w:r>
      <w:r w:rsidR="008A5DFB" w:rsidRPr="00C25E6D">
        <w:t xml:space="preserve">telephone </w:t>
      </w:r>
      <w:r w:rsidR="00E84644" w:rsidRPr="00C25E6D">
        <w:t xml:space="preserve">allowance was maintained </w:t>
      </w:r>
      <w:r w:rsidR="008A5DFB" w:rsidRPr="00C25E6D">
        <w:t xml:space="preserve">in the base level payment </w:t>
      </w:r>
      <w:r w:rsidR="00E84644" w:rsidRPr="00C25E6D">
        <w:t xml:space="preserve">and that </w:t>
      </w:r>
      <w:r w:rsidR="008A5DFB" w:rsidRPr="00C25E6D">
        <w:t xml:space="preserve">the allowance </w:t>
      </w:r>
      <w:r w:rsidR="00E84644" w:rsidRPr="00C25E6D">
        <w:t xml:space="preserve">was not </w:t>
      </w:r>
      <w:r w:rsidRPr="00C25E6D">
        <w:t>used to</w:t>
      </w:r>
      <w:r w:rsidR="00E84644" w:rsidRPr="00C25E6D">
        <w:t xml:space="preserve"> increase the base rate in lieu of a much-needed wider-reform to lift the basic allowances to a liveable level. </w:t>
      </w:r>
    </w:p>
    <w:p w:rsidR="00B31473" w:rsidRDefault="00E84644" w:rsidP="00B72325">
      <w:r w:rsidRPr="00C25E6D">
        <w:t>In this context, we not</w:t>
      </w:r>
      <w:r w:rsidR="0040419F" w:rsidRPr="00C25E6D">
        <w:t xml:space="preserve">e that ACOSS </w:t>
      </w:r>
      <w:sdt>
        <w:sdtPr>
          <w:id w:val="39946283"/>
          <w:citation/>
        </w:sdtPr>
        <w:sdtContent>
          <w:r w:rsidR="00C907D6" w:rsidRPr="00C25E6D">
            <w:fldChar w:fldCharType="begin"/>
          </w:r>
          <w:r w:rsidR="0040419F" w:rsidRPr="00C25E6D">
            <w:instrText xml:space="preserve">CITATION ACO16b \n  \l 3081 </w:instrText>
          </w:r>
          <w:r w:rsidR="00C907D6" w:rsidRPr="00C25E6D">
            <w:fldChar w:fldCharType="separate"/>
          </w:r>
          <w:r w:rsidR="000D79D7">
            <w:rPr>
              <w:noProof/>
            </w:rPr>
            <w:t>(Budget Priorities Statement, 2016-17, 2016)</w:t>
          </w:r>
          <w:r w:rsidR="00C907D6" w:rsidRPr="00C25E6D">
            <w:fldChar w:fldCharType="end"/>
          </w:r>
        </w:sdtContent>
      </w:sdt>
      <w:r w:rsidR="0040419F" w:rsidRPr="00C25E6D">
        <w:t xml:space="preserve"> has called for an i</w:t>
      </w:r>
      <w:r w:rsidRPr="00C25E6D">
        <w:t xml:space="preserve">ndependent </w:t>
      </w:r>
      <w:r w:rsidR="0040419F" w:rsidRPr="00C25E6D">
        <w:t xml:space="preserve">expert </w:t>
      </w:r>
      <w:r w:rsidRPr="00C25E6D">
        <w:t xml:space="preserve">Commission </w:t>
      </w:r>
      <w:r w:rsidR="0040419F" w:rsidRPr="00C25E6D">
        <w:t xml:space="preserve">to be appointed by the government to </w:t>
      </w:r>
      <w:r w:rsidRPr="00C25E6D">
        <w:t xml:space="preserve">assess the needs of income support recipients and </w:t>
      </w:r>
      <w:r w:rsidR="0040419F" w:rsidRPr="00C25E6D">
        <w:t xml:space="preserve">to </w:t>
      </w:r>
      <w:r w:rsidRPr="00C25E6D">
        <w:t xml:space="preserve">recommend </w:t>
      </w:r>
      <w:r w:rsidR="0040419F" w:rsidRPr="00C25E6D">
        <w:t>benchmarks for the adequacy of income support payment</w:t>
      </w:r>
      <w:r w:rsidRPr="00C25E6D">
        <w:t xml:space="preserve">. </w:t>
      </w:r>
      <w:r w:rsidR="000D0721" w:rsidRPr="00C25E6D">
        <w:t xml:space="preserve"> </w:t>
      </w:r>
      <w:r w:rsidRPr="00C25E6D">
        <w:t xml:space="preserve">If this was implemented, then telecommunications needs could be factored into such an assessment and arguably at that point the stand-alone allowance may be redundant. </w:t>
      </w:r>
    </w:p>
    <w:p w:rsidR="00102B3F" w:rsidRPr="00C25E6D" w:rsidRDefault="00102B3F" w:rsidP="00102B3F">
      <w:pPr>
        <w:pStyle w:val="Heading3"/>
      </w:pPr>
      <w:bookmarkStart w:id="75" w:name="Recommendation_1"/>
      <w:bookmarkStart w:id="76" w:name="_Toc465167570"/>
      <w:bookmarkEnd w:id="75"/>
      <w:r>
        <w:rPr>
          <w:lang w:val="en-US" w:eastAsia="ja-JP"/>
        </w:rPr>
        <w:t xml:space="preserve">Recommendation 1: </w:t>
      </w:r>
      <w:r w:rsidRPr="00BC6926">
        <w:t>Reforming the Centrelink Telephone Allowance</w:t>
      </w:r>
      <w:bookmarkEnd w:id="76"/>
    </w:p>
    <w:p w:rsidR="00C84CA6" w:rsidRDefault="00B31473" w:rsidP="00B72325">
      <w:pPr>
        <w:rPr>
          <w:b/>
          <w:i/>
        </w:rPr>
      </w:pPr>
      <w:proofErr w:type="gramStart"/>
      <w:r w:rsidRPr="00C25E6D">
        <w:t>Adopting th</w:t>
      </w:r>
      <w:r w:rsidR="00102B3F">
        <w:t>e above</w:t>
      </w:r>
      <w:r w:rsidRPr="00C25E6D">
        <w:t xml:space="preserve"> approach would </w:t>
      </w:r>
      <w:r w:rsidR="00102B3F">
        <w:t>allow for</w:t>
      </w:r>
      <w:r w:rsidRPr="00C25E6D">
        <w:t xml:space="preserve"> two </w:t>
      </w:r>
      <w:r w:rsidR="00102B3F">
        <w:t xml:space="preserve">strategies </w:t>
      </w:r>
      <w:r w:rsidRPr="00C25E6D">
        <w:t>in relation to the CTA.</w:t>
      </w:r>
      <w:proofErr w:type="gramEnd"/>
      <w:r w:rsidRPr="00C25E6D">
        <w:t xml:space="preserve"> </w:t>
      </w:r>
      <w:r w:rsidR="000D0721" w:rsidRPr="00C25E6D">
        <w:t xml:space="preserve"> </w:t>
      </w:r>
      <w:r w:rsidRPr="00C25E6D">
        <w:t>Firstly,</w:t>
      </w:r>
      <w:r>
        <w:t xml:space="preserve"> </w:t>
      </w:r>
      <w:r w:rsidR="005C28F8">
        <w:t xml:space="preserve">in the context of the existing CTA, and considering both the technological and demographics of targeting, </w:t>
      </w:r>
      <w:r w:rsidR="00C84CA6">
        <w:t xml:space="preserve">and the issues of adequacy and method of payment canvassed above, </w:t>
      </w:r>
      <w:r w:rsidR="005C28F8">
        <w:t xml:space="preserve">the proposal which comes out of the survey data </w:t>
      </w:r>
      <w:r w:rsidR="00C84CA6">
        <w:t>(</w:t>
      </w:r>
      <w:r w:rsidR="005C28F8">
        <w:t xml:space="preserve">and the </w:t>
      </w:r>
      <w:r w:rsidR="00C84CA6">
        <w:t xml:space="preserve">digital </w:t>
      </w:r>
      <w:r w:rsidR="005C28F8">
        <w:t>data issues identified in the focus groups</w:t>
      </w:r>
      <w:r w:rsidR="00C84CA6">
        <w:t>)</w:t>
      </w:r>
      <w:r w:rsidR="005C28F8">
        <w:t xml:space="preserve"> is that </w:t>
      </w:r>
      <w:r w:rsidR="005C28F8" w:rsidRPr="00F73E9A">
        <w:rPr>
          <w:b/>
          <w:i/>
        </w:rPr>
        <w:t>the CTA should</w:t>
      </w:r>
      <w:r w:rsidR="00C84CA6">
        <w:rPr>
          <w:b/>
          <w:i/>
        </w:rPr>
        <w:t>:</w:t>
      </w:r>
    </w:p>
    <w:p w:rsidR="00C84CA6" w:rsidRPr="005D0AB4" w:rsidRDefault="005C28F8" w:rsidP="00567914">
      <w:pPr>
        <w:pStyle w:val="ListParagraph"/>
        <w:numPr>
          <w:ilvl w:val="0"/>
          <w:numId w:val="3"/>
        </w:numPr>
        <w:rPr>
          <w:rFonts w:ascii="Arial" w:hAnsi="Arial" w:cs="Arial"/>
        </w:rPr>
      </w:pPr>
      <w:r w:rsidRPr="005D0AB4">
        <w:rPr>
          <w:rFonts w:ascii="Arial" w:hAnsi="Arial" w:cs="Arial"/>
          <w:b/>
          <w:i/>
        </w:rPr>
        <w:t>aim to assist with access to mobile-phone communication and internet access with a re</w:t>
      </w:r>
      <w:r w:rsidR="00C84CA6" w:rsidRPr="005D0AB4">
        <w:rPr>
          <w:rFonts w:ascii="Arial" w:hAnsi="Arial" w:cs="Arial"/>
          <w:b/>
          <w:i/>
        </w:rPr>
        <w:t>asonable call and data allowance;</w:t>
      </w:r>
    </w:p>
    <w:p w:rsidR="00C84CA6" w:rsidRPr="005D0AB4" w:rsidRDefault="005C28F8" w:rsidP="00567914">
      <w:pPr>
        <w:pStyle w:val="ListParagraph"/>
        <w:numPr>
          <w:ilvl w:val="0"/>
          <w:numId w:val="3"/>
        </w:numPr>
        <w:rPr>
          <w:rFonts w:ascii="Arial" w:hAnsi="Arial" w:cs="Arial"/>
        </w:rPr>
      </w:pPr>
      <w:r w:rsidRPr="005D0AB4">
        <w:rPr>
          <w:rFonts w:ascii="Arial" w:hAnsi="Arial" w:cs="Arial"/>
          <w:b/>
          <w:i/>
        </w:rPr>
        <w:t>be available to all Centrelink recipients</w:t>
      </w:r>
      <w:r w:rsidR="00C84CA6" w:rsidRPr="005D0AB4">
        <w:rPr>
          <w:rFonts w:ascii="Arial" w:hAnsi="Arial" w:cs="Arial"/>
          <w:b/>
          <w:i/>
        </w:rPr>
        <w:t>;</w:t>
      </w:r>
    </w:p>
    <w:p w:rsidR="005C28F8" w:rsidRPr="005D0AB4" w:rsidRDefault="00C84CA6" w:rsidP="00567914">
      <w:pPr>
        <w:pStyle w:val="ListParagraph"/>
        <w:numPr>
          <w:ilvl w:val="0"/>
          <w:numId w:val="3"/>
        </w:numPr>
        <w:rPr>
          <w:rFonts w:ascii="Arial" w:hAnsi="Arial" w:cs="Arial"/>
        </w:rPr>
      </w:pPr>
      <w:r w:rsidRPr="005D0AB4">
        <w:rPr>
          <w:rFonts w:ascii="Arial" w:hAnsi="Arial" w:cs="Arial"/>
          <w:b/>
          <w:i/>
        </w:rPr>
        <w:t>have</w:t>
      </w:r>
      <w:r w:rsidR="005C28F8" w:rsidRPr="005D0AB4">
        <w:rPr>
          <w:rFonts w:ascii="Arial" w:hAnsi="Arial" w:cs="Arial"/>
          <w:b/>
          <w:i/>
        </w:rPr>
        <w:t xml:space="preserve"> higher rates per child/dependant</w:t>
      </w:r>
      <w:r w:rsidRPr="005D0AB4">
        <w:rPr>
          <w:rFonts w:ascii="Arial" w:hAnsi="Arial" w:cs="Arial"/>
          <w:b/>
          <w:i/>
        </w:rPr>
        <w:t>;</w:t>
      </w:r>
    </w:p>
    <w:p w:rsidR="00C84CA6" w:rsidRPr="005D0AB4" w:rsidRDefault="00C84CA6" w:rsidP="00567914">
      <w:pPr>
        <w:pStyle w:val="ListParagraph"/>
        <w:numPr>
          <w:ilvl w:val="0"/>
          <w:numId w:val="3"/>
        </w:numPr>
        <w:rPr>
          <w:rFonts w:ascii="Arial" w:hAnsi="Arial" w:cs="Arial"/>
        </w:rPr>
      </w:pPr>
      <w:r w:rsidRPr="005D0AB4">
        <w:rPr>
          <w:rFonts w:ascii="Arial" w:hAnsi="Arial" w:cs="Arial"/>
          <w:b/>
          <w:i/>
        </w:rPr>
        <w:lastRenderedPageBreak/>
        <w:t>be increased to a base rate of at least $60 per quarter ($20/month);</w:t>
      </w:r>
    </w:p>
    <w:p w:rsidR="00632E9C" w:rsidRDefault="00C84CA6" w:rsidP="00567914">
      <w:pPr>
        <w:pStyle w:val="ListParagraph"/>
        <w:numPr>
          <w:ilvl w:val="0"/>
          <w:numId w:val="3"/>
        </w:numPr>
        <w:rPr>
          <w:rFonts w:ascii="Arial" w:hAnsi="Arial" w:cs="Arial"/>
        </w:rPr>
      </w:pPr>
      <w:proofErr w:type="gramStart"/>
      <w:r w:rsidRPr="005D0AB4">
        <w:rPr>
          <w:rFonts w:ascii="Arial" w:hAnsi="Arial" w:cs="Arial"/>
          <w:b/>
          <w:i/>
        </w:rPr>
        <w:t>be</w:t>
      </w:r>
      <w:proofErr w:type="gramEnd"/>
      <w:r w:rsidRPr="005D0AB4">
        <w:rPr>
          <w:rFonts w:ascii="Arial" w:hAnsi="Arial" w:cs="Arial"/>
          <w:b/>
          <w:i/>
        </w:rPr>
        <w:t xml:space="preserve"> paid fortnightly or monthly.</w:t>
      </w:r>
    </w:p>
    <w:p w:rsidR="008A5DFB" w:rsidRPr="00B31473" w:rsidRDefault="00B31473" w:rsidP="00B31473">
      <w:pPr>
        <w:rPr>
          <w:rFonts w:cs="Arial"/>
        </w:rPr>
      </w:pPr>
      <w:r w:rsidRPr="00C25E6D">
        <w:rPr>
          <w:rFonts w:cs="Arial"/>
        </w:rPr>
        <w:t>Secondly, in the long</w:t>
      </w:r>
      <w:r w:rsidR="00C42C0C" w:rsidRPr="00C25E6D">
        <w:rPr>
          <w:rFonts w:cs="Arial"/>
        </w:rPr>
        <w:t>er</w:t>
      </w:r>
      <w:r w:rsidRPr="00C25E6D">
        <w:rPr>
          <w:rFonts w:cs="Arial"/>
        </w:rPr>
        <w:t xml:space="preserve"> term</w:t>
      </w:r>
      <w:r w:rsidR="00C42C0C" w:rsidRPr="00C25E6D">
        <w:rPr>
          <w:rFonts w:cs="Arial"/>
        </w:rPr>
        <w:t xml:space="preserve"> and in recognition of telecommunications as a significant and essential daily expenditure,</w:t>
      </w:r>
      <w:r w:rsidR="008A5DFB" w:rsidRPr="00C25E6D">
        <w:rPr>
          <w:rFonts w:cs="Arial"/>
        </w:rPr>
        <w:t xml:space="preserve"> and that </w:t>
      </w:r>
      <w:r w:rsidR="00817DD1" w:rsidRPr="00C25E6D">
        <w:rPr>
          <w:rFonts w:cs="Arial"/>
        </w:rPr>
        <w:t xml:space="preserve">(as per </w:t>
      </w:r>
      <w:r w:rsidR="00787F91">
        <w:rPr>
          <w:rFonts w:cs="Arial"/>
        </w:rPr>
        <w:fldChar w:fldCharType="begin"/>
      </w:r>
      <w:r w:rsidR="00787F91">
        <w:rPr>
          <w:rFonts w:cs="Arial"/>
        </w:rPr>
        <w:instrText xml:space="preserve"> REF _Ref464126749 \h </w:instrText>
      </w:r>
      <w:r w:rsidR="00787F91">
        <w:rPr>
          <w:rFonts w:cs="Arial"/>
        </w:rPr>
      </w:r>
      <w:r w:rsidR="00787F91">
        <w:rPr>
          <w:rFonts w:cs="Arial"/>
        </w:rPr>
        <w:fldChar w:fldCharType="separate"/>
      </w:r>
      <w:r w:rsidR="002F60EE">
        <w:t xml:space="preserve">Table </w:t>
      </w:r>
      <w:r w:rsidR="002F60EE">
        <w:rPr>
          <w:noProof/>
        </w:rPr>
        <w:t>3</w:t>
      </w:r>
      <w:r w:rsidR="00787F91">
        <w:rPr>
          <w:rFonts w:cs="Arial"/>
        </w:rPr>
        <w:fldChar w:fldCharType="end"/>
      </w:r>
      <w:r w:rsidR="00787F91">
        <w:rPr>
          <w:rFonts w:cs="Arial"/>
        </w:rPr>
        <w:t xml:space="preserve"> </w:t>
      </w:r>
      <w:r w:rsidR="00817DD1" w:rsidRPr="00C25E6D">
        <w:rPr>
          <w:rFonts w:cs="Arial"/>
        </w:rPr>
        <w:t xml:space="preserve">above) </w:t>
      </w:r>
      <w:r w:rsidR="008A5DFB" w:rsidRPr="00C25E6D">
        <w:rPr>
          <w:rFonts w:cs="Arial"/>
        </w:rPr>
        <w:t xml:space="preserve">part of the reason people on Centrelink benefits were having trouble affording telecommunications is insufficient base level income, </w:t>
      </w:r>
      <w:r w:rsidR="008A5DFB" w:rsidRPr="00C25E6D">
        <w:rPr>
          <w:rFonts w:cs="Arial"/>
          <w:b/>
          <w:i/>
        </w:rPr>
        <w:t>there should be a review of the adequacy of income support payments, and the costs of telecommunications should be included in the consideration of essential household expenditures.</w:t>
      </w:r>
      <w:r w:rsidR="000D0721" w:rsidRPr="00C25E6D">
        <w:rPr>
          <w:rFonts w:cs="Arial"/>
          <w:b/>
          <w:i/>
        </w:rPr>
        <w:t xml:space="preserve"> </w:t>
      </w:r>
      <w:r w:rsidR="008A5DFB" w:rsidRPr="00C25E6D">
        <w:rPr>
          <w:rFonts w:cs="Arial"/>
          <w:b/>
          <w:i/>
        </w:rPr>
        <w:t xml:space="preserve"> If the costs of telecommunications are factored into setting genuinely liveable allowances, then there should be consideration of incorporating the CTA into the expanded base level payments.</w:t>
      </w:r>
    </w:p>
    <w:p w:rsidR="00361AC7" w:rsidRPr="00E00C91" w:rsidRDefault="002C0F03" w:rsidP="0027163C">
      <w:pPr>
        <w:pStyle w:val="Heading1"/>
        <w:numPr>
          <w:ilvl w:val="0"/>
          <w:numId w:val="8"/>
        </w:numPr>
      </w:pPr>
      <w:bookmarkStart w:id="77" w:name="_Toc465167571"/>
      <w:r w:rsidRPr="00E00C91">
        <w:rPr>
          <w:noProof/>
          <w:lang w:val="en-AU" w:eastAsia="en-AU"/>
        </w:rPr>
        <w:lastRenderedPageBreak/>
        <mc:AlternateContent>
          <mc:Choice Requires="wps">
            <w:drawing>
              <wp:anchor distT="0" distB="0" distL="114300" distR="114300" simplePos="0" relativeHeight="251666432" behindDoc="0" locked="0" layoutInCell="1" allowOverlap="1" wp14:anchorId="73DEADC2" wp14:editId="40BCDE58">
                <wp:simplePos x="0" y="0"/>
                <wp:positionH relativeFrom="column">
                  <wp:posOffset>-62865</wp:posOffset>
                </wp:positionH>
                <wp:positionV relativeFrom="paragraph">
                  <wp:posOffset>890270</wp:posOffset>
                </wp:positionV>
                <wp:extent cx="5010150" cy="5589270"/>
                <wp:effectExtent l="0" t="0" r="19050" b="11430"/>
                <wp:wrapTopAndBottom/>
                <wp:docPr id="16" name="Text Box 16"/>
                <wp:cNvGraphicFramePr/>
                <a:graphic xmlns:a="http://schemas.openxmlformats.org/drawingml/2006/main">
                  <a:graphicData uri="http://schemas.microsoft.com/office/word/2010/wordprocessingShape">
                    <wps:wsp>
                      <wps:cNvSpPr txBox="1"/>
                      <wps:spPr>
                        <a:xfrm>
                          <a:off x="0" y="0"/>
                          <a:ext cx="5010150" cy="5589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1CFF" w:rsidRPr="002C0F03" w:rsidRDefault="00881CFF" w:rsidP="002C0F03">
                            <w:pPr>
                              <w:rPr>
                                <w:b/>
                                <w:sz w:val="28"/>
                                <w:szCs w:val="28"/>
                              </w:rPr>
                            </w:pPr>
                            <w:r w:rsidRPr="002C0F03">
                              <w:rPr>
                                <w:b/>
                                <w:sz w:val="28"/>
                                <w:szCs w:val="28"/>
                              </w:rPr>
                              <w:t>Key</w:t>
                            </w:r>
                            <w:r>
                              <w:rPr>
                                <w:b/>
                              </w:rPr>
                              <w:t xml:space="preserve"> </w:t>
                            </w:r>
                            <w:r w:rsidRPr="002C0F03">
                              <w:rPr>
                                <w:b/>
                                <w:sz w:val="28"/>
                                <w:szCs w:val="28"/>
                              </w:rPr>
                              <w:t>Findings</w:t>
                            </w:r>
                          </w:p>
                          <w:p w:rsidR="00881CFF" w:rsidRPr="0099559F" w:rsidRDefault="00881CFF" w:rsidP="0099559F">
                            <w:pPr>
                              <w:pStyle w:val="ListParagraph"/>
                              <w:numPr>
                                <w:ilvl w:val="0"/>
                                <w:numId w:val="17"/>
                              </w:numPr>
                              <w:rPr>
                                <w:rFonts w:ascii="Arial" w:hAnsi="Arial" w:cs="Arial"/>
                              </w:rPr>
                            </w:pPr>
                            <w:r w:rsidRPr="0099559F">
                              <w:rPr>
                                <w:rFonts w:ascii="Arial" w:hAnsi="Arial" w:cs="Arial"/>
                              </w:rPr>
                              <w:t>Those in the highest income bracket get approximately five times more internet value for money (amount of data per dollar spent) than those in the lowest income quintile.</w:t>
                            </w:r>
                          </w:p>
                          <w:p w:rsidR="00881CFF" w:rsidRPr="0099559F" w:rsidRDefault="00881CFF" w:rsidP="0099559F">
                            <w:pPr>
                              <w:pStyle w:val="ListParagraph"/>
                              <w:numPr>
                                <w:ilvl w:val="0"/>
                                <w:numId w:val="17"/>
                              </w:numPr>
                              <w:rPr>
                                <w:rFonts w:ascii="Arial" w:hAnsi="Arial" w:cs="Arial"/>
                              </w:rPr>
                            </w:pPr>
                            <w:r w:rsidRPr="0099559F">
                              <w:rPr>
                                <w:rFonts w:ascii="Arial" w:hAnsi="Arial" w:cs="Arial"/>
                              </w:rPr>
                              <w:t>The need for data, and the lack of data allowances on the most affordable plans, is creating stress and excess costs for low income consumers with many focus group participants reporting regularly running out of data.</w:t>
                            </w:r>
                          </w:p>
                          <w:p w:rsidR="00881CFF" w:rsidRPr="0099559F" w:rsidRDefault="00881CFF" w:rsidP="0099559F">
                            <w:pPr>
                              <w:pStyle w:val="ListParagraph"/>
                              <w:numPr>
                                <w:ilvl w:val="0"/>
                                <w:numId w:val="17"/>
                              </w:numPr>
                              <w:rPr>
                                <w:rFonts w:ascii="Arial" w:hAnsi="Arial" w:cs="Arial"/>
                              </w:rPr>
                            </w:pPr>
                            <w:r w:rsidRPr="0099559F">
                              <w:rPr>
                                <w:rFonts w:ascii="Arial" w:hAnsi="Arial" w:cs="Arial"/>
                              </w:rPr>
                              <w:t>Excess data costs and charges are a poverty premium which increase costs and decrease the value of telecommunications services.</w:t>
                            </w:r>
                          </w:p>
                          <w:p w:rsidR="00881CFF" w:rsidRPr="0099559F" w:rsidRDefault="00881CFF" w:rsidP="0099559F">
                            <w:pPr>
                              <w:pStyle w:val="ListParagraph"/>
                              <w:numPr>
                                <w:ilvl w:val="0"/>
                                <w:numId w:val="17"/>
                              </w:numPr>
                              <w:rPr>
                                <w:rFonts w:ascii="Arial" w:hAnsi="Arial" w:cs="Arial"/>
                              </w:rPr>
                            </w:pPr>
                            <w:r w:rsidRPr="0099559F">
                              <w:rPr>
                                <w:rFonts w:ascii="Arial" w:hAnsi="Arial" w:cs="Arial"/>
                              </w:rPr>
                              <w:t>Demand for data is driven by broad social changes and expectations, but also by predatory marketing practices with “free” introductory offers that habituate consumers to higher data needs.</w:t>
                            </w:r>
                          </w:p>
                          <w:p w:rsidR="00881CFF" w:rsidRPr="0099559F" w:rsidRDefault="00881CFF" w:rsidP="0099559F">
                            <w:pPr>
                              <w:pStyle w:val="ListParagraph"/>
                              <w:numPr>
                                <w:ilvl w:val="0"/>
                                <w:numId w:val="17"/>
                              </w:numPr>
                              <w:rPr>
                                <w:rFonts w:ascii="Arial" w:hAnsi="Arial" w:cs="Arial"/>
                              </w:rPr>
                            </w:pPr>
                            <w:r w:rsidRPr="0099559F">
                              <w:rPr>
                                <w:rFonts w:ascii="Arial" w:hAnsi="Arial" w:cs="Arial"/>
                              </w:rPr>
                              <w:t>Plan bundling and extra inclusions may increase value but not necessarily the affordability of plans.</w:t>
                            </w:r>
                          </w:p>
                          <w:p w:rsidR="00881CFF" w:rsidRPr="0099559F" w:rsidRDefault="00881CFF" w:rsidP="0099559F">
                            <w:pPr>
                              <w:pStyle w:val="ListParagraph"/>
                              <w:numPr>
                                <w:ilvl w:val="0"/>
                                <w:numId w:val="17"/>
                              </w:numPr>
                              <w:rPr>
                                <w:rFonts w:ascii="Arial" w:hAnsi="Arial" w:cs="Arial"/>
                              </w:rPr>
                            </w:pPr>
                            <w:r w:rsidRPr="0099559F">
                              <w:rPr>
                                <w:rFonts w:ascii="Arial" w:hAnsi="Arial" w:cs="Arial"/>
                              </w:rPr>
                              <w:t>Being able to personally manage telecommunications usage and payments is crucial for low income households, and many problems that affect all consumers impact particularly on those on low incomes, including:</w:t>
                            </w:r>
                          </w:p>
                          <w:p w:rsidR="00881CFF" w:rsidRPr="0099559F" w:rsidRDefault="00881CFF" w:rsidP="0099559F">
                            <w:pPr>
                              <w:pStyle w:val="ListParagraph"/>
                              <w:numPr>
                                <w:ilvl w:val="1"/>
                                <w:numId w:val="17"/>
                              </w:numPr>
                              <w:rPr>
                                <w:rFonts w:ascii="Arial" w:hAnsi="Arial" w:cs="Arial"/>
                              </w:rPr>
                            </w:pPr>
                            <w:r w:rsidRPr="0099559F">
                              <w:rPr>
                                <w:rFonts w:ascii="Arial" w:hAnsi="Arial" w:cs="Arial"/>
                              </w:rPr>
                              <w:t>Less value for money in pre-paid plans</w:t>
                            </w:r>
                          </w:p>
                          <w:p w:rsidR="00881CFF" w:rsidRPr="0099559F" w:rsidRDefault="00881CFF" w:rsidP="0099559F">
                            <w:pPr>
                              <w:pStyle w:val="ListParagraph"/>
                              <w:numPr>
                                <w:ilvl w:val="1"/>
                                <w:numId w:val="17"/>
                              </w:numPr>
                              <w:rPr>
                                <w:rFonts w:ascii="Arial" w:hAnsi="Arial" w:cs="Arial"/>
                              </w:rPr>
                            </w:pPr>
                            <w:r w:rsidRPr="0099559F">
                              <w:rPr>
                                <w:rFonts w:ascii="Arial" w:hAnsi="Arial" w:cs="Arial"/>
                              </w:rPr>
                              <w:t>Excess data fees and expensive additional data</w:t>
                            </w:r>
                          </w:p>
                          <w:p w:rsidR="00881CFF" w:rsidRPr="0099559F" w:rsidRDefault="00881CFF" w:rsidP="0099559F">
                            <w:pPr>
                              <w:pStyle w:val="ListParagraph"/>
                              <w:numPr>
                                <w:ilvl w:val="1"/>
                                <w:numId w:val="17"/>
                              </w:numPr>
                              <w:rPr>
                                <w:rFonts w:ascii="Arial" w:hAnsi="Arial" w:cs="Arial"/>
                              </w:rPr>
                            </w:pPr>
                            <w:r w:rsidRPr="0099559F">
                              <w:rPr>
                                <w:rFonts w:ascii="Arial" w:hAnsi="Arial" w:cs="Arial"/>
                              </w:rPr>
                              <w:t>Payment via direct debit (often forced by service providers offering low budget plans) causing cash flow problems</w:t>
                            </w:r>
                          </w:p>
                          <w:p w:rsidR="00881CFF" w:rsidRPr="0099559F" w:rsidRDefault="00881CFF" w:rsidP="0099559F">
                            <w:pPr>
                              <w:pStyle w:val="ListParagraph"/>
                              <w:numPr>
                                <w:ilvl w:val="1"/>
                                <w:numId w:val="17"/>
                              </w:numPr>
                              <w:rPr>
                                <w:rFonts w:ascii="Arial" w:hAnsi="Arial" w:cs="Arial"/>
                              </w:rPr>
                            </w:pPr>
                            <w:r w:rsidRPr="0099559F">
                              <w:rPr>
                                <w:rFonts w:ascii="Arial" w:hAnsi="Arial" w:cs="Arial"/>
                              </w:rPr>
                              <w:t>28 day billing cycles causing cash management problems</w:t>
                            </w:r>
                          </w:p>
                          <w:p w:rsidR="00881CFF" w:rsidRPr="0099559F" w:rsidRDefault="00881CFF" w:rsidP="0099559F">
                            <w:pPr>
                              <w:pStyle w:val="ListParagraph"/>
                              <w:numPr>
                                <w:ilvl w:val="1"/>
                                <w:numId w:val="17"/>
                              </w:numPr>
                              <w:rPr>
                                <w:rFonts w:ascii="Arial" w:hAnsi="Arial" w:cs="Arial"/>
                              </w:rPr>
                            </w:pPr>
                            <w:r w:rsidRPr="0099559F">
                              <w:rPr>
                                <w:rFonts w:ascii="Arial" w:hAnsi="Arial" w:cs="Arial"/>
                              </w:rPr>
                              <w:t>Lock-in contracts with high exit fees.</w:t>
                            </w:r>
                          </w:p>
                          <w:p w:rsidR="00881CFF" w:rsidRPr="0099559F" w:rsidRDefault="00881CFF" w:rsidP="0099559F">
                            <w:pPr>
                              <w:pStyle w:val="ListParagraph"/>
                              <w:numPr>
                                <w:ilvl w:val="0"/>
                                <w:numId w:val="17"/>
                              </w:numPr>
                              <w:rPr>
                                <w:rFonts w:ascii="Arial" w:hAnsi="Arial" w:cs="Arial"/>
                              </w:rPr>
                            </w:pPr>
                            <w:r w:rsidRPr="0099559F">
                              <w:rPr>
                                <w:rFonts w:ascii="Arial" w:hAnsi="Arial" w:cs="Arial"/>
                              </w:rPr>
                              <w:t>Despite recent improvements, focus group participants identified a lack of transparency in sales and plans and difficulty in accessing hardship programs as problems for low income consumers.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9" type="#_x0000_t202" style="position:absolute;left:0;text-align:left;margin-left:-4.95pt;margin-top:70.1pt;width:394.5pt;height:440.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" fillcolor="white [3201]" strokeweight=".5pt">
                <v:textbox>
                  <w:txbxContent>
                    <w:p w:rsidR="00881CFF" w:rsidRPr="002C0F03" w:rsidRDefault="00881CFF" w:rsidP="002C0F03">
                      <w:pPr>
                        <w:rPr>
                          <w:b/>
                          <w:sz w:val="28"/>
                          <w:szCs w:val="28"/>
                        </w:rPr>
                      </w:pPr>
                      <w:r w:rsidRPr="002C0F03">
                        <w:rPr>
                          <w:b/>
                          <w:sz w:val="28"/>
                          <w:szCs w:val="28"/>
                        </w:rPr>
                        <w:t>Key</w:t>
                      </w:r>
                      <w:r>
                        <w:rPr>
                          <w:b/>
                        </w:rPr>
                        <w:t xml:space="preserve"> </w:t>
                      </w:r>
                      <w:r w:rsidRPr="002C0F03">
                        <w:rPr>
                          <w:b/>
                          <w:sz w:val="28"/>
                          <w:szCs w:val="28"/>
                        </w:rPr>
                        <w:t>Findings</w:t>
                      </w:r>
                    </w:p>
                    <w:p w:rsidR="00881CFF" w:rsidRPr="0099559F" w:rsidRDefault="00881CFF" w:rsidP="0099559F">
                      <w:pPr>
                        <w:pStyle w:val="ListParagraph"/>
                        <w:numPr>
                          <w:ilvl w:val="0"/>
                          <w:numId w:val="17"/>
                        </w:numPr>
                        <w:rPr>
                          <w:rFonts w:ascii="Arial" w:hAnsi="Arial" w:cs="Arial"/>
                        </w:rPr>
                      </w:pPr>
                      <w:r w:rsidRPr="0099559F">
                        <w:rPr>
                          <w:rFonts w:ascii="Arial" w:hAnsi="Arial" w:cs="Arial"/>
                        </w:rPr>
                        <w:t>Those in the highest income bracket get approximately five times more internet value for money (amount of data per dollar spent) than those in the lowest income quintile.</w:t>
                      </w:r>
                    </w:p>
                    <w:p w:rsidR="00881CFF" w:rsidRPr="0099559F" w:rsidRDefault="00881CFF" w:rsidP="0099559F">
                      <w:pPr>
                        <w:pStyle w:val="ListParagraph"/>
                        <w:numPr>
                          <w:ilvl w:val="0"/>
                          <w:numId w:val="17"/>
                        </w:numPr>
                        <w:rPr>
                          <w:rFonts w:ascii="Arial" w:hAnsi="Arial" w:cs="Arial"/>
                        </w:rPr>
                      </w:pPr>
                      <w:r w:rsidRPr="0099559F">
                        <w:rPr>
                          <w:rFonts w:ascii="Arial" w:hAnsi="Arial" w:cs="Arial"/>
                        </w:rPr>
                        <w:t>The need for data, and the lack of data allowances on the most affordable plans, is creating stress and excess costs for low income consumers with many focus group participants reporting regularly running out of data.</w:t>
                      </w:r>
                    </w:p>
                    <w:p w:rsidR="00881CFF" w:rsidRPr="0099559F" w:rsidRDefault="00881CFF" w:rsidP="0099559F">
                      <w:pPr>
                        <w:pStyle w:val="ListParagraph"/>
                        <w:numPr>
                          <w:ilvl w:val="0"/>
                          <w:numId w:val="17"/>
                        </w:numPr>
                        <w:rPr>
                          <w:rFonts w:ascii="Arial" w:hAnsi="Arial" w:cs="Arial"/>
                        </w:rPr>
                      </w:pPr>
                      <w:r w:rsidRPr="0099559F">
                        <w:rPr>
                          <w:rFonts w:ascii="Arial" w:hAnsi="Arial" w:cs="Arial"/>
                        </w:rPr>
                        <w:t>Excess data costs and charges are a poverty premium which increase costs and decrease the value of telecommunications services.</w:t>
                      </w:r>
                    </w:p>
                    <w:p w:rsidR="00881CFF" w:rsidRPr="0099559F" w:rsidRDefault="00881CFF" w:rsidP="0099559F">
                      <w:pPr>
                        <w:pStyle w:val="ListParagraph"/>
                        <w:numPr>
                          <w:ilvl w:val="0"/>
                          <w:numId w:val="17"/>
                        </w:numPr>
                        <w:rPr>
                          <w:rFonts w:ascii="Arial" w:hAnsi="Arial" w:cs="Arial"/>
                        </w:rPr>
                      </w:pPr>
                      <w:r w:rsidRPr="0099559F">
                        <w:rPr>
                          <w:rFonts w:ascii="Arial" w:hAnsi="Arial" w:cs="Arial"/>
                        </w:rPr>
                        <w:t>Demand for data is driven by broad social changes and expectations, but also by predatory marketing practices with “free” introductory offers that habituate consumers to higher data needs.</w:t>
                      </w:r>
                    </w:p>
                    <w:p w:rsidR="00881CFF" w:rsidRPr="0099559F" w:rsidRDefault="00881CFF" w:rsidP="0099559F">
                      <w:pPr>
                        <w:pStyle w:val="ListParagraph"/>
                        <w:numPr>
                          <w:ilvl w:val="0"/>
                          <w:numId w:val="17"/>
                        </w:numPr>
                        <w:rPr>
                          <w:rFonts w:ascii="Arial" w:hAnsi="Arial" w:cs="Arial"/>
                        </w:rPr>
                      </w:pPr>
                      <w:r w:rsidRPr="0099559F">
                        <w:rPr>
                          <w:rFonts w:ascii="Arial" w:hAnsi="Arial" w:cs="Arial"/>
                        </w:rPr>
                        <w:t>Plan bundling and extra inclusions may increase value but not necessarily the affordability of plans.</w:t>
                      </w:r>
                    </w:p>
                    <w:p w:rsidR="00881CFF" w:rsidRPr="0099559F" w:rsidRDefault="00881CFF" w:rsidP="0099559F">
                      <w:pPr>
                        <w:pStyle w:val="ListParagraph"/>
                        <w:numPr>
                          <w:ilvl w:val="0"/>
                          <w:numId w:val="17"/>
                        </w:numPr>
                        <w:rPr>
                          <w:rFonts w:ascii="Arial" w:hAnsi="Arial" w:cs="Arial"/>
                        </w:rPr>
                      </w:pPr>
                      <w:r w:rsidRPr="0099559F">
                        <w:rPr>
                          <w:rFonts w:ascii="Arial" w:hAnsi="Arial" w:cs="Arial"/>
                        </w:rPr>
                        <w:t>Being able to personally manage telecommunications usage and payments is crucial for low income households, and many problems that affect all consumers impact particularly on those on low incomes, including:</w:t>
                      </w:r>
                    </w:p>
                    <w:p w:rsidR="00881CFF" w:rsidRPr="0099559F" w:rsidRDefault="00881CFF" w:rsidP="0099559F">
                      <w:pPr>
                        <w:pStyle w:val="ListParagraph"/>
                        <w:numPr>
                          <w:ilvl w:val="1"/>
                          <w:numId w:val="17"/>
                        </w:numPr>
                        <w:rPr>
                          <w:rFonts w:ascii="Arial" w:hAnsi="Arial" w:cs="Arial"/>
                        </w:rPr>
                      </w:pPr>
                      <w:r w:rsidRPr="0099559F">
                        <w:rPr>
                          <w:rFonts w:ascii="Arial" w:hAnsi="Arial" w:cs="Arial"/>
                        </w:rPr>
                        <w:t>Less value for money in pre-paid plans</w:t>
                      </w:r>
                    </w:p>
                    <w:p w:rsidR="00881CFF" w:rsidRPr="0099559F" w:rsidRDefault="00881CFF" w:rsidP="0099559F">
                      <w:pPr>
                        <w:pStyle w:val="ListParagraph"/>
                        <w:numPr>
                          <w:ilvl w:val="1"/>
                          <w:numId w:val="17"/>
                        </w:numPr>
                        <w:rPr>
                          <w:rFonts w:ascii="Arial" w:hAnsi="Arial" w:cs="Arial"/>
                        </w:rPr>
                      </w:pPr>
                      <w:r w:rsidRPr="0099559F">
                        <w:rPr>
                          <w:rFonts w:ascii="Arial" w:hAnsi="Arial" w:cs="Arial"/>
                        </w:rPr>
                        <w:t>Excess data fees and expensive additional data</w:t>
                      </w:r>
                    </w:p>
                    <w:p w:rsidR="00881CFF" w:rsidRPr="0099559F" w:rsidRDefault="00881CFF" w:rsidP="0099559F">
                      <w:pPr>
                        <w:pStyle w:val="ListParagraph"/>
                        <w:numPr>
                          <w:ilvl w:val="1"/>
                          <w:numId w:val="17"/>
                        </w:numPr>
                        <w:rPr>
                          <w:rFonts w:ascii="Arial" w:hAnsi="Arial" w:cs="Arial"/>
                        </w:rPr>
                      </w:pPr>
                      <w:r w:rsidRPr="0099559F">
                        <w:rPr>
                          <w:rFonts w:ascii="Arial" w:hAnsi="Arial" w:cs="Arial"/>
                        </w:rPr>
                        <w:t>Payment via direct debit (often forced by service providers offering low budget plans) causing cash flow problems</w:t>
                      </w:r>
                    </w:p>
                    <w:p w:rsidR="00881CFF" w:rsidRPr="0099559F" w:rsidRDefault="00881CFF" w:rsidP="0099559F">
                      <w:pPr>
                        <w:pStyle w:val="ListParagraph"/>
                        <w:numPr>
                          <w:ilvl w:val="1"/>
                          <w:numId w:val="17"/>
                        </w:numPr>
                        <w:rPr>
                          <w:rFonts w:ascii="Arial" w:hAnsi="Arial" w:cs="Arial"/>
                        </w:rPr>
                      </w:pPr>
                      <w:r w:rsidRPr="0099559F">
                        <w:rPr>
                          <w:rFonts w:ascii="Arial" w:hAnsi="Arial" w:cs="Arial"/>
                        </w:rPr>
                        <w:t>28 day billing cycles causing cash management problems</w:t>
                      </w:r>
                    </w:p>
                    <w:p w:rsidR="00881CFF" w:rsidRPr="0099559F" w:rsidRDefault="00881CFF" w:rsidP="0099559F">
                      <w:pPr>
                        <w:pStyle w:val="ListParagraph"/>
                        <w:numPr>
                          <w:ilvl w:val="1"/>
                          <w:numId w:val="17"/>
                        </w:numPr>
                        <w:rPr>
                          <w:rFonts w:ascii="Arial" w:hAnsi="Arial" w:cs="Arial"/>
                        </w:rPr>
                      </w:pPr>
                      <w:r w:rsidRPr="0099559F">
                        <w:rPr>
                          <w:rFonts w:ascii="Arial" w:hAnsi="Arial" w:cs="Arial"/>
                        </w:rPr>
                        <w:t>Lock-in contracts with high exit fees.</w:t>
                      </w:r>
                    </w:p>
                    <w:p w:rsidR="00881CFF" w:rsidRPr="0099559F" w:rsidRDefault="00881CFF" w:rsidP="0099559F">
                      <w:pPr>
                        <w:pStyle w:val="ListParagraph"/>
                        <w:numPr>
                          <w:ilvl w:val="0"/>
                          <w:numId w:val="17"/>
                        </w:numPr>
                        <w:rPr>
                          <w:rFonts w:ascii="Arial" w:hAnsi="Arial" w:cs="Arial"/>
                        </w:rPr>
                      </w:pPr>
                      <w:r w:rsidRPr="0099559F">
                        <w:rPr>
                          <w:rFonts w:ascii="Arial" w:hAnsi="Arial" w:cs="Arial"/>
                        </w:rPr>
                        <w:t>Despite recent improvements, focus group participants identified a lack of transparency in sales and plans and difficulty in accessing hardship programs as problems for low income consumers.</w:t>
                      </w:r>
                    </w:p>
                  </w:txbxContent>
                </v:textbox>
                <w10:wrap type="topAndBottom"/>
              </v:shape>
            </w:pict>
          </mc:Fallback>
        </mc:AlternateContent>
      </w:r>
      <w:r w:rsidR="00DF331B" w:rsidRPr="00E00C91">
        <w:t>Products on the marke</w:t>
      </w:r>
      <w:r w:rsidR="003B1255" w:rsidRPr="00E00C91">
        <w:t>t</w:t>
      </w:r>
      <w:bookmarkEnd w:id="77"/>
    </w:p>
    <w:p w:rsidR="002C0F03" w:rsidRDefault="002C0F03" w:rsidP="002C0F03">
      <w:pPr>
        <w:rPr>
          <w:lang w:val="en-US" w:eastAsia="ja-JP"/>
        </w:rPr>
      </w:pPr>
    </w:p>
    <w:p w:rsidR="00644962" w:rsidRDefault="00644962" w:rsidP="00B72325">
      <w:pPr>
        <w:pStyle w:val="Heading2"/>
      </w:pPr>
      <w:bookmarkStart w:id="78" w:name="_Toc465167572"/>
      <w:r>
        <w:t>Introduction</w:t>
      </w:r>
      <w:bookmarkEnd w:id="78"/>
    </w:p>
    <w:p w:rsidR="00632E9C" w:rsidRDefault="00872D7D" w:rsidP="00B72325">
      <w:pPr>
        <w:rPr>
          <w:lang w:val="en-US" w:eastAsia="ja-JP"/>
        </w:rPr>
      </w:pPr>
      <w:r>
        <w:rPr>
          <w:lang w:val="en-US" w:eastAsia="ja-JP"/>
        </w:rPr>
        <w:t>The previous section</w:t>
      </w:r>
      <w:r w:rsidR="00632E9C">
        <w:rPr>
          <w:lang w:val="en-US" w:eastAsia="ja-JP"/>
        </w:rPr>
        <w:t xml:space="preserve"> examined the main government mechanism used to assist low income consumers with telecommunications affordability. </w:t>
      </w:r>
      <w:r w:rsidR="001B44F2">
        <w:rPr>
          <w:lang w:val="en-US" w:eastAsia="ja-JP"/>
        </w:rPr>
        <w:t xml:space="preserve"> </w:t>
      </w:r>
      <w:r w:rsidR="00632E9C">
        <w:rPr>
          <w:lang w:val="en-US" w:eastAsia="ja-JP"/>
        </w:rPr>
        <w:t xml:space="preserve">However, by definition that is a limited and reactive approach as key issues of affordability are decided and driven by the structure of the telecommunications market and the products and services offered </w:t>
      </w:r>
      <w:r w:rsidR="00632E9C">
        <w:rPr>
          <w:lang w:val="en-US" w:eastAsia="ja-JP"/>
        </w:rPr>
        <w:lastRenderedPageBreak/>
        <w:t>in that market.</w:t>
      </w:r>
      <w:r w:rsidR="004C27DC">
        <w:rPr>
          <w:lang w:val="en-US" w:eastAsia="ja-JP"/>
        </w:rPr>
        <w:t xml:space="preserve"> </w:t>
      </w:r>
      <w:r w:rsidR="001B44F2">
        <w:rPr>
          <w:lang w:val="en-US" w:eastAsia="ja-JP"/>
        </w:rPr>
        <w:t xml:space="preserve"> </w:t>
      </w:r>
      <w:r w:rsidR="004C27DC">
        <w:rPr>
          <w:lang w:val="en-US" w:eastAsia="ja-JP"/>
        </w:rPr>
        <w:t>This section</w:t>
      </w:r>
      <w:r w:rsidR="00BA232A">
        <w:rPr>
          <w:lang w:val="en-US" w:eastAsia="ja-JP"/>
        </w:rPr>
        <w:t xml:space="preserve"> draws on earlier SACOSS work on “poverty premiums” in telecommunications, and presents the results of the focus group discussions which highlighted the impact on low income consumers of some of these premiums</w:t>
      </w:r>
      <w:r w:rsidR="007807D1">
        <w:rPr>
          <w:lang w:val="en-US" w:eastAsia="ja-JP"/>
        </w:rPr>
        <w:t>.  It also highlights</w:t>
      </w:r>
      <w:r w:rsidR="00BA232A">
        <w:rPr>
          <w:lang w:val="en-US" w:eastAsia="ja-JP"/>
        </w:rPr>
        <w:t xml:space="preserve"> a range of other market products and practices that ma</w:t>
      </w:r>
      <w:r w:rsidR="00701436">
        <w:rPr>
          <w:lang w:val="en-US" w:eastAsia="ja-JP"/>
        </w:rPr>
        <w:t>k</w:t>
      </w:r>
      <w:r w:rsidR="00BA232A">
        <w:rPr>
          <w:lang w:val="en-US" w:eastAsia="ja-JP"/>
        </w:rPr>
        <w:t>e telecommunications unaffordable.</w:t>
      </w:r>
    </w:p>
    <w:p w:rsidR="00F50DAE" w:rsidRDefault="00F50DAE" w:rsidP="00F50DAE">
      <w:pPr>
        <w:pStyle w:val="Heading2"/>
      </w:pPr>
      <w:bookmarkStart w:id="79" w:name="_Toc465167573"/>
      <w:r>
        <w:t>Poverty Premiums</w:t>
      </w:r>
      <w:bookmarkEnd w:id="79"/>
      <w:r>
        <w:t xml:space="preserve"> </w:t>
      </w:r>
    </w:p>
    <w:p w:rsidR="004C27DC" w:rsidRDefault="004C27DC" w:rsidP="00B72325">
      <w:pPr>
        <w:rPr>
          <w:lang w:val="en-US" w:eastAsia="ja-JP"/>
        </w:rPr>
      </w:pPr>
      <w:r>
        <w:rPr>
          <w:lang w:val="en-US" w:eastAsia="ja-JP"/>
        </w:rPr>
        <w:t>A poverty premium is an extra cost which accrues to someone on a low income precisely because of their poverty</w:t>
      </w:r>
      <w:r w:rsidR="00310401">
        <w:rPr>
          <w:lang w:val="en-US" w:eastAsia="ja-JP"/>
        </w:rPr>
        <w:t>.  These may be fees and charges that are most likely to apply to those on low incomes</w:t>
      </w:r>
      <w:r w:rsidR="007807D1">
        <w:rPr>
          <w:lang w:val="en-US" w:eastAsia="ja-JP"/>
        </w:rPr>
        <w:t>,</w:t>
      </w:r>
      <w:r w:rsidR="00310401">
        <w:rPr>
          <w:lang w:val="en-US" w:eastAsia="ja-JP"/>
        </w:rPr>
        <w:t xml:space="preserve"> or extra costs be</w:t>
      </w:r>
      <w:r>
        <w:rPr>
          <w:lang w:val="en-US" w:eastAsia="ja-JP"/>
        </w:rPr>
        <w:t>cause their inability to pay denies them access to things which would save money.</w:t>
      </w:r>
      <w:r w:rsidR="00D12AD5">
        <w:rPr>
          <w:lang w:val="en-US" w:eastAsia="ja-JP"/>
        </w:rPr>
        <w:t xml:space="preserve"> </w:t>
      </w:r>
      <w:r w:rsidR="001B44F2">
        <w:rPr>
          <w:lang w:val="en-US" w:eastAsia="ja-JP"/>
        </w:rPr>
        <w:t xml:space="preserve"> </w:t>
      </w:r>
      <w:r w:rsidR="00D12AD5">
        <w:rPr>
          <w:lang w:val="en-US" w:eastAsia="ja-JP"/>
        </w:rPr>
        <w:t>In relation to telecommunications, these premiums include:</w:t>
      </w:r>
      <w:r>
        <w:rPr>
          <w:lang w:val="en-US" w:eastAsia="ja-JP"/>
        </w:rPr>
        <w:t xml:space="preserve"> </w:t>
      </w:r>
    </w:p>
    <w:p w:rsidR="00D12AD5" w:rsidRPr="00D12AD5" w:rsidRDefault="00D12AD5" w:rsidP="00567914">
      <w:pPr>
        <w:pStyle w:val="ListParagraph"/>
        <w:numPr>
          <w:ilvl w:val="0"/>
          <w:numId w:val="9"/>
        </w:numPr>
        <w:rPr>
          <w:lang w:val="en-US" w:eastAsia="ja-JP"/>
        </w:rPr>
      </w:pPr>
      <w:r>
        <w:rPr>
          <w:rFonts w:ascii="Arial" w:hAnsi="Arial" w:cs="Arial"/>
          <w:lang w:val="en-US" w:eastAsia="ja-JP"/>
        </w:rPr>
        <w:t>Regressive supply charges (either explicit or hidden in mobile phone plans) which impact more on those on low incomes and make reducing expenditure difficult;</w:t>
      </w:r>
    </w:p>
    <w:p w:rsidR="00D12AD5" w:rsidRPr="00D12AD5" w:rsidRDefault="00D12AD5" w:rsidP="00567914">
      <w:pPr>
        <w:pStyle w:val="ListParagraph"/>
        <w:numPr>
          <w:ilvl w:val="0"/>
          <w:numId w:val="9"/>
        </w:numPr>
        <w:rPr>
          <w:lang w:val="en-US" w:eastAsia="ja-JP"/>
        </w:rPr>
      </w:pPr>
      <w:r>
        <w:rPr>
          <w:rFonts w:ascii="Arial" w:hAnsi="Arial" w:cs="Arial"/>
          <w:lang w:val="en-US" w:eastAsia="ja-JP"/>
        </w:rPr>
        <w:t>Higher unit costs for small expenditures (i</w:t>
      </w:r>
      <w:r w:rsidR="00701436">
        <w:rPr>
          <w:rFonts w:ascii="Arial" w:hAnsi="Arial" w:cs="Arial"/>
          <w:lang w:val="en-US" w:eastAsia="ja-JP"/>
        </w:rPr>
        <w:t>.</w:t>
      </w:r>
      <w:r>
        <w:rPr>
          <w:rFonts w:ascii="Arial" w:hAnsi="Arial" w:cs="Arial"/>
          <w:lang w:val="en-US" w:eastAsia="ja-JP"/>
        </w:rPr>
        <w:t>e. less value for money);</w:t>
      </w:r>
    </w:p>
    <w:p w:rsidR="00D12AD5" w:rsidRPr="003B1255" w:rsidRDefault="00D12AD5" w:rsidP="00567914">
      <w:pPr>
        <w:pStyle w:val="ListParagraph"/>
        <w:numPr>
          <w:ilvl w:val="0"/>
          <w:numId w:val="9"/>
        </w:numPr>
        <w:rPr>
          <w:lang w:val="en-US" w:eastAsia="ja-JP"/>
        </w:rPr>
      </w:pPr>
      <w:r>
        <w:rPr>
          <w:rFonts w:ascii="Arial" w:hAnsi="Arial" w:cs="Arial"/>
          <w:lang w:val="en-US" w:eastAsia="ja-JP"/>
        </w:rPr>
        <w:t>Pre-paid plans (which are often the choice of those without regular income;</w:t>
      </w:r>
      <w:r w:rsidR="003B1255">
        <w:rPr>
          <w:rFonts w:ascii="Arial" w:hAnsi="Arial" w:cs="Arial"/>
          <w:lang w:val="en-US" w:eastAsia="ja-JP"/>
        </w:rPr>
        <w:t xml:space="preserve"> </w:t>
      </w:r>
      <w:r w:rsidR="003B1255" w:rsidRPr="003B1255">
        <w:rPr>
          <w:rFonts w:ascii="Arial" w:hAnsi="Arial" w:cs="Arial"/>
          <w:lang w:val="en-US" w:eastAsia="ja-JP"/>
        </w:rPr>
        <w:t>h</w:t>
      </w:r>
      <w:r w:rsidRPr="003B1255">
        <w:rPr>
          <w:rFonts w:ascii="Arial" w:hAnsi="Arial" w:cs="Arial"/>
          <w:lang w:val="en-US" w:eastAsia="ja-JP"/>
        </w:rPr>
        <w:t>ousing, or credit-worthiness) having less value for money than post-paid plans;</w:t>
      </w:r>
    </w:p>
    <w:p w:rsidR="00D12AD5" w:rsidRPr="00D12AD5" w:rsidRDefault="00D12AD5" w:rsidP="00567914">
      <w:pPr>
        <w:pStyle w:val="ListParagraph"/>
        <w:numPr>
          <w:ilvl w:val="0"/>
          <w:numId w:val="9"/>
        </w:numPr>
        <w:rPr>
          <w:lang w:val="en-US" w:eastAsia="ja-JP"/>
        </w:rPr>
      </w:pPr>
      <w:r>
        <w:rPr>
          <w:rFonts w:ascii="Arial" w:hAnsi="Arial" w:cs="Arial"/>
          <w:lang w:val="en-US" w:eastAsia="ja-JP"/>
        </w:rPr>
        <w:t xml:space="preserve">Fees and charges for late payments or other </w:t>
      </w:r>
      <w:proofErr w:type="spellStart"/>
      <w:r>
        <w:rPr>
          <w:rFonts w:ascii="Arial" w:hAnsi="Arial" w:cs="Arial"/>
          <w:lang w:val="en-US" w:eastAsia="ja-JP"/>
        </w:rPr>
        <w:t>misdemeanours</w:t>
      </w:r>
      <w:proofErr w:type="spellEnd"/>
      <w:r>
        <w:rPr>
          <w:rFonts w:ascii="Arial" w:hAnsi="Arial" w:cs="Arial"/>
          <w:lang w:val="en-US" w:eastAsia="ja-JP"/>
        </w:rPr>
        <w:t xml:space="preserve"> arising from poverty</w:t>
      </w:r>
      <w:r w:rsidR="00244050">
        <w:rPr>
          <w:rFonts w:ascii="Arial" w:hAnsi="Arial" w:cs="Arial"/>
          <w:lang w:val="en-US" w:eastAsia="ja-JP"/>
        </w:rPr>
        <w:t xml:space="preserve"> </w:t>
      </w:r>
      <w:r w:rsidR="00F908B8" w:rsidRPr="000D79D7">
        <w:rPr>
          <w:rFonts w:ascii="Arial" w:hAnsi="Arial" w:cs="Arial"/>
          <w:noProof/>
          <w:lang w:eastAsia="ja-JP"/>
        </w:rPr>
        <w:t>(SACOSS, 2015)</w:t>
      </w:r>
      <w:r>
        <w:rPr>
          <w:rFonts w:ascii="Arial" w:hAnsi="Arial" w:cs="Arial"/>
          <w:lang w:val="en-US" w:eastAsia="ja-JP"/>
        </w:rPr>
        <w:t>.</w:t>
      </w:r>
    </w:p>
    <w:p w:rsidR="00BC1E77" w:rsidRDefault="00BC1E77" w:rsidP="00B72325">
      <w:pPr>
        <w:rPr>
          <w:lang w:val="en-US" w:eastAsia="ja-JP"/>
        </w:rPr>
      </w:pPr>
      <w:r>
        <w:rPr>
          <w:lang w:val="en-US" w:eastAsia="ja-JP"/>
        </w:rPr>
        <w:t xml:space="preserve">Some indication of the extent of these poverty premiums was evident in the assessment of the value of internet expenditure in the ADII </w:t>
      </w:r>
      <w:sdt>
        <w:sdtPr>
          <w:rPr>
            <w:lang w:val="en-US" w:eastAsia="ja-JP"/>
          </w:rPr>
          <w:id w:val="-2060237100"/>
          <w:citation/>
        </w:sdtPr>
        <w:sdtContent>
          <w:r w:rsidR="00B80FBF">
            <w:rPr>
              <w:lang w:val="en-US" w:eastAsia="ja-JP"/>
            </w:rPr>
            <w:fldChar w:fldCharType="begin"/>
          </w:r>
          <w:r w:rsidR="00B80FBF">
            <w:rPr>
              <w:lang w:eastAsia="ja-JP"/>
            </w:rPr>
            <w:instrText xml:space="preserve"> CITATION Tho16 \l 3081 </w:instrText>
          </w:r>
          <w:r w:rsidR="00B80FBF">
            <w:rPr>
              <w:lang w:val="en-US" w:eastAsia="ja-JP"/>
            </w:rPr>
            <w:fldChar w:fldCharType="separate"/>
          </w:r>
          <w:r w:rsidR="000D79D7">
            <w:rPr>
              <w:noProof/>
              <w:lang w:eastAsia="ja-JP"/>
            </w:rPr>
            <w:t>(Thomas, et al., 2016)</w:t>
          </w:r>
          <w:r w:rsidR="00B80FBF">
            <w:rPr>
              <w:lang w:val="en-US" w:eastAsia="ja-JP"/>
            </w:rPr>
            <w:fldChar w:fldCharType="end"/>
          </w:r>
        </w:sdtContent>
      </w:sdt>
      <w:r>
        <w:rPr>
          <w:lang w:val="en-US" w:eastAsia="ja-JP"/>
        </w:rPr>
        <w:t xml:space="preserve">. </w:t>
      </w:r>
      <w:r w:rsidR="001B44F2">
        <w:rPr>
          <w:lang w:val="en-US" w:eastAsia="ja-JP"/>
        </w:rPr>
        <w:t xml:space="preserve"> </w:t>
      </w:r>
      <w:r>
        <w:rPr>
          <w:lang w:val="en-US" w:eastAsia="ja-JP"/>
        </w:rPr>
        <w:t xml:space="preserve">This was an assessment of the </w:t>
      </w:r>
      <w:r w:rsidR="00B13389">
        <w:rPr>
          <w:lang w:val="en-US" w:eastAsia="ja-JP"/>
        </w:rPr>
        <w:t>internet data allowance per dollar spent (and so did</w:t>
      </w:r>
      <w:r>
        <w:rPr>
          <w:lang w:val="en-US" w:eastAsia="ja-JP"/>
        </w:rPr>
        <w:t xml:space="preserve"> not</w:t>
      </w:r>
      <w:r w:rsidR="00B13389">
        <w:rPr>
          <w:lang w:val="en-US" w:eastAsia="ja-JP"/>
        </w:rPr>
        <w:t xml:space="preserve"> include things like</w:t>
      </w:r>
      <w:r>
        <w:rPr>
          <w:lang w:val="en-US" w:eastAsia="ja-JP"/>
        </w:rPr>
        <w:t xml:space="preserve"> </w:t>
      </w:r>
      <w:r w:rsidR="00EB4360">
        <w:rPr>
          <w:lang w:val="en-US" w:eastAsia="ja-JP"/>
        </w:rPr>
        <w:t xml:space="preserve">extra </w:t>
      </w:r>
      <w:r>
        <w:rPr>
          <w:lang w:val="en-US" w:eastAsia="ja-JP"/>
        </w:rPr>
        <w:t>fees and charges)</w:t>
      </w:r>
      <w:r w:rsidR="00B13389">
        <w:rPr>
          <w:lang w:val="en-US" w:eastAsia="ja-JP"/>
        </w:rPr>
        <w:t xml:space="preserve">. </w:t>
      </w:r>
      <w:r w:rsidR="001B44F2">
        <w:rPr>
          <w:lang w:val="en-US" w:eastAsia="ja-JP"/>
        </w:rPr>
        <w:t xml:space="preserve"> </w:t>
      </w:r>
      <w:r w:rsidR="00B13389">
        <w:rPr>
          <w:lang w:val="en-US" w:eastAsia="ja-JP"/>
        </w:rPr>
        <w:t>T</w:t>
      </w:r>
      <w:r>
        <w:rPr>
          <w:lang w:val="en-US" w:eastAsia="ja-JP"/>
        </w:rPr>
        <w:t xml:space="preserve">he </w:t>
      </w:r>
      <w:r w:rsidR="00B13389">
        <w:rPr>
          <w:lang w:val="en-US" w:eastAsia="ja-JP"/>
        </w:rPr>
        <w:t xml:space="preserve">Australian average </w:t>
      </w:r>
      <w:r>
        <w:rPr>
          <w:lang w:val="en-US" w:eastAsia="ja-JP"/>
        </w:rPr>
        <w:t xml:space="preserve">ADII </w:t>
      </w:r>
      <w:r w:rsidR="00B13389">
        <w:rPr>
          <w:lang w:val="en-US" w:eastAsia="ja-JP"/>
        </w:rPr>
        <w:t>figure for the value of expenditure</w:t>
      </w:r>
      <w:r w:rsidR="00EB4360">
        <w:rPr>
          <w:lang w:val="en-US" w:eastAsia="ja-JP"/>
        </w:rPr>
        <w:t xml:space="preserve"> index</w:t>
      </w:r>
      <w:r w:rsidR="00B13389">
        <w:rPr>
          <w:lang w:val="en-US" w:eastAsia="ja-JP"/>
        </w:rPr>
        <w:t xml:space="preserve"> in 2016 was 54.5. </w:t>
      </w:r>
      <w:r w:rsidR="001B44F2">
        <w:rPr>
          <w:lang w:val="en-US" w:eastAsia="ja-JP"/>
        </w:rPr>
        <w:t xml:space="preserve"> </w:t>
      </w:r>
      <w:r w:rsidR="00B13389">
        <w:rPr>
          <w:lang w:val="en-US" w:eastAsia="ja-JP"/>
        </w:rPr>
        <w:t xml:space="preserve">For the highest income quintile it was 63.8, but only 39.4 for the lowest income quintile (the higher the figure, the more GB obtained per $ expenditure). </w:t>
      </w:r>
      <w:r w:rsidR="000D0721">
        <w:rPr>
          <w:lang w:val="en-US" w:eastAsia="ja-JP"/>
        </w:rPr>
        <w:t xml:space="preserve"> </w:t>
      </w:r>
      <w:r w:rsidR="000516A4">
        <w:rPr>
          <w:lang w:val="en-US" w:eastAsia="ja-JP"/>
        </w:rPr>
        <w:t>But</w:t>
      </w:r>
      <w:r w:rsidR="00CF150C">
        <w:rPr>
          <w:lang w:val="en-US" w:eastAsia="ja-JP"/>
        </w:rPr>
        <w:t xml:space="preserve"> the indexes flatten out the orders of magnitude involved. </w:t>
      </w:r>
      <w:r w:rsidR="00EB4360">
        <w:rPr>
          <w:lang w:val="en-US" w:eastAsia="ja-JP"/>
        </w:rPr>
        <w:t xml:space="preserve"> </w:t>
      </w:r>
      <w:r w:rsidR="00F93177">
        <w:rPr>
          <w:lang w:val="en-US" w:eastAsia="ja-JP"/>
        </w:rPr>
        <w:t xml:space="preserve">Using the base data behind </w:t>
      </w:r>
      <w:r w:rsidR="00CF150C">
        <w:rPr>
          <w:lang w:val="en-US" w:eastAsia="ja-JP"/>
        </w:rPr>
        <w:t>the ADII, we calculate that these index figures mean</w:t>
      </w:r>
      <w:r w:rsidR="00F93177">
        <w:rPr>
          <w:lang w:val="en-US" w:eastAsia="ja-JP"/>
        </w:rPr>
        <w:t xml:space="preserve"> that</w:t>
      </w:r>
      <w:r w:rsidR="00363BA6">
        <w:rPr>
          <w:lang w:val="en-US" w:eastAsia="ja-JP"/>
        </w:rPr>
        <w:t xml:space="preserve"> on average</w:t>
      </w:r>
      <w:r w:rsidR="00F93177">
        <w:rPr>
          <w:lang w:val="en-US" w:eastAsia="ja-JP"/>
        </w:rPr>
        <w:t xml:space="preserve"> </w:t>
      </w:r>
      <w:r w:rsidR="00B13389" w:rsidRPr="000C12BC">
        <w:rPr>
          <w:i/>
          <w:lang w:val="en-US" w:eastAsia="ja-JP"/>
        </w:rPr>
        <w:t xml:space="preserve">those in the highest income bracket were getting </w:t>
      </w:r>
      <w:r w:rsidR="00F93177" w:rsidRPr="000C12BC">
        <w:rPr>
          <w:i/>
          <w:lang w:val="en-US" w:eastAsia="ja-JP"/>
        </w:rPr>
        <w:t xml:space="preserve">approximately </w:t>
      </w:r>
      <w:r w:rsidR="00F50DAE">
        <w:rPr>
          <w:i/>
          <w:lang w:val="en-US" w:eastAsia="ja-JP"/>
        </w:rPr>
        <w:t>five</w:t>
      </w:r>
      <w:r w:rsidR="00F93177" w:rsidRPr="000C12BC">
        <w:rPr>
          <w:i/>
          <w:lang w:val="en-US" w:eastAsia="ja-JP"/>
        </w:rPr>
        <w:t xml:space="preserve"> times more </w:t>
      </w:r>
      <w:r w:rsidR="00B13389" w:rsidRPr="000C12BC">
        <w:rPr>
          <w:i/>
          <w:lang w:val="en-US" w:eastAsia="ja-JP"/>
        </w:rPr>
        <w:t>value for money</w:t>
      </w:r>
      <w:r w:rsidR="00F93177" w:rsidRPr="000C12BC">
        <w:rPr>
          <w:i/>
          <w:lang w:val="en-US" w:eastAsia="ja-JP"/>
        </w:rPr>
        <w:t xml:space="preserve"> (amount of data per dollar spent)</w:t>
      </w:r>
      <w:r w:rsidR="00B13389" w:rsidRPr="000C12BC">
        <w:rPr>
          <w:i/>
          <w:lang w:val="en-US" w:eastAsia="ja-JP"/>
        </w:rPr>
        <w:t xml:space="preserve"> than those in the lowest income quintile.</w:t>
      </w:r>
      <w:r w:rsidR="00F93177">
        <w:rPr>
          <w:rStyle w:val="FootnoteReference"/>
          <w:lang w:val="en-US" w:eastAsia="ja-JP"/>
        </w:rPr>
        <w:footnoteReference w:id="4"/>
      </w:r>
    </w:p>
    <w:p w:rsidR="00632E9C" w:rsidRDefault="00244050" w:rsidP="00B72325">
      <w:pPr>
        <w:rPr>
          <w:lang w:val="en-US" w:eastAsia="ja-JP"/>
        </w:rPr>
      </w:pPr>
      <w:r>
        <w:rPr>
          <w:lang w:val="en-US" w:eastAsia="ja-JP"/>
        </w:rPr>
        <w:t>Interestingly though, with the exception of the issue of fees and charges, the focus groups did not highlight these poverty premium issues</w:t>
      </w:r>
      <w:r w:rsidR="00310401">
        <w:rPr>
          <w:lang w:val="en-US" w:eastAsia="ja-JP"/>
        </w:rPr>
        <w:t xml:space="preserve"> – in many instances the market structure was taken as given</w:t>
      </w:r>
      <w:r>
        <w:rPr>
          <w:lang w:val="en-US" w:eastAsia="ja-JP"/>
        </w:rPr>
        <w:t>.  However, many of the issues that were raised can be seen as either an outcome of these poverty premiums (e</w:t>
      </w:r>
      <w:r w:rsidR="00701436">
        <w:rPr>
          <w:lang w:val="en-US" w:eastAsia="ja-JP"/>
        </w:rPr>
        <w:t>.</w:t>
      </w:r>
      <w:r>
        <w:rPr>
          <w:lang w:val="en-US" w:eastAsia="ja-JP"/>
        </w:rPr>
        <w:t xml:space="preserve">g. data limits, </w:t>
      </w:r>
      <w:r w:rsidR="0027513E">
        <w:rPr>
          <w:lang w:val="en-US" w:eastAsia="ja-JP"/>
        </w:rPr>
        <w:t xml:space="preserve">lock-in </w:t>
      </w:r>
      <w:r w:rsidR="0027513E">
        <w:rPr>
          <w:lang w:val="en-US" w:eastAsia="ja-JP"/>
        </w:rPr>
        <w:lastRenderedPageBreak/>
        <w:t>contracts, direct debit billing problems), or the strategies low income consumers put in place to deal with poverty premiums (e</w:t>
      </w:r>
      <w:r w:rsidR="00701436">
        <w:rPr>
          <w:lang w:val="en-US" w:eastAsia="ja-JP"/>
        </w:rPr>
        <w:t>.</w:t>
      </w:r>
      <w:r w:rsidR="0027513E">
        <w:rPr>
          <w:lang w:val="en-US" w:eastAsia="ja-JP"/>
        </w:rPr>
        <w:t>g. pre-paid plan costs</w:t>
      </w:r>
      <w:r w:rsidR="00310401">
        <w:rPr>
          <w:lang w:val="en-US" w:eastAsia="ja-JP"/>
        </w:rPr>
        <w:t>)</w:t>
      </w:r>
      <w:r w:rsidR="00872D7D">
        <w:rPr>
          <w:lang w:val="en-US" w:eastAsia="ja-JP"/>
        </w:rPr>
        <w:t>.</w:t>
      </w:r>
    </w:p>
    <w:p w:rsidR="006A68CD" w:rsidRDefault="00B64319" w:rsidP="00B72325">
      <w:pPr>
        <w:pStyle w:val="Heading2"/>
      </w:pPr>
      <w:bookmarkStart w:id="80" w:name="_Toc465167574"/>
      <w:r>
        <w:t>Drivers of Expenditure</w:t>
      </w:r>
      <w:bookmarkEnd w:id="80"/>
    </w:p>
    <w:p w:rsidR="00B64319" w:rsidRDefault="00310401" w:rsidP="00FD0594">
      <w:pPr>
        <w:pStyle w:val="Heading3"/>
      </w:pPr>
      <w:bookmarkStart w:id="81" w:name="_Toc465167575"/>
      <w:r>
        <w:t>Mobile data demand</w:t>
      </w:r>
      <w:bookmarkEnd w:id="81"/>
    </w:p>
    <w:p w:rsidR="00B64319" w:rsidRDefault="009B157C" w:rsidP="00FD0594">
      <w:r>
        <w:t xml:space="preserve">In line with national figures which show huge growth in data usage – for instance, an 8-fold increase in data downloaded from December 2009-2014 </w:t>
      </w:r>
      <w:r w:rsidR="00F908B8">
        <w:rPr>
          <w:noProof/>
        </w:rPr>
        <w:t>(SACOSS, 2015)</w:t>
      </w:r>
      <w:r>
        <w:t>, one of the key drivers of telecommunications expenditure for the focus group participants was data.  Relatedly, one of the most common problem</w:t>
      </w:r>
      <w:r w:rsidR="005F105B">
        <w:t>s</w:t>
      </w:r>
      <w:r>
        <w:t xml:space="preserve"> identified </w:t>
      </w:r>
      <w:r w:rsidR="00B64319">
        <w:t>was that mobile phone plans do not include enough data to meet their needs.  Mobile data is generally more expensive than home internet, yet the modern lifestyles of the participants demanded mobile data for a range of activities:</w:t>
      </w:r>
    </w:p>
    <w:p w:rsidR="00B64319" w:rsidRPr="00532995" w:rsidRDefault="00B64319" w:rsidP="00FD0594">
      <w:pPr>
        <w:spacing w:before="120"/>
        <w:ind w:left="567" w:right="567"/>
        <w:rPr>
          <w:rFonts w:eastAsia="Calibri" w:cs="Arial"/>
        </w:rPr>
      </w:pPr>
      <w:r>
        <w:rPr>
          <w:rFonts w:eastAsia="Calibri" w:cs="Arial"/>
        </w:rPr>
        <w:t>“</w:t>
      </w:r>
      <w:proofErr w:type="gramStart"/>
      <w:r>
        <w:rPr>
          <w:rFonts w:eastAsia="Calibri" w:cs="Arial"/>
        </w:rPr>
        <w:t>[ I</w:t>
      </w:r>
      <w:proofErr w:type="gramEnd"/>
      <w:r>
        <w:rPr>
          <w:rFonts w:eastAsia="Calibri" w:cs="Arial"/>
        </w:rPr>
        <w:t xml:space="preserve"> use my mobile phone] f</w:t>
      </w:r>
      <w:r w:rsidRPr="00532995">
        <w:rPr>
          <w:rFonts w:eastAsia="Calibri" w:cs="Arial"/>
        </w:rPr>
        <w:t>or everything now, internet, photos, calendar, planner, Facebook, apply for jobs eve</w:t>
      </w:r>
      <w:r>
        <w:rPr>
          <w:rFonts w:eastAsia="Calibri" w:cs="Arial"/>
        </w:rPr>
        <w:t>n, yeah, pretty much everything”</w:t>
      </w:r>
    </w:p>
    <w:p w:rsidR="00B64319" w:rsidRPr="00532995" w:rsidRDefault="00B64319" w:rsidP="00FD0594">
      <w:pPr>
        <w:spacing w:before="120"/>
        <w:ind w:left="567" w:right="567"/>
        <w:rPr>
          <w:rFonts w:eastAsia="Calibri" w:cs="Arial"/>
        </w:rPr>
      </w:pPr>
      <w:r>
        <w:rPr>
          <w:rFonts w:eastAsia="Calibri" w:cs="Arial"/>
        </w:rPr>
        <w:t>“</w:t>
      </w:r>
      <w:r w:rsidRPr="00532995">
        <w:rPr>
          <w:rFonts w:eastAsia="Calibri" w:cs="Arial"/>
        </w:rPr>
        <w:t xml:space="preserve">Because I’m </w:t>
      </w:r>
      <w:r>
        <w:rPr>
          <w:rFonts w:eastAsia="Calibri" w:cs="Arial"/>
        </w:rPr>
        <w:t>not at home very much…</w:t>
      </w:r>
      <w:r w:rsidRPr="00532995">
        <w:rPr>
          <w:rFonts w:eastAsia="Calibri" w:cs="Arial"/>
        </w:rPr>
        <w:t xml:space="preserve"> I need to be connected </w:t>
      </w:r>
      <w:r>
        <w:rPr>
          <w:rFonts w:eastAsia="Calibri" w:cs="Arial"/>
        </w:rPr>
        <w:t xml:space="preserve">[to the internet] </w:t>
      </w:r>
      <w:r w:rsidRPr="00532995">
        <w:rPr>
          <w:rFonts w:eastAsia="Calibri" w:cs="Arial"/>
        </w:rPr>
        <w:t>all the time</w:t>
      </w:r>
      <w:r>
        <w:rPr>
          <w:rFonts w:eastAsia="Calibri" w:cs="Arial"/>
        </w:rPr>
        <w:t>”</w:t>
      </w:r>
    </w:p>
    <w:p w:rsidR="00B64319" w:rsidRDefault="00B64319" w:rsidP="00FD0594">
      <w:pPr>
        <w:spacing w:before="120"/>
        <w:ind w:left="567" w:right="567"/>
        <w:rPr>
          <w:rFonts w:eastAsia="Calibri" w:cs="Arial"/>
        </w:rPr>
      </w:pPr>
      <w:r w:rsidRPr="00532995">
        <w:rPr>
          <w:rFonts w:eastAsia="Calibri" w:cs="Arial"/>
        </w:rPr>
        <w:t>“I use the internet on my phone constantly to run my business and stuff so I need it all the time”</w:t>
      </w:r>
    </w:p>
    <w:p w:rsidR="009B157C" w:rsidRDefault="009B157C" w:rsidP="00FD0594">
      <w:r>
        <w:t>For many participants, the amount of data was the key thing that influenced</w:t>
      </w:r>
      <w:r w:rsidR="009B52B8">
        <w:t xml:space="preserve"> their choice of phone plan</w:t>
      </w:r>
      <w:r>
        <w:t>:</w:t>
      </w:r>
    </w:p>
    <w:p w:rsidR="009B157C" w:rsidRPr="00A8683E" w:rsidRDefault="009B157C" w:rsidP="00FD0594">
      <w:pPr>
        <w:spacing w:before="120"/>
        <w:ind w:left="567" w:right="567"/>
        <w:rPr>
          <w:rFonts w:eastAsia="Calibri" w:cs="Arial"/>
        </w:rPr>
      </w:pPr>
      <w:proofErr w:type="gramStart"/>
      <w:r w:rsidRPr="00A8683E">
        <w:rPr>
          <w:rFonts w:eastAsia="Calibri" w:cs="Arial"/>
        </w:rPr>
        <w:t>“Data.</w:t>
      </w:r>
      <w:proofErr w:type="gramEnd"/>
      <w:r w:rsidRPr="00A8683E">
        <w:rPr>
          <w:rFonts w:eastAsia="Calibri" w:cs="Arial"/>
        </w:rPr>
        <w:t xml:space="preserve">  Data and price</w:t>
      </w:r>
      <w:r>
        <w:rPr>
          <w:rFonts w:eastAsia="Calibri" w:cs="Arial"/>
        </w:rPr>
        <w:t xml:space="preserve"> [</w:t>
      </w:r>
      <w:r w:rsidRPr="00A8683E">
        <w:rPr>
          <w:rFonts w:eastAsia="Calibri" w:cs="Arial"/>
        </w:rPr>
        <w:t>most influenced my choice].  Like how much gigs do I get for the cheapest</w:t>
      </w:r>
      <w:r w:rsidR="00AC0937">
        <w:rPr>
          <w:rFonts w:eastAsia="Calibri" w:cs="Arial"/>
        </w:rPr>
        <w:t>.</w:t>
      </w:r>
      <w:r w:rsidRPr="00A8683E">
        <w:rPr>
          <w:rFonts w:eastAsia="Calibri" w:cs="Arial"/>
        </w:rPr>
        <w:t>”</w:t>
      </w:r>
    </w:p>
    <w:p w:rsidR="009B157C" w:rsidRPr="00A8683E" w:rsidRDefault="009B157C" w:rsidP="00FD0594">
      <w:pPr>
        <w:spacing w:before="120"/>
        <w:ind w:left="567" w:right="567"/>
        <w:rPr>
          <w:rFonts w:eastAsia="Calibri" w:cs="Arial"/>
        </w:rPr>
      </w:pPr>
      <w:r w:rsidRPr="00A8683E">
        <w:rPr>
          <w:rFonts w:eastAsia="Calibri" w:cs="Arial"/>
        </w:rPr>
        <w:t>“I had a quick look to see that they didn’t just have exorbitant costs per minute hidden…</w:t>
      </w:r>
      <w:r>
        <w:rPr>
          <w:rFonts w:eastAsia="Calibri" w:cs="Arial"/>
        </w:rPr>
        <w:t xml:space="preserve"> but yeah data…</w:t>
      </w:r>
      <w:r w:rsidRPr="00A8683E">
        <w:rPr>
          <w:rFonts w:eastAsia="Calibri" w:cs="Arial"/>
        </w:rPr>
        <w:t>I knew I needed roughly, three or four gig, so I found the cheapest for that</w:t>
      </w:r>
      <w:r w:rsidR="00AC0937">
        <w:rPr>
          <w:rFonts w:eastAsia="Calibri" w:cs="Arial"/>
        </w:rPr>
        <w:t>.</w:t>
      </w:r>
      <w:r w:rsidRPr="00A8683E">
        <w:rPr>
          <w:rFonts w:eastAsia="Calibri" w:cs="Arial"/>
        </w:rPr>
        <w:t>”</w:t>
      </w:r>
    </w:p>
    <w:p w:rsidR="009B157C" w:rsidRPr="00996928" w:rsidRDefault="009B157C" w:rsidP="00FD0594">
      <w:pPr>
        <w:spacing w:before="120"/>
        <w:ind w:left="567" w:right="567"/>
        <w:rPr>
          <w:rFonts w:eastAsia="Calibri" w:cs="Arial"/>
        </w:rPr>
      </w:pPr>
      <w:r w:rsidRPr="00A8683E">
        <w:rPr>
          <w:rFonts w:eastAsia="Calibri" w:cs="Arial"/>
        </w:rPr>
        <w:t>“</w:t>
      </w:r>
      <w:proofErr w:type="gramStart"/>
      <w:r w:rsidRPr="00A8683E">
        <w:rPr>
          <w:rFonts w:eastAsia="Calibri" w:cs="Arial"/>
        </w:rPr>
        <w:t>the</w:t>
      </w:r>
      <w:proofErr w:type="gramEnd"/>
      <w:r w:rsidRPr="00A8683E">
        <w:rPr>
          <w:rFonts w:eastAsia="Calibri" w:cs="Arial"/>
        </w:rPr>
        <w:t xml:space="preserve"> reason I want my daughter’s plan is she uses a lot of data and it’s one of the few I’ve found with such a huge amount of data…”</w:t>
      </w:r>
    </w:p>
    <w:p w:rsidR="00B64319" w:rsidRDefault="00B64319" w:rsidP="00FD0594">
      <w:r>
        <w:t xml:space="preserve">Yet despite there being strong demand for mobile data, most mobile phone plans only include very small amounts of data, </w:t>
      </w:r>
      <w:proofErr w:type="gramStart"/>
      <w:r>
        <w:t>typically between 2-7GB among plans selected by focus groups participants</w:t>
      </w:r>
      <w:proofErr w:type="gramEnd"/>
      <w:r>
        <w:t xml:space="preserve">. </w:t>
      </w:r>
      <w:r w:rsidR="001B44F2">
        <w:t xml:space="preserve"> </w:t>
      </w:r>
      <w:r>
        <w:t xml:space="preserve">When considering that most participants with a home internet connection reported having at least 100GB and often much more, it is clear that mobile phone users only have a very small amount of data available to use and are limited in what they can do online on their mobile phone. </w:t>
      </w:r>
      <w:r w:rsidR="001B44F2">
        <w:t xml:space="preserve"> </w:t>
      </w:r>
      <w:r>
        <w:t>As participants noted:</w:t>
      </w:r>
    </w:p>
    <w:p w:rsidR="00B64319" w:rsidRPr="002E08D9" w:rsidRDefault="00B64319" w:rsidP="00FD0594">
      <w:pPr>
        <w:spacing w:before="120"/>
        <w:ind w:left="567" w:right="567"/>
        <w:rPr>
          <w:rFonts w:eastAsia="Calibri" w:cs="Arial"/>
        </w:rPr>
      </w:pPr>
      <w:r w:rsidRPr="007846C0">
        <w:rPr>
          <w:rFonts w:eastAsia="Calibri" w:cs="Arial"/>
        </w:rPr>
        <w:t xml:space="preserve">“I stay away from data heavy things on my phone because I’ve only got 3 gigs so I can go over quite easily so  I deliberately will sort of put certain </w:t>
      </w:r>
      <w:r w:rsidRPr="007846C0">
        <w:rPr>
          <w:rFonts w:eastAsia="Calibri" w:cs="Arial"/>
        </w:rPr>
        <w:lastRenderedPageBreak/>
        <w:t xml:space="preserve">work </w:t>
      </w:r>
      <w:r>
        <w:rPr>
          <w:rFonts w:eastAsia="Calibri" w:cs="Arial"/>
        </w:rPr>
        <w:t>off until</w:t>
      </w:r>
      <w:r w:rsidRPr="007846C0">
        <w:rPr>
          <w:rFonts w:eastAsia="Calibri" w:cs="Arial"/>
        </w:rPr>
        <w:t xml:space="preserve"> I’m at a proper connection and other stuff I’ll do that on my phone because I don’t need much data</w:t>
      </w:r>
      <w:r w:rsidR="00AC0937">
        <w:rPr>
          <w:rFonts w:eastAsia="Calibri" w:cs="Arial"/>
        </w:rPr>
        <w:t>.</w:t>
      </w:r>
      <w:r w:rsidRPr="007846C0">
        <w:rPr>
          <w:rFonts w:eastAsia="Calibri" w:cs="Arial"/>
        </w:rPr>
        <w:t>”</w:t>
      </w:r>
    </w:p>
    <w:p w:rsidR="00B64319" w:rsidRDefault="00B64319" w:rsidP="00FD0594">
      <w:pPr>
        <w:spacing w:before="120"/>
        <w:ind w:left="567" w:right="567"/>
        <w:rPr>
          <w:rFonts w:eastAsia="Calibri" w:cs="Arial"/>
        </w:rPr>
      </w:pPr>
      <w:r w:rsidRPr="007846C0">
        <w:rPr>
          <w:rFonts w:eastAsia="Calibri" w:cs="Arial"/>
        </w:rPr>
        <w:t>“So I’ll often avoid doing certain things on my phone and wait until I get to a computer</w:t>
      </w:r>
      <w:r w:rsidR="00AC0937">
        <w:rPr>
          <w:rFonts w:eastAsia="Calibri" w:cs="Arial"/>
        </w:rPr>
        <w:t>,</w:t>
      </w:r>
      <w:r w:rsidRPr="007846C0">
        <w:rPr>
          <w:rFonts w:eastAsia="Calibri" w:cs="Arial"/>
        </w:rPr>
        <w:t xml:space="preserve"> </w:t>
      </w:r>
      <w:r w:rsidR="00AC0937">
        <w:rPr>
          <w:rFonts w:eastAsia="Calibri" w:cs="Arial"/>
        </w:rPr>
        <w:t>w</w:t>
      </w:r>
      <w:r w:rsidRPr="007846C0">
        <w:rPr>
          <w:rFonts w:eastAsia="Calibri" w:cs="Arial"/>
        </w:rPr>
        <w:t>hich means I need to maintain a computer”</w:t>
      </w:r>
    </w:p>
    <w:p w:rsidR="00B64319" w:rsidRDefault="009B157C" w:rsidP="00FD0594">
      <w:r>
        <w:rPr>
          <w:rFonts w:eastAsia="Calibri" w:cs="Arial"/>
        </w:rPr>
        <w:t>While</w:t>
      </w:r>
      <w:r w:rsidR="00B64319">
        <w:rPr>
          <w:rFonts w:eastAsia="Calibri" w:cs="Arial"/>
        </w:rPr>
        <w:t xml:space="preserve"> these are </w:t>
      </w:r>
      <w:r>
        <w:rPr>
          <w:rFonts w:eastAsia="Calibri" w:cs="Arial"/>
        </w:rPr>
        <w:t>sensible</w:t>
      </w:r>
      <w:r w:rsidR="00B64319">
        <w:rPr>
          <w:rFonts w:eastAsia="Calibri" w:cs="Arial"/>
        </w:rPr>
        <w:t xml:space="preserve"> </w:t>
      </w:r>
      <w:r>
        <w:rPr>
          <w:rFonts w:eastAsia="Calibri" w:cs="Arial"/>
        </w:rPr>
        <w:t>use-management strategies, they also suggest</w:t>
      </w:r>
      <w:r w:rsidR="00B64319">
        <w:rPr>
          <w:rFonts w:eastAsia="Calibri" w:cs="Arial"/>
        </w:rPr>
        <w:t xml:space="preserve"> that expensive mobile data helps drive demand for secondary internet sources, which adds to total telecommunication costs. </w:t>
      </w:r>
      <w:r w:rsidR="001B44F2">
        <w:rPr>
          <w:rFonts w:eastAsia="Calibri" w:cs="Arial"/>
        </w:rPr>
        <w:t xml:space="preserve"> </w:t>
      </w:r>
      <w:r w:rsidR="002E0170">
        <w:rPr>
          <w:rFonts w:eastAsia="Calibri" w:cs="Arial"/>
        </w:rPr>
        <w:t>T</w:t>
      </w:r>
      <w:r w:rsidR="00B64319">
        <w:t xml:space="preserve">he majority of focus group participants </w:t>
      </w:r>
      <w:r>
        <w:t>did have</w:t>
      </w:r>
      <w:r w:rsidR="00B64319">
        <w:t xml:space="preserve"> access to a home internet connection, </w:t>
      </w:r>
      <w:r>
        <w:t>but as Humphry notes</w:t>
      </w:r>
      <w:r w:rsidR="002E0170">
        <w:t>,</w:t>
      </w:r>
      <w:r>
        <w:t xml:space="preserve"> this is not always the case for</w:t>
      </w:r>
      <w:r w:rsidR="00B64319">
        <w:t xml:space="preserve"> low income consumers </w:t>
      </w:r>
      <w:sdt>
        <w:sdtPr>
          <w:id w:val="444284948"/>
          <w:citation/>
        </w:sdtPr>
        <w:sdtContent>
          <w:r w:rsidR="00C907D6">
            <w:fldChar w:fldCharType="begin"/>
          </w:r>
          <w:r w:rsidR="00B64319">
            <w:instrText xml:space="preserve"> CITATION Hum14 \l 3081 </w:instrText>
          </w:r>
          <w:r w:rsidR="00C907D6">
            <w:fldChar w:fldCharType="separate"/>
          </w:r>
          <w:r w:rsidR="000D79D7">
            <w:rPr>
              <w:noProof/>
            </w:rPr>
            <w:t>(Humphry, 2014)</w:t>
          </w:r>
          <w:r w:rsidR="00C907D6">
            <w:fldChar w:fldCharType="end"/>
          </w:r>
        </w:sdtContent>
      </w:sdt>
      <w:r w:rsidR="00B64319">
        <w:t xml:space="preserve">. </w:t>
      </w:r>
    </w:p>
    <w:p w:rsidR="00B64319" w:rsidRDefault="00B64319" w:rsidP="00B72325">
      <w:pPr>
        <w:pStyle w:val="Heading4"/>
      </w:pPr>
      <w:r>
        <w:t>Mobile data – excess costs</w:t>
      </w:r>
    </w:p>
    <w:p w:rsidR="00B64319" w:rsidRDefault="00B64319" w:rsidP="00B72325">
      <w:r>
        <w:t xml:space="preserve">Due to the high demand for data and the low data caps for mobile phone plans, many participants reported regularly using up all their data before their allowance was due to replenish. </w:t>
      </w:r>
    </w:p>
    <w:p w:rsidR="00B64319" w:rsidRPr="00996928" w:rsidRDefault="00B64319" w:rsidP="00B72325">
      <w:pPr>
        <w:spacing w:before="120"/>
        <w:ind w:left="567" w:right="567"/>
        <w:rPr>
          <w:rFonts w:eastAsia="Calibri" w:cs="Arial"/>
        </w:rPr>
      </w:pPr>
      <w:r>
        <w:rPr>
          <w:rFonts w:eastAsia="Calibri" w:cs="Arial"/>
        </w:rPr>
        <w:t>“</w:t>
      </w:r>
      <w:r w:rsidRPr="00996928">
        <w:rPr>
          <w:rFonts w:eastAsia="Calibri" w:cs="Arial"/>
        </w:rPr>
        <w:t>5</w:t>
      </w:r>
      <w:r>
        <w:rPr>
          <w:rFonts w:eastAsia="Calibri" w:cs="Arial"/>
        </w:rPr>
        <w:t xml:space="preserve"> </w:t>
      </w:r>
      <w:r w:rsidRPr="00996928">
        <w:rPr>
          <w:rFonts w:eastAsia="Calibri" w:cs="Arial"/>
        </w:rPr>
        <w:t>gig</w:t>
      </w:r>
      <w:r>
        <w:rPr>
          <w:rFonts w:eastAsia="Calibri" w:cs="Arial"/>
        </w:rPr>
        <w:t>s</w:t>
      </w:r>
      <w:r w:rsidRPr="00996928">
        <w:rPr>
          <w:rFonts w:eastAsia="Calibri" w:cs="Arial"/>
        </w:rPr>
        <w:t xml:space="preserve">, that lasts me all of like 5 days.  I love my </w:t>
      </w:r>
      <w:proofErr w:type="spellStart"/>
      <w:r w:rsidRPr="00996928">
        <w:rPr>
          <w:rFonts w:eastAsia="Calibri" w:cs="Arial"/>
        </w:rPr>
        <w:t>interwebs</w:t>
      </w:r>
      <w:proofErr w:type="spellEnd"/>
      <w:r w:rsidRPr="00996928">
        <w:rPr>
          <w:rFonts w:eastAsia="Calibri" w:cs="Arial"/>
        </w:rPr>
        <w:t>, and that was horrible, horrible</w:t>
      </w:r>
      <w:r w:rsidR="00AC0937">
        <w:rPr>
          <w:rFonts w:eastAsia="Calibri" w:cs="Arial"/>
        </w:rPr>
        <w:t>.</w:t>
      </w:r>
      <w:r>
        <w:rPr>
          <w:rFonts w:eastAsia="Calibri" w:cs="Arial"/>
        </w:rPr>
        <w:t>”</w:t>
      </w:r>
    </w:p>
    <w:p w:rsidR="00B64319" w:rsidRPr="00996928" w:rsidRDefault="00B64319" w:rsidP="00B72325">
      <w:pPr>
        <w:spacing w:before="120"/>
        <w:ind w:left="567" w:right="567"/>
        <w:rPr>
          <w:rFonts w:eastAsia="Calibri" w:cs="Arial"/>
        </w:rPr>
      </w:pPr>
      <w:r w:rsidRPr="00996928">
        <w:rPr>
          <w:rFonts w:eastAsia="Calibri" w:cs="Arial"/>
        </w:rPr>
        <w:t>“The only thing that annoys me with my plan, because mine’s free calls, free texts and that kind of thing, is that the data isn’t enough.  And I usually end up topping up and getting another gig, which costs me another $10 at the end of the month</w:t>
      </w:r>
      <w:r w:rsidR="00AC0937">
        <w:rPr>
          <w:rFonts w:eastAsia="Calibri" w:cs="Arial"/>
        </w:rPr>
        <w:t>.</w:t>
      </w:r>
      <w:r w:rsidRPr="00996928">
        <w:rPr>
          <w:rFonts w:eastAsia="Calibri" w:cs="Arial"/>
        </w:rPr>
        <w:t>”</w:t>
      </w:r>
    </w:p>
    <w:p w:rsidR="00B64319" w:rsidRDefault="00B64319" w:rsidP="00B72325">
      <w:r>
        <w:t xml:space="preserve">In response to running out of data most participants either purchased additional data top ups or risked going over </w:t>
      </w:r>
      <w:r w:rsidR="00DA7227">
        <w:t xml:space="preserve">and </w:t>
      </w:r>
      <w:r>
        <w:t>paying excess usage fees.  Very few participants who ran out of data could go without data for long periods of time, pointing to the essentiality of access to the internet at all times</w:t>
      </w:r>
      <w:r w:rsidR="00AC0937">
        <w:t>:</w:t>
      </w:r>
      <w:r>
        <w:t xml:space="preserve"> </w:t>
      </w:r>
    </w:p>
    <w:p w:rsidR="00B64319" w:rsidRPr="00C4555F" w:rsidRDefault="00B64319" w:rsidP="00B72325">
      <w:pPr>
        <w:spacing w:before="120"/>
        <w:ind w:left="567" w:right="567"/>
        <w:rPr>
          <w:rFonts w:eastAsia="Calibri" w:cs="Arial"/>
        </w:rPr>
      </w:pPr>
      <w:r>
        <w:rPr>
          <w:rFonts w:eastAsia="Calibri" w:cs="Arial"/>
        </w:rPr>
        <w:t xml:space="preserve">“[I] </w:t>
      </w:r>
      <w:r w:rsidRPr="00996928">
        <w:rPr>
          <w:rFonts w:eastAsia="Calibri" w:cs="Arial"/>
        </w:rPr>
        <w:t>top up with data probably about</w:t>
      </w:r>
      <w:r>
        <w:rPr>
          <w:rFonts w:eastAsia="Calibri" w:cs="Arial"/>
        </w:rPr>
        <w:t xml:space="preserve"> a week before it’s month’s end. </w:t>
      </w:r>
      <w:r w:rsidRPr="00996928">
        <w:rPr>
          <w:rFonts w:eastAsia="Calibri" w:cs="Arial"/>
        </w:rPr>
        <w:t>I’m trying really hard this month not to exceed my data, and I’ve only got 600 MB left, so that’s probably not going to happen</w:t>
      </w:r>
      <w:r>
        <w:rPr>
          <w:rFonts w:eastAsia="Calibri" w:cs="Arial"/>
        </w:rPr>
        <w:t>.”</w:t>
      </w:r>
    </w:p>
    <w:p w:rsidR="00B64319" w:rsidRDefault="009B157C" w:rsidP="00B72325">
      <w:r>
        <w:t>At $10-15 per gigabyte</w:t>
      </w:r>
      <w:r w:rsidR="00B64319">
        <w:t>, the cost of data top ups and excess usage fees are extremely high compared to the cost per unit of</w:t>
      </w:r>
      <w:r w:rsidR="00DA7227">
        <w:t xml:space="preserve"> data included in the plan, and </w:t>
      </w:r>
      <w:r w:rsidR="00B64319">
        <w:t xml:space="preserve">available through home internet connections. </w:t>
      </w:r>
      <w:r w:rsidR="001B44F2">
        <w:t xml:space="preserve"> </w:t>
      </w:r>
      <w:r w:rsidR="00B64319">
        <w:t>As participants noted:</w:t>
      </w:r>
    </w:p>
    <w:p w:rsidR="00B64319" w:rsidRPr="00C4555F" w:rsidRDefault="00B64319" w:rsidP="00B72325">
      <w:pPr>
        <w:spacing w:before="120"/>
        <w:ind w:left="567" w:right="567"/>
        <w:rPr>
          <w:rFonts w:eastAsia="Calibri" w:cs="Arial"/>
        </w:rPr>
      </w:pPr>
      <w:r w:rsidRPr="00C4555F">
        <w:rPr>
          <w:rFonts w:eastAsia="Calibri" w:cs="Arial"/>
        </w:rPr>
        <w:t>“It is just data at the moment [</w:t>
      </w:r>
      <w:r>
        <w:rPr>
          <w:rFonts w:eastAsia="Calibri" w:cs="Arial"/>
        </w:rPr>
        <w:t xml:space="preserve">that </w:t>
      </w:r>
      <w:r w:rsidRPr="00C4555F">
        <w:rPr>
          <w:rFonts w:eastAsia="Calibri" w:cs="Arial"/>
        </w:rPr>
        <w:t xml:space="preserve">I </w:t>
      </w:r>
      <w:r>
        <w:rPr>
          <w:rFonts w:eastAsia="Calibri" w:cs="Arial"/>
        </w:rPr>
        <w:t xml:space="preserve">have </w:t>
      </w:r>
      <w:r w:rsidR="005B1766">
        <w:rPr>
          <w:rFonts w:eastAsia="Calibri" w:cs="Arial"/>
        </w:rPr>
        <w:t>to</w:t>
      </w:r>
      <w:r>
        <w:rPr>
          <w:rFonts w:eastAsia="Calibri" w:cs="Arial"/>
        </w:rPr>
        <w:t xml:space="preserve"> </w:t>
      </w:r>
      <w:r w:rsidRPr="00C4555F">
        <w:rPr>
          <w:rFonts w:eastAsia="Calibri" w:cs="Arial"/>
        </w:rPr>
        <w:t>pay extra for], it’s killing me</w:t>
      </w:r>
      <w:r w:rsidR="00AC0937">
        <w:rPr>
          <w:rFonts w:eastAsia="Calibri" w:cs="Arial"/>
        </w:rPr>
        <w:t>.</w:t>
      </w:r>
      <w:r w:rsidRPr="00C4555F">
        <w:rPr>
          <w:rFonts w:eastAsia="Calibri" w:cs="Arial"/>
        </w:rPr>
        <w:t>”</w:t>
      </w:r>
    </w:p>
    <w:p w:rsidR="00B64319" w:rsidRDefault="00B64319" w:rsidP="00B72325">
      <w:pPr>
        <w:spacing w:before="120"/>
        <w:ind w:left="567" w:right="567"/>
        <w:rPr>
          <w:rFonts w:eastAsia="Calibri" w:cs="Arial"/>
        </w:rPr>
      </w:pPr>
      <w:r w:rsidRPr="00C4555F">
        <w:rPr>
          <w:rFonts w:eastAsia="Calibri" w:cs="Arial"/>
        </w:rPr>
        <w:t>“To do a top up can be like a third of the cost of the original plan, and you don’t even get the same amount of data you got with the original plan, like it’s expensive to top up</w:t>
      </w:r>
      <w:r w:rsidR="00AC0937">
        <w:rPr>
          <w:rFonts w:eastAsia="Calibri" w:cs="Arial"/>
        </w:rPr>
        <w:t>.</w:t>
      </w:r>
      <w:r>
        <w:rPr>
          <w:rFonts w:eastAsia="Calibri" w:cs="Arial"/>
        </w:rPr>
        <w:t>”</w:t>
      </w:r>
      <w:r w:rsidRPr="00961BCB">
        <w:rPr>
          <w:rFonts w:eastAsia="Calibri" w:cs="Arial"/>
        </w:rPr>
        <w:t xml:space="preserve"> </w:t>
      </w:r>
    </w:p>
    <w:p w:rsidR="00B64319" w:rsidRDefault="00B64319" w:rsidP="00B72325">
      <w:pPr>
        <w:spacing w:before="120"/>
        <w:ind w:left="567" w:right="567"/>
        <w:rPr>
          <w:rFonts w:eastAsia="Calibri" w:cs="Arial"/>
        </w:rPr>
      </w:pPr>
      <w:r>
        <w:rPr>
          <w:rFonts w:eastAsia="Calibri" w:cs="Arial"/>
        </w:rPr>
        <w:t>“</w:t>
      </w:r>
      <w:r w:rsidRPr="00961BCB">
        <w:rPr>
          <w:rFonts w:eastAsia="Calibri" w:cs="Arial"/>
        </w:rPr>
        <w:t>Topping up, so like half of the data was still $10 ... so every time I’d run out of data, I’d have to go and pay another $10 and another $10</w:t>
      </w:r>
      <w:r w:rsidR="00AC0937">
        <w:rPr>
          <w:rFonts w:eastAsia="Calibri" w:cs="Arial"/>
        </w:rPr>
        <w:t>.</w:t>
      </w:r>
      <w:r>
        <w:rPr>
          <w:rFonts w:eastAsia="Calibri" w:cs="Arial"/>
        </w:rPr>
        <w:t>”</w:t>
      </w:r>
    </w:p>
    <w:p w:rsidR="009B157C" w:rsidRDefault="009B157C" w:rsidP="009B157C">
      <w:pPr>
        <w:spacing w:before="120"/>
        <w:ind w:left="567" w:right="567"/>
        <w:rPr>
          <w:rFonts w:eastAsia="Calibri" w:cs="Arial"/>
        </w:rPr>
      </w:pPr>
      <w:r>
        <w:lastRenderedPageBreak/>
        <w:t xml:space="preserve">“I just have a very tight </w:t>
      </w:r>
      <w:proofErr w:type="gramStart"/>
      <w:r>
        <w:t>budget,</w:t>
      </w:r>
      <w:proofErr w:type="gramEnd"/>
      <w:r>
        <w:t xml:space="preserve"> $15 extra for one gig of data is excessive</w:t>
      </w:r>
      <w:r w:rsidR="00AC0937">
        <w:t>.</w:t>
      </w:r>
      <w:r>
        <w:t>”</w:t>
      </w:r>
      <w:r w:rsidRPr="00532995">
        <w:rPr>
          <w:rFonts w:eastAsia="Calibri" w:cs="Arial"/>
        </w:rPr>
        <w:t xml:space="preserve"> </w:t>
      </w:r>
    </w:p>
    <w:p w:rsidR="00B64319" w:rsidRPr="00A20FF4" w:rsidRDefault="00B64319" w:rsidP="00B72325">
      <w:r>
        <w:t>Many participants reported very quickly running</w:t>
      </w:r>
      <w:r w:rsidR="00CC2BF9">
        <w:t xml:space="preserve"> up large extra fees and charge</w:t>
      </w:r>
      <w:r>
        <w:t xml:space="preserve">s on top on their normal bill, </w:t>
      </w:r>
      <w:r w:rsidR="009B157C">
        <w:t>while s</w:t>
      </w:r>
      <w:r>
        <w:t xml:space="preserve">ome participants also expressed dissatisfaction with plans that automatically top up an extra </w:t>
      </w:r>
      <w:r w:rsidR="00CC2BF9">
        <w:t>gigabyte</w:t>
      </w:r>
      <w:r>
        <w:t xml:space="preserve"> of data as soon as the data allowance is exceed</w:t>
      </w:r>
      <w:r w:rsidR="00AC0937">
        <w:t>ed</w:t>
      </w:r>
      <w:r>
        <w:t xml:space="preserve">, even if they did not go on </w:t>
      </w:r>
      <w:r w:rsidR="009B157C">
        <w:t>to use all the extra data added:</w:t>
      </w:r>
    </w:p>
    <w:p w:rsidR="00B64319" w:rsidRDefault="00B64319" w:rsidP="00B72325">
      <w:pPr>
        <w:spacing w:before="120"/>
        <w:ind w:left="567" w:right="567"/>
        <w:rPr>
          <w:rFonts w:eastAsia="Calibri" w:cs="Arial"/>
        </w:rPr>
      </w:pPr>
      <w:r>
        <w:rPr>
          <w:rFonts w:eastAsia="Calibri" w:cs="Arial"/>
        </w:rPr>
        <w:t>“</w:t>
      </w:r>
      <w:r w:rsidRPr="00A20FF4">
        <w:rPr>
          <w:rFonts w:eastAsia="Calibri" w:cs="Arial"/>
        </w:rPr>
        <w:t xml:space="preserve">What happens with mobile data is you get charged </w:t>
      </w:r>
      <w:r>
        <w:rPr>
          <w:rFonts w:eastAsia="Calibri" w:cs="Arial"/>
        </w:rPr>
        <w:t>another gigabyte even though…</w:t>
      </w:r>
      <w:r w:rsidRPr="00A20FF4">
        <w:rPr>
          <w:rFonts w:eastAsia="Calibri" w:cs="Arial"/>
        </w:rPr>
        <w:t xml:space="preserve"> you can use tiny,</w:t>
      </w:r>
      <w:r>
        <w:rPr>
          <w:rFonts w:eastAsia="Calibri" w:cs="Arial"/>
        </w:rPr>
        <w:t xml:space="preserve"> tiny little bit of it and …</w:t>
      </w:r>
      <w:r w:rsidRPr="00A20FF4">
        <w:rPr>
          <w:rFonts w:eastAsia="Calibri" w:cs="Arial"/>
        </w:rPr>
        <w:t>then you go ov</w:t>
      </w:r>
      <w:r>
        <w:rPr>
          <w:rFonts w:eastAsia="Calibri" w:cs="Arial"/>
        </w:rPr>
        <w:t>er and then it’s another $10….</w:t>
      </w:r>
      <w:r w:rsidRPr="00A20FF4">
        <w:rPr>
          <w:rFonts w:eastAsia="Calibri" w:cs="Arial"/>
        </w:rPr>
        <w:t>So they charge $10 for tiny, tiny little data.  That is also unfair</w:t>
      </w:r>
      <w:r w:rsidR="00AC0937">
        <w:rPr>
          <w:rFonts w:eastAsia="Calibri" w:cs="Arial"/>
        </w:rPr>
        <w:t>.</w:t>
      </w:r>
      <w:r>
        <w:rPr>
          <w:rFonts w:eastAsia="Calibri" w:cs="Arial"/>
        </w:rPr>
        <w:t>”</w:t>
      </w:r>
    </w:p>
    <w:p w:rsidR="00B64319" w:rsidRPr="00A20FF4" w:rsidRDefault="00B64319" w:rsidP="00B72325">
      <w:pPr>
        <w:spacing w:before="120"/>
        <w:ind w:left="567" w:right="567"/>
        <w:rPr>
          <w:rFonts w:eastAsia="Calibri" w:cs="Arial"/>
        </w:rPr>
      </w:pPr>
      <w:r>
        <w:rPr>
          <w:rFonts w:eastAsia="Calibri" w:cs="Arial"/>
        </w:rPr>
        <w:t>“T</w:t>
      </w:r>
      <w:r w:rsidRPr="00A20FF4">
        <w:rPr>
          <w:rFonts w:eastAsia="Calibri" w:cs="Arial"/>
        </w:rPr>
        <w:t>hey add 1GB, 3GB for you without telling you.  And I asked them if they can block that one, they said no, they can’t block.  If you overuse they would add, it’s automated</w:t>
      </w:r>
      <w:r>
        <w:rPr>
          <w:rFonts w:eastAsia="Calibri" w:cs="Arial"/>
        </w:rPr>
        <w:t>”</w:t>
      </w:r>
    </w:p>
    <w:p w:rsidR="00B64319" w:rsidRPr="00996928" w:rsidRDefault="00B64319" w:rsidP="009B157C">
      <w:pPr>
        <w:rPr>
          <w:rFonts w:eastAsia="Calibri" w:cs="Arial"/>
        </w:rPr>
      </w:pPr>
      <w:r>
        <w:t>An almost universal feeling was expressed in the focus groups that mobile phone providers are taking advantage of the growing demand for data,</w:t>
      </w:r>
      <w:r w:rsidR="009B157C">
        <w:t xml:space="preserve"> and there was resentment that the mobile phone plans that offer the higher amounts of data tend to come with catches such as 28 day billing cycles and forced direct debit billing arrangements.  The problems with these arrangements will be discussed below, but it is interesting to note the comparison to home internet plans where participants were generally satisfied with the amount of data included, and were more concerned about internet speeds.  But for mobiles, it was clear that </w:t>
      </w:r>
      <w:r>
        <w:t>if they could change one thing about their mobile phone plans</w:t>
      </w:r>
      <w:r w:rsidR="00E00C91">
        <w:t>,</w:t>
      </w:r>
      <w:r>
        <w:t xml:space="preserve"> it would be access to more affordable data.  </w:t>
      </w:r>
    </w:p>
    <w:p w:rsidR="009B157C" w:rsidRDefault="009B157C" w:rsidP="00B72325">
      <w:r>
        <w:t xml:space="preserve">The </w:t>
      </w:r>
      <w:r w:rsidRPr="009B157C">
        <w:rPr>
          <w:i/>
        </w:rPr>
        <w:t>Telecommunication Consumer Protections Code</w:t>
      </w:r>
      <w:r>
        <w:t xml:space="preserve"> mandates consumer usage notifications and the provision of spend management tools </w:t>
      </w:r>
      <w:sdt>
        <w:sdtPr>
          <w:id w:val="1001387825"/>
          <w:citation/>
        </w:sdtPr>
        <w:sdtContent>
          <w:r w:rsidR="00C907D6">
            <w:fldChar w:fldCharType="begin"/>
          </w:r>
          <w:r>
            <w:instrText xml:space="preserve"> CITATION Com16 \l 3081 </w:instrText>
          </w:r>
          <w:r w:rsidR="00C907D6">
            <w:fldChar w:fldCharType="separate"/>
          </w:r>
          <w:r w:rsidR="000D79D7">
            <w:rPr>
              <w:noProof/>
            </w:rPr>
            <w:t>(Communications Alliance, 2016)</w:t>
          </w:r>
          <w:r w:rsidR="00C907D6">
            <w:fldChar w:fldCharType="end"/>
          </w:r>
        </w:sdtContent>
      </w:sdt>
      <w:r>
        <w:t>, but these mainly deal with information provision.</w:t>
      </w:r>
      <w:r>
        <w:rPr>
          <w:rStyle w:val="FootnoteReference"/>
        </w:rPr>
        <w:footnoteReference w:id="5"/>
      </w:r>
      <w:r>
        <w:t xml:space="preserve">  </w:t>
      </w:r>
      <w:r w:rsidR="00EF40E5">
        <w:t>However,</w:t>
      </w:r>
      <w:r>
        <w:t xml:space="preserve"> no amount of information provision, shopping around or ritual chanting of “caveat emptor” can compensate for the fact the data allocations in many of the most affordable plans is simply too low for consumer needs in today’s society.  </w:t>
      </w:r>
    </w:p>
    <w:p w:rsidR="009B157C" w:rsidRDefault="009B157C" w:rsidP="00B72325">
      <w:r>
        <w:t>Furthermore, the data stress and the increased expenditure it drives is made worse by instances of predatory marketing and unnecessary bundling identified in the focus groups.</w:t>
      </w:r>
    </w:p>
    <w:p w:rsidR="00B64319" w:rsidRDefault="00B64319" w:rsidP="00FD0594">
      <w:pPr>
        <w:pStyle w:val="Heading3"/>
      </w:pPr>
      <w:bookmarkStart w:id="82" w:name="_Toc465167576"/>
      <w:r>
        <w:t>Predatory Marketing</w:t>
      </w:r>
      <w:bookmarkEnd w:id="82"/>
    </w:p>
    <w:p w:rsidR="00B64319" w:rsidRDefault="009B157C" w:rsidP="00FD0594">
      <w:r>
        <w:t>Predatory marketing here refers to plans and special offers that entice low income consumers</w:t>
      </w:r>
      <w:r w:rsidR="00B64319">
        <w:t xml:space="preserve"> to purchase plans </w:t>
      </w:r>
      <w:r>
        <w:t>that end</w:t>
      </w:r>
      <w:r w:rsidR="00B64319">
        <w:t xml:space="preserve"> up costing more in the long run. </w:t>
      </w:r>
      <w:r w:rsidR="001B44F2">
        <w:t xml:space="preserve"> </w:t>
      </w:r>
      <w:r w:rsidR="00B64319">
        <w:t>These sp</w:t>
      </w:r>
      <w:r>
        <w:t xml:space="preserve">ecial </w:t>
      </w:r>
      <w:r>
        <w:lastRenderedPageBreak/>
        <w:t>offers typically consist</w:t>
      </w:r>
      <w:r w:rsidR="00B64319">
        <w:t xml:space="preserve"> of unlimited free usage of data or certain social media sites for a set period of time at the start of a contract before returning to the normal charge for the reminder of the contract. </w:t>
      </w:r>
    </w:p>
    <w:p w:rsidR="00B64319" w:rsidRDefault="00B64319" w:rsidP="00FD0594">
      <w:r>
        <w:t>Participants who had purchased these plans for themselves or their family members noted that they ended up costing more in the long run through excess usage charges as they become habituated into using high amounts of data during the free period and then inadvertently continued to use high amounts after the free</w:t>
      </w:r>
      <w:r w:rsidR="00EC62E0">
        <w:t xml:space="preserve"> period had ended:</w:t>
      </w:r>
    </w:p>
    <w:p w:rsidR="00B64319" w:rsidRPr="00F53191" w:rsidRDefault="00B64319" w:rsidP="00FD0594">
      <w:pPr>
        <w:spacing w:before="120"/>
        <w:ind w:left="567" w:right="567"/>
        <w:rPr>
          <w:rFonts w:eastAsia="Calibri" w:cs="Arial"/>
        </w:rPr>
      </w:pPr>
      <w:r w:rsidRPr="00F53191">
        <w:rPr>
          <w:rFonts w:eastAsia="Calibri" w:cs="Arial"/>
        </w:rPr>
        <w:t>“</w:t>
      </w:r>
      <w:proofErr w:type="gramStart"/>
      <w:r w:rsidRPr="00F53191">
        <w:rPr>
          <w:rFonts w:eastAsia="Calibri" w:cs="Arial"/>
        </w:rPr>
        <w:t>my</w:t>
      </w:r>
      <w:proofErr w:type="gramEnd"/>
      <w:r w:rsidRPr="00F53191">
        <w:rPr>
          <w:rFonts w:eastAsia="Calibri" w:cs="Arial"/>
        </w:rPr>
        <w:t xml:space="preserve"> boyfriend, he bought a new plan and </w:t>
      </w:r>
      <w:r>
        <w:rPr>
          <w:rFonts w:eastAsia="Calibri" w:cs="Arial"/>
        </w:rPr>
        <w:t>it gave him 3 months’ worth of i</w:t>
      </w:r>
      <w:r w:rsidRPr="00F53191">
        <w:rPr>
          <w:rFonts w:eastAsia="Calibri" w:cs="Arial"/>
        </w:rPr>
        <w:t>nternet of his plan for free.  We ended up using over 70gig in a month</w:t>
      </w:r>
      <w:r w:rsidR="00AC0937">
        <w:rPr>
          <w:rFonts w:eastAsia="Calibri" w:cs="Arial"/>
        </w:rPr>
        <w:t>.</w:t>
      </w:r>
      <w:r w:rsidRPr="00F53191">
        <w:rPr>
          <w:rFonts w:eastAsia="Calibri" w:cs="Arial"/>
        </w:rPr>
        <w:t>”</w:t>
      </w:r>
    </w:p>
    <w:p w:rsidR="00B64319" w:rsidRPr="00F53191" w:rsidRDefault="00B64319" w:rsidP="00FD0594">
      <w:pPr>
        <w:spacing w:before="120"/>
        <w:ind w:left="567" w:right="567"/>
        <w:rPr>
          <w:rFonts w:eastAsia="Calibri" w:cs="Arial"/>
        </w:rPr>
      </w:pPr>
      <w:r w:rsidRPr="00F53191">
        <w:rPr>
          <w:rFonts w:eastAsia="Calibri" w:cs="Arial"/>
        </w:rPr>
        <w:t xml:space="preserve">“[I’ve] noticed, ever since they’ve taken </w:t>
      </w:r>
      <w:r>
        <w:rPr>
          <w:rFonts w:eastAsia="Calibri" w:cs="Arial"/>
        </w:rPr>
        <w:t xml:space="preserve">[free] </w:t>
      </w:r>
      <w:r w:rsidRPr="00F53191">
        <w:rPr>
          <w:rFonts w:eastAsia="Calibri" w:cs="Arial"/>
        </w:rPr>
        <w:t>social media out, I’ve exceeded my data every month nearly, or have exceeded my data</w:t>
      </w:r>
      <w:r w:rsidR="00AC0937">
        <w:rPr>
          <w:rFonts w:eastAsia="Calibri" w:cs="Arial"/>
        </w:rPr>
        <w:t>.</w:t>
      </w:r>
      <w:r w:rsidRPr="00F53191">
        <w:rPr>
          <w:rFonts w:eastAsia="Calibri" w:cs="Arial"/>
        </w:rPr>
        <w:t>”</w:t>
      </w:r>
    </w:p>
    <w:p w:rsidR="009B157C" w:rsidRPr="00F53191" w:rsidRDefault="009B157C" w:rsidP="00FD0594">
      <w:pPr>
        <w:spacing w:before="120"/>
        <w:ind w:left="567" w:right="567"/>
        <w:rPr>
          <w:rFonts w:eastAsia="Calibri" w:cs="Arial"/>
        </w:rPr>
      </w:pPr>
      <w:r w:rsidRPr="00F53191">
        <w:rPr>
          <w:rFonts w:eastAsia="Calibri" w:cs="Arial"/>
        </w:rPr>
        <w:t>“the reality is you will do absolutely everything and anything on your phone and then…you’ve just had 3 months of learning a new behaviour; [and] at the end of that 3 months, you now need to stop that new behaviour.  And for some people they just can’t do it and will continue”.</w:t>
      </w:r>
    </w:p>
    <w:p w:rsidR="00B64319" w:rsidRDefault="00B64319" w:rsidP="00FD0594">
      <w:r>
        <w:t xml:space="preserve">The time limited nature of these special offers was not hidden from consumers when they purchased them, but it appears they did encourage </w:t>
      </w:r>
      <w:r w:rsidR="009B157C">
        <w:t>increased usage</w:t>
      </w:r>
      <w:r>
        <w:t xml:space="preserve">. </w:t>
      </w:r>
      <w:r w:rsidR="001B44F2">
        <w:t xml:space="preserve"> </w:t>
      </w:r>
      <w:r>
        <w:t>In the long run this proved to be more of a hindrance rather than a help for</w:t>
      </w:r>
      <w:r w:rsidRPr="00DD36FD">
        <w:t xml:space="preserve"> </w:t>
      </w:r>
      <w:r>
        <w:t>many vulnerable low income consumers seeking to reduce their telecommunications costs.</w:t>
      </w:r>
    </w:p>
    <w:p w:rsidR="00B64319" w:rsidRPr="001D7E08" w:rsidRDefault="00B64319" w:rsidP="00FD0594">
      <w:pPr>
        <w:pStyle w:val="Heading3"/>
        <w:rPr>
          <w:lang w:val="en-US" w:eastAsia="ja-JP"/>
        </w:rPr>
      </w:pPr>
      <w:bookmarkStart w:id="83" w:name="_Toc465167577"/>
      <w:r>
        <w:rPr>
          <w:lang w:val="en-US" w:eastAsia="ja-JP"/>
        </w:rPr>
        <w:t>Bundling</w:t>
      </w:r>
      <w:r w:rsidR="009B157C">
        <w:t xml:space="preserve"> and Unnecessary Costs</w:t>
      </w:r>
      <w:bookmarkEnd w:id="83"/>
    </w:p>
    <w:p w:rsidR="00B64319" w:rsidRDefault="009B157C" w:rsidP="00FD0594">
      <w:r>
        <w:t xml:space="preserve">The other issue raised in the focus groups in relation to the drivers of increased demand was the bundling of services so that value was purchased and not used.  </w:t>
      </w:r>
      <w:r w:rsidR="00B64319">
        <w:t>While most focus group participants were either satisfied with the value included in their plans or wanted more, some older participants indicated that they rarely use all their included value</w:t>
      </w:r>
      <w:r w:rsidR="00AC0937">
        <w:t>:</w:t>
      </w:r>
      <w:r w:rsidR="00B64319">
        <w:t xml:space="preserve"> </w:t>
      </w:r>
    </w:p>
    <w:p w:rsidR="00B64319" w:rsidRPr="00F53191" w:rsidRDefault="00B64319" w:rsidP="00FD0594">
      <w:pPr>
        <w:spacing w:before="120"/>
        <w:ind w:left="567" w:right="567"/>
        <w:rPr>
          <w:rFonts w:eastAsia="Calibri" w:cs="Arial"/>
        </w:rPr>
      </w:pPr>
      <w:r w:rsidRPr="00F53191">
        <w:rPr>
          <w:rFonts w:eastAsia="Calibri" w:cs="Arial"/>
        </w:rPr>
        <w:t>“Well, I don’t actually use my phone that much so I feel like I’m paying a lot of money and not getting that much in return.  So it would be neat if I could get a smaller plan based on how much I actually use the phone</w:t>
      </w:r>
      <w:r w:rsidR="00AC0937">
        <w:rPr>
          <w:rFonts w:eastAsia="Calibri" w:cs="Arial"/>
        </w:rPr>
        <w:t>.</w:t>
      </w:r>
      <w:r w:rsidRPr="00F53191">
        <w:rPr>
          <w:rFonts w:eastAsia="Calibri" w:cs="Arial"/>
        </w:rPr>
        <w:t>”</w:t>
      </w:r>
    </w:p>
    <w:p w:rsidR="00B64319" w:rsidRPr="006722DD" w:rsidRDefault="00B64319" w:rsidP="00FD0594">
      <w:pPr>
        <w:spacing w:before="120"/>
        <w:ind w:right="567"/>
        <w:rPr>
          <w:rFonts w:eastAsia="Calibri" w:cs="Arial"/>
        </w:rPr>
      </w:pPr>
      <w:r w:rsidRPr="006722DD">
        <w:rPr>
          <w:rFonts w:eastAsia="Calibri" w:cs="Arial"/>
        </w:rPr>
        <w:t>These participants indicated that they felt it was unfair they had to pay for things they do not use, such as mobile phone data</w:t>
      </w:r>
      <w:r w:rsidR="00AC0937">
        <w:rPr>
          <w:rFonts w:eastAsia="Calibri" w:cs="Arial"/>
        </w:rPr>
        <w:t>:</w:t>
      </w:r>
    </w:p>
    <w:p w:rsidR="00B64319" w:rsidRPr="00F53191" w:rsidRDefault="00B64319" w:rsidP="00FD0594">
      <w:pPr>
        <w:spacing w:before="120"/>
        <w:ind w:left="567" w:right="567"/>
        <w:rPr>
          <w:rFonts w:eastAsia="Calibri" w:cs="Arial"/>
        </w:rPr>
      </w:pPr>
      <w:r w:rsidRPr="00F53191">
        <w:rPr>
          <w:rFonts w:eastAsia="Calibri" w:cs="Arial"/>
        </w:rPr>
        <w:t xml:space="preserve">“I feel that </w:t>
      </w:r>
      <w:proofErr w:type="gramStart"/>
      <w:r w:rsidRPr="00F53191">
        <w:rPr>
          <w:rFonts w:eastAsia="Calibri" w:cs="Arial"/>
        </w:rPr>
        <w:t>more older</w:t>
      </w:r>
      <w:proofErr w:type="gramEnd"/>
      <w:r w:rsidRPr="00F53191">
        <w:rPr>
          <w:rFonts w:eastAsia="Calibri" w:cs="Arial"/>
        </w:rPr>
        <w:t xml:space="preserve"> people are ripped off… </w:t>
      </w:r>
      <w:proofErr w:type="gramStart"/>
      <w:r w:rsidRPr="00F53191">
        <w:rPr>
          <w:rFonts w:eastAsia="Calibri" w:cs="Arial"/>
        </w:rPr>
        <w:t xml:space="preserve">Because we don’t use data as much as we get, but we have to pay exactly the </w:t>
      </w:r>
      <w:r w:rsidR="00EC62E0">
        <w:rPr>
          <w:rFonts w:eastAsia="Calibri" w:cs="Arial"/>
        </w:rPr>
        <w:t xml:space="preserve">same as </w:t>
      </w:r>
      <w:r w:rsidRPr="00F53191">
        <w:rPr>
          <w:rFonts w:eastAsia="Calibri" w:cs="Arial"/>
        </w:rPr>
        <w:t>people who use 100% so I feel awful [about this]</w:t>
      </w:r>
      <w:r w:rsidR="00AC0937">
        <w:rPr>
          <w:rFonts w:eastAsia="Calibri" w:cs="Arial"/>
        </w:rPr>
        <w:t>.</w:t>
      </w:r>
      <w:r w:rsidRPr="00F53191">
        <w:rPr>
          <w:rFonts w:eastAsia="Calibri" w:cs="Arial"/>
        </w:rPr>
        <w:t>”</w:t>
      </w:r>
      <w:proofErr w:type="gramEnd"/>
    </w:p>
    <w:p w:rsidR="00B64319" w:rsidRDefault="009B157C" w:rsidP="00FD0594">
      <w:r>
        <w:t>F</w:t>
      </w:r>
      <w:r w:rsidR="00B64319">
        <w:t xml:space="preserve">ocus group participants pointed out that </w:t>
      </w:r>
      <w:r>
        <w:t xml:space="preserve">unnecessary product purchases were not just limited to post-paid plans, but applied (in a different way) to the </w:t>
      </w:r>
      <w:r w:rsidR="00B64319">
        <w:t xml:space="preserve">pre-paid plans </w:t>
      </w:r>
      <w:r>
        <w:t xml:space="preserve">which many had taken on to manage their expenditure.  While the logic of the pre-paid plan is </w:t>
      </w:r>
      <w:r>
        <w:lastRenderedPageBreak/>
        <w:t xml:space="preserve">that you pay and then use it until your credit expires, there is still potential for </w:t>
      </w:r>
      <w:r w:rsidR="00B64319">
        <w:t>consumers pa</w:t>
      </w:r>
      <w:r>
        <w:t>ying for value they do not use</w:t>
      </w:r>
      <w:r w:rsidR="00B64319">
        <w:t xml:space="preserve"> </w:t>
      </w:r>
      <w:r>
        <w:t>because the credit usually has an expiry date:</w:t>
      </w:r>
    </w:p>
    <w:p w:rsidR="00B64319" w:rsidRPr="00F53191" w:rsidRDefault="00B64319" w:rsidP="00FD0594">
      <w:pPr>
        <w:spacing w:before="120"/>
        <w:ind w:left="567" w:right="567"/>
        <w:rPr>
          <w:rFonts w:eastAsia="Calibri" w:cs="Arial"/>
        </w:rPr>
      </w:pPr>
      <w:r w:rsidRPr="00F53191">
        <w:rPr>
          <w:rFonts w:eastAsia="Calibri" w:cs="Arial"/>
        </w:rPr>
        <w:t>“I had a $30 prepaid and I think…it was three months…but I just found I wasn't actually even using that amount, so it was just a waste getting that</w:t>
      </w:r>
      <w:r w:rsidR="00AC0937">
        <w:rPr>
          <w:rFonts w:eastAsia="Calibri" w:cs="Arial"/>
        </w:rPr>
        <w:t>.</w:t>
      </w:r>
      <w:r w:rsidRPr="00F53191">
        <w:rPr>
          <w:rFonts w:eastAsia="Calibri" w:cs="Arial"/>
        </w:rPr>
        <w:t>”</w:t>
      </w:r>
    </w:p>
    <w:p w:rsidR="00B64319" w:rsidRPr="009F1392" w:rsidRDefault="00B64319" w:rsidP="00FD0594">
      <w:pPr>
        <w:autoSpaceDE w:val="0"/>
        <w:autoSpaceDN w:val="0"/>
        <w:adjustRightInd w:val="0"/>
        <w:rPr>
          <w:rFonts w:cs="Georgia"/>
        </w:rPr>
      </w:pPr>
      <w:r>
        <w:t xml:space="preserve">For low income consumers with tight budgets, having to pay for something they do not use is a waste of </w:t>
      </w:r>
      <w:r w:rsidRPr="009F1392">
        <w:t xml:space="preserve">finite resources that they could be putting toward other essential items. </w:t>
      </w:r>
      <w:r w:rsidR="001B44F2">
        <w:t xml:space="preserve"> </w:t>
      </w:r>
      <w:r w:rsidRPr="009F1392">
        <w:t xml:space="preserve">As </w:t>
      </w:r>
      <w:proofErr w:type="spellStart"/>
      <w:r w:rsidRPr="009F1392">
        <w:t>Pavlidis</w:t>
      </w:r>
      <w:proofErr w:type="spellEnd"/>
      <w:r w:rsidRPr="009F1392">
        <w:t xml:space="preserve"> and Hawkins have noted</w:t>
      </w:r>
      <w:sdt>
        <w:sdtPr>
          <w:id w:val="-505295146"/>
          <w:citation/>
        </w:sdtPr>
        <w:sdtContent>
          <w:r w:rsidR="00C907D6" w:rsidRPr="009F1392">
            <w:fldChar w:fldCharType="begin"/>
          </w:r>
          <w:r w:rsidRPr="009F1392">
            <w:instrText xml:space="preserve"> CITATION Pav15 \l 3081 </w:instrText>
          </w:r>
          <w:r w:rsidR="00C907D6" w:rsidRPr="009F1392">
            <w:fldChar w:fldCharType="separate"/>
          </w:r>
          <w:r w:rsidR="000D79D7">
            <w:rPr>
              <w:noProof/>
            </w:rPr>
            <w:t xml:space="preserve"> (Pavlidis &amp; Hawkins, 2015)</w:t>
          </w:r>
          <w:r w:rsidR="00C907D6" w:rsidRPr="009F1392">
            <w:fldChar w:fldCharType="end"/>
          </w:r>
        </w:sdtContent>
      </w:sdt>
      <w:r w:rsidRPr="009F1392">
        <w:t xml:space="preserve"> </w:t>
      </w:r>
      <w:r w:rsidRPr="009F1392">
        <w:rPr>
          <w:rFonts w:cs="Georgia"/>
        </w:rPr>
        <w:t>“it is important to remember that not every consumer necessarily wants or needs more plan inclusions</w:t>
      </w:r>
      <w:r>
        <w:rPr>
          <w:rFonts w:cs="Georgia"/>
        </w:rPr>
        <w:t>…</w:t>
      </w:r>
      <w:r w:rsidRPr="009F1392">
        <w:rPr>
          <w:rFonts w:cs="Georgia"/>
        </w:rPr>
        <w:t>As such, affordability needs to take into consideration the extent to which products and services provide value-for-money and choice for consumers, which suit consumers’ varying requirements and circumstances</w:t>
      </w:r>
      <w:r w:rsidR="00AC0937">
        <w:rPr>
          <w:rFonts w:cs="Georgia"/>
        </w:rPr>
        <w:t>.</w:t>
      </w:r>
      <w:r w:rsidRPr="009F1392">
        <w:rPr>
          <w:rFonts w:cs="Georgia"/>
        </w:rPr>
        <w:t>”</w:t>
      </w:r>
    </w:p>
    <w:p w:rsidR="00B64319" w:rsidRDefault="00B64319" w:rsidP="00FD0594">
      <w:r>
        <w:t>As one focus group participant noted:</w:t>
      </w:r>
    </w:p>
    <w:p w:rsidR="00B64319" w:rsidRDefault="00B64319" w:rsidP="00FD0594">
      <w:pPr>
        <w:spacing w:before="120"/>
        <w:ind w:left="567" w:right="567"/>
        <w:rPr>
          <w:rFonts w:eastAsia="Calibri" w:cs="Arial"/>
        </w:rPr>
      </w:pPr>
      <w:r>
        <w:rPr>
          <w:rFonts w:eastAsia="Calibri" w:cs="Arial"/>
        </w:rPr>
        <w:t>“</w:t>
      </w:r>
      <w:proofErr w:type="gramStart"/>
      <w:r w:rsidRPr="001D0F58">
        <w:rPr>
          <w:rFonts w:eastAsia="Calibri" w:cs="Arial"/>
        </w:rPr>
        <w:t>the</w:t>
      </w:r>
      <w:proofErr w:type="gramEnd"/>
      <w:r w:rsidRPr="001D0F58">
        <w:rPr>
          <w:rFonts w:eastAsia="Calibri" w:cs="Arial"/>
        </w:rPr>
        <w:t xml:space="preserve"> actual cost of plans haven’t in themselves come </w:t>
      </w:r>
      <w:r>
        <w:rPr>
          <w:rFonts w:eastAsia="Calibri" w:cs="Arial"/>
        </w:rPr>
        <w:t>back that much.  They’re like, ‘</w:t>
      </w:r>
      <w:r w:rsidRPr="001D0F58">
        <w:rPr>
          <w:rFonts w:eastAsia="Calibri" w:cs="Arial"/>
        </w:rPr>
        <w:t>Okay, you can do</w:t>
      </w:r>
      <w:r>
        <w:rPr>
          <w:rFonts w:eastAsia="Calibri" w:cs="Arial"/>
        </w:rPr>
        <w:t xml:space="preserve"> it for free and unlimited now.’  But it’s like, ‘</w:t>
      </w:r>
      <w:r w:rsidRPr="001D0F58">
        <w:rPr>
          <w:rFonts w:eastAsia="Calibri" w:cs="Arial"/>
        </w:rPr>
        <w:t>Yeah, but you’re not actually bringing down the cost of the plan.</w:t>
      </w:r>
      <w:r>
        <w:rPr>
          <w:rFonts w:eastAsia="Calibri" w:cs="Arial"/>
        </w:rPr>
        <w:t>’”</w:t>
      </w:r>
    </w:p>
    <w:p w:rsidR="009B157C" w:rsidRDefault="00102B3F" w:rsidP="00FD0594">
      <w:pPr>
        <w:pStyle w:val="Heading4"/>
      </w:pPr>
      <w:proofErr w:type="gramStart"/>
      <w:r>
        <w:t>A no-frills s</w:t>
      </w:r>
      <w:r w:rsidR="009B157C">
        <w:t>olution?</w:t>
      </w:r>
      <w:proofErr w:type="gramEnd"/>
    </w:p>
    <w:p w:rsidR="009B157C" w:rsidRDefault="009B157C" w:rsidP="00FD0594">
      <w:r>
        <w:t xml:space="preserve">The problems of bundling and unnecessary purchases lend themselves to a proposal for a no-frills product which just supplies phone access and a basic data allowance at a reasonable cost to low income consumers. </w:t>
      </w:r>
      <w:r w:rsidR="000D0721">
        <w:t xml:space="preserve"> </w:t>
      </w:r>
      <w:r>
        <w:t>There was some support for this in the focus groups:</w:t>
      </w:r>
    </w:p>
    <w:p w:rsidR="009B157C" w:rsidRDefault="009B157C" w:rsidP="00FD0594">
      <w:pPr>
        <w:ind w:left="720"/>
      </w:pPr>
      <w:r w:rsidRPr="009B157C">
        <w:t xml:space="preserve">“I just think if you’re on a benefit, there should be at least a minimum basic thing for every company, or selected companies, that have to </w:t>
      </w:r>
      <w:r w:rsidR="003C3906">
        <w:t xml:space="preserve">service everybody … </w:t>
      </w:r>
      <w:r w:rsidRPr="009B157C">
        <w:t>if you want to upgrade that, then you upgrade, but there should be a minimum</w:t>
      </w:r>
      <w:r>
        <w:t>.”</w:t>
      </w:r>
    </w:p>
    <w:p w:rsidR="009B157C" w:rsidRPr="009B157C" w:rsidRDefault="009B157C" w:rsidP="00FD0594">
      <w:r>
        <w:t xml:space="preserve">However, there is a risk with this strategy that as technology changes and rapidly finds new uses for available products, low income consumers will be left with a second-rate </w:t>
      </w:r>
      <w:r w:rsidR="00AC0937">
        <w:t>product</w:t>
      </w:r>
      <w:r>
        <w:t xml:space="preserve">.  Further, the no-frills basics approach does not address the dominant theme from the focus groups of needing more data.  There is really no getting around it: </w:t>
      </w:r>
      <w:r w:rsidRPr="007A7AA7">
        <w:rPr>
          <w:b/>
        </w:rPr>
        <w:t xml:space="preserve">if the dominant driver of telecommunications expenditure and excess charges is the need for more data on low cost plans, then what is needed is exactly that – low cost plans that provide adequate data at the same (cheaper) price </w:t>
      </w:r>
      <w:r w:rsidR="00E41B96">
        <w:rPr>
          <w:b/>
        </w:rPr>
        <w:t>per unit</w:t>
      </w:r>
      <w:r w:rsidR="007A7AA7">
        <w:rPr>
          <w:b/>
        </w:rPr>
        <w:t xml:space="preserve"> that applies</w:t>
      </w:r>
      <w:r w:rsidRPr="007A7AA7">
        <w:rPr>
          <w:b/>
        </w:rPr>
        <w:t xml:space="preserve"> in higher cost plans.</w:t>
      </w:r>
      <w:r>
        <w:t xml:space="preserve">  Anything else is simply entrenching a poverty premium.</w:t>
      </w:r>
    </w:p>
    <w:p w:rsidR="00632E9C" w:rsidRDefault="00B64319" w:rsidP="009B157C">
      <w:pPr>
        <w:pStyle w:val="Heading2"/>
      </w:pPr>
      <w:bookmarkStart w:id="84" w:name="_Toc465167578"/>
      <w:r>
        <w:t>Barriers to Managing Expenditure</w:t>
      </w:r>
      <w:bookmarkEnd w:id="84"/>
    </w:p>
    <w:p w:rsidR="00EF3890" w:rsidRDefault="009B157C" w:rsidP="009B157C">
      <w:pPr>
        <w:rPr>
          <w:lang w:val="en-US" w:eastAsia="ja-JP"/>
        </w:rPr>
      </w:pPr>
      <w:r>
        <w:rPr>
          <w:lang w:val="en-US" w:eastAsia="ja-JP"/>
        </w:rPr>
        <w:t>In the absence of more affordable plans and data in the marketplace, as we saw in Section 2, low income consumers seek to cut back and manage their usage.  To this end, p</w:t>
      </w:r>
      <w:r w:rsidR="00EF3890" w:rsidRPr="00EF3890">
        <w:rPr>
          <w:lang w:val="en-US" w:eastAsia="ja-JP"/>
        </w:rPr>
        <w:t xml:space="preserve">articipants in the focus groups strongly indicated </w:t>
      </w:r>
      <w:r>
        <w:rPr>
          <w:lang w:val="en-US" w:eastAsia="ja-JP"/>
        </w:rPr>
        <w:t>a</w:t>
      </w:r>
      <w:r w:rsidR="00EF3890" w:rsidRPr="00EF3890">
        <w:rPr>
          <w:lang w:val="en-US" w:eastAsia="ja-JP"/>
        </w:rPr>
        <w:t xml:space="preserve"> prefer</w:t>
      </w:r>
      <w:r>
        <w:rPr>
          <w:lang w:val="en-US" w:eastAsia="ja-JP"/>
        </w:rPr>
        <w:t>ence for</w:t>
      </w:r>
      <w:r w:rsidR="00EF3890" w:rsidRPr="00EF3890">
        <w:rPr>
          <w:lang w:val="en-US" w:eastAsia="ja-JP"/>
        </w:rPr>
        <w:t xml:space="preserve"> </w:t>
      </w:r>
      <w:r w:rsidR="00EF3890" w:rsidRPr="00EF3890">
        <w:rPr>
          <w:lang w:val="en-US" w:eastAsia="ja-JP"/>
        </w:rPr>
        <w:lastRenderedPageBreak/>
        <w:t>telecommunications plans that give them greater control and certainty over how much they s</w:t>
      </w:r>
      <w:r>
        <w:rPr>
          <w:lang w:val="en-US" w:eastAsia="ja-JP"/>
        </w:rPr>
        <w:t>pend</w:t>
      </w:r>
      <w:r w:rsidR="00EF3890" w:rsidRPr="00EF3890">
        <w:rPr>
          <w:lang w:val="en-US" w:eastAsia="ja-JP"/>
        </w:rPr>
        <w:t xml:space="preserve">. </w:t>
      </w:r>
    </w:p>
    <w:p w:rsidR="00215D99" w:rsidRPr="00F00543" w:rsidRDefault="004A328F" w:rsidP="009B157C">
      <w:pPr>
        <w:rPr>
          <w:rFonts w:cs="Arial"/>
          <w:lang w:val="en-US" w:eastAsia="ja-JP"/>
        </w:rPr>
      </w:pPr>
      <w:r>
        <w:rPr>
          <w:lang w:val="en-US" w:eastAsia="ja-JP"/>
        </w:rPr>
        <w:t xml:space="preserve">Interestingly the plan options that participants felt would best give them this control differed. </w:t>
      </w:r>
      <w:r w:rsidR="000D0721">
        <w:rPr>
          <w:lang w:val="en-US" w:eastAsia="ja-JP"/>
        </w:rPr>
        <w:t xml:space="preserve"> </w:t>
      </w:r>
      <w:r>
        <w:rPr>
          <w:lang w:val="en-US" w:eastAsia="ja-JP"/>
        </w:rPr>
        <w:t xml:space="preserve">Some participants felt that a pre-paid plan, where </w:t>
      </w:r>
      <w:r w:rsidR="00ED660D">
        <w:rPr>
          <w:lang w:val="en-US" w:eastAsia="ja-JP"/>
        </w:rPr>
        <w:t>they only pay for what they use</w:t>
      </w:r>
      <w:r>
        <w:rPr>
          <w:lang w:val="en-US" w:eastAsia="ja-JP"/>
        </w:rPr>
        <w:t xml:space="preserve">, would provide them with the greatest control over when and how much they </w:t>
      </w:r>
      <w:r w:rsidRPr="00F00543">
        <w:rPr>
          <w:rFonts w:cs="Arial"/>
          <w:lang w:val="en-US" w:eastAsia="ja-JP"/>
        </w:rPr>
        <w:t xml:space="preserve">spent. </w:t>
      </w:r>
      <w:r w:rsidR="00CA200D" w:rsidRPr="00F00543">
        <w:rPr>
          <w:rFonts w:cs="Arial"/>
          <w:lang w:val="en-US" w:eastAsia="ja-JP"/>
        </w:rPr>
        <w:t>This choice was most common for mobile phones</w:t>
      </w:r>
      <w:r w:rsidR="004E7B35">
        <w:rPr>
          <w:rFonts w:cs="Arial"/>
          <w:lang w:val="en-US" w:eastAsia="ja-JP"/>
        </w:rPr>
        <w:t>:</w:t>
      </w:r>
      <w:r w:rsidR="00CA200D" w:rsidRPr="00F00543">
        <w:rPr>
          <w:rFonts w:cs="Arial"/>
          <w:lang w:val="en-US" w:eastAsia="ja-JP"/>
        </w:rPr>
        <w:t xml:space="preserve"> </w:t>
      </w:r>
    </w:p>
    <w:p w:rsidR="00C52C6B" w:rsidRPr="00F00543" w:rsidRDefault="00C52C6B" w:rsidP="009B157C">
      <w:pPr>
        <w:spacing w:before="120"/>
        <w:ind w:left="567" w:right="567"/>
        <w:rPr>
          <w:rFonts w:eastAsia="Calibri" w:cs="Arial"/>
        </w:rPr>
      </w:pPr>
      <w:r w:rsidRPr="00F00543">
        <w:rPr>
          <w:rFonts w:eastAsia="Calibri" w:cs="Arial"/>
        </w:rPr>
        <w:t>“</w:t>
      </w:r>
      <w:proofErr w:type="gramStart"/>
      <w:r w:rsidRPr="00F00543">
        <w:rPr>
          <w:rFonts w:eastAsia="Calibri" w:cs="Arial"/>
        </w:rPr>
        <w:t>pre</w:t>
      </w:r>
      <w:r w:rsidR="009B157C">
        <w:rPr>
          <w:rFonts w:eastAsia="Calibri" w:cs="Arial"/>
        </w:rPr>
        <w:t>-</w:t>
      </w:r>
      <w:r w:rsidRPr="00F00543">
        <w:rPr>
          <w:rFonts w:eastAsia="Calibri" w:cs="Arial"/>
        </w:rPr>
        <w:t>paid</w:t>
      </w:r>
      <w:proofErr w:type="gramEnd"/>
      <w:r w:rsidRPr="00F00543">
        <w:rPr>
          <w:rFonts w:eastAsia="Calibri" w:cs="Arial"/>
        </w:rPr>
        <w:t>…</w:t>
      </w:r>
      <w:r w:rsidR="00931EDF" w:rsidRPr="00E70272">
        <w:rPr>
          <w:rFonts w:eastAsia="Calibri" w:cs="Arial"/>
        </w:rPr>
        <w:t xml:space="preserve"> is manageable, so if one month I don’t have enough and I can’t recharge it, I can still receive calls and texts for that week.  And then, you know, I just start again when I nee</w:t>
      </w:r>
      <w:r w:rsidR="00F00543">
        <w:rPr>
          <w:rFonts w:eastAsia="Calibri" w:cs="Arial"/>
        </w:rPr>
        <w:t>d to.  It’s not like racking up…</w:t>
      </w:r>
      <w:r w:rsidR="00931EDF" w:rsidRPr="00E70272">
        <w:rPr>
          <w:rFonts w:eastAsia="Calibri" w:cs="Arial"/>
        </w:rPr>
        <w:t>late fees for not being able to afford to pay it that week</w:t>
      </w:r>
      <w:r w:rsidR="004E7B35">
        <w:rPr>
          <w:rFonts w:eastAsia="Calibri" w:cs="Arial"/>
        </w:rPr>
        <w:t>.</w:t>
      </w:r>
      <w:r w:rsidR="00931EDF" w:rsidRPr="00E70272">
        <w:rPr>
          <w:rFonts w:eastAsia="Calibri" w:cs="Arial"/>
        </w:rPr>
        <w:t>”</w:t>
      </w:r>
    </w:p>
    <w:p w:rsidR="00F02D9B" w:rsidRPr="00000BEE" w:rsidRDefault="00F02D9B" w:rsidP="009B157C">
      <w:pPr>
        <w:spacing w:before="120"/>
        <w:ind w:left="567" w:right="567"/>
        <w:rPr>
          <w:rFonts w:eastAsia="Calibri" w:cs="Arial"/>
        </w:rPr>
      </w:pPr>
      <w:r w:rsidRPr="00000BEE">
        <w:rPr>
          <w:rFonts w:eastAsia="Calibri" w:cs="Arial"/>
        </w:rPr>
        <w:t>“I’m terrified of ending up with a huge bill at the end of it without realising that I’ve racked up a bill, so I switched to prepaid.  I don’t have to worry about that</w:t>
      </w:r>
      <w:r w:rsidR="004E7B35">
        <w:rPr>
          <w:rFonts w:eastAsia="Calibri" w:cs="Arial"/>
        </w:rPr>
        <w:t>.</w:t>
      </w:r>
      <w:r w:rsidRPr="00000BEE">
        <w:rPr>
          <w:rFonts w:eastAsia="Calibri" w:cs="Arial"/>
        </w:rPr>
        <w:t>”</w:t>
      </w:r>
    </w:p>
    <w:p w:rsidR="00C52C6B" w:rsidRDefault="004A328F" w:rsidP="009B157C">
      <w:pPr>
        <w:rPr>
          <w:lang w:val="en-US" w:eastAsia="ja-JP"/>
        </w:rPr>
      </w:pPr>
      <w:r>
        <w:rPr>
          <w:lang w:val="en-US" w:eastAsia="ja-JP"/>
        </w:rPr>
        <w:t xml:space="preserve">Other participants felt that unlimited postpaid plans, </w:t>
      </w:r>
      <w:r w:rsidR="00ED660D">
        <w:rPr>
          <w:lang w:val="en-US" w:eastAsia="ja-JP"/>
        </w:rPr>
        <w:t>where they</w:t>
      </w:r>
      <w:r>
        <w:rPr>
          <w:lang w:val="en-US" w:eastAsia="ja-JP"/>
        </w:rPr>
        <w:t xml:space="preserve"> use as much voice, text and/or data </w:t>
      </w:r>
      <w:r w:rsidR="00ED660D">
        <w:rPr>
          <w:lang w:val="en-US" w:eastAsia="ja-JP"/>
        </w:rPr>
        <w:t xml:space="preserve">as they want each month for a fixed price, would provide them the most certainty over how much they would have to pay for their telecommunications. </w:t>
      </w:r>
      <w:r w:rsidR="00CA200D">
        <w:rPr>
          <w:lang w:val="en-US" w:eastAsia="ja-JP"/>
        </w:rPr>
        <w:t>This choice was more common for home internet, but a number of participants also ch</w:t>
      </w:r>
      <w:r w:rsidR="00C7049A">
        <w:rPr>
          <w:lang w:val="en-US" w:eastAsia="ja-JP"/>
        </w:rPr>
        <w:t>ose mobile phone plans that have</w:t>
      </w:r>
      <w:r w:rsidR="00F02D9B">
        <w:rPr>
          <w:lang w:val="en-US" w:eastAsia="ja-JP"/>
        </w:rPr>
        <w:t xml:space="preserve"> unlimited voice and text</w:t>
      </w:r>
      <w:r w:rsidR="009B157C">
        <w:rPr>
          <w:lang w:val="en-US" w:eastAsia="ja-JP"/>
        </w:rPr>
        <w:t>:</w:t>
      </w:r>
    </w:p>
    <w:p w:rsidR="00076CF1" w:rsidRPr="00000BEE" w:rsidRDefault="00F00543" w:rsidP="009B157C">
      <w:pPr>
        <w:spacing w:before="120"/>
        <w:ind w:left="567" w:right="567"/>
        <w:rPr>
          <w:rFonts w:eastAsia="Calibri" w:cs="Arial"/>
        </w:rPr>
      </w:pPr>
      <w:r w:rsidRPr="00000BEE">
        <w:rPr>
          <w:rFonts w:eastAsia="Calibri" w:cs="Arial"/>
        </w:rPr>
        <w:t>“when they ca</w:t>
      </w:r>
      <w:r w:rsidR="00076CF1" w:rsidRPr="00000BEE">
        <w:rPr>
          <w:rFonts w:eastAsia="Calibri" w:cs="Arial"/>
        </w:rPr>
        <w:t xml:space="preserve">me out with the unlimited </w:t>
      </w:r>
      <w:r w:rsidRPr="00000BEE">
        <w:rPr>
          <w:rFonts w:eastAsia="Calibri" w:cs="Arial"/>
        </w:rPr>
        <w:t xml:space="preserve">[mobile phone] </w:t>
      </w:r>
      <w:r w:rsidR="00076CF1" w:rsidRPr="00000BEE">
        <w:rPr>
          <w:rFonts w:eastAsia="Calibri" w:cs="Arial"/>
        </w:rPr>
        <w:t>ones it just worked out a lot better because I spend quite a lot of time on the phone to family so with the unlimited plan I don’t have to worry about, “Oh, I’ve only got so many minutes.”  I can just talk as long as we want and not have to jump off the phone at any stage</w:t>
      </w:r>
      <w:r w:rsidR="004E7B35">
        <w:rPr>
          <w:rFonts w:eastAsia="Calibri" w:cs="Arial"/>
        </w:rPr>
        <w:t>.</w:t>
      </w:r>
      <w:r w:rsidR="00076CF1" w:rsidRPr="00000BEE">
        <w:rPr>
          <w:rFonts w:eastAsia="Calibri" w:cs="Arial"/>
        </w:rPr>
        <w:t>”</w:t>
      </w:r>
    </w:p>
    <w:p w:rsidR="004F2859" w:rsidRPr="00000BEE" w:rsidRDefault="003E2B65" w:rsidP="009B157C">
      <w:pPr>
        <w:spacing w:before="120"/>
        <w:ind w:left="567" w:right="567"/>
        <w:rPr>
          <w:rFonts w:eastAsia="Calibri" w:cs="Arial"/>
        </w:rPr>
      </w:pPr>
      <w:r w:rsidRPr="00000BEE">
        <w:rPr>
          <w:rFonts w:eastAsia="Calibri" w:cs="Arial"/>
        </w:rPr>
        <w:t>“</w:t>
      </w:r>
      <w:proofErr w:type="gramStart"/>
      <w:r w:rsidRPr="00000BEE">
        <w:rPr>
          <w:rFonts w:eastAsia="Calibri" w:cs="Arial"/>
        </w:rPr>
        <w:t>it’s</w:t>
      </w:r>
      <w:proofErr w:type="gramEnd"/>
      <w:r w:rsidRPr="00000BEE">
        <w:rPr>
          <w:rFonts w:eastAsia="Calibri" w:cs="Arial"/>
        </w:rPr>
        <w:t xml:space="preserve"> u</w:t>
      </w:r>
      <w:r w:rsidR="00F02D9B">
        <w:rPr>
          <w:rFonts w:eastAsia="Calibri" w:cs="Arial"/>
        </w:rPr>
        <w:t xml:space="preserve">nlimited so I never get caught – if </w:t>
      </w:r>
      <w:r w:rsidRPr="00000BEE">
        <w:rPr>
          <w:rFonts w:eastAsia="Calibri" w:cs="Arial"/>
        </w:rPr>
        <w:t>I need to ring Centrelink and I end up being on hold for an hour/hour-and-a-half</w:t>
      </w:r>
      <w:r w:rsidR="004E7B35">
        <w:rPr>
          <w:rFonts w:eastAsia="Calibri" w:cs="Arial"/>
        </w:rPr>
        <w:t>.</w:t>
      </w:r>
      <w:r w:rsidRPr="00000BEE">
        <w:rPr>
          <w:rFonts w:eastAsia="Calibri" w:cs="Arial"/>
        </w:rPr>
        <w:t>”</w:t>
      </w:r>
    </w:p>
    <w:p w:rsidR="00215D99" w:rsidRDefault="00ED660D" w:rsidP="009B157C">
      <w:pPr>
        <w:rPr>
          <w:lang w:val="en-US" w:eastAsia="ja-JP"/>
        </w:rPr>
      </w:pPr>
      <w:r>
        <w:rPr>
          <w:lang w:val="en-US" w:eastAsia="ja-JP"/>
        </w:rPr>
        <w:t>W</w:t>
      </w:r>
      <w:r w:rsidR="004A328F">
        <w:rPr>
          <w:lang w:val="en-US" w:eastAsia="ja-JP"/>
        </w:rPr>
        <w:t>hile the choice of plan</w:t>
      </w:r>
      <w:r>
        <w:rPr>
          <w:lang w:val="en-US" w:eastAsia="ja-JP"/>
        </w:rPr>
        <w:t xml:space="preserve"> type</w:t>
      </w:r>
      <w:r w:rsidR="004A328F">
        <w:rPr>
          <w:lang w:val="en-US" w:eastAsia="ja-JP"/>
        </w:rPr>
        <w:t xml:space="preserve"> may have differed</w:t>
      </w:r>
      <w:r>
        <w:rPr>
          <w:lang w:val="en-US" w:eastAsia="ja-JP"/>
        </w:rPr>
        <w:t xml:space="preserve"> between participants</w:t>
      </w:r>
      <w:r w:rsidR="004A328F">
        <w:rPr>
          <w:lang w:val="en-US" w:eastAsia="ja-JP"/>
        </w:rPr>
        <w:t>, th</w:t>
      </w:r>
      <w:r>
        <w:rPr>
          <w:lang w:val="en-US" w:eastAsia="ja-JP"/>
        </w:rPr>
        <w:t>e motivations for</w:t>
      </w:r>
      <w:r w:rsidR="00CA200D">
        <w:rPr>
          <w:lang w:val="en-US" w:eastAsia="ja-JP"/>
        </w:rPr>
        <w:t xml:space="preserve"> choosing the</w:t>
      </w:r>
      <w:r>
        <w:rPr>
          <w:lang w:val="en-US" w:eastAsia="ja-JP"/>
        </w:rPr>
        <w:t xml:space="preserve"> particular plans were</w:t>
      </w:r>
      <w:r w:rsidR="004A328F">
        <w:rPr>
          <w:lang w:val="en-US" w:eastAsia="ja-JP"/>
        </w:rPr>
        <w:t xml:space="preserve"> very similar</w:t>
      </w:r>
      <w:r w:rsidR="00F02D9B">
        <w:rPr>
          <w:lang w:val="en-US" w:eastAsia="ja-JP"/>
        </w:rPr>
        <w:t xml:space="preserve">. </w:t>
      </w:r>
      <w:r w:rsidR="000D0721">
        <w:rPr>
          <w:lang w:val="en-US" w:eastAsia="ja-JP"/>
        </w:rPr>
        <w:t xml:space="preserve"> </w:t>
      </w:r>
      <w:r w:rsidR="00F02D9B">
        <w:rPr>
          <w:lang w:val="en-US" w:eastAsia="ja-JP"/>
        </w:rPr>
        <w:t>They were</w:t>
      </w:r>
      <w:r w:rsidR="00CA200D">
        <w:rPr>
          <w:lang w:val="en-US" w:eastAsia="ja-JP"/>
        </w:rPr>
        <w:t xml:space="preserve"> born of </w:t>
      </w:r>
      <w:r w:rsidR="00215D99">
        <w:rPr>
          <w:lang w:val="en-US" w:eastAsia="ja-JP"/>
        </w:rPr>
        <w:t xml:space="preserve">a strong </w:t>
      </w:r>
      <w:r w:rsidR="00CA200D">
        <w:rPr>
          <w:lang w:val="en-US" w:eastAsia="ja-JP"/>
        </w:rPr>
        <w:t xml:space="preserve">fear of </w:t>
      </w:r>
      <w:r>
        <w:rPr>
          <w:lang w:val="en-US" w:eastAsia="ja-JP"/>
        </w:rPr>
        <w:t xml:space="preserve">receiving a larger than expected </w:t>
      </w:r>
      <w:r w:rsidR="000772A2">
        <w:rPr>
          <w:lang w:val="en-US" w:eastAsia="ja-JP"/>
        </w:rPr>
        <w:t>bill</w:t>
      </w:r>
      <w:r w:rsidR="00215D99">
        <w:rPr>
          <w:lang w:val="en-US" w:eastAsia="ja-JP"/>
        </w:rPr>
        <w:t xml:space="preserve"> </w:t>
      </w:r>
      <w:r w:rsidR="000F4DFA">
        <w:rPr>
          <w:lang w:val="en-US" w:eastAsia="ja-JP"/>
        </w:rPr>
        <w:t>for which</w:t>
      </w:r>
      <w:r w:rsidR="00215D99">
        <w:rPr>
          <w:lang w:val="en-US" w:eastAsia="ja-JP"/>
        </w:rPr>
        <w:t xml:space="preserve"> they may have to sacrifice</w:t>
      </w:r>
      <w:r w:rsidR="000772A2">
        <w:rPr>
          <w:lang w:val="en-US" w:eastAsia="ja-JP"/>
        </w:rPr>
        <w:t xml:space="preserve"> other essential items</w:t>
      </w:r>
      <w:r w:rsidR="00215D99">
        <w:rPr>
          <w:lang w:val="en-US" w:eastAsia="ja-JP"/>
        </w:rPr>
        <w:t xml:space="preserve"> to pay</w:t>
      </w:r>
      <w:r w:rsidR="00CA200D">
        <w:rPr>
          <w:lang w:val="en-US" w:eastAsia="ja-JP"/>
        </w:rPr>
        <w:t xml:space="preserve">. </w:t>
      </w:r>
      <w:r w:rsidR="009B157C">
        <w:rPr>
          <w:lang w:val="en-US" w:eastAsia="ja-JP"/>
        </w:rPr>
        <w:t xml:space="preserve"> That said, while the motivations for choosing either pre or post-paid plans may be similar, they each have their own different risks and costs for low income consumers.</w:t>
      </w:r>
    </w:p>
    <w:p w:rsidR="00DB3D53" w:rsidRPr="00B31DBF" w:rsidRDefault="00DB3D53" w:rsidP="00F301F0">
      <w:pPr>
        <w:pStyle w:val="Heading3"/>
        <w:rPr>
          <w:lang w:val="en-US" w:eastAsia="ja-JP"/>
        </w:rPr>
      </w:pPr>
      <w:bookmarkStart w:id="85" w:name="_Toc465167579"/>
      <w:r>
        <w:rPr>
          <w:lang w:val="en-US" w:eastAsia="ja-JP"/>
        </w:rPr>
        <w:t>Pre-paid p</w:t>
      </w:r>
      <w:r w:rsidRPr="00B31DBF">
        <w:rPr>
          <w:lang w:val="en-US" w:eastAsia="ja-JP"/>
        </w:rPr>
        <w:t>lans</w:t>
      </w:r>
      <w:bookmarkEnd w:id="85"/>
    </w:p>
    <w:p w:rsidR="00040BF7" w:rsidRDefault="00DB3D53" w:rsidP="009B157C">
      <w:pPr>
        <w:rPr>
          <w:rFonts w:cs="Arial"/>
          <w:szCs w:val="22"/>
          <w:lang w:val="en-US" w:eastAsia="ja-JP"/>
        </w:rPr>
      </w:pPr>
      <w:r w:rsidRPr="00813975">
        <w:rPr>
          <w:rFonts w:cs="Arial"/>
          <w:szCs w:val="22"/>
          <w:lang w:val="en-US" w:eastAsia="ja-JP"/>
        </w:rPr>
        <w:t>As indicated above, many low income consumers choose pre-paid mobile pho</w:t>
      </w:r>
      <w:r w:rsidR="001D1D8B">
        <w:rPr>
          <w:rFonts w:cs="Arial"/>
          <w:szCs w:val="22"/>
          <w:lang w:val="en-US" w:eastAsia="ja-JP"/>
        </w:rPr>
        <w:t>ne plans because those plans</w:t>
      </w:r>
      <w:r w:rsidRPr="00813975">
        <w:rPr>
          <w:rFonts w:cs="Arial"/>
          <w:szCs w:val="22"/>
          <w:lang w:val="en-US" w:eastAsia="ja-JP"/>
        </w:rPr>
        <w:t xml:space="preserve"> provide them with the greatest control over how much and when they pay for their telecommunications. </w:t>
      </w:r>
      <w:r w:rsidR="000D0721">
        <w:rPr>
          <w:rFonts w:cs="Arial"/>
          <w:szCs w:val="22"/>
          <w:lang w:val="en-US" w:eastAsia="ja-JP"/>
        </w:rPr>
        <w:t xml:space="preserve"> </w:t>
      </w:r>
      <w:r w:rsidRPr="00813975">
        <w:rPr>
          <w:rFonts w:cs="Arial"/>
          <w:szCs w:val="22"/>
          <w:lang w:val="en-US" w:eastAsia="ja-JP"/>
        </w:rPr>
        <w:t>Yet pre-paid plans often come with the catch that they include less call, text or data value per dollar spent than post-paid plans</w:t>
      </w:r>
      <w:r w:rsidR="009B157C">
        <w:rPr>
          <w:rFonts w:cs="Arial"/>
          <w:szCs w:val="22"/>
          <w:lang w:val="en-US" w:eastAsia="ja-JP"/>
        </w:rPr>
        <w:t xml:space="preserve">, as evident in </w:t>
      </w:r>
      <w:r w:rsidR="00BC4DA3">
        <w:rPr>
          <w:rFonts w:cs="Arial"/>
          <w:szCs w:val="22"/>
          <w:lang w:val="en-US" w:eastAsia="ja-JP"/>
        </w:rPr>
        <w:fldChar w:fldCharType="begin"/>
      </w:r>
      <w:r w:rsidR="00BC4DA3">
        <w:rPr>
          <w:rFonts w:cs="Arial"/>
          <w:szCs w:val="22"/>
          <w:lang w:val="en-US" w:eastAsia="ja-JP"/>
        </w:rPr>
        <w:instrText xml:space="preserve"> REF _Ref464470989 \h </w:instrText>
      </w:r>
      <w:r w:rsidR="00BC4DA3">
        <w:rPr>
          <w:rFonts w:cs="Arial"/>
          <w:szCs w:val="22"/>
          <w:lang w:val="en-US" w:eastAsia="ja-JP"/>
        </w:rPr>
      </w:r>
      <w:r w:rsidR="00BC4DA3">
        <w:rPr>
          <w:rFonts w:cs="Arial"/>
          <w:szCs w:val="22"/>
          <w:lang w:val="en-US" w:eastAsia="ja-JP"/>
        </w:rPr>
        <w:fldChar w:fldCharType="separate"/>
      </w:r>
      <w:r w:rsidR="002F60EE">
        <w:t xml:space="preserve">Table </w:t>
      </w:r>
      <w:r w:rsidR="002F60EE">
        <w:rPr>
          <w:noProof/>
        </w:rPr>
        <w:t>5</w:t>
      </w:r>
      <w:r w:rsidR="00BC4DA3">
        <w:rPr>
          <w:rFonts w:cs="Arial"/>
          <w:szCs w:val="22"/>
          <w:lang w:val="en-US" w:eastAsia="ja-JP"/>
        </w:rPr>
        <w:fldChar w:fldCharType="end"/>
      </w:r>
      <w:r w:rsidR="00BC4DA3">
        <w:rPr>
          <w:rFonts w:cs="Arial"/>
          <w:szCs w:val="22"/>
          <w:lang w:val="en-US" w:eastAsia="ja-JP"/>
        </w:rPr>
        <w:t xml:space="preserve"> </w:t>
      </w:r>
      <w:r w:rsidR="009B157C">
        <w:rPr>
          <w:rFonts w:cs="Arial"/>
          <w:szCs w:val="22"/>
          <w:lang w:val="en-US" w:eastAsia="ja-JP"/>
        </w:rPr>
        <w:t>which compares the value in one leading compan</w:t>
      </w:r>
      <w:r w:rsidR="004E7B35">
        <w:rPr>
          <w:rFonts w:cs="Arial"/>
          <w:szCs w:val="22"/>
          <w:lang w:val="en-US" w:eastAsia="ja-JP"/>
        </w:rPr>
        <w:t>y’s</w:t>
      </w:r>
      <w:r w:rsidR="009B157C">
        <w:rPr>
          <w:rFonts w:cs="Arial"/>
          <w:szCs w:val="22"/>
          <w:lang w:val="en-US" w:eastAsia="ja-JP"/>
        </w:rPr>
        <w:t xml:space="preserve"> plans.</w:t>
      </w:r>
    </w:p>
    <w:p w:rsidR="009B157C" w:rsidRDefault="009B157C" w:rsidP="00596982">
      <w:pPr>
        <w:pStyle w:val="Caption"/>
        <w:keepNext/>
      </w:pPr>
      <w:bookmarkStart w:id="86" w:name="_Ref464470989"/>
      <w:bookmarkStart w:id="87" w:name="_Toc458979646"/>
      <w:bookmarkStart w:id="88" w:name="_Toc465151878"/>
      <w:bookmarkStart w:id="89" w:name="_Toc465167616"/>
      <w:r>
        <w:lastRenderedPageBreak/>
        <w:t xml:space="preserve">Table </w:t>
      </w:r>
      <w:r w:rsidR="002F60EE">
        <w:fldChar w:fldCharType="begin"/>
      </w:r>
      <w:r w:rsidR="002F60EE">
        <w:instrText xml:space="preserve"> SEQ Table \* ARABIC </w:instrText>
      </w:r>
      <w:r w:rsidR="002F60EE">
        <w:fldChar w:fldCharType="separate"/>
      </w:r>
      <w:r w:rsidR="002F60EE">
        <w:rPr>
          <w:noProof/>
        </w:rPr>
        <w:t>5</w:t>
      </w:r>
      <w:r w:rsidR="002F60EE">
        <w:rPr>
          <w:noProof/>
        </w:rPr>
        <w:fldChar w:fldCharType="end"/>
      </w:r>
      <w:bookmarkEnd w:id="86"/>
      <w:r>
        <w:t xml:space="preserve">: Poverty </w:t>
      </w:r>
      <w:r w:rsidR="000E1693">
        <w:t>premiums in pre-paid plans</w:t>
      </w:r>
      <w:bookmarkEnd w:id="87"/>
      <w:bookmarkEnd w:id="88"/>
      <w:bookmarkEnd w:id="89"/>
    </w:p>
    <w:tbl>
      <w:tblPr>
        <w:tblStyle w:val="LightList-Accent1"/>
        <w:tblW w:w="6520" w:type="dxa"/>
        <w:jc w:val="center"/>
        <w:tblLook w:val="04A0" w:firstRow="1" w:lastRow="0" w:firstColumn="1" w:lastColumn="0" w:noHBand="0" w:noVBand="1"/>
        <w:tblDescription w:val="shows that higher cost plans have better value for money"/>
      </w:tblPr>
      <w:tblGrid>
        <w:gridCol w:w="1304"/>
        <w:gridCol w:w="1304"/>
        <w:gridCol w:w="1304"/>
        <w:gridCol w:w="1304"/>
        <w:gridCol w:w="1304"/>
      </w:tblGrid>
      <w:tr w:rsidR="009B157C" w:rsidRPr="009B157C" w:rsidTr="008F2F0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4" w:type="dxa"/>
            <w:noWrap/>
          </w:tcPr>
          <w:p w:rsidR="009B157C" w:rsidRPr="009B157C" w:rsidRDefault="009B157C" w:rsidP="009B157C">
            <w:pPr>
              <w:spacing w:after="60"/>
              <w:jc w:val="center"/>
              <w:rPr>
                <w:b w:val="0"/>
                <w:szCs w:val="22"/>
              </w:rPr>
            </w:pPr>
            <w:r w:rsidRPr="009B157C">
              <w:rPr>
                <w:szCs w:val="22"/>
              </w:rPr>
              <w:t xml:space="preserve">Monthly </w:t>
            </w:r>
            <w:r w:rsidR="000E1693" w:rsidRPr="009B157C">
              <w:rPr>
                <w:szCs w:val="22"/>
              </w:rPr>
              <w:t>spend</w:t>
            </w:r>
          </w:p>
        </w:tc>
        <w:tc>
          <w:tcPr>
            <w:tcW w:w="1304" w:type="dxa"/>
            <w:noWrap/>
          </w:tcPr>
          <w:p w:rsidR="009B157C" w:rsidRPr="009B157C" w:rsidRDefault="009B157C" w:rsidP="009B157C">
            <w:pPr>
              <w:spacing w:after="60"/>
              <w:jc w:val="center"/>
              <w:cnfStyle w:val="100000000000" w:firstRow="1" w:lastRow="0" w:firstColumn="0" w:lastColumn="0" w:oddVBand="0" w:evenVBand="0" w:oddHBand="0" w:evenHBand="0" w:firstRowFirstColumn="0" w:firstRowLastColumn="0" w:lastRowFirstColumn="0" w:lastRowLastColumn="0"/>
              <w:rPr>
                <w:b w:val="0"/>
                <w:szCs w:val="22"/>
              </w:rPr>
            </w:pPr>
            <w:r w:rsidRPr="009B157C">
              <w:rPr>
                <w:szCs w:val="22"/>
              </w:rPr>
              <w:t xml:space="preserve">Prepaid </w:t>
            </w:r>
            <w:r w:rsidR="000E1693" w:rsidRPr="009B157C">
              <w:rPr>
                <w:szCs w:val="22"/>
              </w:rPr>
              <w:t>value of services</w:t>
            </w:r>
          </w:p>
        </w:tc>
        <w:tc>
          <w:tcPr>
            <w:tcW w:w="1304" w:type="dxa"/>
            <w:noWrap/>
          </w:tcPr>
          <w:p w:rsidR="009B157C" w:rsidRPr="009B157C" w:rsidRDefault="009B157C" w:rsidP="009B157C">
            <w:pPr>
              <w:spacing w:after="60"/>
              <w:jc w:val="center"/>
              <w:cnfStyle w:val="100000000000" w:firstRow="1" w:lastRow="0" w:firstColumn="0" w:lastColumn="0" w:oddVBand="0" w:evenVBand="0" w:oddHBand="0" w:evenHBand="0" w:firstRowFirstColumn="0" w:firstRowLastColumn="0" w:lastRowFirstColumn="0" w:lastRowLastColumn="0"/>
              <w:rPr>
                <w:b w:val="0"/>
                <w:szCs w:val="22"/>
              </w:rPr>
            </w:pPr>
            <w:r w:rsidRPr="009B157C">
              <w:rPr>
                <w:szCs w:val="22"/>
              </w:rPr>
              <w:t>Value per $1 spend</w:t>
            </w:r>
          </w:p>
        </w:tc>
        <w:tc>
          <w:tcPr>
            <w:tcW w:w="1304" w:type="dxa"/>
          </w:tcPr>
          <w:p w:rsidR="009B157C" w:rsidRPr="009B157C" w:rsidRDefault="009B157C" w:rsidP="009B157C">
            <w:pPr>
              <w:spacing w:after="60"/>
              <w:jc w:val="center"/>
              <w:cnfStyle w:val="100000000000" w:firstRow="1" w:lastRow="0" w:firstColumn="0" w:lastColumn="0" w:oddVBand="0" w:evenVBand="0" w:oddHBand="0" w:evenHBand="0" w:firstRowFirstColumn="0" w:firstRowLastColumn="0" w:lastRowFirstColumn="0" w:lastRowLastColumn="0"/>
              <w:rPr>
                <w:b w:val="0"/>
                <w:szCs w:val="22"/>
              </w:rPr>
            </w:pPr>
            <w:r w:rsidRPr="009B157C">
              <w:rPr>
                <w:szCs w:val="22"/>
              </w:rPr>
              <w:t xml:space="preserve">Monthly </w:t>
            </w:r>
            <w:r w:rsidR="000E1693" w:rsidRPr="009B157C">
              <w:rPr>
                <w:szCs w:val="22"/>
              </w:rPr>
              <w:t>post-paid contract value</w:t>
            </w:r>
          </w:p>
        </w:tc>
        <w:tc>
          <w:tcPr>
            <w:tcW w:w="1304" w:type="dxa"/>
            <w:noWrap/>
          </w:tcPr>
          <w:p w:rsidR="009B157C" w:rsidRPr="009B157C" w:rsidRDefault="009B157C" w:rsidP="009B157C">
            <w:pPr>
              <w:spacing w:after="60"/>
              <w:jc w:val="center"/>
              <w:cnfStyle w:val="100000000000" w:firstRow="1" w:lastRow="0" w:firstColumn="0" w:lastColumn="0" w:oddVBand="0" w:evenVBand="0" w:oddHBand="0" w:evenHBand="0" w:firstRowFirstColumn="0" w:firstRowLastColumn="0" w:lastRowFirstColumn="0" w:lastRowLastColumn="0"/>
              <w:rPr>
                <w:b w:val="0"/>
                <w:szCs w:val="22"/>
              </w:rPr>
            </w:pPr>
            <w:r w:rsidRPr="009B157C">
              <w:rPr>
                <w:szCs w:val="22"/>
              </w:rPr>
              <w:t>Value per $1 spend</w:t>
            </w:r>
          </w:p>
        </w:tc>
      </w:tr>
      <w:tr w:rsidR="009B157C" w:rsidRPr="009B157C" w:rsidTr="008F2F0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4" w:type="dxa"/>
            <w:noWrap/>
            <w:hideMark/>
          </w:tcPr>
          <w:p w:rsidR="009B157C" w:rsidRPr="009B157C" w:rsidRDefault="009B157C" w:rsidP="009B157C">
            <w:pPr>
              <w:spacing w:after="60"/>
              <w:jc w:val="center"/>
              <w:rPr>
                <w:szCs w:val="22"/>
              </w:rPr>
            </w:pPr>
            <w:r w:rsidRPr="009B157C">
              <w:rPr>
                <w:szCs w:val="22"/>
              </w:rPr>
              <w:t>$19-20</w:t>
            </w:r>
          </w:p>
        </w:tc>
        <w:tc>
          <w:tcPr>
            <w:tcW w:w="1304" w:type="dxa"/>
            <w:noWrap/>
            <w:hideMark/>
          </w:tcPr>
          <w:p w:rsidR="009B157C" w:rsidRPr="009B157C" w:rsidRDefault="004E7B35" w:rsidP="009B157C">
            <w:pPr>
              <w:spacing w:after="60"/>
              <w:jc w:val="center"/>
              <w:cnfStyle w:val="000000100000" w:firstRow="0" w:lastRow="0" w:firstColumn="0" w:lastColumn="0" w:oddVBand="0" w:evenVBand="0" w:oddHBand="1" w:evenHBand="0" w:firstRowFirstColumn="0" w:firstRowLastColumn="0" w:lastRowFirstColumn="0" w:lastRowLastColumn="0"/>
              <w:rPr>
                <w:szCs w:val="22"/>
              </w:rPr>
            </w:pPr>
            <w:r>
              <w:rPr>
                <w:szCs w:val="22"/>
              </w:rPr>
              <w:t>$</w:t>
            </w:r>
            <w:r w:rsidR="009B157C" w:rsidRPr="009B157C">
              <w:rPr>
                <w:szCs w:val="22"/>
              </w:rPr>
              <w:t>100</w:t>
            </w:r>
          </w:p>
        </w:tc>
        <w:tc>
          <w:tcPr>
            <w:tcW w:w="1304" w:type="dxa"/>
            <w:noWrap/>
            <w:hideMark/>
          </w:tcPr>
          <w:p w:rsidR="009B157C" w:rsidRPr="009B157C" w:rsidRDefault="009B157C" w:rsidP="009B157C">
            <w:pPr>
              <w:spacing w:after="60"/>
              <w:jc w:val="center"/>
              <w:cnfStyle w:val="000000100000" w:firstRow="0" w:lastRow="0" w:firstColumn="0" w:lastColumn="0" w:oddVBand="0" w:evenVBand="0" w:oddHBand="1" w:evenHBand="0" w:firstRowFirstColumn="0" w:firstRowLastColumn="0" w:lastRowFirstColumn="0" w:lastRowLastColumn="0"/>
              <w:rPr>
                <w:szCs w:val="22"/>
              </w:rPr>
            </w:pPr>
            <w:r w:rsidRPr="009B157C">
              <w:rPr>
                <w:szCs w:val="22"/>
              </w:rPr>
              <w:t>$5</w:t>
            </w:r>
          </w:p>
        </w:tc>
        <w:tc>
          <w:tcPr>
            <w:tcW w:w="1304" w:type="dxa"/>
          </w:tcPr>
          <w:p w:rsidR="009B157C" w:rsidRPr="009B157C" w:rsidRDefault="009B157C" w:rsidP="009B157C">
            <w:pPr>
              <w:spacing w:after="60"/>
              <w:jc w:val="center"/>
              <w:cnfStyle w:val="000000100000" w:firstRow="0" w:lastRow="0" w:firstColumn="0" w:lastColumn="0" w:oddVBand="0" w:evenVBand="0" w:oddHBand="1" w:evenHBand="0" w:firstRowFirstColumn="0" w:firstRowLastColumn="0" w:lastRowFirstColumn="0" w:lastRowLastColumn="0"/>
              <w:rPr>
                <w:szCs w:val="22"/>
              </w:rPr>
            </w:pPr>
            <w:r w:rsidRPr="009B157C">
              <w:rPr>
                <w:szCs w:val="22"/>
              </w:rPr>
              <w:t>$250</w:t>
            </w:r>
          </w:p>
        </w:tc>
        <w:tc>
          <w:tcPr>
            <w:tcW w:w="1304" w:type="dxa"/>
            <w:noWrap/>
          </w:tcPr>
          <w:p w:rsidR="009B157C" w:rsidRPr="009B157C" w:rsidRDefault="009B157C" w:rsidP="009B157C">
            <w:pPr>
              <w:spacing w:after="60"/>
              <w:jc w:val="center"/>
              <w:cnfStyle w:val="000000100000" w:firstRow="0" w:lastRow="0" w:firstColumn="0" w:lastColumn="0" w:oddVBand="0" w:evenVBand="0" w:oddHBand="1" w:evenHBand="0" w:firstRowFirstColumn="0" w:firstRowLastColumn="0" w:lastRowFirstColumn="0" w:lastRowLastColumn="0"/>
              <w:rPr>
                <w:szCs w:val="22"/>
              </w:rPr>
            </w:pPr>
            <w:r w:rsidRPr="009B157C">
              <w:rPr>
                <w:szCs w:val="22"/>
              </w:rPr>
              <w:t>$12.5</w:t>
            </w:r>
          </w:p>
        </w:tc>
      </w:tr>
      <w:tr w:rsidR="009B157C" w:rsidRPr="009B157C" w:rsidTr="008F2F06">
        <w:trPr>
          <w:trHeight w:val="300"/>
          <w:jc w:val="center"/>
        </w:trPr>
        <w:tc>
          <w:tcPr>
            <w:cnfStyle w:val="001000000000" w:firstRow="0" w:lastRow="0" w:firstColumn="1" w:lastColumn="0" w:oddVBand="0" w:evenVBand="0" w:oddHBand="0" w:evenHBand="0" w:firstRowFirstColumn="0" w:firstRowLastColumn="0" w:lastRowFirstColumn="0" w:lastRowLastColumn="0"/>
            <w:tcW w:w="1304" w:type="dxa"/>
            <w:noWrap/>
            <w:hideMark/>
          </w:tcPr>
          <w:p w:rsidR="009B157C" w:rsidRPr="009B157C" w:rsidRDefault="009B157C" w:rsidP="009B157C">
            <w:pPr>
              <w:spacing w:after="60"/>
              <w:jc w:val="center"/>
              <w:rPr>
                <w:szCs w:val="22"/>
              </w:rPr>
            </w:pPr>
            <w:r w:rsidRPr="009B157C">
              <w:rPr>
                <w:szCs w:val="22"/>
              </w:rPr>
              <w:t>$29-30</w:t>
            </w:r>
          </w:p>
        </w:tc>
        <w:tc>
          <w:tcPr>
            <w:tcW w:w="1304" w:type="dxa"/>
            <w:noWrap/>
            <w:hideMark/>
          </w:tcPr>
          <w:p w:rsidR="009B157C" w:rsidRPr="009B157C" w:rsidRDefault="004E7B35" w:rsidP="009B157C">
            <w:pPr>
              <w:spacing w:after="60"/>
              <w:jc w:val="center"/>
              <w:cnfStyle w:val="000000000000" w:firstRow="0" w:lastRow="0" w:firstColumn="0" w:lastColumn="0" w:oddVBand="0" w:evenVBand="0" w:oddHBand="0" w:evenHBand="0" w:firstRowFirstColumn="0" w:firstRowLastColumn="0" w:lastRowFirstColumn="0" w:lastRowLastColumn="0"/>
              <w:rPr>
                <w:szCs w:val="22"/>
              </w:rPr>
            </w:pPr>
            <w:r>
              <w:rPr>
                <w:szCs w:val="22"/>
              </w:rPr>
              <w:t>$</w:t>
            </w:r>
            <w:r w:rsidR="009B157C" w:rsidRPr="009B157C">
              <w:rPr>
                <w:szCs w:val="22"/>
              </w:rPr>
              <w:t>450</w:t>
            </w:r>
          </w:p>
        </w:tc>
        <w:tc>
          <w:tcPr>
            <w:tcW w:w="1304" w:type="dxa"/>
            <w:noWrap/>
            <w:hideMark/>
          </w:tcPr>
          <w:p w:rsidR="009B157C" w:rsidRPr="009B157C" w:rsidRDefault="009B157C" w:rsidP="009B157C">
            <w:pPr>
              <w:spacing w:after="60"/>
              <w:jc w:val="center"/>
              <w:cnfStyle w:val="000000000000" w:firstRow="0" w:lastRow="0" w:firstColumn="0" w:lastColumn="0" w:oddVBand="0" w:evenVBand="0" w:oddHBand="0" w:evenHBand="0" w:firstRowFirstColumn="0" w:firstRowLastColumn="0" w:lastRowFirstColumn="0" w:lastRowLastColumn="0"/>
              <w:rPr>
                <w:szCs w:val="22"/>
              </w:rPr>
            </w:pPr>
            <w:r w:rsidRPr="009B157C">
              <w:rPr>
                <w:szCs w:val="22"/>
              </w:rPr>
              <w:t>$16</w:t>
            </w:r>
          </w:p>
        </w:tc>
        <w:tc>
          <w:tcPr>
            <w:tcW w:w="1304" w:type="dxa"/>
          </w:tcPr>
          <w:p w:rsidR="009B157C" w:rsidRPr="009B157C" w:rsidRDefault="009B157C" w:rsidP="009B157C">
            <w:pPr>
              <w:spacing w:after="60"/>
              <w:jc w:val="center"/>
              <w:cnfStyle w:val="000000000000" w:firstRow="0" w:lastRow="0" w:firstColumn="0" w:lastColumn="0" w:oddVBand="0" w:evenVBand="0" w:oddHBand="0" w:evenHBand="0" w:firstRowFirstColumn="0" w:firstRowLastColumn="0" w:lastRowFirstColumn="0" w:lastRowLastColumn="0"/>
              <w:rPr>
                <w:szCs w:val="22"/>
              </w:rPr>
            </w:pPr>
            <w:r w:rsidRPr="009B157C">
              <w:rPr>
                <w:szCs w:val="22"/>
              </w:rPr>
              <w:t>$450</w:t>
            </w:r>
          </w:p>
        </w:tc>
        <w:tc>
          <w:tcPr>
            <w:tcW w:w="1304" w:type="dxa"/>
            <w:noWrap/>
          </w:tcPr>
          <w:p w:rsidR="009B157C" w:rsidRPr="009B157C" w:rsidRDefault="009B157C" w:rsidP="009B157C">
            <w:pPr>
              <w:spacing w:after="60"/>
              <w:jc w:val="center"/>
              <w:cnfStyle w:val="000000000000" w:firstRow="0" w:lastRow="0" w:firstColumn="0" w:lastColumn="0" w:oddVBand="0" w:evenVBand="0" w:oddHBand="0" w:evenHBand="0" w:firstRowFirstColumn="0" w:firstRowLastColumn="0" w:lastRowFirstColumn="0" w:lastRowLastColumn="0"/>
              <w:rPr>
                <w:szCs w:val="22"/>
              </w:rPr>
            </w:pPr>
            <w:r w:rsidRPr="009B157C">
              <w:rPr>
                <w:szCs w:val="22"/>
              </w:rPr>
              <w:t>$15</w:t>
            </w:r>
          </w:p>
        </w:tc>
      </w:tr>
      <w:tr w:rsidR="009B157C" w:rsidRPr="009B157C" w:rsidTr="008F2F0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4" w:type="dxa"/>
            <w:noWrap/>
            <w:hideMark/>
          </w:tcPr>
          <w:p w:rsidR="009B157C" w:rsidRPr="009B157C" w:rsidRDefault="009B157C" w:rsidP="009B157C">
            <w:pPr>
              <w:spacing w:after="60"/>
              <w:jc w:val="center"/>
              <w:rPr>
                <w:szCs w:val="22"/>
              </w:rPr>
            </w:pPr>
            <w:r w:rsidRPr="009B157C">
              <w:rPr>
                <w:szCs w:val="22"/>
              </w:rPr>
              <w:t>$49-50</w:t>
            </w:r>
          </w:p>
        </w:tc>
        <w:tc>
          <w:tcPr>
            <w:tcW w:w="1304" w:type="dxa"/>
            <w:noWrap/>
            <w:hideMark/>
          </w:tcPr>
          <w:p w:rsidR="009B157C" w:rsidRPr="009B157C" w:rsidRDefault="009B157C" w:rsidP="009B157C">
            <w:pPr>
              <w:spacing w:after="60"/>
              <w:jc w:val="center"/>
              <w:cnfStyle w:val="000000100000" w:firstRow="0" w:lastRow="0" w:firstColumn="0" w:lastColumn="0" w:oddVBand="0" w:evenVBand="0" w:oddHBand="1" w:evenHBand="0" w:firstRowFirstColumn="0" w:firstRowLastColumn="0" w:lastRowFirstColumn="0" w:lastRowLastColumn="0"/>
              <w:rPr>
                <w:szCs w:val="22"/>
              </w:rPr>
            </w:pPr>
            <w:r w:rsidRPr="009B157C">
              <w:rPr>
                <w:szCs w:val="22"/>
              </w:rPr>
              <w:t>$900</w:t>
            </w:r>
          </w:p>
        </w:tc>
        <w:tc>
          <w:tcPr>
            <w:tcW w:w="1304" w:type="dxa"/>
            <w:noWrap/>
            <w:hideMark/>
          </w:tcPr>
          <w:p w:rsidR="009B157C" w:rsidRPr="009B157C" w:rsidRDefault="009B157C" w:rsidP="009B157C">
            <w:pPr>
              <w:spacing w:after="60"/>
              <w:jc w:val="center"/>
              <w:cnfStyle w:val="000000100000" w:firstRow="0" w:lastRow="0" w:firstColumn="0" w:lastColumn="0" w:oddVBand="0" w:evenVBand="0" w:oddHBand="1" w:evenHBand="0" w:firstRowFirstColumn="0" w:firstRowLastColumn="0" w:lastRowFirstColumn="0" w:lastRowLastColumn="0"/>
              <w:rPr>
                <w:szCs w:val="22"/>
              </w:rPr>
            </w:pPr>
            <w:r w:rsidRPr="009B157C">
              <w:rPr>
                <w:szCs w:val="22"/>
              </w:rPr>
              <w:t>$18</w:t>
            </w:r>
          </w:p>
        </w:tc>
        <w:tc>
          <w:tcPr>
            <w:tcW w:w="1304" w:type="dxa"/>
          </w:tcPr>
          <w:p w:rsidR="009B157C" w:rsidRPr="009B157C" w:rsidRDefault="009B157C" w:rsidP="009B157C">
            <w:pPr>
              <w:spacing w:after="60"/>
              <w:jc w:val="center"/>
              <w:cnfStyle w:val="000000100000" w:firstRow="0" w:lastRow="0" w:firstColumn="0" w:lastColumn="0" w:oddVBand="0" w:evenVBand="0" w:oddHBand="1" w:evenHBand="0" w:firstRowFirstColumn="0" w:firstRowLastColumn="0" w:lastRowFirstColumn="0" w:lastRowLastColumn="0"/>
              <w:rPr>
                <w:szCs w:val="22"/>
              </w:rPr>
            </w:pPr>
            <w:r w:rsidRPr="009B157C">
              <w:rPr>
                <w:szCs w:val="22"/>
              </w:rPr>
              <w:t>Unlimited</w:t>
            </w:r>
          </w:p>
        </w:tc>
        <w:tc>
          <w:tcPr>
            <w:tcW w:w="1304" w:type="dxa"/>
            <w:noWrap/>
          </w:tcPr>
          <w:p w:rsidR="009B157C" w:rsidRPr="009B157C" w:rsidRDefault="00890F8F" w:rsidP="009B157C">
            <w:pPr>
              <w:spacing w:after="60"/>
              <w:jc w:val="center"/>
              <w:cnfStyle w:val="000000100000" w:firstRow="0" w:lastRow="0" w:firstColumn="0" w:lastColumn="0" w:oddVBand="0" w:evenVBand="0" w:oddHBand="1" w:evenHBand="0" w:firstRowFirstColumn="0" w:firstRowLastColumn="0" w:lastRowFirstColumn="0" w:lastRowLastColumn="0"/>
              <w:rPr>
                <w:szCs w:val="22"/>
              </w:rPr>
            </w:pPr>
            <w:r>
              <w:rPr>
                <w:szCs w:val="22"/>
              </w:rPr>
              <w:t>-</w:t>
            </w:r>
          </w:p>
        </w:tc>
      </w:tr>
      <w:tr w:rsidR="009B157C" w:rsidRPr="009B157C" w:rsidTr="008F2F06">
        <w:trPr>
          <w:trHeight w:val="300"/>
          <w:jc w:val="center"/>
        </w:trPr>
        <w:tc>
          <w:tcPr>
            <w:cnfStyle w:val="001000000000" w:firstRow="0" w:lastRow="0" w:firstColumn="1" w:lastColumn="0" w:oddVBand="0" w:evenVBand="0" w:oddHBand="0" w:evenHBand="0" w:firstRowFirstColumn="0" w:firstRowLastColumn="0" w:lastRowFirstColumn="0" w:lastRowLastColumn="0"/>
            <w:tcW w:w="1304" w:type="dxa"/>
            <w:noWrap/>
            <w:hideMark/>
          </w:tcPr>
          <w:p w:rsidR="009B157C" w:rsidRPr="009B157C" w:rsidRDefault="009B157C" w:rsidP="009B157C">
            <w:pPr>
              <w:spacing w:after="60"/>
              <w:jc w:val="center"/>
              <w:rPr>
                <w:szCs w:val="22"/>
              </w:rPr>
            </w:pPr>
            <w:r w:rsidRPr="009B157C">
              <w:rPr>
                <w:szCs w:val="22"/>
              </w:rPr>
              <w:t>$79</w:t>
            </w:r>
          </w:p>
        </w:tc>
        <w:tc>
          <w:tcPr>
            <w:tcW w:w="1304" w:type="dxa"/>
            <w:noWrap/>
            <w:hideMark/>
          </w:tcPr>
          <w:p w:rsidR="009B157C" w:rsidRPr="009B157C" w:rsidRDefault="009B157C" w:rsidP="009B157C">
            <w:pPr>
              <w:spacing w:after="60"/>
              <w:jc w:val="center"/>
              <w:cnfStyle w:val="000000000000" w:firstRow="0" w:lastRow="0" w:firstColumn="0" w:lastColumn="0" w:oddVBand="0" w:evenVBand="0" w:oddHBand="0" w:evenHBand="0" w:firstRowFirstColumn="0" w:firstRowLastColumn="0" w:lastRowFirstColumn="0" w:lastRowLastColumn="0"/>
              <w:rPr>
                <w:szCs w:val="22"/>
              </w:rPr>
            </w:pPr>
            <w:r w:rsidRPr="009B157C">
              <w:rPr>
                <w:szCs w:val="22"/>
              </w:rPr>
              <w:t>$1,500</w:t>
            </w:r>
          </w:p>
        </w:tc>
        <w:tc>
          <w:tcPr>
            <w:tcW w:w="1304" w:type="dxa"/>
            <w:noWrap/>
            <w:hideMark/>
          </w:tcPr>
          <w:p w:rsidR="009B157C" w:rsidRPr="009B157C" w:rsidRDefault="009B157C" w:rsidP="009B157C">
            <w:pPr>
              <w:spacing w:after="60"/>
              <w:jc w:val="center"/>
              <w:cnfStyle w:val="000000000000" w:firstRow="0" w:lastRow="0" w:firstColumn="0" w:lastColumn="0" w:oddVBand="0" w:evenVBand="0" w:oddHBand="0" w:evenHBand="0" w:firstRowFirstColumn="0" w:firstRowLastColumn="0" w:lastRowFirstColumn="0" w:lastRowLastColumn="0"/>
              <w:rPr>
                <w:szCs w:val="22"/>
              </w:rPr>
            </w:pPr>
            <w:r w:rsidRPr="009B157C">
              <w:rPr>
                <w:szCs w:val="22"/>
              </w:rPr>
              <w:t>$19</w:t>
            </w:r>
          </w:p>
        </w:tc>
        <w:tc>
          <w:tcPr>
            <w:tcW w:w="1304" w:type="dxa"/>
          </w:tcPr>
          <w:p w:rsidR="009B157C" w:rsidRPr="009B157C" w:rsidRDefault="00890F8F" w:rsidP="009B157C">
            <w:pPr>
              <w:spacing w:after="60"/>
              <w:jc w:val="center"/>
              <w:cnfStyle w:val="000000000000" w:firstRow="0" w:lastRow="0" w:firstColumn="0" w:lastColumn="0" w:oddVBand="0" w:evenVBand="0" w:oddHBand="0" w:evenHBand="0" w:firstRowFirstColumn="0" w:firstRowLastColumn="0" w:lastRowFirstColumn="0" w:lastRowLastColumn="0"/>
              <w:rPr>
                <w:szCs w:val="22"/>
              </w:rPr>
            </w:pPr>
            <w:r>
              <w:rPr>
                <w:szCs w:val="22"/>
              </w:rPr>
              <w:t>-</w:t>
            </w:r>
          </w:p>
        </w:tc>
        <w:tc>
          <w:tcPr>
            <w:tcW w:w="1304" w:type="dxa"/>
            <w:noWrap/>
            <w:hideMark/>
          </w:tcPr>
          <w:p w:rsidR="009B157C" w:rsidRPr="009B157C" w:rsidRDefault="00890F8F" w:rsidP="009B157C">
            <w:pPr>
              <w:spacing w:after="60"/>
              <w:jc w:val="center"/>
              <w:cnfStyle w:val="000000000000" w:firstRow="0" w:lastRow="0" w:firstColumn="0" w:lastColumn="0" w:oddVBand="0" w:evenVBand="0" w:oddHBand="0" w:evenHBand="0" w:firstRowFirstColumn="0" w:firstRowLastColumn="0" w:lastRowFirstColumn="0" w:lastRowLastColumn="0"/>
              <w:rPr>
                <w:szCs w:val="22"/>
              </w:rPr>
            </w:pPr>
            <w:r>
              <w:rPr>
                <w:szCs w:val="22"/>
              </w:rPr>
              <w:t>-</w:t>
            </w:r>
          </w:p>
        </w:tc>
      </w:tr>
      <w:tr w:rsidR="009B157C" w:rsidRPr="009B157C" w:rsidTr="008F2F0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4" w:type="dxa"/>
            <w:noWrap/>
            <w:hideMark/>
          </w:tcPr>
          <w:p w:rsidR="009B157C" w:rsidRPr="009B157C" w:rsidRDefault="009B157C" w:rsidP="009B157C">
            <w:pPr>
              <w:spacing w:after="60"/>
              <w:jc w:val="center"/>
              <w:rPr>
                <w:szCs w:val="22"/>
              </w:rPr>
            </w:pPr>
            <w:r w:rsidRPr="009B157C">
              <w:rPr>
                <w:szCs w:val="22"/>
              </w:rPr>
              <w:t>$99</w:t>
            </w:r>
          </w:p>
        </w:tc>
        <w:tc>
          <w:tcPr>
            <w:tcW w:w="1304" w:type="dxa"/>
            <w:noWrap/>
            <w:hideMark/>
          </w:tcPr>
          <w:p w:rsidR="009B157C" w:rsidRPr="009B157C" w:rsidRDefault="009B157C" w:rsidP="009B157C">
            <w:pPr>
              <w:spacing w:after="60"/>
              <w:jc w:val="center"/>
              <w:cnfStyle w:val="000000100000" w:firstRow="0" w:lastRow="0" w:firstColumn="0" w:lastColumn="0" w:oddVBand="0" w:evenVBand="0" w:oddHBand="1" w:evenHBand="0" w:firstRowFirstColumn="0" w:firstRowLastColumn="0" w:lastRowFirstColumn="0" w:lastRowLastColumn="0"/>
              <w:rPr>
                <w:szCs w:val="22"/>
              </w:rPr>
            </w:pPr>
            <w:r w:rsidRPr="009B157C">
              <w:rPr>
                <w:szCs w:val="22"/>
              </w:rPr>
              <w:t>$1,859</w:t>
            </w:r>
          </w:p>
        </w:tc>
        <w:tc>
          <w:tcPr>
            <w:tcW w:w="1304" w:type="dxa"/>
            <w:noWrap/>
            <w:hideMark/>
          </w:tcPr>
          <w:p w:rsidR="009B157C" w:rsidRPr="009B157C" w:rsidRDefault="009B157C" w:rsidP="009B157C">
            <w:pPr>
              <w:spacing w:after="60"/>
              <w:jc w:val="center"/>
              <w:cnfStyle w:val="000000100000" w:firstRow="0" w:lastRow="0" w:firstColumn="0" w:lastColumn="0" w:oddVBand="0" w:evenVBand="0" w:oddHBand="1" w:evenHBand="0" w:firstRowFirstColumn="0" w:firstRowLastColumn="0" w:lastRowFirstColumn="0" w:lastRowLastColumn="0"/>
              <w:rPr>
                <w:szCs w:val="22"/>
              </w:rPr>
            </w:pPr>
            <w:r w:rsidRPr="009B157C">
              <w:rPr>
                <w:szCs w:val="22"/>
              </w:rPr>
              <w:t>$19</w:t>
            </w:r>
          </w:p>
        </w:tc>
        <w:tc>
          <w:tcPr>
            <w:tcW w:w="1304" w:type="dxa"/>
          </w:tcPr>
          <w:p w:rsidR="009B157C" w:rsidRPr="009B157C" w:rsidRDefault="00890F8F" w:rsidP="009B157C">
            <w:pPr>
              <w:spacing w:after="60"/>
              <w:jc w:val="center"/>
              <w:cnfStyle w:val="000000100000" w:firstRow="0" w:lastRow="0" w:firstColumn="0" w:lastColumn="0" w:oddVBand="0" w:evenVBand="0" w:oddHBand="1" w:evenHBand="0" w:firstRowFirstColumn="0" w:firstRowLastColumn="0" w:lastRowFirstColumn="0" w:lastRowLastColumn="0"/>
              <w:rPr>
                <w:szCs w:val="22"/>
              </w:rPr>
            </w:pPr>
            <w:r>
              <w:rPr>
                <w:szCs w:val="22"/>
              </w:rPr>
              <w:t>-</w:t>
            </w:r>
          </w:p>
        </w:tc>
        <w:tc>
          <w:tcPr>
            <w:tcW w:w="1304" w:type="dxa"/>
            <w:noWrap/>
            <w:hideMark/>
          </w:tcPr>
          <w:p w:rsidR="009B157C" w:rsidRPr="009B157C" w:rsidRDefault="00890F8F" w:rsidP="009B157C">
            <w:pPr>
              <w:spacing w:after="60"/>
              <w:jc w:val="center"/>
              <w:cnfStyle w:val="000000100000" w:firstRow="0" w:lastRow="0" w:firstColumn="0" w:lastColumn="0" w:oddVBand="0" w:evenVBand="0" w:oddHBand="1" w:evenHBand="0" w:firstRowFirstColumn="0" w:firstRowLastColumn="0" w:lastRowFirstColumn="0" w:lastRowLastColumn="0"/>
              <w:rPr>
                <w:szCs w:val="22"/>
              </w:rPr>
            </w:pPr>
            <w:r>
              <w:rPr>
                <w:szCs w:val="22"/>
              </w:rPr>
              <w:t>-</w:t>
            </w:r>
          </w:p>
        </w:tc>
      </w:tr>
    </w:tbl>
    <w:p w:rsidR="009B157C" w:rsidRDefault="009B157C" w:rsidP="009B157C">
      <w:pPr>
        <w:jc w:val="center"/>
      </w:pPr>
      <w:r>
        <w:rPr>
          <w:sz w:val="18"/>
        </w:rPr>
        <w:t>(Source: SACOSS, 2015)</w:t>
      </w:r>
    </w:p>
    <w:p w:rsidR="00DB3D53" w:rsidRDefault="009B157C" w:rsidP="009B157C">
      <w:pPr>
        <w:rPr>
          <w:rFonts w:eastAsia="Calibri" w:cs="Arial"/>
          <w:szCs w:val="22"/>
        </w:rPr>
      </w:pPr>
      <w:r>
        <w:rPr>
          <w:rFonts w:eastAsia="Calibri" w:cs="Arial"/>
          <w:szCs w:val="22"/>
        </w:rPr>
        <w:t xml:space="preserve">The lowest plan figure is unusual here (making the $20 post-paid highly expensive) but the difference in value at the mid and top-end </w:t>
      </w:r>
      <w:r w:rsidR="00DB3D53" w:rsidRPr="00813975">
        <w:rPr>
          <w:rFonts w:eastAsia="Calibri" w:cs="Arial"/>
          <w:szCs w:val="22"/>
        </w:rPr>
        <w:t>represents a premium on poverty</w:t>
      </w:r>
      <w:r>
        <w:rPr>
          <w:rFonts w:eastAsia="Calibri" w:cs="Arial"/>
          <w:szCs w:val="22"/>
        </w:rPr>
        <w:t xml:space="preserve">.  </w:t>
      </w:r>
      <w:r w:rsidR="00DB3D53" w:rsidRPr="00813975">
        <w:rPr>
          <w:rFonts w:eastAsia="Calibri" w:cs="Arial"/>
          <w:szCs w:val="22"/>
        </w:rPr>
        <w:t>However this is not just a question of fairness for low income consumers, it also has practical consequences</w:t>
      </w:r>
      <w:r>
        <w:rPr>
          <w:rFonts w:eastAsia="Calibri" w:cs="Arial"/>
          <w:szCs w:val="22"/>
        </w:rPr>
        <w:t xml:space="preserve"> in running out of credit</w:t>
      </w:r>
      <w:r w:rsidR="00DB3D53" w:rsidRPr="00813975">
        <w:rPr>
          <w:rFonts w:eastAsia="Calibri" w:cs="Arial"/>
          <w:szCs w:val="22"/>
        </w:rPr>
        <w:t xml:space="preserve">. </w:t>
      </w:r>
      <w:r>
        <w:rPr>
          <w:rFonts w:eastAsia="Calibri" w:cs="Arial"/>
          <w:szCs w:val="22"/>
        </w:rPr>
        <w:t xml:space="preserve"> </w:t>
      </w:r>
      <w:r w:rsidR="00DB3D53">
        <w:rPr>
          <w:rFonts w:eastAsia="Calibri" w:cs="Arial"/>
          <w:szCs w:val="22"/>
        </w:rPr>
        <w:t xml:space="preserve">As </w:t>
      </w:r>
      <w:r>
        <w:rPr>
          <w:rFonts w:eastAsia="Calibri" w:cs="Arial"/>
          <w:szCs w:val="22"/>
        </w:rPr>
        <w:t>some</w:t>
      </w:r>
      <w:r w:rsidR="00DB3D53" w:rsidRPr="00813975">
        <w:rPr>
          <w:rFonts w:eastAsia="Calibri" w:cs="Arial"/>
          <w:szCs w:val="22"/>
        </w:rPr>
        <w:t xml:space="preserve"> participants noted, all it </w:t>
      </w:r>
      <w:r w:rsidR="00DB3D53">
        <w:rPr>
          <w:rFonts w:eastAsia="Calibri" w:cs="Arial"/>
          <w:szCs w:val="22"/>
        </w:rPr>
        <w:t>can take to run out of credit</w:t>
      </w:r>
      <w:r w:rsidR="00DB3D53" w:rsidRPr="00813975">
        <w:rPr>
          <w:rFonts w:eastAsia="Calibri" w:cs="Arial"/>
          <w:szCs w:val="22"/>
        </w:rPr>
        <w:t xml:space="preserve"> is one or two long phone calls to Centrelink</w:t>
      </w:r>
      <w:r w:rsidR="00DB3D53">
        <w:rPr>
          <w:rFonts w:eastAsia="Calibri" w:cs="Arial"/>
          <w:szCs w:val="22"/>
        </w:rPr>
        <w:t>.</w:t>
      </w:r>
    </w:p>
    <w:p w:rsidR="00DB3D53" w:rsidRPr="007B4E9A" w:rsidRDefault="00DB3D53" w:rsidP="009B157C">
      <w:pPr>
        <w:spacing w:before="120"/>
        <w:ind w:left="567" w:right="567"/>
        <w:rPr>
          <w:rFonts w:eastAsia="Calibri" w:cs="Arial"/>
        </w:rPr>
      </w:pPr>
      <w:r w:rsidRPr="007B4E9A">
        <w:rPr>
          <w:rFonts w:eastAsia="Calibri" w:cs="Arial"/>
        </w:rPr>
        <w:t>“I’ve got 10 minutes left on my credit.  Answer</w:t>
      </w:r>
      <w:r>
        <w:rPr>
          <w:rFonts w:eastAsia="Calibri" w:cs="Arial"/>
        </w:rPr>
        <w:t xml:space="preserve"> the phone.  Answer the phone… </w:t>
      </w:r>
      <w:proofErr w:type="gramStart"/>
      <w:r w:rsidRPr="007B4E9A">
        <w:rPr>
          <w:rFonts w:eastAsia="Calibri" w:cs="Arial"/>
        </w:rPr>
        <w:t>Ten minutes a</w:t>
      </w:r>
      <w:r>
        <w:rPr>
          <w:rFonts w:eastAsia="Calibri" w:cs="Arial"/>
        </w:rPr>
        <w:t>nd Centrelink?</w:t>
      </w:r>
      <w:proofErr w:type="gramEnd"/>
      <w:r>
        <w:rPr>
          <w:rFonts w:eastAsia="Calibri" w:cs="Arial"/>
        </w:rPr>
        <w:t xml:space="preserve">  You’re dreaming</w:t>
      </w:r>
      <w:r w:rsidR="004E7B35">
        <w:rPr>
          <w:rFonts w:eastAsia="Calibri" w:cs="Arial"/>
        </w:rPr>
        <w:t>.</w:t>
      </w:r>
      <w:r>
        <w:rPr>
          <w:rFonts w:eastAsia="Calibri" w:cs="Arial"/>
        </w:rPr>
        <w:t>”</w:t>
      </w:r>
    </w:p>
    <w:p w:rsidR="00DB3D53" w:rsidRPr="007E1062" w:rsidRDefault="00DB3D53" w:rsidP="009B157C">
      <w:pPr>
        <w:spacing w:before="120"/>
        <w:ind w:left="567" w:right="567"/>
        <w:rPr>
          <w:rFonts w:eastAsia="Calibri" w:cs="Arial"/>
        </w:rPr>
      </w:pPr>
      <w:r>
        <w:rPr>
          <w:rFonts w:eastAsia="Calibri" w:cs="Arial"/>
        </w:rPr>
        <w:t>“</w:t>
      </w:r>
      <w:r w:rsidRPr="007B4E9A">
        <w:rPr>
          <w:rFonts w:eastAsia="Calibri" w:cs="Arial"/>
        </w:rPr>
        <w:t>cause I had a problem at one stage and I was on my mobile</w:t>
      </w:r>
      <w:r>
        <w:rPr>
          <w:rFonts w:eastAsia="Calibri" w:cs="Arial"/>
        </w:rPr>
        <w:t xml:space="preserve"> [to Centrelink]</w:t>
      </w:r>
      <w:r w:rsidRPr="007B4E9A">
        <w:rPr>
          <w:rFonts w:eastAsia="Calibri" w:cs="Arial"/>
        </w:rPr>
        <w:t>, and I said “Look I’m running out of, just, on my mobile I’m going to, it’s going to run out soon.” “Oh no, just wait for this and just do this” and i</w:t>
      </w:r>
      <w:r>
        <w:rPr>
          <w:rFonts w:eastAsia="Calibri" w:cs="Arial"/>
        </w:rPr>
        <w:t>t’s so yeah, it was frustrating</w:t>
      </w:r>
      <w:r w:rsidR="004E7B35">
        <w:rPr>
          <w:rFonts w:eastAsia="Calibri" w:cs="Arial"/>
        </w:rPr>
        <w:t>.</w:t>
      </w:r>
      <w:r>
        <w:rPr>
          <w:rFonts w:eastAsia="Calibri" w:cs="Arial"/>
        </w:rPr>
        <w:t>”</w:t>
      </w:r>
    </w:p>
    <w:p w:rsidR="00DB3D53" w:rsidRDefault="00DB3D53" w:rsidP="009B157C">
      <w:pPr>
        <w:rPr>
          <w:rFonts w:eastAsia="Calibri" w:cs="Arial"/>
          <w:szCs w:val="22"/>
          <w:highlight w:val="yellow"/>
        </w:rPr>
      </w:pPr>
      <w:r w:rsidRPr="00813975">
        <w:rPr>
          <w:rFonts w:eastAsia="Calibri" w:cs="Arial"/>
          <w:szCs w:val="22"/>
        </w:rPr>
        <w:t>When credit runs out, low income consumers are forced to either go without using their phone until they can afford to top up again or</w:t>
      </w:r>
      <w:r w:rsidRPr="00813975">
        <w:rPr>
          <w:rFonts w:cs="Arial"/>
          <w:szCs w:val="22"/>
        </w:rPr>
        <w:t xml:space="preserve"> </w:t>
      </w:r>
      <w:r w:rsidRPr="00813975">
        <w:rPr>
          <w:rFonts w:eastAsia="Calibri" w:cs="Arial"/>
          <w:szCs w:val="22"/>
        </w:rPr>
        <w:t xml:space="preserve">sacrifice spending in other areas to top up immediately. </w:t>
      </w:r>
      <w:r w:rsidR="000D0721">
        <w:rPr>
          <w:rFonts w:eastAsia="Calibri" w:cs="Arial"/>
          <w:szCs w:val="22"/>
        </w:rPr>
        <w:t xml:space="preserve"> </w:t>
      </w:r>
      <w:r w:rsidRPr="00813975">
        <w:rPr>
          <w:rFonts w:eastAsia="Calibri" w:cs="Arial"/>
          <w:szCs w:val="22"/>
        </w:rPr>
        <w:t xml:space="preserve">This choice can </w:t>
      </w:r>
      <w:r w:rsidR="00040BF7">
        <w:rPr>
          <w:rFonts w:eastAsia="Calibri" w:cs="Arial"/>
          <w:szCs w:val="22"/>
        </w:rPr>
        <w:t xml:space="preserve">be </w:t>
      </w:r>
      <w:r w:rsidRPr="00813975">
        <w:rPr>
          <w:rFonts w:eastAsia="Calibri" w:cs="Arial"/>
          <w:szCs w:val="22"/>
        </w:rPr>
        <w:t xml:space="preserve">very stressful for low income consumers, particularly for those who are reliant on Centrelink benefits </w:t>
      </w:r>
      <w:r>
        <w:rPr>
          <w:rFonts w:eastAsia="Calibri" w:cs="Arial"/>
          <w:szCs w:val="22"/>
        </w:rPr>
        <w:t xml:space="preserve">and are required to report </w:t>
      </w:r>
      <w:r w:rsidRPr="00813975">
        <w:rPr>
          <w:rFonts w:eastAsia="Calibri" w:cs="Arial"/>
          <w:szCs w:val="22"/>
        </w:rPr>
        <w:t xml:space="preserve">or need to use their phone for job </w:t>
      </w:r>
      <w:r w:rsidR="009B157C">
        <w:rPr>
          <w:rFonts w:eastAsia="Calibri" w:cs="Arial"/>
          <w:szCs w:val="22"/>
        </w:rPr>
        <w:t>seeking, but also for those with other needs like</w:t>
      </w:r>
      <w:r w:rsidR="000E1693">
        <w:rPr>
          <w:rFonts w:eastAsia="Calibri" w:cs="Arial"/>
          <w:szCs w:val="22"/>
        </w:rPr>
        <w:t xml:space="preserve"> staying in cont</w:t>
      </w:r>
      <w:r w:rsidRPr="008D0BB9">
        <w:rPr>
          <w:rFonts w:eastAsia="Calibri" w:cs="Arial"/>
          <w:szCs w:val="22"/>
        </w:rPr>
        <w:t xml:space="preserve">act with children or elderly parents. </w:t>
      </w:r>
    </w:p>
    <w:p w:rsidR="00DB3D53" w:rsidRPr="00B31DBF" w:rsidRDefault="004100E3" w:rsidP="00890F8F">
      <w:pPr>
        <w:pStyle w:val="Heading3"/>
      </w:pPr>
      <w:bookmarkStart w:id="90" w:name="_Toc465167580"/>
      <w:r>
        <w:t>Post-</w:t>
      </w:r>
      <w:r w:rsidR="00DB3D53">
        <w:t>paid p</w:t>
      </w:r>
      <w:r w:rsidR="00DB3D53" w:rsidRPr="00B31DBF">
        <w:t>lans</w:t>
      </w:r>
      <w:bookmarkEnd w:id="90"/>
    </w:p>
    <w:p w:rsidR="00DB3D53" w:rsidRPr="00C055BA" w:rsidRDefault="00DB3D53" w:rsidP="009B157C">
      <w:pPr>
        <w:rPr>
          <w:rFonts w:eastAsia="Calibri" w:cs="Arial"/>
        </w:rPr>
      </w:pPr>
      <w:r w:rsidRPr="00813975">
        <w:rPr>
          <w:rFonts w:eastAsia="Calibri" w:cs="Arial"/>
          <w:szCs w:val="22"/>
        </w:rPr>
        <w:t>While pre-paid plans are the most common choice for low income consumers, some prefer post-paid plans so that they do not have to worry about running out of credit and going without the us</w:t>
      </w:r>
      <w:r>
        <w:rPr>
          <w:rFonts w:eastAsia="Calibri" w:cs="Arial"/>
          <w:szCs w:val="22"/>
        </w:rPr>
        <w:t>e of their phone</w:t>
      </w:r>
      <w:r w:rsidRPr="00813975">
        <w:rPr>
          <w:rFonts w:eastAsia="Calibri" w:cs="Arial"/>
          <w:szCs w:val="22"/>
        </w:rPr>
        <w:t xml:space="preserve">. </w:t>
      </w:r>
      <w:r w:rsidR="000D0721">
        <w:rPr>
          <w:rFonts w:eastAsia="Calibri" w:cs="Arial"/>
          <w:szCs w:val="22"/>
        </w:rPr>
        <w:t xml:space="preserve"> </w:t>
      </w:r>
      <w:r w:rsidRPr="00813975">
        <w:rPr>
          <w:rFonts w:eastAsia="Calibri" w:cs="Arial"/>
          <w:szCs w:val="22"/>
        </w:rPr>
        <w:t>Yet the lower cost post-paid plans that low income consumers can afford, often come with undesirable catches, such as less suitable billing arrangements (e.g. direct debit only or a 28 day ‘month’ billing cycle)</w:t>
      </w:r>
      <w:r>
        <w:rPr>
          <w:rFonts w:eastAsia="Calibri" w:cs="Arial"/>
          <w:szCs w:val="22"/>
        </w:rPr>
        <w:t xml:space="preserve"> and</w:t>
      </w:r>
      <w:r w:rsidRPr="00813975">
        <w:rPr>
          <w:rFonts w:eastAsia="Calibri" w:cs="Arial"/>
          <w:szCs w:val="22"/>
        </w:rPr>
        <w:t xml:space="preserve"> higher extra fees or charges. </w:t>
      </w:r>
      <w:r w:rsidR="000D0721">
        <w:rPr>
          <w:rFonts w:eastAsia="Calibri" w:cs="Arial"/>
          <w:szCs w:val="22"/>
        </w:rPr>
        <w:t xml:space="preserve"> </w:t>
      </w:r>
      <w:r w:rsidRPr="00813975">
        <w:rPr>
          <w:rFonts w:eastAsia="Calibri" w:cs="Arial"/>
          <w:szCs w:val="22"/>
        </w:rPr>
        <w:t>The impact of these product features on low income consumers will be outlined individually in more detail below</w:t>
      </w:r>
      <w:r w:rsidR="004E7B35">
        <w:rPr>
          <w:rFonts w:eastAsia="Calibri" w:cs="Arial"/>
          <w:szCs w:val="22"/>
        </w:rPr>
        <w:t>.</w:t>
      </w:r>
      <w:r w:rsidRPr="00813975">
        <w:rPr>
          <w:rFonts w:eastAsia="Calibri" w:cs="Arial"/>
          <w:szCs w:val="22"/>
        </w:rPr>
        <w:t xml:space="preserve"> </w:t>
      </w:r>
      <w:r w:rsidR="004E7B35">
        <w:rPr>
          <w:rFonts w:eastAsia="Calibri" w:cs="Arial"/>
          <w:szCs w:val="22"/>
        </w:rPr>
        <w:t>W</w:t>
      </w:r>
      <w:r w:rsidRPr="00813975">
        <w:rPr>
          <w:rFonts w:eastAsia="Calibri" w:cs="Arial"/>
          <w:szCs w:val="22"/>
        </w:rPr>
        <w:t xml:space="preserve">hat is important to note </w:t>
      </w:r>
      <w:r w:rsidRPr="00813975">
        <w:rPr>
          <w:rFonts w:eastAsia="Calibri" w:cs="Arial"/>
          <w:szCs w:val="22"/>
        </w:rPr>
        <w:lastRenderedPageBreak/>
        <w:t xml:space="preserve">is that they are often unavoidable for low income consumers because the plans that do not include these features have higher monthly costs that low income consumers </w:t>
      </w:r>
      <w:r w:rsidR="00040BF7">
        <w:rPr>
          <w:rFonts w:eastAsia="Calibri" w:cs="Arial"/>
          <w:szCs w:val="22"/>
        </w:rPr>
        <w:t>simply can’t afford</w:t>
      </w:r>
      <w:r w:rsidRPr="00813975">
        <w:rPr>
          <w:rFonts w:eastAsia="Calibri" w:cs="Arial"/>
          <w:szCs w:val="22"/>
        </w:rPr>
        <w:t xml:space="preserve">. </w:t>
      </w:r>
    </w:p>
    <w:p w:rsidR="00DF331B" w:rsidRPr="00000BEE" w:rsidRDefault="00BA232A" w:rsidP="00FD0594">
      <w:pPr>
        <w:pStyle w:val="Heading3"/>
      </w:pPr>
      <w:bookmarkStart w:id="91" w:name="_Toc465167581"/>
      <w:r>
        <w:t>Control in paying bills</w:t>
      </w:r>
      <w:bookmarkEnd w:id="91"/>
    </w:p>
    <w:p w:rsidR="004F2859" w:rsidRDefault="00C7049A" w:rsidP="00FD0594">
      <w:pPr>
        <w:rPr>
          <w:lang w:val="en-US" w:eastAsia="ja-JP"/>
        </w:rPr>
      </w:pPr>
      <w:r>
        <w:rPr>
          <w:lang w:val="en-US" w:eastAsia="ja-JP"/>
        </w:rPr>
        <w:t xml:space="preserve">The bill payment methods preferred by most participants also reflect the need for low income consumers to be able to have as much control as possible over their telecommunications bills. </w:t>
      </w:r>
      <w:r w:rsidR="00F06875">
        <w:rPr>
          <w:lang w:val="en-US" w:eastAsia="ja-JP"/>
        </w:rPr>
        <w:t xml:space="preserve"> </w:t>
      </w:r>
      <w:r w:rsidR="00215D99">
        <w:rPr>
          <w:lang w:val="en-US" w:eastAsia="ja-JP"/>
        </w:rPr>
        <w:t xml:space="preserve">Most </w:t>
      </w:r>
      <w:r w:rsidR="00FE7739">
        <w:rPr>
          <w:lang w:val="en-US" w:eastAsia="ja-JP"/>
        </w:rPr>
        <w:t xml:space="preserve">focus group </w:t>
      </w:r>
      <w:r w:rsidR="00215D99">
        <w:rPr>
          <w:lang w:val="en-US" w:eastAsia="ja-JP"/>
        </w:rPr>
        <w:t xml:space="preserve">participants </w:t>
      </w:r>
      <w:r>
        <w:rPr>
          <w:lang w:val="en-US" w:eastAsia="ja-JP"/>
        </w:rPr>
        <w:t>choose (where given a choice) to pay their</w:t>
      </w:r>
      <w:r w:rsidR="00215D99">
        <w:rPr>
          <w:lang w:val="en-US" w:eastAsia="ja-JP"/>
        </w:rPr>
        <w:t xml:space="preserve"> bill using </w:t>
      </w:r>
      <w:r w:rsidR="00C313BE">
        <w:rPr>
          <w:lang w:val="en-US" w:eastAsia="ja-JP"/>
        </w:rPr>
        <w:t xml:space="preserve">either </w:t>
      </w:r>
      <w:r w:rsidR="00B46E47">
        <w:rPr>
          <w:lang w:val="en-US" w:eastAsia="ja-JP"/>
        </w:rPr>
        <w:t>B</w:t>
      </w:r>
      <w:r w:rsidR="00F422CF">
        <w:rPr>
          <w:lang w:val="en-US" w:eastAsia="ja-JP"/>
        </w:rPr>
        <w:t>PAY</w:t>
      </w:r>
      <w:r w:rsidR="00215D99">
        <w:rPr>
          <w:lang w:val="en-US" w:eastAsia="ja-JP"/>
        </w:rPr>
        <w:t>, a credit card</w:t>
      </w:r>
      <w:r>
        <w:rPr>
          <w:lang w:val="en-US" w:eastAsia="ja-JP"/>
        </w:rPr>
        <w:t xml:space="preserve">, </w:t>
      </w:r>
      <w:r w:rsidR="00215D99">
        <w:rPr>
          <w:lang w:val="en-US" w:eastAsia="ja-JP"/>
        </w:rPr>
        <w:t>buying vouchers from retail outlets</w:t>
      </w:r>
      <w:r>
        <w:rPr>
          <w:lang w:val="en-US" w:eastAsia="ja-JP"/>
        </w:rPr>
        <w:t xml:space="preserve"> or by setting up th</w:t>
      </w:r>
      <w:r w:rsidR="00FE7739">
        <w:rPr>
          <w:lang w:val="en-US" w:eastAsia="ja-JP"/>
        </w:rPr>
        <w:t>eir own automatic payments</w:t>
      </w:r>
      <w:r>
        <w:rPr>
          <w:lang w:val="en-US" w:eastAsia="ja-JP"/>
        </w:rPr>
        <w:t xml:space="preserve"> </w:t>
      </w:r>
      <w:r w:rsidR="00FE7739">
        <w:rPr>
          <w:lang w:val="en-US" w:eastAsia="ja-JP"/>
        </w:rPr>
        <w:t xml:space="preserve">so </w:t>
      </w:r>
      <w:r>
        <w:rPr>
          <w:lang w:val="en-US" w:eastAsia="ja-JP"/>
        </w:rPr>
        <w:t>th</w:t>
      </w:r>
      <w:r w:rsidR="00C313BE">
        <w:rPr>
          <w:lang w:val="en-US" w:eastAsia="ja-JP"/>
        </w:rPr>
        <w:t xml:space="preserve">at they </w:t>
      </w:r>
      <w:r w:rsidR="00B46E47">
        <w:rPr>
          <w:lang w:val="en-US" w:eastAsia="ja-JP"/>
        </w:rPr>
        <w:t xml:space="preserve">(and </w:t>
      </w:r>
      <w:r w:rsidR="00C313BE">
        <w:rPr>
          <w:lang w:val="en-US" w:eastAsia="ja-JP"/>
        </w:rPr>
        <w:t>not the service provider</w:t>
      </w:r>
      <w:r w:rsidR="00B46E47">
        <w:rPr>
          <w:lang w:val="en-US" w:eastAsia="ja-JP"/>
        </w:rPr>
        <w:t>)</w:t>
      </w:r>
      <w:r w:rsidR="00C313BE">
        <w:rPr>
          <w:lang w:val="en-US" w:eastAsia="ja-JP"/>
        </w:rPr>
        <w:t xml:space="preserve"> retain control over when the money is debited</w:t>
      </w:r>
      <w:r>
        <w:rPr>
          <w:lang w:val="en-US" w:eastAsia="ja-JP"/>
        </w:rPr>
        <w:t>.</w:t>
      </w:r>
      <w:r w:rsidR="000D0721">
        <w:rPr>
          <w:lang w:val="en-US" w:eastAsia="ja-JP"/>
        </w:rPr>
        <w:t xml:space="preserve"> </w:t>
      </w:r>
      <w:r>
        <w:rPr>
          <w:lang w:val="en-US" w:eastAsia="ja-JP"/>
        </w:rPr>
        <w:t xml:space="preserve"> </w:t>
      </w:r>
      <w:r w:rsidR="008E0795">
        <w:rPr>
          <w:lang w:val="en-US" w:eastAsia="ja-JP"/>
        </w:rPr>
        <w:t>As participants noted:</w:t>
      </w:r>
    </w:p>
    <w:p w:rsidR="004F2859" w:rsidRPr="00000BEE" w:rsidRDefault="008E0795" w:rsidP="00FD0594">
      <w:pPr>
        <w:spacing w:before="120"/>
        <w:ind w:left="567" w:right="567"/>
        <w:rPr>
          <w:rFonts w:eastAsia="Calibri" w:cs="Arial"/>
        </w:rPr>
      </w:pPr>
      <w:proofErr w:type="gramStart"/>
      <w:r w:rsidRPr="00000BEE">
        <w:rPr>
          <w:rFonts w:eastAsia="Calibri" w:cs="Arial"/>
        </w:rPr>
        <w:t>“I just BPAY [my bills]</w:t>
      </w:r>
      <w:r w:rsidR="004F2859" w:rsidRPr="00000BEE">
        <w:rPr>
          <w:rFonts w:eastAsia="Calibri" w:cs="Arial"/>
        </w:rPr>
        <w:t>.</w:t>
      </w:r>
      <w:proofErr w:type="gramEnd"/>
      <w:r w:rsidR="004F2859" w:rsidRPr="00000BEE">
        <w:rPr>
          <w:rFonts w:eastAsia="Calibri" w:cs="Arial"/>
        </w:rPr>
        <w:t xml:space="preserve">  That’s easy I feel like I’ve still got some control instead of just letting them take the money out</w:t>
      </w:r>
      <w:r w:rsidR="00B46E47">
        <w:rPr>
          <w:rFonts w:eastAsia="Calibri" w:cs="Arial"/>
        </w:rPr>
        <w:t>.</w:t>
      </w:r>
      <w:r w:rsidRPr="00000BEE">
        <w:rPr>
          <w:rFonts w:eastAsia="Calibri" w:cs="Arial"/>
        </w:rPr>
        <w:t>”</w:t>
      </w:r>
    </w:p>
    <w:p w:rsidR="004F2859" w:rsidRPr="00000BEE" w:rsidRDefault="008E0795" w:rsidP="00FD0594">
      <w:pPr>
        <w:spacing w:before="120"/>
        <w:ind w:left="567" w:right="567"/>
        <w:rPr>
          <w:rFonts w:eastAsia="Calibri" w:cs="Arial"/>
        </w:rPr>
      </w:pPr>
      <w:r w:rsidRPr="00000BEE">
        <w:rPr>
          <w:rFonts w:eastAsia="Calibri" w:cs="Arial"/>
        </w:rPr>
        <w:t>“</w:t>
      </w:r>
      <w:r w:rsidR="004F2859" w:rsidRPr="00000BEE">
        <w:rPr>
          <w:rFonts w:eastAsia="Calibri" w:cs="Arial"/>
        </w:rPr>
        <w:t>I would actually prefer to go and buy the slip</w:t>
      </w:r>
      <w:r w:rsidRPr="00000BEE">
        <w:rPr>
          <w:rFonts w:eastAsia="Calibri" w:cs="Arial"/>
        </w:rPr>
        <w:t xml:space="preserve"> thing and do it myself because…</w:t>
      </w:r>
      <w:r w:rsidR="004F2859" w:rsidRPr="00000BEE">
        <w:rPr>
          <w:rFonts w:eastAsia="Calibri" w:cs="Arial"/>
        </w:rPr>
        <w:t>I like to save money where I can, and the banks annoy me with how they make you pay if you have over eight tra</w:t>
      </w:r>
      <w:r w:rsidR="009B157C">
        <w:rPr>
          <w:rFonts w:eastAsia="Calibri" w:cs="Arial"/>
        </w:rPr>
        <w:t>nsactions a month or something.</w:t>
      </w:r>
      <w:r w:rsidRPr="00000BEE">
        <w:rPr>
          <w:rFonts w:eastAsia="Calibri" w:cs="Arial"/>
        </w:rPr>
        <w:t>”</w:t>
      </w:r>
    </w:p>
    <w:p w:rsidR="00257DAE" w:rsidRDefault="00C7049A" w:rsidP="00FD0594">
      <w:pPr>
        <w:rPr>
          <w:lang w:val="en-US" w:eastAsia="ja-JP"/>
        </w:rPr>
      </w:pPr>
      <w:r>
        <w:rPr>
          <w:lang w:val="en-US" w:eastAsia="ja-JP"/>
        </w:rPr>
        <w:t>Very few expressed a preference for</w:t>
      </w:r>
      <w:r w:rsidR="000E53E0">
        <w:rPr>
          <w:lang w:val="en-US" w:eastAsia="ja-JP"/>
        </w:rPr>
        <w:t xml:space="preserve"> direct debit, fearing, and in some cases experiencing</w:t>
      </w:r>
      <w:r>
        <w:rPr>
          <w:lang w:val="en-US" w:eastAsia="ja-JP"/>
        </w:rPr>
        <w:t>,</w:t>
      </w:r>
      <w:r w:rsidR="000E53E0">
        <w:rPr>
          <w:lang w:val="en-US" w:eastAsia="ja-JP"/>
        </w:rPr>
        <w:t xml:space="preserve"> money being deducted from their bank account</w:t>
      </w:r>
      <w:r>
        <w:rPr>
          <w:lang w:val="en-US" w:eastAsia="ja-JP"/>
        </w:rPr>
        <w:t xml:space="preserve"> before they have</w:t>
      </w:r>
      <w:r w:rsidR="000E53E0">
        <w:rPr>
          <w:lang w:val="en-US" w:eastAsia="ja-JP"/>
        </w:rPr>
        <w:t xml:space="preserve"> funds available to pay </w:t>
      </w:r>
      <w:r>
        <w:rPr>
          <w:lang w:val="en-US" w:eastAsia="ja-JP"/>
        </w:rPr>
        <w:t>their bill and then incurring extra fees and charges from their</w:t>
      </w:r>
      <w:r w:rsidR="00C313BE">
        <w:rPr>
          <w:lang w:val="en-US" w:eastAsia="ja-JP"/>
        </w:rPr>
        <w:t xml:space="preserve"> service provider </w:t>
      </w:r>
      <w:r>
        <w:rPr>
          <w:lang w:val="en-US" w:eastAsia="ja-JP"/>
        </w:rPr>
        <w:t xml:space="preserve">or banks. </w:t>
      </w:r>
      <w:r w:rsidR="000D0721">
        <w:rPr>
          <w:lang w:val="en-US" w:eastAsia="ja-JP"/>
        </w:rPr>
        <w:t xml:space="preserve"> </w:t>
      </w:r>
      <w:r w:rsidR="008E0795">
        <w:rPr>
          <w:lang w:val="en-US" w:eastAsia="ja-JP"/>
        </w:rPr>
        <w:t>As participants noted:</w:t>
      </w:r>
    </w:p>
    <w:p w:rsidR="00931EDF" w:rsidRPr="00E70272" w:rsidRDefault="008E0795" w:rsidP="00FD0594">
      <w:pPr>
        <w:spacing w:before="120"/>
        <w:ind w:left="567" w:right="567"/>
        <w:rPr>
          <w:rFonts w:eastAsia="Calibri" w:cs="Arial"/>
        </w:rPr>
      </w:pPr>
      <w:r w:rsidRPr="008E0795">
        <w:rPr>
          <w:rFonts w:eastAsia="Calibri" w:cs="Arial"/>
        </w:rPr>
        <w:t>“</w:t>
      </w:r>
      <w:r w:rsidR="00931EDF" w:rsidRPr="00E70272">
        <w:rPr>
          <w:rFonts w:eastAsia="Calibri" w:cs="Arial"/>
        </w:rPr>
        <w:t>I like to pay it</w:t>
      </w:r>
      <w:r w:rsidRPr="008E0795">
        <w:rPr>
          <w:rFonts w:eastAsia="Calibri" w:cs="Arial"/>
        </w:rPr>
        <w:t xml:space="preserve"> [via bank transfer]</w:t>
      </w:r>
      <w:r w:rsidR="00931EDF" w:rsidRPr="00E70272">
        <w:rPr>
          <w:rFonts w:eastAsia="Calibri" w:cs="Arial"/>
        </w:rPr>
        <w:t xml:space="preserve"> because that way I’m in control of when I’ve got the money.  I might not have the $30 sitting in my bank account when they go to make that direct debit… and if I don’t have it in there, well, some organisations will charge you a dishonour fee ... and then it starts racking up and then you end up paying</w:t>
      </w:r>
      <w:r w:rsidRPr="008E0795">
        <w:rPr>
          <w:rFonts w:eastAsia="Calibri" w:cs="Arial"/>
        </w:rPr>
        <w:t xml:space="preserve"> [more]… </w:t>
      </w:r>
      <w:r w:rsidR="00931EDF" w:rsidRPr="00E70272">
        <w:rPr>
          <w:rFonts w:eastAsia="Calibri" w:cs="Arial"/>
        </w:rPr>
        <w:t>get the overdrawn fees from the bank</w:t>
      </w:r>
      <w:r w:rsidR="00B46E47">
        <w:rPr>
          <w:rFonts w:eastAsia="Calibri" w:cs="Arial"/>
        </w:rPr>
        <w:t>.</w:t>
      </w:r>
      <w:r w:rsidRPr="008E0795">
        <w:rPr>
          <w:rFonts w:eastAsia="Calibri" w:cs="Arial"/>
        </w:rPr>
        <w:t>”</w:t>
      </w:r>
    </w:p>
    <w:p w:rsidR="007B4E9A" w:rsidRPr="008E0795" w:rsidRDefault="007B4E9A" w:rsidP="00FD0594">
      <w:pPr>
        <w:spacing w:before="120"/>
        <w:ind w:left="567" w:right="567"/>
        <w:rPr>
          <w:rFonts w:eastAsia="Calibri" w:cs="Arial"/>
        </w:rPr>
      </w:pPr>
      <w:r>
        <w:rPr>
          <w:rFonts w:eastAsia="Calibri" w:cs="Arial"/>
        </w:rPr>
        <w:t>“</w:t>
      </w:r>
      <w:r w:rsidRPr="007B4E9A">
        <w:rPr>
          <w:rFonts w:eastAsia="Calibri" w:cs="Arial"/>
        </w:rPr>
        <w:t>if you’re getting a dishonour fee every time that happens and it’s like, what, $9 a pop, if they do that like every day and you don’t get paid for like half a week, that’s like $28-$30 straight to the bank for a dishonour fee</w:t>
      </w:r>
      <w:r w:rsidR="00B46E47">
        <w:rPr>
          <w:rFonts w:eastAsia="Calibri" w:cs="Arial"/>
        </w:rPr>
        <w:t>.</w:t>
      </w:r>
      <w:r>
        <w:rPr>
          <w:rFonts w:eastAsia="Calibri" w:cs="Arial"/>
        </w:rPr>
        <w:t>”</w:t>
      </w:r>
    </w:p>
    <w:p w:rsidR="004D5EAB" w:rsidRDefault="009B157C" w:rsidP="00FD0594">
      <w:pPr>
        <w:rPr>
          <w:lang w:val="en-US" w:eastAsia="ja-JP"/>
        </w:rPr>
      </w:pPr>
      <w:r>
        <w:rPr>
          <w:lang w:val="en-US" w:eastAsia="ja-JP"/>
        </w:rPr>
        <w:t xml:space="preserve">Despite such preferences, </w:t>
      </w:r>
      <w:r w:rsidR="004D5EAB">
        <w:rPr>
          <w:lang w:val="en-US" w:eastAsia="ja-JP"/>
        </w:rPr>
        <w:t xml:space="preserve">not all participants were given a choice by their service provider in how they could pay their bills. </w:t>
      </w:r>
      <w:r w:rsidR="000D0721">
        <w:rPr>
          <w:lang w:val="en-US" w:eastAsia="ja-JP"/>
        </w:rPr>
        <w:t xml:space="preserve"> </w:t>
      </w:r>
      <w:r w:rsidR="004D5EAB">
        <w:rPr>
          <w:lang w:val="en-US" w:eastAsia="ja-JP"/>
        </w:rPr>
        <w:t>Some providers require all customers to pay using direct debit</w:t>
      </w:r>
      <w:r>
        <w:rPr>
          <w:lang w:val="en-US" w:eastAsia="ja-JP"/>
        </w:rPr>
        <w:t xml:space="preserve"> and this is a real issue as it undermines consumer sovereignty and can end up costing low income consumers considerably more. This is particularly the case, as we shall see below, when coupled with other difficult requirements like a 28 day billing cycle.</w:t>
      </w:r>
    </w:p>
    <w:p w:rsidR="00957AC2" w:rsidRDefault="009B157C" w:rsidP="00FD0594">
      <w:pPr>
        <w:pStyle w:val="Heading3"/>
      </w:pPr>
      <w:bookmarkStart w:id="92" w:name="_Toc465167582"/>
      <w:r>
        <w:lastRenderedPageBreak/>
        <w:t>The</w:t>
      </w:r>
      <w:r w:rsidR="003F48D1">
        <w:t xml:space="preserve"> </w:t>
      </w:r>
      <w:r>
        <w:t>28 day ‘month’ billing cycle</w:t>
      </w:r>
      <w:bookmarkEnd w:id="92"/>
    </w:p>
    <w:p w:rsidR="004952A5" w:rsidRPr="004952A5" w:rsidRDefault="007657E4" w:rsidP="00FD0594">
      <w:pPr>
        <w:rPr>
          <w:rFonts w:eastAsia="Calibri" w:cs="Arial"/>
        </w:rPr>
      </w:pPr>
      <w:r>
        <w:t>Generally</w:t>
      </w:r>
      <w:r w:rsidR="0070344D">
        <w:t>,</w:t>
      </w:r>
      <w:r>
        <w:t xml:space="preserve"> </w:t>
      </w:r>
      <w:r w:rsidR="009B157C">
        <w:t>the focus group participants</w:t>
      </w:r>
      <w:r>
        <w:t xml:space="preserve"> </w:t>
      </w:r>
      <w:r w:rsidR="0070344D">
        <w:t>who</w:t>
      </w:r>
      <w:r>
        <w:t xml:space="preserve"> paid their bills per calendar month through a payment method of </w:t>
      </w:r>
      <w:r w:rsidR="00D44173">
        <w:t xml:space="preserve">their own choosing </w:t>
      </w:r>
      <w:r>
        <w:t xml:space="preserve">were </w:t>
      </w:r>
      <w:r w:rsidR="004952A5">
        <w:t xml:space="preserve">most </w:t>
      </w:r>
      <w:r>
        <w:t xml:space="preserve">satisfied with their billing arrangements. </w:t>
      </w:r>
      <w:r w:rsidR="0024299D">
        <w:t xml:space="preserve"> </w:t>
      </w:r>
      <w:r>
        <w:t xml:space="preserve">However some participants were forced to pay their bills </w:t>
      </w:r>
      <w:r w:rsidR="009B157C">
        <w:t>on</w:t>
      </w:r>
      <w:r w:rsidR="00E66DBB">
        <w:t xml:space="preserve"> a</w:t>
      </w:r>
      <w:r w:rsidR="009B157C">
        <w:t xml:space="preserve"> 28 day ‘month’ billing cycle</w:t>
      </w:r>
      <w:r w:rsidR="0047757C">
        <w:t>, making</w:t>
      </w:r>
      <w:r w:rsidR="00300583">
        <w:t xml:space="preserve"> it difficult for them to keep track of when their bill is due </w:t>
      </w:r>
      <w:r w:rsidR="00F06875">
        <w:t>because</w:t>
      </w:r>
      <w:r w:rsidR="00300583">
        <w:t xml:space="preserve"> it </w:t>
      </w:r>
      <w:r w:rsidR="0070344D">
        <w:t>fell</w:t>
      </w:r>
      <w:r w:rsidR="00300583">
        <w:t xml:space="preserve"> on a different day each month</w:t>
      </w:r>
      <w:r w:rsidR="00A60C58">
        <w:t>:</w:t>
      </w:r>
      <w:r w:rsidR="00300583">
        <w:t xml:space="preserve"> </w:t>
      </w:r>
    </w:p>
    <w:p w:rsidR="004952A5" w:rsidRPr="004952A5" w:rsidRDefault="004952A5" w:rsidP="00FD0594">
      <w:pPr>
        <w:spacing w:before="120"/>
        <w:ind w:left="567" w:right="567"/>
        <w:rPr>
          <w:rFonts w:eastAsia="Calibri" w:cs="Arial"/>
        </w:rPr>
      </w:pPr>
      <w:r w:rsidRPr="004952A5">
        <w:rPr>
          <w:rFonts w:eastAsia="Calibri" w:cs="Arial"/>
        </w:rPr>
        <w:t>“I think I’d probably prefer calendar month…Easier to maintain and take, first of every month rather than it being the 4th and then the 6</w:t>
      </w:r>
      <w:r w:rsidR="00300583" w:rsidRPr="00300583">
        <w:rPr>
          <w:rFonts w:eastAsia="Calibri" w:cs="Arial"/>
          <w:vertAlign w:val="superscript"/>
        </w:rPr>
        <w:t>th</w:t>
      </w:r>
      <w:r w:rsidR="00300583">
        <w:rPr>
          <w:rFonts w:eastAsia="Calibri" w:cs="Arial"/>
        </w:rPr>
        <w:t>.</w:t>
      </w:r>
      <w:r w:rsidRPr="004952A5">
        <w:rPr>
          <w:rFonts w:eastAsia="Calibri" w:cs="Arial"/>
        </w:rPr>
        <w:t>”</w:t>
      </w:r>
    </w:p>
    <w:p w:rsidR="004952A5" w:rsidRPr="004952A5" w:rsidRDefault="008D00EB" w:rsidP="00FD0594">
      <w:pPr>
        <w:spacing w:before="120"/>
        <w:ind w:left="567" w:right="567"/>
        <w:rPr>
          <w:rFonts w:eastAsia="Calibri" w:cs="Arial"/>
        </w:rPr>
      </w:pPr>
      <w:r>
        <w:rPr>
          <w:rFonts w:eastAsia="Calibri" w:cs="Arial"/>
        </w:rPr>
        <w:t>“</w:t>
      </w:r>
      <w:r w:rsidR="004952A5" w:rsidRPr="004952A5">
        <w:rPr>
          <w:rFonts w:eastAsia="Calibri" w:cs="Arial"/>
        </w:rPr>
        <w:t>Yeah, that annoys me.  Like, “Pa</w:t>
      </w:r>
      <w:r w:rsidR="00CE116B">
        <w:rPr>
          <w:rFonts w:eastAsia="Calibri" w:cs="Arial"/>
        </w:rPr>
        <w:t xml:space="preserve">y by the month every 28 days” … </w:t>
      </w:r>
      <w:r w:rsidR="004952A5" w:rsidRPr="004952A5">
        <w:rPr>
          <w:rFonts w:eastAsia="Calibri" w:cs="Arial"/>
        </w:rPr>
        <w:t>So you actually end up paying for an extra month…. Are we living in February all the time now?</w:t>
      </w:r>
      <w:r w:rsidR="00A60C58">
        <w:rPr>
          <w:rFonts w:eastAsia="Calibri" w:cs="Arial"/>
        </w:rPr>
        <w:t>”</w:t>
      </w:r>
      <w:r w:rsidR="004952A5" w:rsidRPr="004952A5">
        <w:rPr>
          <w:rFonts w:eastAsia="Calibri" w:cs="Arial"/>
        </w:rPr>
        <w:t xml:space="preserve">  </w:t>
      </w:r>
    </w:p>
    <w:p w:rsidR="00BC0964" w:rsidRPr="004952A5" w:rsidRDefault="00300583" w:rsidP="00FD0594">
      <w:pPr>
        <w:spacing w:before="120"/>
        <w:ind w:right="567"/>
        <w:rPr>
          <w:rFonts w:eastAsia="Calibri" w:cs="Arial"/>
        </w:rPr>
      </w:pPr>
      <w:r>
        <w:rPr>
          <w:rFonts w:eastAsia="Calibri" w:cs="Arial"/>
        </w:rPr>
        <w:t>Apart from just convenience or concern over an “extra month” (which is really that the cost is more than it first appears), the 28 day cycle is particularly problematic when coupled with a requirement to pay by direct debit</w:t>
      </w:r>
      <w:r w:rsidR="00A60C58">
        <w:rPr>
          <w:rFonts w:eastAsia="Calibri" w:cs="Arial"/>
        </w:rPr>
        <w:t>:</w:t>
      </w:r>
    </w:p>
    <w:p w:rsidR="00BC0964" w:rsidRPr="004952A5" w:rsidRDefault="00BC0964" w:rsidP="00FD0594">
      <w:pPr>
        <w:spacing w:before="120"/>
        <w:ind w:left="567" w:right="567"/>
        <w:rPr>
          <w:rFonts w:eastAsia="Calibri" w:cs="Arial"/>
        </w:rPr>
      </w:pPr>
      <w:r w:rsidRPr="004952A5">
        <w:rPr>
          <w:rFonts w:eastAsia="Calibri" w:cs="Arial"/>
        </w:rPr>
        <w:t>“</w:t>
      </w:r>
      <w:r w:rsidR="004952A5">
        <w:rPr>
          <w:rFonts w:eastAsia="Calibri" w:cs="Arial"/>
        </w:rPr>
        <w:t>[28 day month]</w:t>
      </w:r>
      <w:r w:rsidRPr="004952A5">
        <w:rPr>
          <w:rFonts w:eastAsia="Calibri" w:cs="Arial"/>
        </w:rPr>
        <w:t xml:space="preserve"> makes predicting the bill a little bit more difficult if I’m running low, having to move money around or something.  </w:t>
      </w:r>
      <w:proofErr w:type="gramStart"/>
      <w:r w:rsidRPr="004952A5">
        <w:rPr>
          <w:rFonts w:eastAsia="Calibri" w:cs="Arial"/>
        </w:rPr>
        <w:t>Could get caught out.</w:t>
      </w:r>
      <w:proofErr w:type="gramEnd"/>
      <w:r w:rsidRPr="004952A5">
        <w:rPr>
          <w:rFonts w:eastAsia="Calibri" w:cs="Arial"/>
        </w:rPr>
        <w:t xml:space="preserve">  But also it just makes the maths harder to do to figure out what it’s going to cost me</w:t>
      </w:r>
      <w:r w:rsidR="00A60C58">
        <w:rPr>
          <w:rFonts w:eastAsia="Calibri" w:cs="Arial"/>
        </w:rPr>
        <w:t>.</w:t>
      </w:r>
      <w:r w:rsidR="004952A5">
        <w:rPr>
          <w:rFonts w:eastAsia="Calibri" w:cs="Arial"/>
        </w:rPr>
        <w:t>”</w:t>
      </w:r>
    </w:p>
    <w:p w:rsidR="004952A5" w:rsidRPr="008D00EB" w:rsidRDefault="004952A5" w:rsidP="00FD0594">
      <w:pPr>
        <w:spacing w:before="120"/>
        <w:ind w:left="567" w:right="567"/>
        <w:rPr>
          <w:rFonts w:eastAsia="Calibri" w:cs="Arial"/>
        </w:rPr>
      </w:pPr>
      <w:r>
        <w:rPr>
          <w:rFonts w:eastAsia="Calibri" w:cs="Arial"/>
        </w:rPr>
        <w:t>“</w:t>
      </w:r>
      <w:r w:rsidR="00BC0964" w:rsidRPr="004952A5">
        <w:rPr>
          <w:rFonts w:eastAsia="Calibri" w:cs="Arial"/>
        </w:rPr>
        <w:t>You can easily</w:t>
      </w:r>
      <w:r>
        <w:rPr>
          <w:rFonts w:eastAsia="Calibri" w:cs="Arial"/>
        </w:rPr>
        <w:t xml:space="preserve"> miss the fact that it</w:t>
      </w:r>
      <w:r w:rsidR="00A60C58">
        <w:rPr>
          <w:rFonts w:eastAsia="Calibri" w:cs="Arial"/>
        </w:rPr>
        <w:t>’</w:t>
      </w:r>
      <w:r>
        <w:rPr>
          <w:rFonts w:eastAsia="Calibri" w:cs="Arial"/>
        </w:rPr>
        <w:t>s 28 days</w:t>
      </w:r>
      <w:r w:rsidR="00A60C58">
        <w:rPr>
          <w:rFonts w:eastAsia="Calibri" w:cs="Arial"/>
        </w:rPr>
        <w:t>.</w:t>
      </w:r>
      <w:r>
        <w:rPr>
          <w:rFonts w:eastAsia="Calibri" w:cs="Arial"/>
        </w:rPr>
        <w:t>”</w:t>
      </w:r>
    </w:p>
    <w:p w:rsidR="00E66DBB" w:rsidRDefault="004B5063" w:rsidP="00FD0594">
      <w:r>
        <w:t xml:space="preserve">As low income consumers are less likely to have a savings buffer in their bank account, they are </w:t>
      </w:r>
      <w:r w:rsidR="0079679A">
        <w:t xml:space="preserve">at greater risk of </w:t>
      </w:r>
      <w:r>
        <w:t>not hav</w:t>
      </w:r>
      <w:r w:rsidR="00A60C58">
        <w:t>ing</w:t>
      </w:r>
      <w:r>
        <w:t xml:space="preserve"> the money in their account to pay their bill if they forget or mistake when it is due. </w:t>
      </w:r>
      <w:r w:rsidR="00300583">
        <w:t xml:space="preserve"> As noted above, this in turn can result in paying late fees or dishonour fees</w:t>
      </w:r>
      <w:r w:rsidR="00A60C58">
        <w:t>:</w:t>
      </w:r>
    </w:p>
    <w:p w:rsidR="004952A5" w:rsidRPr="004952A5" w:rsidRDefault="004952A5" w:rsidP="00FD0594">
      <w:pPr>
        <w:spacing w:before="120"/>
        <w:ind w:left="567" w:right="567"/>
        <w:rPr>
          <w:rFonts w:eastAsia="Calibri" w:cs="Arial"/>
        </w:rPr>
      </w:pPr>
      <w:r>
        <w:rPr>
          <w:rFonts w:eastAsia="Calibri" w:cs="Arial"/>
        </w:rPr>
        <w:t>“</w:t>
      </w:r>
      <w:r w:rsidRPr="004952A5">
        <w:rPr>
          <w:rFonts w:eastAsia="Calibri" w:cs="Arial"/>
        </w:rPr>
        <w:t>I wasn’t sure exactly what day I needed to get the money into my account so I’d get a bit of cash and then forget to put it in on the particular day and it would bounce.  So it would bounce and then try again like a few days later and hopefully I’d noticed that transaction on my phone but sometimes I wouldn’t and it would bounce again</w:t>
      </w:r>
      <w:r w:rsidR="00A60C58">
        <w:rPr>
          <w:rFonts w:eastAsia="Calibri" w:cs="Arial"/>
        </w:rPr>
        <w:t>.</w:t>
      </w:r>
      <w:r>
        <w:rPr>
          <w:rFonts w:eastAsia="Calibri" w:cs="Arial"/>
        </w:rPr>
        <w:t>”</w:t>
      </w:r>
    </w:p>
    <w:p w:rsidR="00E66DBB" w:rsidRDefault="00300583" w:rsidP="00FD0594">
      <w:r>
        <w:t>The 28 day bill cycle exacerbates the problems with direct debiting and</w:t>
      </w:r>
      <w:r w:rsidR="004B5063">
        <w:t xml:space="preserve"> can end up costing low income consumers more money on their mobile phone bills than they had </w:t>
      </w:r>
      <w:r w:rsidR="0079679A">
        <w:t xml:space="preserve">originally </w:t>
      </w:r>
      <w:r w:rsidR="004B5063">
        <w:t xml:space="preserve">budgeted for, causing stress and </w:t>
      </w:r>
      <w:r w:rsidR="0079679A">
        <w:t>forcing them to sacrifice</w:t>
      </w:r>
      <w:r w:rsidR="004B5063">
        <w:t xml:space="preserve"> other items to pay their bill</w:t>
      </w:r>
      <w:r w:rsidR="00A60C58">
        <w:t>:</w:t>
      </w:r>
      <w:r w:rsidR="004B5063">
        <w:t xml:space="preserve"> </w:t>
      </w:r>
    </w:p>
    <w:p w:rsidR="00300583" w:rsidRPr="00957AC2" w:rsidRDefault="004952A5" w:rsidP="00FD0594">
      <w:pPr>
        <w:spacing w:before="120"/>
        <w:ind w:left="567" w:right="567"/>
        <w:rPr>
          <w:rFonts w:ascii="Calibri" w:eastAsia="Calibri" w:hAnsi="Calibri" w:cs="Calibri"/>
          <w:sz w:val="24"/>
          <w:szCs w:val="24"/>
        </w:rPr>
      </w:pPr>
      <w:r w:rsidRPr="00923A44">
        <w:rPr>
          <w:rFonts w:eastAsia="Calibri" w:cs="Arial"/>
        </w:rPr>
        <w:t xml:space="preserve">“And when I’d realised that I’d forgotten, which </w:t>
      </w:r>
      <w:proofErr w:type="gramStart"/>
      <w:r w:rsidRPr="00923A44">
        <w:rPr>
          <w:rFonts w:eastAsia="Calibri" w:cs="Arial"/>
        </w:rPr>
        <w:t>was my payday, no money in the bank</w:t>
      </w:r>
      <w:proofErr w:type="gramEnd"/>
      <w:r w:rsidRPr="00923A44">
        <w:rPr>
          <w:rFonts w:eastAsia="Calibri" w:cs="Arial"/>
        </w:rPr>
        <w:t>.  I had stuff, payments coming out of my account, so I had to get online and call the bank, get them to put holds on everything for me.  Then I had to ring Centrelink, explain my situation to the…But it’s been really stressful and I was close to hitting the wall, to be quite honest</w:t>
      </w:r>
      <w:r w:rsidR="00A60C58">
        <w:rPr>
          <w:rFonts w:eastAsia="Calibri" w:cs="Arial"/>
        </w:rPr>
        <w:t>.</w:t>
      </w:r>
      <w:r w:rsidRPr="00923A44">
        <w:rPr>
          <w:rFonts w:eastAsia="Calibri" w:cs="Arial"/>
        </w:rPr>
        <w:t>”</w:t>
      </w:r>
    </w:p>
    <w:p w:rsidR="00850BDB" w:rsidRDefault="00370CE2" w:rsidP="00FD0594">
      <w:pPr>
        <w:spacing w:before="120"/>
        <w:ind w:left="567" w:right="567"/>
        <w:rPr>
          <w:rFonts w:eastAsia="Calibri" w:cs="Arial"/>
        </w:rPr>
      </w:pPr>
      <w:r>
        <w:rPr>
          <w:rFonts w:eastAsia="Calibri" w:cs="Arial"/>
        </w:rPr>
        <w:lastRenderedPageBreak/>
        <w:t>“</w:t>
      </w:r>
      <w:r w:rsidRPr="006722DD">
        <w:rPr>
          <w:rFonts w:eastAsia="Calibri" w:cs="Arial"/>
        </w:rPr>
        <w:t xml:space="preserve">I had a situation where there was only another five dollars left and I didn’t pay that, and then I got $15 on top of the five dollars for not paying </w:t>
      </w:r>
      <w:proofErr w:type="gramStart"/>
      <w:r w:rsidRPr="006722DD">
        <w:rPr>
          <w:rFonts w:eastAsia="Calibri" w:cs="Arial"/>
        </w:rPr>
        <w:t>that</w:t>
      </w:r>
      <w:proofErr w:type="gramEnd"/>
      <w:r w:rsidRPr="006722DD">
        <w:rPr>
          <w:rFonts w:eastAsia="Calibri" w:cs="Arial"/>
        </w:rPr>
        <w:t xml:space="preserve"> five dollars.  To me, I paid the main part of the, 99% of the bill but because that five dollars was there they charged me </w:t>
      </w:r>
      <w:r>
        <w:rPr>
          <w:rFonts w:eastAsia="Calibri" w:cs="Arial"/>
        </w:rPr>
        <w:t>$</w:t>
      </w:r>
      <w:r w:rsidRPr="006722DD">
        <w:rPr>
          <w:rFonts w:eastAsia="Calibri" w:cs="Arial"/>
        </w:rPr>
        <w:t>15</w:t>
      </w:r>
      <w:r w:rsidR="00496186">
        <w:rPr>
          <w:rFonts w:eastAsia="Calibri" w:cs="Arial"/>
        </w:rPr>
        <w:t>.</w:t>
      </w:r>
      <w:r>
        <w:rPr>
          <w:rFonts w:eastAsia="Calibri" w:cs="Arial"/>
        </w:rPr>
        <w:t>”</w:t>
      </w:r>
    </w:p>
    <w:p w:rsidR="00923A44" w:rsidRPr="00923A44" w:rsidRDefault="00530288" w:rsidP="00FD0594">
      <w:r>
        <w:t xml:space="preserve">As indicated above this forced billing arrangement is most common with mobile phone plans that tend to be more attractive to low income consumers for their </w:t>
      </w:r>
      <w:r w:rsidR="009B157C">
        <w:t xml:space="preserve">more </w:t>
      </w:r>
      <w:r>
        <w:t xml:space="preserve">generous included data value and lower monthly cost, such as the plans offered by </w:t>
      </w:r>
      <w:r w:rsidR="00496186">
        <w:t>A</w:t>
      </w:r>
      <w:r>
        <w:t xml:space="preserve">maysim (3GB for </w:t>
      </w:r>
      <w:r w:rsidR="0059174E">
        <w:t>$</w:t>
      </w:r>
      <w:r>
        <w:t xml:space="preserve">29.90/28 days or 7GB for </w:t>
      </w:r>
      <w:r w:rsidR="0059174E">
        <w:t>$</w:t>
      </w:r>
      <w:r>
        <w:t>39.90/28 days)</w:t>
      </w:r>
      <w:r w:rsidR="00496186">
        <w:t>:</w:t>
      </w:r>
      <w:r>
        <w:t xml:space="preserve"> </w:t>
      </w:r>
    </w:p>
    <w:p w:rsidR="00923A44" w:rsidRPr="004952A5" w:rsidRDefault="00923A44" w:rsidP="00FD0594">
      <w:pPr>
        <w:spacing w:before="120"/>
        <w:ind w:left="567" w:right="567"/>
        <w:rPr>
          <w:rFonts w:eastAsia="Calibri" w:cs="Arial"/>
        </w:rPr>
      </w:pPr>
      <w:r>
        <w:rPr>
          <w:rFonts w:eastAsia="Calibri" w:cs="Arial"/>
        </w:rPr>
        <w:t>“</w:t>
      </w:r>
      <w:r w:rsidRPr="004952A5">
        <w:rPr>
          <w:rFonts w:eastAsia="Calibri" w:cs="Arial"/>
        </w:rPr>
        <w:t xml:space="preserve">Amaysim like does an auto update and tries to do a direct debit every 28 days, which stuffs me up sometimes because I don’t always keep track, and I get paid on a Wednesday one week and a Thursday the next week, and then it just, yeah, I always get stuffed around.  So I’m usually a couple of days without credit, like that happens </w:t>
      </w:r>
      <w:r>
        <w:rPr>
          <w:rFonts w:eastAsia="Calibri" w:cs="Arial"/>
        </w:rPr>
        <w:t>probably every couple of months</w:t>
      </w:r>
      <w:r w:rsidR="00496186">
        <w:rPr>
          <w:rFonts w:eastAsia="Calibri" w:cs="Arial"/>
        </w:rPr>
        <w:t>.</w:t>
      </w:r>
      <w:r>
        <w:rPr>
          <w:rFonts w:eastAsia="Calibri" w:cs="Arial"/>
        </w:rPr>
        <w:t>”</w:t>
      </w:r>
    </w:p>
    <w:p w:rsidR="00EB4D38" w:rsidRDefault="00530288" w:rsidP="00FD0594">
      <w:r>
        <w:t xml:space="preserve">This places low income consumers with a </w:t>
      </w:r>
      <w:r w:rsidR="00E66DBB">
        <w:t>difficult</w:t>
      </w:r>
      <w:r>
        <w:t xml:space="preserve"> choice between plans that give them better value for money with the standard ‘monthly’ </w:t>
      </w:r>
      <w:r w:rsidR="00E66DBB">
        <w:t xml:space="preserve">cost </w:t>
      </w:r>
      <w:r>
        <w:t xml:space="preserve">but come with risks of paying extra fees and charges, or less generous plans </w:t>
      </w:r>
      <w:r w:rsidR="00E66DBB">
        <w:t xml:space="preserve">but </w:t>
      </w:r>
      <w:r>
        <w:t>with</w:t>
      </w:r>
      <w:r w:rsidR="00E66DBB">
        <w:t xml:space="preserve"> more suitable billing arrangements</w:t>
      </w:r>
      <w:r>
        <w:t xml:space="preserve">.  </w:t>
      </w:r>
      <w:r w:rsidR="00923A44">
        <w:t>E</w:t>
      </w:r>
      <w:r>
        <w:t xml:space="preserve">ither </w:t>
      </w:r>
      <w:r w:rsidR="00E66DBB">
        <w:t>way</w:t>
      </w:r>
      <w:r w:rsidR="008D00EB">
        <w:t xml:space="preserve">, low income consumers </w:t>
      </w:r>
      <w:r w:rsidR="00496186">
        <w:t>are more likely to</w:t>
      </w:r>
      <w:r w:rsidR="008D00EB">
        <w:t xml:space="preserve"> end up with a plan </w:t>
      </w:r>
      <w:r w:rsidR="0070344D">
        <w:t>with</w:t>
      </w:r>
      <w:r w:rsidR="00923A44">
        <w:t xml:space="preserve"> feature</w:t>
      </w:r>
      <w:r w:rsidR="0070344D">
        <w:t>s</w:t>
      </w:r>
      <w:r w:rsidR="00923A44">
        <w:t xml:space="preserve"> that hinder</w:t>
      </w:r>
      <w:r w:rsidR="00E66DBB">
        <w:t xml:space="preserve"> </w:t>
      </w:r>
      <w:r w:rsidR="008D00EB">
        <w:t xml:space="preserve">the affordability of their telecommunications. </w:t>
      </w:r>
    </w:p>
    <w:p w:rsidR="009B157C" w:rsidRDefault="009B157C" w:rsidP="00FD0594">
      <w:r>
        <w:t xml:space="preserve">Given this, we believe that </w:t>
      </w:r>
      <w:r w:rsidRPr="009B157C">
        <w:rPr>
          <w:b/>
        </w:rPr>
        <w:t xml:space="preserve">it should be mandatory as part of the </w:t>
      </w:r>
      <w:r w:rsidRPr="009B157C">
        <w:rPr>
          <w:b/>
          <w:i/>
        </w:rPr>
        <w:t>Telecommunications Consumer Protections Code</w:t>
      </w:r>
      <w:r w:rsidRPr="009B157C">
        <w:rPr>
          <w:b/>
        </w:rPr>
        <w:t xml:space="preserve"> that service providers allow a choice of payment methods on every plan – </w:t>
      </w:r>
      <w:r w:rsidRPr="00B14217">
        <w:rPr>
          <w:b/>
        </w:rPr>
        <w:t>probably</w:t>
      </w:r>
      <w:r w:rsidRPr="009B157C">
        <w:rPr>
          <w:b/>
        </w:rPr>
        <w:t xml:space="preserve"> for all customers, but at a minimum for low income consumers.</w:t>
      </w:r>
    </w:p>
    <w:p w:rsidR="007211F8" w:rsidRDefault="009B157C" w:rsidP="00FD0594">
      <w:pPr>
        <w:pStyle w:val="Heading3"/>
      </w:pPr>
      <w:bookmarkStart w:id="93" w:name="_Toc465167583"/>
      <w:r>
        <w:t>L</w:t>
      </w:r>
      <w:r w:rsidR="00946DC4">
        <w:t>ock</w:t>
      </w:r>
      <w:r w:rsidR="00496186">
        <w:t>-</w:t>
      </w:r>
      <w:r w:rsidR="00946DC4">
        <w:t>in contracts and</w:t>
      </w:r>
      <w:r w:rsidR="007211F8">
        <w:t xml:space="preserve"> high exit fees</w:t>
      </w:r>
      <w:bookmarkEnd w:id="93"/>
      <w:r w:rsidR="00946DC4">
        <w:t xml:space="preserve"> </w:t>
      </w:r>
    </w:p>
    <w:p w:rsidR="009B157C" w:rsidRDefault="009B157C" w:rsidP="00FD0594">
      <w:pPr>
        <w:spacing w:before="120"/>
        <w:ind w:right="567"/>
      </w:pPr>
      <w:r>
        <w:t xml:space="preserve">The other plan feature that limits consumer choice and causes problems for low income households is long lock in contracts with high early termination (“exit”) fees.  </w:t>
      </w:r>
    </w:p>
    <w:p w:rsidR="009B157C" w:rsidRDefault="009B157C" w:rsidP="00FD0594">
      <w:pPr>
        <w:spacing w:before="120"/>
        <w:ind w:right="567"/>
      </w:pPr>
      <w:r>
        <w:rPr>
          <w:rFonts w:eastAsia="Calibri" w:cs="Arial"/>
        </w:rPr>
        <w:t xml:space="preserve">The </w:t>
      </w:r>
      <w:r w:rsidRPr="009B157C">
        <w:rPr>
          <w:rFonts w:eastAsia="Calibri" w:cs="Arial"/>
          <w:i/>
        </w:rPr>
        <w:t>Telecommunications Consumer Protections Code</w:t>
      </w:r>
      <w:r>
        <w:rPr>
          <w:rFonts w:eastAsia="Calibri" w:cs="Arial"/>
        </w:rPr>
        <w:t xml:space="preserve"> requires that customers be told at the time of signing up about any early termination fees </w:t>
      </w:r>
      <w:sdt>
        <w:sdtPr>
          <w:rPr>
            <w:rFonts w:eastAsia="Calibri" w:cs="Arial"/>
          </w:rPr>
          <w:id w:val="977417479"/>
          <w:citation/>
        </w:sdtPr>
        <w:sdtContent>
          <w:r w:rsidR="00C907D6">
            <w:rPr>
              <w:rFonts w:eastAsia="Calibri" w:cs="Arial"/>
            </w:rPr>
            <w:fldChar w:fldCharType="begin"/>
          </w:r>
          <w:r>
            <w:rPr>
              <w:rFonts w:eastAsia="Calibri" w:cs="Arial"/>
            </w:rPr>
            <w:instrText xml:space="preserve"> CITATION Com16 \l 3081 </w:instrText>
          </w:r>
          <w:r w:rsidR="00C907D6">
            <w:rPr>
              <w:rFonts w:eastAsia="Calibri" w:cs="Arial"/>
            </w:rPr>
            <w:fldChar w:fldCharType="separate"/>
          </w:r>
          <w:r w:rsidR="000D79D7" w:rsidRPr="000D79D7">
            <w:rPr>
              <w:rFonts w:eastAsia="Calibri" w:cs="Arial"/>
              <w:noProof/>
            </w:rPr>
            <w:t>(Communications Alliance, 2016)</w:t>
          </w:r>
          <w:r w:rsidR="00C907D6">
            <w:rPr>
              <w:rFonts w:eastAsia="Calibri" w:cs="Arial"/>
            </w:rPr>
            <w:fldChar w:fldCharType="end"/>
          </w:r>
        </w:sdtContent>
      </w:sdt>
      <w:r>
        <w:rPr>
          <w:rFonts w:eastAsia="Calibri" w:cs="Arial"/>
        </w:rPr>
        <w:t xml:space="preserve">, but there is no cap on such fees and no guidance on when they should be applied.  Again, it is simply information provision and then caveat emptor.  </w:t>
      </w:r>
    </w:p>
    <w:p w:rsidR="00572E4B" w:rsidRDefault="00946DC4" w:rsidP="00FD0594">
      <w:pPr>
        <w:spacing w:before="120"/>
        <w:ind w:right="567"/>
      </w:pPr>
      <w:r>
        <w:t>Most focus group particip</w:t>
      </w:r>
      <w:r w:rsidR="007128A9">
        <w:t>ants with post-paid mobile</w:t>
      </w:r>
      <w:r>
        <w:t xml:space="preserve"> or home internet plans </w:t>
      </w:r>
      <w:r w:rsidR="009B157C">
        <w:t>said they were</w:t>
      </w:r>
      <w:r w:rsidR="00A22AFA">
        <w:t xml:space="preserve"> locked into their contracts for 24 months</w:t>
      </w:r>
      <w:r w:rsidR="00300583">
        <w:t xml:space="preserve"> with high exit fees</w:t>
      </w:r>
      <w:r w:rsidR="00A22AFA">
        <w:t>.</w:t>
      </w:r>
      <w:r w:rsidR="00300583" w:rsidRPr="00300583">
        <w:t xml:space="preserve"> </w:t>
      </w:r>
      <w:r w:rsidR="00572E4B">
        <w:t xml:space="preserve"> </w:t>
      </w:r>
      <w:r w:rsidR="009B157C">
        <w:t>Again, f</w:t>
      </w:r>
      <w:r w:rsidR="00572E4B">
        <w:t xml:space="preserve">or many this was not a choice </w:t>
      </w:r>
      <w:r w:rsidR="0059174E">
        <w:t xml:space="preserve">as </w:t>
      </w:r>
      <w:r w:rsidR="009B157C">
        <w:t>the plans</w:t>
      </w:r>
      <w:r w:rsidR="00572E4B">
        <w:t xml:space="preserve"> that have shorter contracts and lower exit fees have higher upfront and monthly costs, placing them out of reach for many low income people.  It is not that focus group participants had not shopped around or understood the lock-in contract. As they said</w:t>
      </w:r>
      <w:r w:rsidR="009B157C">
        <w:t>:</w:t>
      </w:r>
    </w:p>
    <w:p w:rsidR="00572E4B" w:rsidRPr="00C84076" w:rsidRDefault="00572E4B" w:rsidP="00FD0594">
      <w:pPr>
        <w:spacing w:before="120"/>
        <w:ind w:left="567" w:right="567"/>
        <w:rPr>
          <w:rFonts w:eastAsia="Calibri" w:cs="Arial"/>
        </w:rPr>
      </w:pPr>
      <w:r>
        <w:rPr>
          <w:rFonts w:eastAsia="Calibri" w:cs="Arial"/>
        </w:rPr>
        <w:lastRenderedPageBreak/>
        <w:t>“</w:t>
      </w:r>
      <w:r w:rsidRPr="00C84076">
        <w:rPr>
          <w:rFonts w:eastAsia="Calibri" w:cs="Arial"/>
        </w:rPr>
        <w:t xml:space="preserve">I recently looked between contract and non-contract.  The extra cost of not having a contract is not worth </w:t>
      </w:r>
      <w:r>
        <w:rPr>
          <w:rFonts w:eastAsia="Calibri" w:cs="Arial"/>
        </w:rPr>
        <w:t>it</w:t>
      </w:r>
      <w:r w:rsidR="00496186">
        <w:rPr>
          <w:rFonts w:eastAsia="Calibri" w:cs="Arial"/>
        </w:rPr>
        <w:t>.</w:t>
      </w:r>
      <w:r>
        <w:rPr>
          <w:rFonts w:eastAsia="Calibri" w:cs="Arial"/>
        </w:rPr>
        <w:t>”</w:t>
      </w:r>
    </w:p>
    <w:p w:rsidR="00572E4B" w:rsidRDefault="00572E4B" w:rsidP="00FD0594">
      <w:pPr>
        <w:spacing w:before="120"/>
        <w:ind w:left="567" w:right="567"/>
        <w:rPr>
          <w:rFonts w:eastAsia="Calibri" w:cs="Arial"/>
        </w:rPr>
      </w:pPr>
      <w:r>
        <w:rPr>
          <w:rFonts w:eastAsia="Calibri" w:cs="Arial"/>
        </w:rPr>
        <w:t>“</w:t>
      </w:r>
      <w:r w:rsidRPr="00C84076">
        <w:rPr>
          <w:rFonts w:eastAsia="Calibri" w:cs="Arial"/>
        </w:rPr>
        <w:t>It’s cost-prohibitive</w:t>
      </w:r>
      <w:r>
        <w:rPr>
          <w:rFonts w:eastAsia="Calibri" w:cs="Arial"/>
        </w:rPr>
        <w:t xml:space="preserve"> [to go month to month]</w:t>
      </w:r>
      <w:r w:rsidR="00496186">
        <w:rPr>
          <w:rFonts w:eastAsia="Calibri" w:cs="Arial"/>
        </w:rPr>
        <w:t>.</w:t>
      </w:r>
      <w:r>
        <w:rPr>
          <w:rFonts w:eastAsia="Calibri" w:cs="Arial"/>
        </w:rPr>
        <w:t>”</w:t>
      </w:r>
    </w:p>
    <w:p w:rsidR="00572E4B" w:rsidRPr="00705EDC" w:rsidRDefault="00572E4B" w:rsidP="00FD0594">
      <w:pPr>
        <w:spacing w:before="120"/>
        <w:ind w:left="567" w:right="567"/>
        <w:rPr>
          <w:rFonts w:eastAsia="Calibri" w:cs="Arial"/>
        </w:rPr>
      </w:pPr>
      <w:r>
        <w:rPr>
          <w:rFonts w:eastAsia="Calibri" w:cs="Arial"/>
        </w:rPr>
        <w:t>“</w:t>
      </w:r>
      <w:r w:rsidRPr="00705EDC">
        <w:rPr>
          <w:rFonts w:eastAsia="Calibri" w:cs="Arial"/>
        </w:rPr>
        <w:t>Simply because I couldn't afford the upfront payment to get it as a month by month, so it was, I can’t, I think it was $180 or something to go on a month by month, and then if you didn’t have the money for the upfront payment you had to go on a 24 month plan which I reckon sucks, but when money’s an issue it’s like the</w:t>
      </w:r>
      <w:r>
        <w:rPr>
          <w:rFonts w:eastAsia="Calibri" w:cs="Arial"/>
        </w:rPr>
        <w:t>re’s not much you can do about it</w:t>
      </w:r>
      <w:r w:rsidR="00496186">
        <w:rPr>
          <w:rFonts w:eastAsia="Calibri" w:cs="Arial"/>
        </w:rPr>
        <w:t>.</w:t>
      </w:r>
      <w:r>
        <w:rPr>
          <w:rFonts w:eastAsia="Calibri" w:cs="Arial"/>
        </w:rPr>
        <w:t>”</w:t>
      </w:r>
    </w:p>
    <w:p w:rsidR="00300583" w:rsidRDefault="00300583" w:rsidP="00FD0594">
      <w:pPr>
        <w:spacing w:before="120"/>
        <w:ind w:right="567"/>
      </w:pPr>
      <w:r>
        <w:t xml:space="preserve">While some participants were satisfied with </w:t>
      </w:r>
      <w:r w:rsidR="0047757C">
        <w:t>long</w:t>
      </w:r>
      <w:r>
        <w:t xml:space="preserve"> contract arrangement</w:t>
      </w:r>
      <w:r w:rsidR="0047757C">
        <w:t>s</w:t>
      </w:r>
      <w:r>
        <w:t xml:space="preserve">, many </w:t>
      </w:r>
      <w:r w:rsidR="0024299D">
        <w:t>f</w:t>
      </w:r>
      <w:r>
        <w:t>elt they would be trapped into a financial commitment that they may not be able to meet over the long term</w:t>
      </w:r>
      <w:r w:rsidR="00496186">
        <w:t>:</w:t>
      </w:r>
    </w:p>
    <w:p w:rsidR="00300583" w:rsidRDefault="00300583" w:rsidP="00FD0594">
      <w:pPr>
        <w:spacing w:before="120"/>
        <w:ind w:left="567" w:right="567"/>
        <w:rPr>
          <w:rFonts w:eastAsia="Calibri" w:cs="Arial"/>
        </w:rPr>
      </w:pPr>
      <w:r>
        <w:rPr>
          <w:rFonts w:eastAsia="Calibri" w:cs="Arial"/>
        </w:rPr>
        <w:t>“[I can’t leave my</w:t>
      </w:r>
      <w:r w:rsidRPr="008D00EB">
        <w:rPr>
          <w:rFonts w:eastAsia="Calibri" w:cs="Arial"/>
        </w:rPr>
        <w:t xml:space="preserve"> contract] bec</w:t>
      </w:r>
      <w:r>
        <w:rPr>
          <w:rFonts w:eastAsia="Calibri" w:cs="Arial"/>
        </w:rPr>
        <w:t>ause you have to pay</w:t>
      </w:r>
      <w:r w:rsidR="00496186">
        <w:rPr>
          <w:rFonts w:eastAsia="Calibri" w:cs="Arial"/>
        </w:rPr>
        <w:t>.</w:t>
      </w:r>
      <w:r>
        <w:rPr>
          <w:rFonts w:eastAsia="Calibri" w:cs="Arial"/>
        </w:rPr>
        <w:t>”</w:t>
      </w:r>
      <w:r w:rsidRPr="008D00EB">
        <w:rPr>
          <w:rFonts w:eastAsia="Calibri" w:cs="Arial"/>
        </w:rPr>
        <w:t xml:space="preserve">  </w:t>
      </w:r>
    </w:p>
    <w:p w:rsidR="00300583" w:rsidRDefault="00300583" w:rsidP="00FD0594">
      <w:pPr>
        <w:spacing w:before="120"/>
        <w:ind w:left="567" w:right="567"/>
        <w:rPr>
          <w:rFonts w:eastAsia="Calibri" w:cs="Arial"/>
        </w:rPr>
      </w:pPr>
      <w:r w:rsidRPr="00AE1BA0">
        <w:rPr>
          <w:rFonts w:eastAsia="Calibri" w:cs="Arial"/>
        </w:rPr>
        <w:t xml:space="preserve">“That’s what’s preventing her from getting out.  </w:t>
      </w:r>
      <w:proofErr w:type="gramStart"/>
      <w:r w:rsidRPr="00AE1BA0">
        <w:rPr>
          <w:rFonts w:eastAsia="Calibri" w:cs="Arial"/>
        </w:rPr>
        <w:t>Because there are fees</w:t>
      </w:r>
      <w:r w:rsidR="00496186">
        <w:rPr>
          <w:rFonts w:eastAsia="Calibri" w:cs="Arial"/>
        </w:rPr>
        <w:t>.</w:t>
      </w:r>
      <w:r>
        <w:rPr>
          <w:rFonts w:eastAsia="Calibri" w:cs="Arial"/>
        </w:rPr>
        <w:t>”</w:t>
      </w:r>
      <w:proofErr w:type="gramEnd"/>
      <w:r>
        <w:rPr>
          <w:rStyle w:val="FootnoteReference"/>
          <w:rFonts w:eastAsia="Calibri" w:cs="Arial"/>
        </w:rPr>
        <w:footnoteReference w:id="6"/>
      </w:r>
    </w:p>
    <w:p w:rsidR="00300583" w:rsidRPr="00AE1BA0" w:rsidRDefault="00300583" w:rsidP="00FD0594">
      <w:pPr>
        <w:spacing w:before="120"/>
        <w:ind w:left="567" w:right="567"/>
        <w:rPr>
          <w:rFonts w:eastAsia="Calibri" w:cs="Arial"/>
        </w:rPr>
      </w:pPr>
      <w:r w:rsidRPr="00AE1BA0">
        <w:rPr>
          <w:rFonts w:eastAsia="Calibri" w:cs="Arial"/>
        </w:rPr>
        <w:t>“we’re paying $60 for this phone that we’re just not using [ because it</w:t>
      </w:r>
      <w:r>
        <w:rPr>
          <w:rFonts w:eastAsia="Calibri" w:cs="Arial"/>
        </w:rPr>
        <w:t>s</w:t>
      </w:r>
      <w:r w:rsidRPr="00AE1BA0">
        <w:rPr>
          <w:rFonts w:eastAsia="Calibri" w:cs="Arial"/>
        </w:rPr>
        <w:t xml:space="preserve"> broken</w:t>
      </w:r>
      <w:r>
        <w:rPr>
          <w:rFonts w:eastAsia="Calibri" w:cs="Arial"/>
        </w:rPr>
        <w:t xml:space="preserve">], </w:t>
      </w:r>
      <w:r w:rsidRPr="00AE1BA0">
        <w:rPr>
          <w:rFonts w:eastAsia="Calibri" w:cs="Arial"/>
        </w:rPr>
        <w:t>the expense of it, like to get out of the contract, having to pay however-many months, whatever’s left, we just don’t have that kind of money laying around</w:t>
      </w:r>
      <w:r w:rsidR="00496186">
        <w:rPr>
          <w:rFonts w:eastAsia="Calibri" w:cs="Arial"/>
        </w:rPr>
        <w:t>.</w:t>
      </w:r>
      <w:r w:rsidRPr="00AE1BA0">
        <w:rPr>
          <w:rFonts w:eastAsia="Calibri" w:cs="Arial"/>
        </w:rPr>
        <w:t>”</w:t>
      </w:r>
    </w:p>
    <w:p w:rsidR="008D00EB" w:rsidRDefault="00300583" w:rsidP="00FD0594">
      <w:pPr>
        <w:spacing w:before="120"/>
        <w:ind w:right="567"/>
      </w:pPr>
      <w:r>
        <w:t xml:space="preserve">Given the high cost of exiting, the length of </w:t>
      </w:r>
      <w:r w:rsidR="00496186">
        <w:t>the</w:t>
      </w:r>
      <w:r>
        <w:t xml:space="preserve"> contract became a particular concern:</w:t>
      </w:r>
    </w:p>
    <w:p w:rsidR="00300583" w:rsidRPr="00AE1BA0" w:rsidRDefault="00300583" w:rsidP="00FD0594">
      <w:pPr>
        <w:spacing w:before="120"/>
        <w:ind w:left="567" w:right="567"/>
        <w:rPr>
          <w:rFonts w:eastAsia="Calibri" w:cs="Arial"/>
        </w:rPr>
      </w:pPr>
      <w:r w:rsidRPr="00AE1BA0">
        <w:rPr>
          <w:rFonts w:eastAsia="Calibri" w:cs="Arial"/>
        </w:rPr>
        <w:t>“</w:t>
      </w:r>
      <w:r>
        <w:rPr>
          <w:rFonts w:eastAsia="Calibri" w:cs="Arial"/>
        </w:rPr>
        <w:t>I often came across…</w:t>
      </w:r>
      <w:r w:rsidRPr="00AE1BA0">
        <w:rPr>
          <w:rFonts w:eastAsia="Calibri" w:cs="Arial"/>
        </w:rPr>
        <w:t>youth at risk of homelessness and that are locked into these exorbitant contracts, that didn’t have that kind of flexibility for them, in their circumstances, so they were paying a couple of hundred dollars a month for a phone when they didn’t have enough money for accommodation, so having to, seeing that was an eye-opener</w:t>
      </w:r>
      <w:r w:rsidR="00496186">
        <w:rPr>
          <w:rFonts w:eastAsia="Calibri" w:cs="Arial"/>
        </w:rPr>
        <w:t>.</w:t>
      </w:r>
      <w:r w:rsidRPr="00AE1BA0">
        <w:rPr>
          <w:rFonts w:eastAsia="Calibri" w:cs="Arial"/>
        </w:rPr>
        <w:t>”</w:t>
      </w:r>
    </w:p>
    <w:p w:rsidR="00300583" w:rsidRPr="00AE1BA0" w:rsidRDefault="00300583" w:rsidP="00FD0594">
      <w:pPr>
        <w:spacing w:before="120"/>
        <w:ind w:left="567" w:right="567"/>
        <w:rPr>
          <w:rFonts w:eastAsia="Calibri" w:cs="Arial"/>
        </w:rPr>
      </w:pPr>
      <w:r>
        <w:rPr>
          <w:rFonts w:eastAsia="Calibri" w:cs="Arial"/>
        </w:rPr>
        <w:t>“</w:t>
      </w:r>
      <w:proofErr w:type="gramStart"/>
      <w:r>
        <w:rPr>
          <w:rFonts w:eastAsia="Calibri" w:cs="Arial"/>
        </w:rPr>
        <w:t>two</w:t>
      </w:r>
      <w:proofErr w:type="gramEnd"/>
      <w:r>
        <w:rPr>
          <w:rFonts w:eastAsia="Calibri" w:cs="Arial"/>
        </w:rPr>
        <w:t xml:space="preserve"> years is a long time</w:t>
      </w:r>
      <w:r w:rsidRPr="00AE1BA0">
        <w:rPr>
          <w:rFonts w:eastAsia="Calibri" w:cs="Arial"/>
        </w:rPr>
        <w:t xml:space="preserve"> because circumstances can change, loss of jobs or reduced income or whatever </w:t>
      </w:r>
      <w:r>
        <w:rPr>
          <w:rFonts w:eastAsia="Calibri" w:cs="Arial"/>
        </w:rPr>
        <w:t>…</w:t>
      </w:r>
      <w:r w:rsidRPr="00AE1BA0">
        <w:rPr>
          <w:rFonts w:eastAsia="Calibri" w:cs="Arial"/>
        </w:rPr>
        <w:t xml:space="preserve"> and you can make more informed decisions about your financial circumstances in a shorter period</w:t>
      </w:r>
      <w:r w:rsidR="00496186">
        <w:rPr>
          <w:rFonts w:eastAsia="Calibri" w:cs="Arial"/>
        </w:rPr>
        <w:t>.</w:t>
      </w:r>
      <w:r>
        <w:rPr>
          <w:rFonts w:eastAsia="Calibri" w:cs="Arial"/>
        </w:rPr>
        <w:t>”</w:t>
      </w:r>
    </w:p>
    <w:p w:rsidR="00300583" w:rsidRDefault="00300583" w:rsidP="00FD0594">
      <w:pPr>
        <w:spacing w:before="120"/>
        <w:ind w:right="567"/>
      </w:pPr>
      <w:r>
        <w:t xml:space="preserve">While a 24 month contract might catch </w:t>
      </w:r>
      <w:r w:rsidR="009B157C">
        <w:t xml:space="preserve">out </w:t>
      </w:r>
      <w:r>
        <w:t>anyone with changing life circ</w:t>
      </w:r>
      <w:r w:rsidR="0059174E">
        <w:t>umstances, such as unemployment or illness</w:t>
      </w:r>
      <w:r>
        <w:t>, again</w:t>
      </w:r>
      <w:r w:rsidR="009B157C">
        <w:t xml:space="preserve"> for</w:t>
      </w:r>
      <w:r>
        <w:t xml:space="preserve"> </w:t>
      </w:r>
      <w:r w:rsidR="004942AC">
        <w:t xml:space="preserve">those on low </w:t>
      </w:r>
      <w:r w:rsidR="009B157C">
        <w:t xml:space="preserve">incomes the impacts </w:t>
      </w:r>
      <w:r w:rsidR="004942AC">
        <w:t xml:space="preserve">may be greater as they have fewer options in their budgets and less savings to fall back on. </w:t>
      </w:r>
      <w:r w:rsidR="000D0721">
        <w:t xml:space="preserve"> </w:t>
      </w:r>
      <w:r>
        <w:t>Some participants also noted the barriers created by these long term contracts when combined with short-term housing:</w:t>
      </w:r>
    </w:p>
    <w:p w:rsidR="00300583" w:rsidRPr="00C84076" w:rsidRDefault="00300583" w:rsidP="00FD0594">
      <w:pPr>
        <w:spacing w:before="120"/>
        <w:ind w:left="567" w:right="567"/>
        <w:rPr>
          <w:rFonts w:eastAsia="Calibri" w:cs="Arial"/>
        </w:rPr>
      </w:pPr>
      <w:r>
        <w:rPr>
          <w:rFonts w:eastAsia="Calibri" w:cs="Arial"/>
        </w:rPr>
        <w:lastRenderedPageBreak/>
        <w:t>“</w:t>
      </w:r>
      <w:proofErr w:type="gramStart"/>
      <w:r w:rsidRPr="00AE1BA0">
        <w:rPr>
          <w:rFonts w:eastAsia="Calibri" w:cs="Arial"/>
        </w:rPr>
        <w:t>most</w:t>
      </w:r>
      <w:proofErr w:type="gramEnd"/>
      <w:r w:rsidRPr="00AE1BA0">
        <w:rPr>
          <w:rFonts w:eastAsia="Calibri" w:cs="Arial"/>
        </w:rPr>
        <w:t xml:space="preserve"> plans are for 24 months, most leases are for 1 year.  So if you sign a lease</w:t>
      </w:r>
      <w:r w:rsidR="004942AC">
        <w:rPr>
          <w:rFonts w:eastAsia="Calibri" w:cs="Arial"/>
        </w:rPr>
        <w:t xml:space="preserve"> and then you need to get your i</w:t>
      </w:r>
      <w:r w:rsidRPr="00AE1BA0">
        <w:rPr>
          <w:rFonts w:eastAsia="Calibri" w:cs="Arial"/>
        </w:rPr>
        <w:t xml:space="preserve">nternet on, you can only find one with 2 year thing, then </w:t>
      </w:r>
      <w:proofErr w:type="gramStart"/>
      <w:r w:rsidRPr="00AE1BA0">
        <w:rPr>
          <w:rFonts w:eastAsia="Calibri" w:cs="Arial"/>
        </w:rPr>
        <w:t>you’re</w:t>
      </w:r>
      <w:proofErr w:type="gramEnd"/>
      <w:r w:rsidRPr="00AE1BA0">
        <w:rPr>
          <w:rFonts w:eastAsia="Calibri" w:cs="Arial"/>
        </w:rPr>
        <w:t xml:space="preserve"> stuck in that place for 2 years or you’re paying out your contract when you move</w:t>
      </w:r>
      <w:r w:rsidR="00496186">
        <w:rPr>
          <w:rFonts w:eastAsia="Calibri" w:cs="Arial"/>
        </w:rPr>
        <w:t>.</w:t>
      </w:r>
      <w:r>
        <w:rPr>
          <w:rFonts w:eastAsia="Calibri" w:cs="Arial"/>
        </w:rPr>
        <w:t>”</w:t>
      </w:r>
    </w:p>
    <w:p w:rsidR="00300583" w:rsidRDefault="00300583" w:rsidP="00FD0594">
      <w:pPr>
        <w:spacing w:before="120"/>
        <w:ind w:left="567" w:right="567"/>
        <w:rPr>
          <w:rFonts w:eastAsia="Calibri" w:cs="Arial"/>
        </w:rPr>
      </w:pPr>
      <w:r>
        <w:rPr>
          <w:rFonts w:eastAsia="Calibri" w:cs="Arial"/>
        </w:rPr>
        <w:t>“</w:t>
      </w:r>
      <w:r w:rsidRPr="000B2713">
        <w:rPr>
          <w:rFonts w:eastAsia="Calibri" w:cs="Arial"/>
        </w:rPr>
        <w:t>I j</w:t>
      </w:r>
      <w:r w:rsidR="009B157C">
        <w:rPr>
          <w:rFonts w:eastAsia="Calibri" w:cs="Arial"/>
        </w:rPr>
        <w:t>ust simply can’t afford to get i</w:t>
      </w:r>
      <w:r w:rsidRPr="000B2713">
        <w:rPr>
          <w:rFonts w:eastAsia="Calibri" w:cs="Arial"/>
        </w:rPr>
        <w:t>nternet put on where I live.  And then if I do, how do I know I’m going to be there for another 2 years for your contract?</w:t>
      </w:r>
      <w:r>
        <w:rPr>
          <w:rFonts w:eastAsia="Calibri" w:cs="Arial"/>
        </w:rPr>
        <w:t>”</w:t>
      </w:r>
      <w:r w:rsidRPr="000B2713">
        <w:rPr>
          <w:rFonts w:eastAsia="Calibri" w:cs="Arial"/>
        </w:rPr>
        <w:t xml:space="preserve">  </w:t>
      </w:r>
    </w:p>
    <w:p w:rsidR="009B589B" w:rsidRDefault="00C84076" w:rsidP="00FD0594">
      <w:r>
        <w:t>Further</w:t>
      </w:r>
      <w:r w:rsidR="00B14217">
        <w:t>,</w:t>
      </w:r>
      <w:r>
        <w:t xml:space="preserve"> long contracts with high exit fees</w:t>
      </w:r>
      <w:r w:rsidR="009B589B">
        <w:t xml:space="preserve"> </w:t>
      </w:r>
      <w:r w:rsidR="007211F8">
        <w:t>inhibit the ability for low income people to improve their f</w:t>
      </w:r>
      <w:r w:rsidR="009B589B">
        <w:t>inancial situation when cheaper or better value products come onto the market</w:t>
      </w:r>
      <w:r w:rsidR="00496186">
        <w:t>:</w:t>
      </w:r>
    </w:p>
    <w:p w:rsidR="004B797A" w:rsidRPr="00C84076" w:rsidRDefault="00C84076" w:rsidP="00FD0594">
      <w:pPr>
        <w:spacing w:before="120"/>
        <w:ind w:left="567" w:right="567"/>
        <w:rPr>
          <w:rFonts w:eastAsia="Calibri" w:cs="Arial"/>
        </w:rPr>
      </w:pPr>
      <w:r>
        <w:rPr>
          <w:rFonts w:eastAsia="Calibri" w:cs="Arial"/>
        </w:rPr>
        <w:t>“</w:t>
      </w:r>
      <w:r w:rsidR="004B797A" w:rsidRPr="00C84076">
        <w:rPr>
          <w:rFonts w:eastAsia="Calibri" w:cs="Arial"/>
        </w:rPr>
        <w:t xml:space="preserve">I called them because when I saw advertised on TV, just for $10 that I can have double data I just called them and I said that I feel very unhappy because for $10 I can have all this </w:t>
      </w:r>
      <w:r w:rsidR="00300583">
        <w:rPr>
          <w:rFonts w:eastAsia="Calibri" w:cs="Arial"/>
        </w:rPr>
        <w:t>..</w:t>
      </w:r>
      <w:r w:rsidR="004B797A" w:rsidRPr="00C84076">
        <w:rPr>
          <w:rFonts w:eastAsia="Calibri" w:cs="Arial"/>
        </w:rPr>
        <w:t>.  And what they say, you have to pay this $70 switching</w:t>
      </w:r>
      <w:r w:rsidR="00300583">
        <w:rPr>
          <w:rFonts w:eastAsia="Calibri" w:cs="Arial"/>
        </w:rPr>
        <w:t xml:space="preserve"> </w:t>
      </w:r>
      <w:r>
        <w:rPr>
          <w:rFonts w:eastAsia="Calibri" w:cs="Arial"/>
        </w:rPr>
        <w:t>…</w:t>
      </w:r>
      <w:r w:rsidRPr="00C84076">
        <w:t xml:space="preserve"> </w:t>
      </w:r>
      <w:r>
        <w:t>You just feel ripped [off]</w:t>
      </w:r>
      <w:r w:rsidRPr="004B797A">
        <w:t xml:space="preserve"> Yeah but they just say you have contract for 2 years so what can you do</w:t>
      </w:r>
      <w:r w:rsidR="00496186">
        <w:t>?</w:t>
      </w:r>
      <w:r>
        <w:rPr>
          <w:rFonts w:eastAsia="Calibri" w:cs="Arial"/>
        </w:rPr>
        <w:t>”</w:t>
      </w:r>
    </w:p>
    <w:p w:rsidR="004C2784" w:rsidRDefault="00DF5318" w:rsidP="00FD0594">
      <w:pPr>
        <w:spacing w:before="120"/>
        <w:ind w:right="567"/>
      </w:pPr>
      <w:r>
        <w:rPr>
          <w:rFonts w:eastAsia="Calibri" w:cs="Arial"/>
        </w:rPr>
        <w:t xml:space="preserve">There is little doubt that relieving exit fees would improve affordability for low income earners, not just for those who feel trapped in an inappropriate or expensive plan, but also across the market.  </w:t>
      </w:r>
      <w:r w:rsidR="004C2784">
        <w:t>Long contracts and high exit fees inhibit competition between providers and ultimately</w:t>
      </w:r>
      <w:r w:rsidR="00B14217">
        <w:t xml:space="preserve"> prevent</w:t>
      </w:r>
      <w:r w:rsidR="004C2784">
        <w:t xml:space="preserve"> lower prices for consumers. </w:t>
      </w:r>
      <w:r>
        <w:t>As focus group participants noted:</w:t>
      </w:r>
    </w:p>
    <w:p w:rsidR="004C2784" w:rsidRDefault="004C2784" w:rsidP="00FD0594">
      <w:pPr>
        <w:spacing w:before="120"/>
        <w:ind w:left="567" w:right="567"/>
        <w:rPr>
          <w:rFonts w:eastAsia="Calibri" w:cs="Arial"/>
        </w:rPr>
      </w:pPr>
      <w:r>
        <w:rPr>
          <w:rFonts w:eastAsia="Calibri" w:cs="Arial"/>
        </w:rPr>
        <w:t>“</w:t>
      </w:r>
      <w:r w:rsidRPr="00705EDC">
        <w:rPr>
          <w:rFonts w:eastAsia="Calibri" w:cs="Arial"/>
        </w:rPr>
        <w:t xml:space="preserve">It’s like with all these cancellation fees and stuff, everyone’s just sticking with their current plan.  There’s no real competition except for them trying to get your business to start with.  It should be them competing to </w:t>
      </w:r>
      <w:r w:rsidRPr="00A0233A">
        <w:rPr>
          <w:rFonts w:eastAsia="Calibri" w:cs="Arial"/>
          <w:i/>
        </w:rPr>
        <w:t>keep</w:t>
      </w:r>
      <w:r w:rsidRPr="00705EDC">
        <w:rPr>
          <w:rFonts w:eastAsia="Calibri" w:cs="Arial"/>
        </w:rPr>
        <w:t xml:space="preserve"> your business, not just competing to </w:t>
      </w:r>
      <w:r>
        <w:rPr>
          <w:rFonts w:eastAsia="Calibri" w:cs="Arial"/>
        </w:rPr>
        <w:t>get your business to start with</w:t>
      </w:r>
      <w:r w:rsidR="00496186">
        <w:rPr>
          <w:rFonts w:eastAsia="Calibri" w:cs="Arial"/>
        </w:rPr>
        <w:t>.</w:t>
      </w:r>
      <w:r>
        <w:rPr>
          <w:rFonts w:eastAsia="Calibri" w:cs="Arial"/>
        </w:rPr>
        <w:t>”</w:t>
      </w:r>
    </w:p>
    <w:p w:rsidR="004C2784" w:rsidRPr="00705EDC" w:rsidRDefault="004C2784" w:rsidP="00FD0594">
      <w:pPr>
        <w:spacing w:before="120"/>
        <w:ind w:left="567" w:right="567"/>
        <w:rPr>
          <w:rFonts w:eastAsia="Calibri" w:cs="Arial"/>
        </w:rPr>
      </w:pPr>
      <w:r>
        <w:rPr>
          <w:rFonts w:eastAsia="Calibri" w:cs="Arial"/>
        </w:rPr>
        <w:t>“</w:t>
      </w:r>
      <w:r w:rsidRPr="00705EDC">
        <w:rPr>
          <w:rFonts w:eastAsia="Calibri" w:cs="Arial"/>
        </w:rPr>
        <w:t>I personally think cancellation fees should be abolished.  They shouldn't exist.  It’s like you sign up with a company, while you’re happy with that company you stay with them, but if you’re not happy you should have the option of changing.  You should</w:t>
      </w:r>
      <w:r>
        <w:rPr>
          <w:rFonts w:eastAsia="Calibri" w:cs="Arial"/>
        </w:rPr>
        <w:t>n’t</w:t>
      </w:r>
      <w:r w:rsidRPr="00705EDC">
        <w:rPr>
          <w:rFonts w:eastAsia="Calibri" w:cs="Arial"/>
        </w:rPr>
        <w:t xml:space="preserve"> have to pay a huge fee to get out of using their services</w:t>
      </w:r>
      <w:r w:rsidR="00496186">
        <w:rPr>
          <w:rFonts w:eastAsia="Calibri" w:cs="Arial"/>
        </w:rPr>
        <w:t>.</w:t>
      </w:r>
      <w:r>
        <w:rPr>
          <w:rFonts w:eastAsia="Calibri" w:cs="Arial"/>
        </w:rPr>
        <w:t>”</w:t>
      </w:r>
    </w:p>
    <w:p w:rsidR="004942AC" w:rsidRDefault="004C2784" w:rsidP="00FD0594">
      <w:pPr>
        <w:spacing w:before="120"/>
        <w:ind w:right="567"/>
        <w:rPr>
          <w:rFonts w:eastAsia="Calibri" w:cs="Arial"/>
        </w:rPr>
      </w:pPr>
      <w:r>
        <w:rPr>
          <w:rFonts w:eastAsia="Calibri" w:cs="Arial"/>
        </w:rPr>
        <w:t>Of course some of these comments do not take account of plans where upfront hardware costs (e</w:t>
      </w:r>
      <w:r w:rsidR="00496186">
        <w:rPr>
          <w:rFonts w:eastAsia="Calibri" w:cs="Arial"/>
        </w:rPr>
        <w:t>.</w:t>
      </w:r>
      <w:r>
        <w:rPr>
          <w:rFonts w:eastAsia="Calibri" w:cs="Arial"/>
        </w:rPr>
        <w:t xml:space="preserve">g. the cost of a mobile phone </w:t>
      </w:r>
      <w:r w:rsidR="001D1D8B">
        <w:rPr>
          <w:rFonts w:eastAsia="Calibri" w:cs="Arial"/>
        </w:rPr>
        <w:t>that comes with the contract) are</w:t>
      </w:r>
      <w:r>
        <w:rPr>
          <w:rFonts w:eastAsia="Calibri" w:cs="Arial"/>
        </w:rPr>
        <w:t xml:space="preserve"> incorporated into the monthly cost – and therefore early cancellation effectively still needs to “pay off” the hardware.  However, </w:t>
      </w:r>
      <w:r w:rsidR="00A0233A" w:rsidRPr="00A0233A">
        <w:rPr>
          <w:rFonts w:eastAsia="Calibri" w:cs="Arial"/>
          <w:b/>
        </w:rPr>
        <w:t>if there are simple</w:t>
      </w:r>
      <w:r w:rsidRPr="00A0233A">
        <w:rPr>
          <w:rFonts w:eastAsia="Calibri" w:cs="Arial"/>
          <w:b/>
        </w:rPr>
        <w:t xml:space="preserve"> cancellation fee</w:t>
      </w:r>
      <w:r w:rsidR="00A0233A" w:rsidRPr="00A0233A">
        <w:rPr>
          <w:rFonts w:eastAsia="Calibri" w:cs="Arial"/>
          <w:b/>
        </w:rPr>
        <w:t>s</w:t>
      </w:r>
      <w:r w:rsidR="00DF5318" w:rsidRPr="00A0233A">
        <w:rPr>
          <w:rFonts w:eastAsia="Calibri" w:cs="Arial"/>
          <w:b/>
        </w:rPr>
        <w:t xml:space="preserve"> (beyond the repaying the hardware costs component)</w:t>
      </w:r>
      <w:r w:rsidRPr="00A0233A">
        <w:rPr>
          <w:rFonts w:eastAsia="Calibri" w:cs="Arial"/>
          <w:b/>
        </w:rPr>
        <w:t xml:space="preserve">, </w:t>
      </w:r>
      <w:r w:rsidR="00A0233A" w:rsidRPr="00A0233A">
        <w:rPr>
          <w:rFonts w:eastAsia="Calibri" w:cs="Arial"/>
          <w:b/>
        </w:rPr>
        <w:t xml:space="preserve">the </w:t>
      </w:r>
      <w:r w:rsidR="00A0233A" w:rsidRPr="00A46F8B">
        <w:rPr>
          <w:rFonts w:eastAsia="Calibri" w:cs="Arial"/>
          <w:b/>
          <w:i/>
        </w:rPr>
        <w:t>Telecommunication Consumer Protections Code</w:t>
      </w:r>
      <w:r w:rsidR="00A0233A" w:rsidRPr="00A0233A">
        <w:rPr>
          <w:rFonts w:eastAsia="Calibri" w:cs="Arial"/>
          <w:b/>
        </w:rPr>
        <w:t xml:space="preserve"> should mandate that they</w:t>
      </w:r>
      <w:r w:rsidR="00DF5318" w:rsidRPr="00872D7D">
        <w:rPr>
          <w:rFonts w:eastAsia="Calibri" w:cs="Arial"/>
          <w:b/>
        </w:rPr>
        <w:t xml:space="preserve"> be waived for those on Centrelink </w:t>
      </w:r>
      <w:r w:rsidR="007A7AA7">
        <w:rPr>
          <w:rFonts w:eastAsia="Calibri" w:cs="Arial"/>
          <w:b/>
        </w:rPr>
        <w:t>payments</w:t>
      </w:r>
      <w:r w:rsidR="00DF5318" w:rsidRPr="00872D7D">
        <w:rPr>
          <w:rFonts w:eastAsia="Calibri" w:cs="Arial"/>
          <w:b/>
        </w:rPr>
        <w:t xml:space="preserve"> or the Low</w:t>
      </w:r>
      <w:r w:rsidR="00496186">
        <w:rPr>
          <w:rFonts w:eastAsia="Calibri" w:cs="Arial"/>
          <w:b/>
        </w:rPr>
        <w:t>-</w:t>
      </w:r>
      <w:r w:rsidR="00DF5318" w:rsidRPr="00872D7D">
        <w:rPr>
          <w:rFonts w:eastAsia="Calibri" w:cs="Arial"/>
          <w:b/>
        </w:rPr>
        <w:t>Income Health Care Card</w:t>
      </w:r>
      <w:r w:rsidR="00DF5318">
        <w:rPr>
          <w:rFonts w:eastAsia="Calibri" w:cs="Arial"/>
        </w:rPr>
        <w:t>.</w:t>
      </w:r>
      <w:r w:rsidR="00872D7D">
        <w:rPr>
          <w:rFonts w:eastAsia="Calibri" w:cs="Arial"/>
        </w:rPr>
        <w:t xml:space="preserve">  This would give those on low incomes more options to manage their expenditure and relieve the stress caused by long contracts.</w:t>
      </w:r>
    </w:p>
    <w:p w:rsidR="00BA232A" w:rsidRDefault="002509A0" w:rsidP="00FD0594">
      <w:pPr>
        <w:pStyle w:val="Heading3"/>
      </w:pPr>
      <w:bookmarkStart w:id="94" w:name="_Toc465167584"/>
      <w:r>
        <w:lastRenderedPageBreak/>
        <w:t>Transparency</w:t>
      </w:r>
      <w:bookmarkEnd w:id="94"/>
    </w:p>
    <w:p w:rsidR="004D59C8" w:rsidRDefault="00EB5E5C" w:rsidP="00FD0594">
      <w:r>
        <w:t xml:space="preserve">The final barrier for low income consumers managing their telecommunications usage and expenditure that was identified in the focus groups was around lack of transparency in plan costs and conditions.  Given that a large focus of the </w:t>
      </w:r>
      <w:r>
        <w:rPr>
          <w:i/>
        </w:rPr>
        <w:t xml:space="preserve">Telecommunications Consumer Protections </w:t>
      </w:r>
      <w:r w:rsidRPr="00EB5E5C">
        <w:rPr>
          <w:i/>
        </w:rPr>
        <w:t>Code</w:t>
      </w:r>
      <w:r>
        <w:t xml:space="preserve"> is the provision of consumer information, it was disappointing that m</w:t>
      </w:r>
      <w:r w:rsidR="00105BDB" w:rsidRPr="00EB5E5C">
        <w:t>any</w:t>
      </w:r>
      <w:r w:rsidR="00105BDB">
        <w:t xml:space="preserve"> focus group participants</w:t>
      </w:r>
      <w:r w:rsidR="002509A0">
        <w:t xml:space="preserve"> </w:t>
      </w:r>
      <w:r w:rsidR="00105BDB">
        <w:t xml:space="preserve">expressed dissatisfaction with </w:t>
      </w:r>
      <w:r w:rsidR="002509A0">
        <w:t>information</w:t>
      </w:r>
      <w:r w:rsidR="00105BDB">
        <w:t xml:space="preserve"> </w:t>
      </w:r>
      <w:r w:rsidR="002509A0">
        <w:t>on costs presented to them:</w:t>
      </w:r>
    </w:p>
    <w:p w:rsidR="00BA232A" w:rsidRDefault="00BA232A" w:rsidP="00FD0594">
      <w:pPr>
        <w:spacing w:before="120"/>
        <w:ind w:left="567" w:right="567"/>
        <w:rPr>
          <w:rFonts w:eastAsia="Calibri" w:cs="Arial"/>
        </w:rPr>
      </w:pPr>
      <w:r>
        <w:rPr>
          <w:rFonts w:eastAsia="Calibri" w:cs="Arial"/>
        </w:rPr>
        <w:t>“T</w:t>
      </w:r>
      <w:r w:rsidRPr="006722DD">
        <w:rPr>
          <w:rFonts w:eastAsia="Calibri" w:cs="Arial"/>
        </w:rPr>
        <w:t>hey tell you about all the benefits you get, but they don’t tell you about the things that you don’t get</w:t>
      </w:r>
      <w:r>
        <w:rPr>
          <w:rFonts w:eastAsia="Calibri" w:cs="Arial"/>
        </w:rPr>
        <w:t>”</w:t>
      </w:r>
      <w:r w:rsidRPr="00370CE2">
        <w:rPr>
          <w:rFonts w:eastAsia="Calibri" w:cs="Arial"/>
        </w:rPr>
        <w:t xml:space="preserve"> </w:t>
      </w:r>
    </w:p>
    <w:p w:rsidR="00BA232A" w:rsidRDefault="00BA232A" w:rsidP="00FD0594">
      <w:pPr>
        <w:spacing w:before="120"/>
        <w:ind w:left="567" w:right="567"/>
        <w:rPr>
          <w:rFonts w:eastAsia="Calibri" w:cs="Arial"/>
        </w:rPr>
      </w:pPr>
      <w:r>
        <w:t xml:space="preserve">“They should’ve actually said, rather than telling me all the stuff I get.  Not it’s going to cost me.  If you’re late with your bill it’ll be $15.  If you want to pay it by cheque you pay two dollars or three dollars”  </w:t>
      </w:r>
    </w:p>
    <w:p w:rsidR="00BA232A" w:rsidRDefault="00BA232A" w:rsidP="0050167E">
      <w:pPr>
        <w:ind w:left="567"/>
      </w:pPr>
      <w:r>
        <w:rPr>
          <w:rFonts w:eastAsia="Calibri" w:cs="Arial"/>
        </w:rPr>
        <w:t>“</w:t>
      </w:r>
      <w:r>
        <w:t>They didn’t make me very aware at all.  I was aware of the internet, going over the internet limit, but they weren't transparent about the late fees”</w:t>
      </w:r>
    </w:p>
    <w:p w:rsidR="00937E0F" w:rsidRDefault="00E20BC9" w:rsidP="00FD0594">
      <w:r>
        <w:t xml:space="preserve">At least one focus group participant thought problems went beyond just a lack of transparency in that they felt they had been lied </w:t>
      </w:r>
      <w:r w:rsidR="00B14217">
        <w:t>to</w:t>
      </w:r>
      <w:r>
        <w:t xml:space="preserve"> by salespeople</w:t>
      </w:r>
      <w:r w:rsidR="00496186">
        <w:t>.</w:t>
      </w:r>
      <w:r>
        <w:t xml:space="preserve"> </w:t>
      </w:r>
      <w:r w:rsidR="00496186">
        <w:t>E</w:t>
      </w:r>
      <w:r>
        <w:t>ven in written materials there was a general complaint that</w:t>
      </w:r>
      <w:r w:rsidR="00B91CA9">
        <w:t xml:space="preserve"> the positive features of plans are promoted heavily in large easy</w:t>
      </w:r>
      <w:r w:rsidR="00C25E6D">
        <w:t>-to-</w:t>
      </w:r>
      <w:r w:rsidR="00B91CA9">
        <w:t>read language and graphics, while the less positive features such as e</w:t>
      </w:r>
      <w:r w:rsidR="00B91CA9" w:rsidRPr="00B91CA9">
        <w:t>xtra fees and charges, billing arrangements and other contract</w:t>
      </w:r>
      <w:r w:rsidR="00326B53">
        <w:t>ual</w:t>
      </w:r>
      <w:r w:rsidR="00B91CA9" w:rsidRPr="00B91CA9">
        <w:t xml:space="preserve"> conditions</w:t>
      </w:r>
      <w:r w:rsidR="00326B53">
        <w:t xml:space="preserve"> are</w:t>
      </w:r>
      <w:r w:rsidR="00B91CA9" w:rsidRPr="00B91CA9">
        <w:t xml:space="preserve"> hidden</w:t>
      </w:r>
      <w:r w:rsidR="00B91CA9">
        <w:t xml:space="preserve"> away</w:t>
      </w:r>
      <w:r w:rsidR="00B91CA9" w:rsidRPr="00B91CA9">
        <w:t xml:space="preserve"> in hard to</w:t>
      </w:r>
      <w:r w:rsidR="00B91CA9">
        <w:t xml:space="preserve"> find</w:t>
      </w:r>
      <w:r w:rsidR="00B91CA9" w:rsidRPr="00B91CA9">
        <w:t xml:space="preserve"> small print</w:t>
      </w:r>
      <w:r w:rsidR="0050167E">
        <w:t xml:space="preserve"> – o</w:t>
      </w:r>
      <w:r w:rsidR="00B91CA9">
        <w:t>fte</w:t>
      </w:r>
      <w:r w:rsidR="00326B53">
        <w:t xml:space="preserve">n at the bottom of the web page or the second page of the </w:t>
      </w:r>
      <w:r w:rsidR="00B14217">
        <w:t>C</w:t>
      </w:r>
      <w:r w:rsidR="00326B53">
        <w:t xml:space="preserve">ritical </w:t>
      </w:r>
      <w:r w:rsidR="00B14217">
        <w:t>I</w:t>
      </w:r>
      <w:r w:rsidR="00326B53">
        <w:t xml:space="preserve">nformation </w:t>
      </w:r>
      <w:r w:rsidR="00B14217">
        <w:t>S</w:t>
      </w:r>
      <w:r w:rsidR="00326B53">
        <w:t xml:space="preserve">ummary. </w:t>
      </w:r>
    </w:p>
    <w:p w:rsidR="00034295" w:rsidRDefault="00EB5E5C" w:rsidP="00FD0594">
      <w:r>
        <w:t>S</w:t>
      </w:r>
      <w:r w:rsidR="00B91CA9">
        <w:t xml:space="preserve">ome participants felt that improvements have been made in recent years to information provision through the introduction of </w:t>
      </w:r>
      <w:r>
        <w:t>Critical Information S</w:t>
      </w:r>
      <w:r w:rsidR="00B91CA9">
        <w:t>ummaries</w:t>
      </w:r>
      <w:r w:rsidR="00937E0F">
        <w:t xml:space="preserve">, </w:t>
      </w:r>
      <w:r>
        <w:t xml:space="preserve">but </w:t>
      </w:r>
      <w:r w:rsidR="00937E0F">
        <w:t>most</w:t>
      </w:r>
      <w:r w:rsidR="00B91CA9">
        <w:t xml:space="preserve"> felt that there was still a lot of scope for improvement, such as presenting information in a </w:t>
      </w:r>
      <w:r w:rsidR="00A46458">
        <w:t xml:space="preserve">more </w:t>
      </w:r>
      <w:r w:rsidR="00B91CA9">
        <w:t>consistent</w:t>
      </w:r>
      <w:r w:rsidR="00961BB5">
        <w:t xml:space="preserve"> </w:t>
      </w:r>
      <w:r w:rsidR="00B91CA9">
        <w:t>format so that they could more easily</w:t>
      </w:r>
      <w:r w:rsidR="00937E0F">
        <w:t xml:space="preserve"> understand what they were signing up for and</w:t>
      </w:r>
      <w:r w:rsidR="00B91CA9">
        <w:t xml:space="preserve"> compare </w:t>
      </w:r>
      <w:r w:rsidR="00937E0F">
        <w:t>plans across service providers</w:t>
      </w:r>
      <w:r w:rsidR="00496186">
        <w:t>:</w:t>
      </w:r>
    </w:p>
    <w:p w:rsidR="00937E0F" w:rsidRDefault="00937E0F" w:rsidP="00FD0594">
      <w:pPr>
        <w:ind w:left="720"/>
      </w:pPr>
      <w:r>
        <w:t xml:space="preserve">“Not legal jargon.  It needs to be in normal people talk.  It has got better over the last few years since the bringing out of the new customer information statements.  It has become a little bit </w:t>
      </w:r>
      <w:proofErr w:type="gramStart"/>
      <w:r>
        <w:t>more clear</w:t>
      </w:r>
      <w:proofErr w:type="gramEnd"/>
      <w:r>
        <w:t>, but there are still ways that you can get three of them together and they’ll be different still</w:t>
      </w:r>
      <w:r w:rsidR="00496186">
        <w:t>.</w:t>
      </w:r>
      <w:r>
        <w:t>”</w:t>
      </w:r>
    </w:p>
    <w:p w:rsidR="00937E0F" w:rsidRDefault="00363EBC" w:rsidP="00FD0594">
      <w:pPr>
        <w:ind w:left="720"/>
      </w:pPr>
      <w:r>
        <w:t>“</w:t>
      </w:r>
      <w:r w:rsidR="00937E0F">
        <w:t>You need to have the same information, say the same criteria, so you can actually compare them.  I mean, for years I just didn’t change anything because I couldn’t be bothered sitting down and trying to make the translations</w:t>
      </w:r>
      <w:r w:rsidR="00496186">
        <w:t>.</w:t>
      </w:r>
      <w:r>
        <w:t>”</w:t>
      </w:r>
    </w:p>
    <w:p w:rsidR="00E20BC9" w:rsidRDefault="00E20BC9" w:rsidP="00FD0594">
      <w:r>
        <w:t xml:space="preserve">Obviously these issues of contractual transparency are much more difficult for those struggling with digital literacy – and worse again for those from non-English speaking </w:t>
      </w:r>
      <w:r w:rsidR="00A46458">
        <w:t>background</w:t>
      </w:r>
      <w:r>
        <w:t>s.  The focus groups threw up many examples of failures of telecommunication</w:t>
      </w:r>
      <w:r w:rsidR="000067C4">
        <w:t>s</w:t>
      </w:r>
      <w:r>
        <w:t xml:space="preserve"> company staff to clearly explain products</w:t>
      </w:r>
      <w:r w:rsidR="00EB5E5C">
        <w:t xml:space="preserve"> to customers from non-</w:t>
      </w:r>
      <w:r w:rsidR="00EB5E5C">
        <w:lastRenderedPageBreak/>
        <w:t>English speaking backgrounds</w:t>
      </w:r>
      <w:r>
        <w:t xml:space="preserve">, of inappropriate plans or products being sold, </w:t>
      </w:r>
      <w:r w:rsidR="00EB5E5C">
        <w:t xml:space="preserve">and </w:t>
      </w:r>
      <w:r>
        <w:t xml:space="preserve">of difficulties for </w:t>
      </w:r>
      <w:r w:rsidR="00EB5E5C">
        <w:t>people</w:t>
      </w:r>
      <w:r w:rsidR="00B14217">
        <w:t xml:space="preserve"> from non-English speaking backgrounds</w:t>
      </w:r>
      <w:r>
        <w:t xml:space="preserve"> in having issues addressed (including the limited availability of translation services).</w:t>
      </w:r>
    </w:p>
    <w:p w:rsidR="00E20BC9" w:rsidRDefault="00FD2FF7" w:rsidP="00FD0594">
      <w:r>
        <w:t xml:space="preserve">While these issues are largely </w:t>
      </w:r>
      <w:r w:rsidR="00EB5E5C">
        <w:t>about literacy and transparency and beyond the scope of this report,</w:t>
      </w:r>
      <w:r>
        <w:t xml:space="preserve"> they impact on affordability because they limit the ability of consumers to navigate the poverty premiums and manage their telecommunications without incurring extra or unnecessary costs. </w:t>
      </w:r>
    </w:p>
    <w:p w:rsidR="00A87337" w:rsidRDefault="00FD2FF7" w:rsidP="00B72325">
      <w:pPr>
        <w:pStyle w:val="Heading2"/>
      </w:pPr>
      <w:bookmarkStart w:id="95" w:name="_Toc465167585"/>
      <w:r>
        <w:t>Hardship assistance</w:t>
      </w:r>
      <w:bookmarkEnd w:id="95"/>
    </w:p>
    <w:p w:rsidR="00BD5764" w:rsidRDefault="00FD2FF7" w:rsidP="00B72325">
      <w:pPr>
        <w:rPr>
          <w:lang w:val="en-US" w:eastAsia="ja-JP"/>
        </w:rPr>
      </w:pPr>
      <w:r>
        <w:rPr>
          <w:lang w:val="en-US" w:eastAsia="ja-JP"/>
        </w:rPr>
        <w:t xml:space="preserve">The final affordability issue raised in the focus groups was the </w:t>
      </w:r>
      <w:r w:rsidR="002A4014" w:rsidRPr="00AA1CD0">
        <w:rPr>
          <w:lang w:val="en-US" w:eastAsia="ja-JP"/>
        </w:rPr>
        <w:t>experience</w:t>
      </w:r>
      <w:r w:rsidR="00B67855">
        <w:rPr>
          <w:lang w:val="en-US" w:eastAsia="ja-JP"/>
        </w:rPr>
        <w:t xml:space="preserve"> of</w:t>
      </w:r>
      <w:r w:rsidR="004D7214" w:rsidRPr="00AA1CD0">
        <w:rPr>
          <w:lang w:val="en-US" w:eastAsia="ja-JP"/>
        </w:rPr>
        <w:t xml:space="preserve"> hardship assistance provided by service providers</w:t>
      </w:r>
      <w:r>
        <w:rPr>
          <w:lang w:val="en-US" w:eastAsia="ja-JP"/>
        </w:rPr>
        <w:t xml:space="preserve">.  Hardship programs are vital for ensuring both that consumers can stay connected, but also that telecommunication costs do not escalate and drive further hardship for consumers. </w:t>
      </w:r>
      <w:r w:rsidR="002A4014" w:rsidRPr="00AA1CD0">
        <w:rPr>
          <w:lang w:val="en-US" w:eastAsia="ja-JP"/>
        </w:rPr>
        <w:t xml:space="preserve"> </w:t>
      </w:r>
    </w:p>
    <w:p w:rsidR="00BD5764" w:rsidRDefault="00BD5764" w:rsidP="00B72325">
      <w:pPr>
        <w:rPr>
          <w:lang w:val="en-US" w:eastAsia="ja-JP"/>
        </w:rPr>
      </w:pPr>
      <w:r>
        <w:rPr>
          <w:lang w:val="en-US" w:eastAsia="ja-JP"/>
        </w:rPr>
        <w:t xml:space="preserve">The </w:t>
      </w:r>
      <w:r w:rsidRPr="00EB5E5C">
        <w:rPr>
          <w:i/>
          <w:lang w:val="en-US" w:eastAsia="ja-JP"/>
        </w:rPr>
        <w:t>Telecommunications Consumer Protections Code</w:t>
      </w:r>
      <w:r>
        <w:rPr>
          <w:lang w:val="en-US" w:eastAsia="ja-JP"/>
        </w:rPr>
        <w:t xml:space="preserve"> requires suppliers to have a financial hardship policy that is easy for consumers to find and access (s6.11) </w:t>
      </w:r>
      <w:sdt>
        <w:sdtPr>
          <w:rPr>
            <w:lang w:val="en-US" w:eastAsia="ja-JP"/>
          </w:rPr>
          <w:id w:val="343214874"/>
          <w:citation/>
        </w:sdtPr>
        <w:sdtContent>
          <w:r w:rsidR="00C907D6">
            <w:rPr>
              <w:lang w:val="en-US" w:eastAsia="ja-JP"/>
            </w:rPr>
            <w:fldChar w:fldCharType="begin"/>
          </w:r>
          <w:r>
            <w:rPr>
              <w:lang w:eastAsia="ja-JP"/>
            </w:rPr>
            <w:instrText xml:space="preserve"> CITATION Com16 \l 3081 </w:instrText>
          </w:r>
          <w:r w:rsidR="00C907D6">
            <w:rPr>
              <w:lang w:val="en-US" w:eastAsia="ja-JP"/>
            </w:rPr>
            <w:fldChar w:fldCharType="separate"/>
          </w:r>
          <w:r w:rsidR="000D79D7">
            <w:rPr>
              <w:noProof/>
              <w:lang w:eastAsia="ja-JP"/>
            </w:rPr>
            <w:t>(Communications Alliance, 2016)</w:t>
          </w:r>
          <w:r w:rsidR="00C907D6">
            <w:rPr>
              <w:lang w:val="en-US" w:eastAsia="ja-JP"/>
            </w:rPr>
            <w:fldChar w:fldCharType="end"/>
          </w:r>
        </w:sdtContent>
      </w:sdt>
      <w:r>
        <w:rPr>
          <w:lang w:val="en-US" w:eastAsia="ja-JP"/>
        </w:rPr>
        <w:t xml:space="preserve">. </w:t>
      </w:r>
      <w:r w:rsidR="000D0721">
        <w:rPr>
          <w:lang w:val="en-US" w:eastAsia="ja-JP"/>
        </w:rPr>
        <w:t xml:space="preserve"> </w:t>
      </w:r>
      <w:r w:rsidR="00FD2FF7">
        <w:rPr>
          <w:lang w:val="en-US" w:eastAsia="ja-JP"/>
        </w:rPr>
        <w:t xml:space="preserve">However, the focus group participants’ experiences were mixed.  </w:t>
      </w:r>
    </w:p>
    <w:p w:rsidR="00AD56AD" w:rsidRDefault="00AD56AD" w:rsidP="00B72325">
      <w:pPr>
        <w:rPr>
          <w:lang w:val="en-US" w:eastAsia="ja-JP"/>
        </w:rPr>
      </w:pPr>
      <w:r>
        <w:rPr>
          <w:lang w:val="en-US" w:eastAsia="ja-JP"/>
        </w:rPr>
        <w:t>Many participants were not aware that hardship assistance existed and were surprised to hear from other participants that they could get help with their bills:</w:t>
      </w:r>
    </w:p>
    <w:p w:rsidR="00AD56AD" w:rsidRDefault="00AD56AD" w:rsidP="00B72325">
      <w:pPr>
        <w:spacing w:before="120"/>
        <w:ind w:left="567" w:right="567"/>
      </w:pPr>
      <w:r>
        <w:t>“</w:t>
      </w:r>
      <w:r w:rsidR="0054334A">
        <w:t>I have no idea [</w:t>
      </w:r>
      <w:r>
        <w:t>about hardship assistance]</w:t>
      </w:r>
      <w:r w:rsidR="000067C4">
        <w:t>.</w:t>
      </w:r>
      <w:r>
        <w:t>”</w:t>
      </w:r>
    </w:p>
    <w:p w:rsidR="00AD56AD" w:rsidRDefault="00AD56AD" w:rsidP="00B72325">
      <w:pPr>
        <w:spacing w:before="120"/>
        <w:ind w:left="567" w:right="567"/>
      </w:pPr>
      <w:r>
        <w:t>“No.  I didn’t know there was anything like that around</w:t>
      </w:r>
      <w:r w:rsidR="000067C4">
        <w:t>.</w:t>
      </w:r>
      <w:r>
        <w:t>”</w:t>
      </w:r>
    </w:p>
    <w:p w:rsidR="00AD56AD" w:rsidRPr="00871FEB" w:rsidRDefault="00AD56AD" w:rsidP="00B72325">
      <w:pPr>
        <w:spacing w:before="120"/>
        <w:ind w:left="567" w:right="567"/>
      </w:pPr>
      <w:r>
        <w:t>“I never heard of most of those [hardship] things, my guess is most people wouldn’t have [either]</w:t>
      </w:r>
      <w:r w:rsidR="000067C4">
        <w:t>.</w:t>
      </w:r>
      <w:r>
        <w:t>”</w:t>
      </w:r>
    </w:p>
    <w:p w:rsidR="00AD6F76" w:rsidRDefault="0054334A" w:rsidP="00B72325">
      <w:pPr>
        <w:rPr>
          <w:lang w:val="en-US" w:eastAsia="ja-JP"/>
        </w:rPr>
      </w:pPr>
      <w:r>
        <w:rPr>
          <w:lang w:val="en-US" w:eastAsia="ja-JP"/>
        </w:rPr>
        <w:t>For those who did know about the policies, s</w:t>
      </w:r>
      <w:r w:rsidR="004D7214" w:rsidRPr="00AA1CD0">
        <w:rPr>
          <w:lang w:val="en-US" w:eastAsia="ja-JP"/>
        </w:rPr>
        <w:t xml:space="preserve">ome participants were able to successfully </w:t>
      </w:r>
      <w:r w:rsidR="00AA1CD0" w:rsidRPr="00AA1CD0">
        <w:rPr>
          <w:lang w:val="en-US" w:eastAsia="ja-JP"/>
        </w:rPr>
        <w:t xml:space="preserve">and easily </w:t>
      </w:r>
      <w:r w:rsidR="004D7214" w:rsidRPr="00AA1CD0">
        <w:rPr>
          <w:lang w:val="en-US" w:eastAsia="ja-JP"/>
        </w:rPr>
        <w:t xml:space="preserve">access hardship assistance from their service provider, including being put on </w:t>
      </w:r>
      <w:r w:rsidR="00AA1CD0" w:rsidRPr="00AA1CD0">
        <w:rPr>
          <w:lang w:val="en-US" w:eastAsia="ja-JP"/>
        </w:rPr>
        <w:t>a payment plan</w:t>
      </w:r>
      <w:r w:rsidR="004D7214" w:rsidRPr="00AA1CD0">
        <w:rPr>
          <w:lang w:val="en-US" w:eastAsia="ja-JP"/>
        </w:rPr>
        <w:t xml:space="preserve"> for large bills, having </w:t>
      </w:r>
      <w:r w:rsidR="00AA1CD0" w:rsidRPr="00AA1CD0">
        <w:rPr>
          <w:lang w:val="en-US" w:eastAsia="ja-JP"/>
        </w:rPr>
        <w:t xml:space="preserve">extra </w:t>
      </w:r>
      <w:r w:rsidR="004D7214" w:rsidRPr="00AA1CD0">
        <w:rPr>
          <w:lang w:val="en-US" w:eastAsia="ja-JP"/>
        </w:rPr>
        <w:t xml:space="preserve">fees and charges waived and in some cases </w:t>
      </w:r>
      <w:r w:rsidR="00AA1CD0" w:rsidRPr="00AA1CD0">
        <w:rPr>
          <w:lang w:val="en-US" w:eastAsia="ja-JP"/>
        </w:rPr>
        <w:t>being let out of contracts early without having to pay exit fees</w:t>
      </w:r>
      <w:r w:rsidR="000067C4">
        <w:rPr>
          <w:lang w:val="en-US" w:eastAsia="ja-JP"/>
        </w:rPr>
        <w:t>:</w:t>
      </w:r>
    </w:p>
    <w:p w:rsidR="00EB4C8C" w:rsidRDefault="00871FEB" w:rsidP="00B72325">
      <w:pPr>
        <w:spacing w:before="120"/>
        <w:ind w:left="567" w:right="567"/>
      </w:pPr>
      <w:r>
        <w:t>“I just found</w:t>
      </w:r>
      <w:r w:rsidR="00EB4C8C">
        <w:t xml:space="preserve"> ringing the hardship department before it gets to the point tha</w:t>
      </w:r>
      <w:r>
        <w:t>t they’re going to cut you off…</w:t>
      </w:r>
      <w:r w:rsidR="00EB4C8C">
        <w:t>just asking straight through to hardship, and they will do what they can to reduce what they can</w:t>
      </w:r>
      <w:r w:rsidR="000067C4">
        <w:t>.</w:t>
      </w:r>
      <w:r>
        <w:t>”</w:t>
      </w:r>
    </w:p>
    <w:p w:rsidR="00187044" w:rsidRDefault="00871FEB" w:rsidP="00B72325">
      <w:pPr>
        <w:spacing w:before="120"/>
        <w:ind w:left="567" w:right="567"/>
      </w:pPr>
      <w:r>
        <w:t>“</w:t>
      </w:r>
      <w:r w:rsidR="00187044">
        <w:t xml:space="preserve">I have to admit they said if you have any </w:t>
      </w:r>
      <w:proofErr w:type="gramStart"/>
      <w:r w:rsidR="00187044">
        <w:t>difficulties,</w:t>
      </w:r>
      <w:proofErr w:type="gramEnd"/>
      <w:r w:rsidR="00187044">
        <w:t xml:space="preserve"> just call us 10 days before and if you can’t, so you will not pay this charge,</w:t>
      </w:r>
      <w:r>
        <w:t xml:space="preserve"> $15</w:t>
      </w:r>
      <w:r w:rsidR="00FD2FF7">
        <w:t>.</w:t>
      </w:r>
      <w:r>
        <w:t>”</w:t>
      </w:r>
    </w:p>
    <w:p w:rsidR="00AA1CD0" w:rsidRDefault="0054334A" w:rsidP="00B72325">
      <w:pPr>
        <w:rPr>
          <w:lang w:val="en-US" w:eastAsia="ja-JP"/>
        </w:rPr>
      </w:pPr>
      <w:r>
        <w:rPr>
          <w:lang w:val="en-US" w:eastAsia="ja-JP"/>
        </w:rPr>
        <w:t>However, those</w:t>
      </w:r>
      <w:r w:rsidR="00871FEB">
        <w:rPr>
          <w:lang w:val="en-US" w:eastAsia="ja-JP"/>
        </w:rPr>
        <w:t xml:space="preserve"> </w:t>
      </w:r>
      <w:r w:rsidR="00AA1CD0" w:rsidRPr="00AA1CD0">
        <w:rPr>
          <w:lang w:val="en-US" w:eastAsia="ja-JP"/>
        </w:rPr>
        <w:t>positive experience</w:t>
      </w:r>
      <w:r w:rsidR="00871FEB">
        <w:rPr>
          <w:lang w:val="en-US" w:eastAsia="ja-JP"/>
        </w:rPr>
        <w:t>s were</w:t>
      </w:r>
      <w:r w:rsidR="00AA1CD0" w:rsidRPr="00AA1CD0">
        <w:rPr>
          <w:lang w:val="en-US" w:eastAsia="ja-JP"/>
        </w:rPr>
        <w:t xml:space="preserve"> far from universal</w:t>
      </w:r>
      <w:r w:rsidR="00EB5E5C">
        <w:rPr>
          <w:lang w:val="en-US" w:eastAsia="ja-JP"/>
        </w:rPr>
        <w:t xml:space="preserve"> as o</w:t>
      </w:r>
      <w:r w:rsidR="00AA1CD0">
        <w:rPr>
          <w:lang w:val="en-US" w:eastAsia="ja-JP"/>
        </w:rPr>
        <w:t xml:space="preserve">ther participants had difficult or negative experiences. </w:t>
      </w:r>
      <w:r w:rsidR="00EB5E5C">
        <w:rPr>
          <w:lang w:val="en-US" w:eastAsia="ja-JP"/>
        </w:rPr>
        <w:t xml:space="preserve"> </w:t>
      </w:r>
      <w:r w:rsidR="00AA1CD0">
        <w:rPr>
          <w:lang w:val="en-US" w:eastAsia="ja-JP"/>
        </w:rPr>
        <w:t>A common complaint was that the process was drawn out and they had to fight and justify every step of the way to get any sort of beneficial outcome.</w:t>
      </w:r>
      <w:r w:rsidR="00EB5E5C">
        <w:rPr>
          <w:lang w:val="en-US" w:eastAsia="ja-JP"/>
        </w:rPr>
        <w:t xml:space="preserve"> </w:t>
      </w:r>
      <w:r w:rsidR="00AA1CD0">
        <w:rPr>
          <w:lang w:val="en-US" w:eastAsia="ja-JP"/>
        </w:rPr>
        <w:t xml:space="preserve"> This could be a very draining and stressful experience</w:t>
      </w:r>
      <w:r w:rsidR="000067C4">
        <w:rPr>
          <w:lang w:val="en-US" w:eastAsia="ja-JP"/>
        </w:rPr>
        <w:t>:</w:t>
      </w:r>
    </w:p>
    <w:p w:rsidR="00235BE6" w:rsidRDefault="00235BE6" w:rsidP="00B72325">
      <w:pPr>
        <w:spacing w:before="120"/>
        <w:ind w:left="567" w:right="567"/>
      </w:pPr>
      <w:r>
        <w:lastRenderedPageBreak/>
        <w:t>“</w:t>
      </w:r>
      <w:r w:rsidR="00AD6F76" w:rsidRPr="00016A22">
        <w:t>I pretty much tried rin</w:t>
      </w:r>
      <w:r>
        <w:t>ging up and got the run-around</w:t>
      </w:r>
      <w:r w:rsidR="000067C4">
        <w:t>.</w:t>
      </w:r>
      <w:r>
        <w:t>”</w:t>
      </w:r>
    </w:p>
    <w:p w:rsidR="00187044" w:rsidRDefault="00235BE6" w:rsidP="00B72325">
      <w:pPr>
        <w:spacing w:before="120"/>
        <w:ind w:left="567" w:right="567"/>
      </w:pPr>
      <w:r>
        <w:t>“</w:t>
      </w:r>
      <w:r w:rsidR="00187044">
        <w:t xml:space="preserve">Sometimes they’re incredibly hard to get a hold of and to get put through to that </w:t>
      </w:r>
      <w:r>
        <w:t xml:space="preserve">[hardship] </w:t>
      </w:r>
      <w:r w:rsidR="00187044">
        <w:t>department</w:t>
      </w:r>
      <w:r w:rsidR="000067C4">
        <w:t>.</w:t>
      </w:r>
      <w:r>
        <w:t>”</w:t>
      </w:r>
    </w:p>
    <w:p w:rsidR="00187044" w:rsidRDefault="00C41237" w:rsidP="00B72325">
      <w:pPr>
        <w:spacing w:before="120"/>
        <w:ind w:left="567" w:right="567"/>
      </w:pPr>
      <w:r>
        <w:t>“</w:t>
      </w:r>
      <w:r w:rsidR="00187044" w:rsidRPr="005F3EC5">
        <w:t xml:space="preserve">Three times the </w:t>
      </w:r>
      <w:r w:rsidR="00BA232A">
        <w:t xml:space="preserve">[hardship] </w:t>
      </w:r>
      <w:r w:rsidR="00187044" w:rsidRPr="005F3EC5">
        <w:t>application I d</w:t>
      </w:r>
      <w:r w:rsidR="00187044">
        <w:t>id online never went th</w:t>
      </w:r>
      <w:r w:rsidR="00235BE6">
        <w:t>rough…</w:t>
      </w:r>
      <w:r w:rsidR="00187044">
        <w:t>w</w:t>
      </w:r>
      <w:r w:rsidR="00187044" w:rsidRPr="005F3EC5">
        <w:t>ell Monday I had a phone appointment with a financial counsellor via the hotline</w:t>
      </w:r>
      <w:r w:rsidR="00187044">
        <w:t xml:space="preserve">.  </w:t>
      </w:r>
      <w:r w:rsidR="00187044" w:rsidRPr="005F3EC5">
        <w:t xml:space="preserve">And she rang </w:t>
      </w:r>
      <w:r w:rsidR="00FD2FF7">
        <w:t xml:space="preserve">[but] </w:t>
      </w:r>
      <w:r w:rsidR="008004B2">
        <w:t xml:space="preserve">said </w:t>
      </w:r>
      <w:r w:rsidR="00187044" w:rsidRPr="005F3EC5">
        <w:t>it was 5 to 10 business days for their hardship department to get back to you</w:t>
      </w:r>
      <w:r w:rsidR="00187044">
        <w:t xml:space="preserve">.  </w:t>
      </w:r>
      <w:r w:rsidR="00187044" w:rsidRPr="005F3EC5">
        <w:t>So I’m waiting for them to ge</w:t>
      </w:r>
      <w:r w:rsidR="00187044">
        <w:t>t</w:t>
      </w:r>
      <w:r w:rsidR="00187044" w:rsidRPr="005F3EC5">
        <w:t xml:space="preserve"> bac</w:t>
      </w:r>
      <w:r w:rsidR="00187044">
        <w:t>k</w:t>
      </w:r>
      <w:r w:rsidR="00187044" w:rsidRPr="005F3EC5">
        <w:t xml:space="preserve"> to me</w:t>
      </w:r>
      <w:r w:rsidR="00187044">
        <w:t xml:space="preserve">.  </w:t>
      </w:r>
      <w:r w:rsidR="00187044" w:rsidRPr="005F3EC5">
        <w:t xml:space="preserve">But in the meantime </w:t>
      </w:r>
      <w:r>
        <w:t xml:space="preserve">[they have] </w:t>
      </w:r>
      <w:r w:rsidR="00187044" w:rsidRPr="005F3EC5">
        <w:t>restricted me from getting incomi</w:t>
      </w:r>
      <w:r w:rsidR="008004B2">
        <w:t>ng texts and phone calls.</w:t>
      </w:r>
      <w:r>
        <w:t>”</w:t>
      </w:r>
    </w:p>
    <w:p w:rsidR="00AD6F76" w:rsidRDefault="00AD6F76" w:rsidP="00B72325">
      <w:pPr>
        <w:spacing w:before="120"/>
        <w:ind w:left="567" w:right="567"/>
      </w:pPr>
      <w:r>
        <w:t>“Okay, now I’ve got this $600 bill that I cannot possibly pay.  Could you have given me some warning it was going to cost that much?  How do I pay this off?  How do I do this?”  They weren’t forthcoming with a, “Okay, well look, here’s a financial hardship</w:t>
      </w:r>
      <w:r w:rsidR="008004B2">
        <w:t xml:space="preserve"> plan, we can do this</w:t>
      </w:r>
      <w:r>
        <w:t xml:space="preserve">.” </w:t>
      </w:r>
      <w:r w:rsidR="008004B2">
        <w:t>…</w:t>
      </w:r>
      <w:r>
        <w:t xml:space="preserve"> It w</w:t>
      </w:r>
      <w:r w:rsidR="00BA232A">
        <w:t>as a, “You need to pay it off …</w:t>
      </w:r>
      <w:r>
        <w:t xml:space="preserve"> otherwis</w:t>
      </w:r>
      <w:r w:rsidR="00BA232A">
        <w:t>e you’re not going to get your i</w:t>
      </w:r>
      <w:r>
        <w:t>nternet connected at all</w:t>
      </w:r>
      <w:r w:rsidR="000067C4">
        <w:t>.</w:t>
      </w:r>
      <w:r w:rsidR="00C41237">
        <w:t>”</w:t>
      </w:r>
    </w:p>
    <w:p w:rsidR="00BD5764" w:rsidRDefault="00BD5764" w:rsidP="00B72325">
      <w:pPr>
        <w:rPr>
          <w:lang w:val="en-US" w:eastAsia="ja-JP"/>
        </w:rPr>
      </w:pPr>
      <w:r>
        <w:rPr>
          <w:lang w:val="en-US" w:eastAsia="ja-JP"/>
        </w:rPr>
        <w:t>Some of these instances would</w:t>
      </w:r>
      <w:r w:rsidR="00AD56AD">
        <w:rPr>
          <w:lang w:val="en-US" w:eastAsia="ja-JP"/>
        </w:rPr>
        <w:t xml:space="preserve"> appear, at least on their face and without investigation,</w:t>
      </w:r>
      <w:r>
        <w:rPr>
          <w:lang w:val="en-US" w:eastAsia="ja-JP"/>
        </w:rPr>
        <w:t xml:space="preserve"> to be breaches of the </w:t>
      </w:r>
      <w:r w:rsidR="000067C4">
        <w:rPr>
          <w:i/>
          <w:lang w:val="en-US" w:eastAsia="ja-JP"/>
        </w:rPr>
        <w:t xml:space="preserve">Telecommunications </w:t>
      </w:r>
      <w:r w:rsidRPr="00EB5E5C">
        <w:rPr>
          <w:i/>
          <w:lang w:val="en-US" w:eastAsia="ja-JP"/>
        </w:rPr>
        <w:t>Consumer Protection</w:t>
      </w:r>
      <w:r w:rsidR="00D1772D">
        <w:rPr>
          <w:i/>
          <w:lang w:val="en-US" w:eastAsia="ja-JP"/>
        </w:rPr>
        <w:t>s</w:t>
      </w:r>
      <w:r w:rsidRPr="00EB5E5C">
        <w:rPr>
          <w:i/>
          <w:lang w:val="en-US" w:eastAsia="ja-JP"/>
        </w:rPr>
        <w:t xml:space="preserve"> Code</w:t>
      </w:r>
      <w:r>
        <w:rPr>
          <w:lang w:val="en-US" w:eastAsia="ja-JP"/>
        </w:rPr>
        <w:t>, including the timing of asse</w:t>
      </w:r>
      <w:r w:rsidR="00EB5E5C">
        <w:rPr>
          <w:lang w:val="en-US" w:eastAsia="ja-JP"/>
        </w:rPr>
        <w:t>ssment (s6.12.1(d)); providing</w:t>
      </w:r>
      <w:r>
        <w:rPr>
          <w:lang w:val="en-US" w:eastAsia="ja-JP"/>
        </w:rPr>
        <w:t xml:space="preserve"> information of the financial hardship policy when the customer indicates that they are experiencing hardship (s6.11</w:t>
      </w:r>
      <w:r w:rsidR="00AD56AD">
        <w:rPr>
          <w:lang w:val="en-US" w:eastAsia="ja-JP"/>
        </w:rPr>
        <w:t>.1(d); and providing flexible repayment options (s6.12.1(f)).</w:t>
      </w:r>
    </w:p>
    <w:p w:rsidR="00AA1CD0" w:rsidRDefault="00C41237" w:rsidP="00B72325">
      <w:r>
        <w:rPr>
          <w:lang w:val="en-US" w:eastAsia="ja-JP"/>
        </w:rPr>
        <w:t>Many participants</w:t>
      </w:r>
      <w:r w:rsidR="00AA1CD0">
        <w:rPr>
          <w:lang w:val="en-US" w:eastAsia="ja-JP"/>
        </w:rPr>
        <w:t xml:space="preserve"> reported that they only received a positive outcome after they had involved a third party to act on their behalf such as a financial </w:t>
      </w:r>
      <w:r w:rsidR="00AA1CD0" w:rsidRPr="00C25E6D">
        <w:t>counsellor</w:t>
      </w:r>
      <w:r w:rsidR="00AA1CD0">
        <w:rPr>
          <w:lang w:val="en-US" w:eastAsia="ja-JP"/>
        </w:rPr>
        <w:t xml:space="preserve"> or</w:t>
      </w:r>
      <w:r w:rsidR="00AA1CD0">
        <w:t xml:space="preserve"> the </w:t>
      </w:r>
      <w:r w:rsidR="00EB5E5C">
        <w:t>Telecommunications Industry O</w:t>
      </w:r>
      <w:r w:rsidR="00AA1CD0">
        <w:t>mbudsman</w:t>
      </w:r>
      <w:r w:rsidR="00C25E6D">
        <w:t xml:space="preserve"> (TIO)</w:t>
      </w:r>
      <w:r w:rsidR="000067C4">
        <w:t>:</w:t>
      </w:r>
      <w:r w:rsidR="00AA1CD0">
        <w:t xml:space="preserve"> </w:t>
      </w:r>
    </w:p>
    <w:p w:rsidR="00C41237" w:rsidRPr="00B5425D" w:rsidRDefault="00C41237" w:rsidP="00B72325">
      <w:pPr>
        <w:spacing w:before="120"/>
        <w:ind w:left="567" w:right="567"/>
      </w:pPr>
      <w:r>
        <w:t>“Any issues, you just mention [the] T</w:t>
      </w:r>
      <w:r w:rsidR="00C25E6D">
        <w:t>I</w:t>
      </w:r>
      <w:r>
        <w:t>O</w:t>
      </w:r>
      <w:r w:rsidR="00C25E6D">
        <w:t>, and</w:t>
      </w:r>
      <w:r>
        <w:t xml:space="preserve"> yeah, they bend over backwards”</w:t>
      </w:r>
    </w:p>
    <w:p w:rsidR="00AD6F76" w:rsidRPr="00016A22" w:rsidRDefault="00C41237" w:rsidP="00B72325">
      <w:pPr>
        <w:spacing w:before="120"/>
        <w:ind w:left="567" w:right="567"/>
      </w:pPr>
      <w:r>
        <w:t xml:space="preserve">“I got the run-around... </w:t>
      </w:r>
      <w:r w:rsidR="00AD6F76" w:rsidRPr="00016A22">
        <w:t xml:space="preserve">They refused to take into consideration my health problems.  It wasn’t until I got the financial counsellor at </w:t>
      </w:r>
      <w:proofErr w:type="spellStart"/>
      <w:r w:rsidR="00AD6F76" w:rsidRPr="00016A22">
        <w:t>Anglicare</w:t>
      </w:r>
      <w:proofErr w:type="spellEnd"/>
      <w:r w:rsidR="00AD6F76" w:rsidRPr="00016A22">
        <w:t xml:space="preserve"> involved that they halved the cancellation fee, and then they allowed me to pay it back $5 a month</w:t>
      </w:r>
      <w:r w:rsidR="000067C4">
        <w:t>.</w:t>
      </w:r>
      <w:r>
        <w:t>”</w:t>
      </w:r>
    </w:p>
    <w:p w:rsidR="00C41237" w:rsidRDefault="00C41237" w:rsidP="00B72325">
      <w:pPr>
        <w:spacing w:before="120"/>
        <w:ind w:left="567" w:right="567"/>
      </w:pPr>
      <w:r>
        <w:t>“</w:t>
      </w:r>
      <w:r w:rsidR="00AD6F76" w:rsidRPr="00787C83">
        <w:t>I lost my job and I moved back with my parents, and I tried to explain that to them… and they still wouldn’t come to the party</w:t>
      </w:r>
      <w:r>
        <w:t>…</w:t>
      </w:r>
      <w:r w:rsidR="00AD6F76" w:rsidRPr="00787C83">
        <w:t>and then I subsequently approached a counsellor and then finally got some sense, and then they waived all the cha</w:t>
      </w:r>
      <w:r>
        <w:t>rges and cancelled the contract</w:t>
      </w:r>
      <w:r w:rsidR="000067C4">
        <w:t>.</w:t>
      </w:r>
      <w:r>
        <w:t>”</w:t>
      </w:r>
    </w:p>
    <w:p w:rsidR="008D42CD" w:rsidRDefault="008D42CD" w:rsidP="00B72325">
      <w:pPr>
        <w:spacing w:before="120"/>
        <w:ind w:left="567" w:right="567"/>
      </w:pPr>
      <w:r>
        <w:t xml:space="preserve">“So it doesn’t matter even though she’s got all the reference numbers and phone calls and proof of phone calls.  They still don’t actually live up to what they say would happen.  And if it wasn’t for </w:t>
      </w:r>
      <w:r w:rsidR="000067C4">
        <w:t xml:space="preserve">the </w:t>
      </w:r>
      <w:r>
        <w:t>Ombudsman it would be much, much worse</w:t>
      </w:r>
      <w:r w:rsidR="000067C4">
        <w:t>.</w:t>
      </w:r>
      <w:r>
        <w:t>”</w:t>
      </w:r>
    </w:p>
    <w:p w:rsidR="00185176" w:rsidRDefault="007E73DF" w:rsidP="00B72325">
      <w:r>
        <w:lastRenderedPageBreak/>
        <w:t xml:space="preserve">While it is good that financial counsellors </w:t>
      </w:r>
      <w:r w:rsidR="008D42CD">
        <w:t xml:space="preserve">or the Ombudsman </w:t>
      </w:r>
      <w:r>
        <w:t>could assist in these cases, it is problematic if there is a pattern</w:t>
      </w:r>
      <w:r w:rsidR="00AA1CD0">
        <w:t xml:space="preserve"> that those who were sav</w:t>
      </w:r>
      <w:r w:rsidR="00300583">
        <w:t>v</w:t>
      </w:r>
      <w:r w:rsidR="00AA1CD0">
        <w:t>y with hardship processes received bette</w:t>
      </w:r>
      <w:r>
        <w:t xml:space="preserve">r outcomes than those </w:t>
      </w:r>
      <w:r w:rsidR="00EB5E5C">
        <w:t>with</w:t>
      </w:r>
      <w:r w:rsidR="00AA1CD0">
        <w:t xml:space="preserve"> little experience </w:t>
      </w:r>
      <w:r>
        <w:t>or who struggle with English language or technical literacy</w:t>
      </w:r>
      <w:r w:rsidR="00AA1CD0">
        <w:t xml:space="preserve">. </w:t>
      </w:r>
      <w:r w:rsidR="002F153A">
        <w:t xml:space="preserve"> By definition, hardship programs will deal with vulnerable and disadvantaged people and need to be able to be accessed by those people – otherwise their existing disadvantaged will be compounded and affordability barriers will increase.</w:t>
      </w:r>
    </w:p>
    <w:p w:rsidR="00F909E8" w:rsidRDefault="00EB5E5C" w:rsidP="00B72325">
      <w:r>
        <w:t xml:space="preserve">While the evidence is only anecdotal from a relatively small sample </w:t>
      </w:r>
      <w:r w:rsidR="00FC578F">
        <w:t xml:space="preserve">and </w:t>
      </w:r>
      <w:r>
        <w:t xml:space="preserve">without quantitative data to verify how widespread the issues are, there were enough issues raised in the focus groups in relation to hardship programs to believe that </w:t>
      </w:r>
      <w:r w:rsidRPr="00EB5E5C">
        <w:rPr>
          <w:b/>
        </w:rPr>
        <w:t>further investigation is warranted into the operations and effectiveness of har</w:t>
      </w:r>
      <w:r w:rsidR="008115C4">
        <w:rPr>
          <w:b/>
        </w:rPr>
        <w:t>d</w:t>
      </w:r>
      <w:r w:rsidRPr="00EB5E5C">
        <w:rPr>
          <w:b/>
        </w:rPr>
        <w:t>ship programs</w:t>
      </w:r>
      <w:r>
        <w:t xml:space="preserve">. </w:t>
      </w:r>
    </w:p>
    <w:p w:rsidR="00725104" w:rsidRDefault="00102B3F" w:rsidP="00B72325">
      <w:pPr>
        <w:pStyle w:val="Heading2"/>
      </w:pPr>
      <w:bookmarkStart w:id="96" w:name="_Toc465167586"/>
      <w:r>
        <w:t>Summary</w:t>
      </w:r>
      <w:bookmarkEnd w:id="96"/>
    </w:p>
    <w:p w:rsidR="00EB5E5C" w:rsidRDefault="00D1772D" w:rsidP="00B72325">
      <w:pPr>
        <w:rPr>
          <w:lang w:val="en-US" w:eastAsia="ja-JP"/>
        </w:rPr>
      </w:pPr>
      <w:r>
        <w:rPr>
          <w:lang w:val="en-US" w:eastAsia="ja-JP"/>
        </w:rPr>
        <w:t>R</w:t>
      </w:r>
      <w:r w:rsidR="00EB5E5C">
        <w:rPr>
          <w:lang w:val="en-US" w:eastAsia="ja-JP"/>
        </w:rPr>
        <w:t xml:space="preserve">eference has been made </w:t>
      </w:r>
      <w:r>
        <w:rPr>
          <w:lang w:val="en-US" w:eastAsia="ja-JP"/>
        </w:rPr>
        <w:t xml:space="preserve">above </w:t>
      </w:r>
      <w:r w:rsidR="00EB5E5C">
        <w:rPr>
          <w:lang w:val="en-US" w:eastAsia="ja-JP"/>
        </w:rPr>
        <w:t xml:space="preserve">to the </w:t>
      </w:r>
      <w:r w:rsidR="00EB5E5C">
        <w:rPr>
          <w:i/>
          <w:lang w:val="en-US" w:eastAsia="ja-JP"/>
        </w:rPr>
        <w:t>Telecommunications Consumer Protection</w:t>
      </w:r>
      <w:r>
        <w:rPr>
          <w:i/>
          <w:lang w:val="en-US" w:eastAsia="ja-JP"/>
        </w:rPr>
        <w:t>s</w:t>
      </w:r>
      <w:r w:rsidR="00EB5E5C">
        <w:rPr>
          <w:i/>
          <w:lang w:val="en-US" w:eastAsia="ja-JP"/>
        </w:rPr>
        <w:t xml:space="preserve"> Code</w:t>
      </w:r>
      <w:r w:rsidR="00EB5E5C">
        <w:rPr>
          <w:lang w:val="en-US" w:eastAsia="ja-JP"/>
        </w:rPr>
        <w:t xml:space="preserve">, largely demonstrating the gulf between the protections in the code and the actual experience of low income consumers in accessing data, managing usage and bill paying.  While some focus group participants recognised improvements in information provision, beyond </w:t>
      </w:r>
      <w:r>
        <w:rPr>
          <w:lang w:val="en-US" w:eastAsia="ja-JP"/>
        </w:rPr>
        <w:t>this</w:t>
      </w:r>
      <w:r w:rsidR="00EB5E5C">
        <w:rPr>
          <w:lang w:val="en-US" w:eastAsia="ja-JP"/>
        </w:rPr>
        <w:t xml:space="preserve"> the Code does not seem </w:t>
      </w:r>
      <w:r w:rsidR="0050167E">
        <w:rPr>
          <w:lang w:val="en-US" w:eastAsia="ja-JP"/>
        </w:rPr>
        <w:t xml:space="preserve">to be </w:t>
      </w:r>
      <w:r w:rsidR="00EB5E5C">
        <w:rPr>
          <w:lang w:val="en-US" w:eastAsia="ja-JP"/>
        </w:rPr>
        <w:t xml:space="preserve">directed at the challenges and poverty premiums faced by low income consumers. </w:t>
      </w:r>
    </w:p>
    <w:p w:rsidR="00EB5E5C" w:rsidRDefault="00EB5E5C" w:rsidP="00B72325">
      <w:pPr>
        <w:rPr>
          <w:lang w:val="en-US" w:eastAsia="ja-JP"/>
        </w:rPr>
      </w:pPr>
      <w:r>
        <w:rPr>
          <w:lang w:val="en-US" w:eastAsia="ja-JP"/>
        </w:rPr>
        <w:t xml:space="preserve">However, in the absence of other more interventionist regulatory mechanisms, a number of the recommendations from this chapter are formulated in terms of the Code. </w:t>
      </w:r>
    </w:p>
    <w:p w:rsidR="004B3D0B" w:rsidRDefault="00EB5E5C" w:rsidP="00B72325">
      <w:pPr>
        <w:rPr>
          <w:lang w:val="en-US" w:eastAsia="ja-JP"/>
        </w:rPr>
      </w:pPr>
      <w:r>
        <w:rPr>
          <w:lang w:val="en-US" w:eastAsia="ja-JP"/>
        </w:rPr>
        <w:t xml:space="preserve">That said, it is important to note that </w:t>
      </w:r>
      <w:r w:rsidR="004B3D0B">
        <w:rPr>
          <w:lang w:val="en-US" w:eastAsia="ja-JP"/>
        </w:rPr>
        <w:t>the focus group discussions were largely arou</w:t>
      </w:r>
      <w:r w:rsidR="0050167E">
        <w:rPr>
          <w:lang w:val="en-US" w:eastAsia="ja-JP"/>
        </w:rPr>
        <w:t>nd the participants’ experience as low income consumers</w:t>
      </w:r>
      <w:r w:rsidR="004B3D0B">
        <w:rPr>
          <w:lang w:val="en-US" w:eastAsia="ja-JP"/>
        </w:rPr>
        <w:t xml:space="preserve"> of telecommunications affordability</w:t>
      </w:r>
      <w:r w:rsidR="0050167E">
        <w:rPr>
          <w:lang w:val="en-US" w:eastAsia="ja-JP"/>
        </w:rPr>
        <w:t>,</w:t>
      </w:r>
      <w:r w:rsidR="004B3D0B">
        <w:rPr>
          <w:lang w:val="en-US" w:eastAsia="ja-JP"/>
        </w:rPr>
        <w:t xml:space="preserve"> rather than around any specific policies or measures that be adopted or regulated.  </w:t>
      </w:r>
      <w:r>
        <w:rPr>
          <w:lang w:val="en-US" w:eastAsia="ja-JP"/>
        </w:rPr>
        <w:t>Nonetheless</w:t>
      </w:r>
      <w:r w:rsidR="004B3D0B">
        <w:rPr>
          <w:lang w:val="en-US" w:eastAsia="ja-JP"/>
        </w:rPr>
        <w:t>, on this basis of the issues raised, it is possible to make some recommendations to begin to address some of the affordability barriers identified.  These recommendations can be considered under the same broad themes discussed above</w:t>
      </w:r>
      <w:r w:rsidR="00D1772D">
        <w:rPr>
          <w:lang w:val="en-US" w:eastAsia="ja-JP"/>
        </w:rPr>
        <w:t xml:space="preserve">, and are in addition to </w:t>
      </w:r>
      <w:r w:rsidR="00D1772D">
        <w:rPr>
          <w:lang w:val="en-US" w:eastAsia="ja-JP"/>
        </w:rPr>
        <w:fldChar w:fldCharType="begin"/>
      </w:r>
      <w:r w:rsidR="00D1772D">
        <w:rPr>
          <w:lang w:val="en-US" w:eastAsia="ja-JP"/>
        </w:rPr>
        <w:instrText xml:space="preserve"> REF Recommendation_1 \h </w:instrText>
      </w:r>
      <w:r w:rsidR="00D1772D">
        <w:rPr>
          <w:lang w:val="en-US" w:eastAsia="ja-JP"/>
        </w:rPr>
      </w:r>
      <w:r w:rsidR="00D1772D">
        <w:rPr>
          <w:lang w:val="en-US" w:eastAsia="ja-JP"/>
        </w:rPr>
        <w:fldChar w:fldCharType="end"/>
      </w:r>
      <w:r w:rsidR="00D1772D">
        <w:rPr>
          <w:lang w:val="en-US" w:eastAsia="ja-JP"/>
        </w:rPr>
        <w:fldChar w:fldCharType="begin"/>
      </w:r>
      <w:r w:rsidR="00D1772D">
        <w:rPr>
          <w:lang w:val="en-US" w:eastAsia="ja-JP"/>
        </w:rPr>
        <w:instrText xml:space="preserve"> REF Recommendation_1 \h </w:instrText>
      </w:r>
      <w:r w:rsidR="00D1772D">
        <w:rPr>
          <w:lang w:val="en-US" w:eastAsia="ja-JP"/>
        </w:rPr>
      </w:r>
      <w:r w:rsidR="00D1772D">
        <w:rPr>
          <w:lang w:val="en-US" w:eastAsia="ja-JP"/>
        </w:rPr>
        <w:fldChar w:fldCharType="end"/>
      </w:r>
      <w:r w:rsidR="00D1772D">
        <w:rPr>
          <w:lang w:val="en-US" w:eastAsia="ja-JP"/>
        </w:rPr>
        <w:t>Recommendation 1, in the previous section</w:t>
      </w:r>
      <w:r w:rsidR="004B3D0B">
        <w:rPr>
          <w:lang w:val="en-US" w:eastAsia="ja-JP"/>
        </w:rPr>
        <w:t>.</w:t>
      </w:r>
    </w:p>
    <w:p w:rsidR="00EB5E5C" w:rsidRDefault="00102B3F" w:rsidP="00102B3F">
      <w:pPr>
        <w:pStyle w:val="Heading3"/>
        <w:rPr>
          <w:lang w:val="en-US" w:eastAsia="ja-JP"/>
        </w:rPr>
      </w:pPr>
      <w:bookmarkStart w:id="97" w:name="_Toc465167587"/>
      <w:r>
        <w:rPr>
          <w:lang w:val="en-US" w:eastAsia="ja-JP"/>
        </w:rPr>
        <w:t xml:space="preserve">Recommendation 2: </w:t>
      </w:r>
      <w:r w:rsidR="00EB5E5C">
        <w:rPr>
          <w:lang w:val="en-US" w:eastAsia="ja-JP"/>
        </w:rPr>
        <w:t xml:space="preserve">Data and the </w:t>
      </w:r>
      <w:r w:rsidR="00D1772D">
        <w:rPr>
          <w:lang w:val="en-US" w:eastAsia="ja-JP"/>
        </w:rPr>
        <w:t>drivers of expenditure</w:t>
      </w:r>
      <w:bookmarkEnd w:id="97"/>
    </w:p>
    <w:p w:rsidR="007A7AA7" w:rsidRPr="007A7AA7" w:rsidRDefault="007A7AA7" w:rsidP="007A7AA7">
      <w:pPr>
        <w:rPr>
          <w:lang w:val="en-US" w:eastAsia="ja-JP"/>
        </w:rPr>
      </w:pPr>
      <w:r>
        <w:rPr>
          <w:lang w:eastAsia="ja-JP"/>
        </w:rPr>
        <w:t xml:space="preserve">In recognition that </w:t>
      </w:r>
      <w:r w:rsidRPr="007A7AA7">
        <w:rPr>
          <w:lang w:eastAsia="ja-JP"/>
        </w:rPr>
        <w:t>the dominant driver of telecommunications expenditure and excess charges is the need for more data on low cost plans</w:t>
      </w:r>
      <w:r w:rsidR="008C750C">
        <w:rPr>
          <w:lang w:eastAsia="ja-JP"/>
        </w:rPr>
        <w:t>,</w:t>
      </w:r>
      <w:r w:rsidRPr="007A7AA7">
        <w:rPr>
          <w:lang w:eastAsia="ja-JP"/>
        </w:rPr>
        <w:t xml:space="preserve"> </w:t>
      </w:r>
      <w:r>
        <w:rPr>
          <w:lang w:eastAsia="ja-JP"/>
        </w:rPr>
        <w:t xml:space="preserve">products and plans need to be offered </w:t>
      </w:r>
      <w:r w:rsidRPr="007A7AA7">
        <w:rPr>
          <w:lang w:eastAsia="ja-JP"/>
        </w:rPr>
        <w:t>that provide adeq</w:t>
      </w:r>
      <w:r>
        <w:rPr>
          <w:lang w:eastAsia="ja-JP"/>
        </w:rPr>
        <w:t>uate data at the same per unit price that applies</w:t>
      </w:r>
      <w:r w:rsidR="0050167E">
        <w:rPr>
          <w:lang w:eastAsia="ja-JP"/>
        </w:rPr>
        <w:t xml:space="preserve"> in higher cost plans. </w:t>
      </w:r>
    </w:p>
    <w:p w:rsidR="004B3D0B" w:rsidRDefault="00102B3F" w:rsidP="00102B3F">
      <w:pPr>
        <w:pStyle w:val="Heading3"/>
        <w:rPr>
          <w:lang w:val="en-US" w:eastAsia="ja-JP"/>
        </w:rPr>
      </w:pPr>
      <w:bookmarkStart w:id="98" w:name="_Toc465167588"/>
      <w:r>
        <w:rPr>
          <w:lang w:val="en-US" w:eastAsia="ja-JP"/>
        </w:rPr>
        <w:lastRenderedPageBreak/>
        <w:t xml:space="preserve">Recommendation 3: </w:t>
      </w:r>
      <w:r w:rsidR="00FD0594">
        <w:rPr>
          <w:lang w:val="en-US" w:eastAsia="ja-JP"/>
        </w:rPr>
        <w:t xml:space="preserve">Barriers to </w:t>
      </w:r>
      <w:r w:rsidR="00D1772D">
        <w:rPr>
          <w:lang w:val="en-US" w:eastAsia="ja-JP"/>
        </w:rPr>
        <w:t>managing expenditure</w:t>
      </w:r>
      <w:bookmarkEnd w:id="98"/>
    </w:p>
    <w:p w:rsidR="007A7AA7" w:rsidRDefault="007A7AA7" w:rsidP="007A7AA7">
      <w:r>
        <w:t xml:space="preserve">The </w:t>
      </w:r>
      <w:r w:rsidRPr="007A7AA7">
        <w:rPr>
          <w:i/>
        </w:rPr>
        <w:t>Telecommunications Consumer Protections Code</w:t>
      </w:r>
      <w:r w:rsidRPr="007A7AA7">
        <w:t xml:space="preserve"> </w:t>
      </w:r>
      <w:r>
        <w:t xml:space="preserve">should mandate </w:t>
      </w:r>
      <w:r w:rsidRPr="007A7AA7">
        <w:t xml:space="preserve">that service providers allow a choice of payment methods on every plan – </w:t>
      </w:r>
      <w:r w:rsidR="0099559F">
        <w:t>ideally</w:t>
      </w:r>
      <w:r w:rsidRPr="007A7AA7">
        <w:t xml:space="preserve"> for all customers, but at a minimum for low income consumers.</w:t>
      </w:r>
    </w:p>
    <w:p w:rsidR="007A7AA7" w:rsidRPr="007A7AA7" w:rsidRDefault="007A7AA7" w:rsidP="007A7AA7">
      <w:pPr>
        <w:rPr>
          <w:lang w:val="en-US" w:eastAsia="ja-JP"/>
        </w:rPr>
      </w:pPr>
      <w:r>
        <w:rPr>
          <w:rFonts w:eastAsia="Calibri" w:cs="Arial"/>
        </w:rPr>
        <w:t>T</w:t>
      </w:r>
      <w:r w:rsidRPr="007A7AA7">
        <w:rPr>
          <w:rFonts w:eastAsia="Calibri" w:cs="Arial"/>
        </w:rPr>
        <w:t xml:space="preserve">he </w:t>
      </w:r>
      <w:r w:rsidRPr="007A7AA7">
        <w:rPr>
          <w:rFonts w:eastAsia="Calibri" w:cs="Arial"/>
          <w:i/>
        </w:rPr>
        <w:t>Code</w:t>
      </w:r>
      <w:r w:rsidRPr="007A7AA7">
        <w:rPr>
          <w:rFonts w:eastAsia="Calibri" w:cs="Arial"/>
        </w:rPr>
        <w:t xml:space="preserve"> should </w:t>
      </w:r>
      <w:r>
        <w:rPr>
          <w:rFonts w:eastAsia="Calibri" w:cs="Arial"/>
        </w:rPr>
        <w:t xml:space="preserve">also </w:t>
      </w:r>
      <w:r w:rsidRPr="007A7AA7">
        <w:rPr>
          <w:rFonts w:eastAsia="Calibri" w:cs="Arial"/>
        </w:rPr>
        <w:t xml:space="preserve">mandate that </w:t>
      </w:r>
      <w:r>
        <w:rPr>
          <w:rFonts w:eastAsia="Calibri" w:cs="Arial"/>
        </w:rPr>
        <w:t>exit fees (beyond the repayment of upfront hardware costs)</w:t>
      </w:r>
      <w:r w:rsidRPr="007A7AA7">
        <w:rPr>
          <w:rFonts w:eastAsia="Calibri" w:cs="Arial"/>
        </w:rPr>
        <w:t xml:space="preserve"> be waived for </w:t>
      </w:r>
      <w:r>
        <w:rPr>
          <w:rFonts w:eastAsia="Calibri" w:cs="Arial"/>
        </w:rPr>
        <w:t>customers</w:t>
      </w:r>
      <w:r w:rsidRPr="007A7AA7">
        <w:rPr>
          <w:rFonts w:eastAsia="Calibri" w:cs="Arial"/>
        </w:rPr>
        <w:t xml:space="preserve"> on Centrelink </w:t>
      </w:r>
      <w:r>
        <w:rPr>
          <w:rFonts w:eastAsia="Calibri" w:cs="Arial"/>
        </w:rPr>
        <w:t>payments</w:t>
      </w:r>
      <w:r w:rsidRPr="007A7AA7">
        <w:rPr>
          <w:rFonts w:eastAsia="Calibri" w:cs="Arial"/>
        </w:rPr>
        <w:t xml:space="preserve"> or the Low Income Health Care Card.</w:t>
      </w:r>
    </w:p>
    <w:p w:rsidR="004B3D0B" w:rsidRPr="004B3D0B" w:rsidRDefault="00102B3F" w:rsidP="00102B3F">
      <w:pPr>
        <w:pStyle w:val="Heading3"/>
        <w:rPr>
          <w:lang w:val="en-US" w:eastAsia="ja-JP"/>
        </w:rPr>
      </w:pPr>
      <w:bookmarkStart w:id="99" w:name="_Toc465167589"/>
      <w:r>
        <w:rPr>
          <w:lang w:val="en-US" w:eastAsia="ja-JP"/>
        </w:rPr>
        <w:t xml:space="preserve">Recommendation 4: </w:t>
      </w:r>
      <w:r w:rsidR="004B3D0B">
        <w:rPr>
          <w:lang w:val="en-US" w:eastAsia="ja-JP"/>
        </w:rPr>
        <w:t>Hardship</w:t>
      </w:r>
      <w:r w:rsidR="00FD0594">
        <w:rPr>
          <w:lang w:val="en-US" w:eastAsia="ja-JP"/>
        </w:rPr>
        <w:t xml:space="preserve"> </w:t>
      </w:r>
      <w:r w:rsidR="00D1772D">
        <w:rPr>
          <w:lang w:val="en-US" w:eastAsia="ja-JP"/>
        </w:rPr>
        <w:t>assistance</w:t>
      </w:r>
      <w:bookmarkEnd w:id="99"/>
    </w:p>
    <w:p w:rsidR="00FD0594" w:rsidRDefault="00FD0594" w:rsidP="00FD0594">
      <w:pPr>
        <w:rPr>
          <w:rFonts w:cs="Arial"/>
          <w:lang w:val="en-US" w:eastAsia="ja-JP"/>
        </w:rPr>
      </w:pPr>
      <w:r>
        <w:rPr>
          <w:lang w:val="en-US" w:eastAsia="ja-JP"/>
        </w:rPr>
        <w:t>On the basis of the feedback from the focus groups, further research and analysis is required to determine whether</w:t>
      </w:r>
      <w:r w:rsidR="00FC3434">
        <w:rPr>
          <w:lang w:val="en-US" w:eastAsia="ja-JP"/>
        </w:rPr>
        <w:t>,</w:t>
      </w:r>
      <w:r>
        <w:rPr>
          <w:lang w:val="en-US" w:eastAsia="ja-JP"/>
        </w:rPr>
        <w:t xml:space="preserve"> in relation to hardship policies</w:t>
      </w:r>
      <w:r w:rsidR="00FC3434">
        <w:rPr>
          <w:lang w:val="en-US" w:eastAsia="ja-JP"/>
        </w:rPr>
        <w:t>,</w:t>
      </w:r>
      <w:r>
        <w:rPr>
          <w:lang w:val="en-US" w:eastAsia="ja-JP"/>
        </w:rPr>
        <w:t xml:space="preserve"> s</w:t>
      </w:r>
      <w:r>
        <w:rPr>
          <w:rFonts w:cs="Arial"/>
          <w:lang w:val="en-US" w:eastAsia="ja-JP"/>
        </w:rPr>
        <w:t xml:space="preserve">uppliers are complying with the </w:t>
      </w:r>
      <w:r w:rsidRPr="008C750C">
        <w:rPr>
          <w:rFonts w:cs="Arial"/>
          <w:i/>
          <w:lang w:val="en-US" w:eastAsia="ja-JP"/>
        </w:rPr>
        <w:t>Telecommunication Consumer Protections Code</w:t>
      </w:r>
      <w:r>
        <w:rPr>
          <w:rFonts w:cs="Arial"/>
          <w:lang w:val="en-US" w:eastAsia="ja-JP"/>
        </w:rPr>
        <w:t xml:space="preserve">, whether the </w:t>
      </w:r>
      <w:r w:rsidRPr="008C750C">
        <w:rPr>
          <w:rFonts w:cs="Arial"/>
          <w:i/>
          <w:lang w:val="en-US" w:eastAsia="ja-JP"/>
        </w:rPr>
        <w:t>Code</w:t>
      </w:r>
      <w:r>
        <w:rPr>
          <w:rFonts w:cs="Arial"/>
          <w:lang w:val="en-US" w:eastAsia="ja-JP"/>
        </w:rPr>
        <w:t xml:space="preserve"> is tight enough to ensure access for vulnerable and disadvantaged people, and whether the content of the hardship arrangements are sufficient to alleviate hardship.</w:t>
      </w:r>
    </w:p>
    <w:p w:rsidR="00FD0594" w:rsidRPr="00FD0594" w:rsidRDefault="00FD0594" w:rsidP="00FD0594">
      <w:pPr>
        <w:rPr>
          <w:rFonts w:cs="Arial"/>
          <w:lang w:val="en-US" w:eastAsia="ja-JP"/>
        </w:rPr>
      </w:pPr>
    </w:p>
    <w:p w:rsidR="003118D9" w:rsidRDefault="003118D9" w:rsidP="0004483D">
      <w:pPr>
        <w:pStyle w:val="Heading1"/>
      </w:pPr>
      <w:bookmarkStart w:id="100" w:name="_Toc465167590"/>
      <w:r>
        <w:lastRenderedPageBreak/>
        <w:t>Conclusion</w:t>
      </w:r>
      <w:bookmarkEnd w:id="100"/>
    </w:p>
    <w:p w:rsidR="00AF4DEF" w:rsidRDefault="00AF4DEF" w:rsidP="00DB32A4">
      <w:r>
        <w:t>T</w:t>
      </w:r>
      <w:r w:rsidR="004F15DA">
        <w:t>his report has canvassed a wide range of issues relating to the affordability of telecommunications</w:t>
      </w:r>
      <w:r w:rsidR="008C750C">
        <w:t xml:space="preserve"> and has found that</w:t>
      </w:r>
      <w:r>
        <w:t xml:space="preserve"> within the framework</w:t>
      </w:r>
      <w:r w:rsidR="008C750C">
        <w:t>,</w:t>
      </w:r>
      <w:r>
        <w:t xml:space="preserve"> telecommunications expenditure</w:t>
      </w:r>
      <w:r w:rsidR="004100E3">
        <w:t xml:space="preserve"> is</w:t>
      </w:r>
      <w:r>
        <w:t>:</w:t>
      </w:r>
    </w:p>
    <w:p w:rsidR="00AF4DEF" w:rsidRDefault="00AF4DEF" w:rsidP="00567914">
      <w:pPr>
        <w:pStyle w:val="ListParagraph"/>
        <w:numPr>
          <w:ilvl w:val="0"/>
          <w:numId w:val="10"/>
        </w:numPr>
        <w:rPr>
          <w:rFonts w:ascii="Arial" w:hAnsi="Arial" w:cs="Arial"/>
        </w:rPr>
      </w:pPr>
      <w:r w:rsidRPr="00AF4DEF">
        <w:rPr>
          <w:rFonts w:ascii="Arial" w:hAnsi="Arial" w:cs="Arial"/>
        </w:rPr>
        <w:t xml:space="preserve">essential </w:t>
      </w:r>
      <w:r>
        <w:rPr>
          <w:rFonts w:ascii="Arial" w:hAnsi="Arial" w:cs="Arial"/>
        </w:rPr>
        <w:t>for living in a modern society;</w:t>
      </w:r>
    </w:p>
    <w:p w:rsidR="00AF4DEF" w:rsidRDefault="00AF4DEF" w:rsidP="00567914">
      <w:pPr>
        <w:pStyle w:val="ListParagraph"/>
        <w:numPr>
          <w:ilvl w:val="0"/>
          <w:numId w:val="10"/>
        </w:numPr>
        <w:rPr>
          <w:rFonts w:ascii="Arial" w:hAnsi="Arial" w:cs="Arial"/>
        </w:rPr>
      </w:pPr>
      <w:r>
        <w:rPr>
          <w:rFonts w:ascii="Arial" w:hAnsi="Arial" w:cs="Arial"/>
        </w:rPr>
        <w:t>a significant factor in the budget of low income Australians; and</w:t>
      </w:r>
    </w:p>
    <w:p w:rsidR="00AF4DEF" w:rsidRPr="00AF4DEF" w:rsidRDefault="00AF4DEF" w:rsidP="00567914">
      <w:pPr>
        <w:pStyle w:val="ListParagraph"/>
        <w:numPr>
          <w:ilvl w:val="0"/>
          <w:numId w:val="10"/>
        </w:numPr>
        <w:rPr>
          <w:rFonts w:ascii="Arial" w:hAnsi="Arial" w:cs="Arial"/>
        </w:rPr>
      </w:pPr>
      <w:proofErr w:type="gramStart"/>
      <w:r>
        <w:rPr>
          <w:rFonts w:ascii="Arial" w:hAnsi="Arial" w:cs="Arial"/>
        </w:rPr>
        <w:t>regressive</w:t>
      </w:r>
      <w:proofErr w:type="gramEnd"/>
      <w:r>
        <w:rPr>
          <w:rFonts w:ascii="Arial" w:hAnsi="Arial" w:cs="Arial"/>
        </w:rPr>
        <w:t xml:space="preserve"> in that it impacts low income households</w:t>
      </w:r>
      <w:r w:rsidR="008C750C">
        <w:rPr>
          <w:rFonts w:ascii="Arial" w:hAnsi="Arial" w:cs="Arial"/>
        </w:rPr>
        <w:t xml:space="preserve"> proportionately more</w:t>
      </w:r>
      <w:r>
        <w:rPr>
          <w:rFonts w:ascii="Arial" w:hAnsi="Arial" w:cs="Arial"/>
        </w:rPr>
        <w:t>.</w:t>
      </w:r>
    </w:p>
    <w:p w:rsidR="00AF4DEF" w:rsidRDefault="00AF4DEF" w:rsidP="00DB32A4">
      <w:r>
        <w:t>Perhaps more importantly, t</w:t>
      </w:r>
      <w:r w:rsidR="004F15DA">
        <w:t xml:space="preserve">he survey data and focus group responses </w:t>
      </w:r>
      <w:r>
        <w:t xml:space="preserve">presented here </w:t>
      </w:r>
      <w:r w:rsidR="004F15DA">
        <w:t>provide clear evidence of a digital divide where low income consumers are missing out on telecommunications services.</w:t>
      </w:r>
      <w:r w:rsidR="00F26454">
        <w:t xml:space="preserve"> </w:t>
      </w:r>
      <w:r w:rsidR="004F15DA">
        <w:t xml:space="preserve"> They have fewer devices per household than the national average, and a large number of them are consistently cutting back or stopping services due to financial considerations.  </w:t>
      </w:r>
    </w:p>
    <w:p w:rsidR="004F15DA" w:rsidRDefault="004F15DA" w:rsidP="00DB32A4">
      <w:r>
        <w:t xml:space="preserve">This </w:t>
      </w:r>
      <w:r w:rsidR="00AF4DEF">
        <w:t xml:space="preserve">telecommunication poverty </w:t>
      </w:r>
      <w:r>
        <w:t xml:space="preserve">threatens to exclude them not only from social networks, but also from job and education opportunities, </w:t>
      </w:r>
      <w:r w:rsidR="00417AD6">
        <w:t>and</w:t>
      </w:r>
      <w:r>
        <w:t xml:space="preserve"> government support services</w:t>
      </w:r>
      <w:r w:rsidR="00FC3434">
        <w:t xml:space="preserve"> and commercial transactions</w:t>
      </w:r>
      <w:r>
        <w:t xml:space="preserve">.  In short, it threatens to compound their </w:t>
      </w:r>
      <w:r w:rsidR="00AF4DEF">
        <w:t xml:space="preserve">existing levels of disadvantage and leave them further behind both economically and socially.  </w:t>
      </w:r>
    </w:p>
    <w:p w:rsidR="00AF4DEF" w:rsidRDefault="00AF4DEF" w:rsidP="00DB32A4">
      <w:r>
        <w:t xml:space="preserve">It </w:t>
      </w:r>
      <w:r w:rsidR="008C750C">
        <w:t xml:space="preserve">is </w:t>
      </w:r>
      <w:r>
        <w:t>also clear that the government response to this affordability issue</w:t>
      </w:r>
      <w:r w:rsidR="00624716">
        <w:t>,</w:t>
      </w:r>
      <w:r>
        <w:t xml:space="preserve"> in the shape of the Centrelink Telephone Allowance</w:t>
      </w:r>
      <w:r w:rsidR="008C750C">
        <w:t xml:space="preserve"> (CTA)</w:t>
      </w:r>
      <w:r>
        <w:t>, is poorly targeted, inadequate and in need of an upgrade.  Further, there are a range of market products and practices which, far from facilitating low income custom</w:t>
      </w:r>
      <w:r w:rsidR="00624716">
        <w:t>ers access to</w:t>
      </w:r>
      <w:r>
        <w:t xml:space="preserve"> telecommunications, are putting barriers in place.</w:t>
      </w:r>
    </w:p>
    <w:p w:rsidR="004F15DA" w:rsidRDefault="00AF4DEF" w:rsidP="00DB32A4">
      <w:r>
        <w:t xml:space="preserve">In order to address the affordability barriers for low income Australians, both the CTA and these problematic market products and structures need to be addressed.  While the recommendations in this report are by no means comprehensive, they point </w:t>
      </w:r>
      <w:proofErr w:type="spellStart"/>
      <w:r w:rsidR="008C750C">
        <w:t>too</w:t>
      </w:r>
      <w:proofErr w:type="spellEnd"/>
      <w:r>
        <w:t xml:space="preserve"> the direction of changes that are required if Australia </w:t>
      </w:r>
      <w:r w:rsidR="00624716">
        <w:t xml:space="preserve">is to </w:t>
      </w:r>
      <w:r>
        <w:t>avoid the problems of a digital</w:t>
      </w:r>
      <w:r w:rsidR="00140828">
        <w:t xml:space="preserve"> divide </w:t>
      </w:r>
      <w:r>
        <w:t>and enable all citizens to participate fully in an increasingly digital economy and society.</w:t>
      </w:r>
    </w:p>
    <w:p w:rsidR="00DB32A4" w:rsidRDefault="00DB32A4" w:rsidP="00B11E1C"/>
    <w:p w:rsidR="007850D6" w:rsidRDefault="007850D6" w:rsidP="007850D6">
      <w:pPr>
        <w:pStyle w:val="Heading1"/>
      </w:pPr>
      <w:bookmarkStart w:id="101" w:name="_Toc465167591"/>
      <w:r w:rsidRPr="000875F5">
        <w:lastRenderedPageBreak/>
        <w:t>Recommendations</w:t>
      </w:r>
      <w:bookmarkEnd w:id="101"/>
    </w:p>
    <w:p w:rsidR="007850D6" w:rsidRDefault="007850D6" w:rsidP="00102B3F">
      <w:pPr>
        <w:pStyle w:val="Heading2"/>
      </w:pPr>
      <w:bookmarkStart w:id="102" w:name="_Toc465167592"/>
      <w:r>
        <w:t>Recommendation 1</w:t>
      </w:r>
      <w:r w:rsidR="00BC6CB5">
        <w:t>: Reform</w:t>
      </w:r>
      <w:r w:rsidR="0077546F">
        <w:t>ing</w:t>
      </w:r>
      <w:r w:rsidR="00BC6CB5">
        <w:t xml:space="preserve"> t</w:t>
      </w:r>
      <w:r w:rsidR="000875F5">
        <w:t>he Centrelink Telephone Allowance</w:t>
      </w:r>
      <w:bookmarkEnd w:id="102"/>
    </w:p>
    <w:p w:rsidR="00140828" w:rsidRPr="0028790D" w:rsidRDefault="00140828" w:rsidP="00B72325">
      <w:pPr>
        <w:rPr>
          <w:lang w:eastAsia="ja-JP"/>
        </w:rPr>
      </w:pPr>
      <w:r>
        <w:t>The Centrelink Telephone Allowance is no longer fit for purpose</w:t>
      </w:r>
      <w:r w:rsidR="000C53B9">
        <w:t xml:space="preserve">. It </w:t>
      </w:r>
      <w:r>
        <w:t>needs to be upgraded to reflect modern telecommunications usage and demands</w:t>
      </w:r>
      <w:r w:rsidR="000C53B9">
        <w:t xml:space="preserve">, and </w:t>
      </w:r>
      <w:r w:rsidR="000C53B9" w:rsidRPr="00C25E6D">
        <w:t>consideration is needed of its place in the income support system</w:t>
      </w:r>
      <w:r>
        <w:t xml:space="preserve">.  Specifically, </w:t>
      </w:r>
      <w:r w:rsidR="000C53B9">
        <w:t xml:space="preserve">in the first instance, </w:t>
      </w:r>
      <w:r>
        <w:t>an upgraded CTA should</w:t>
      </w:r>
      <w:r>
        <w:rPr>
          <w:lang w:eastAsia="ja-JP"/>
        </w:rPr>
        <w:t>:</w:t>
      </w:r>
    </w:p>
    <w:p w:rsidR="00140828" w:rsidRPr="0028790D" w:rsidRDefault="00140828" w:rsidP="00567914">
      <w:pPr>
        <w:numPr>
          <w:ilvl w:val="0"/>
          <w:numId w:val="3"/>
        </w:numPr>
        <w:spacing w:after="0"/>
        <w:ind w:left="714" w:hanging="357"/>
        <w:rPr>
          <w:lang w:eastAsia="ja-JP"/>
        </w:rPr>
      </w:pPr>
      <w:r w:rsidRPr="0028790D">
        <w:rPr>
          <w:lang w:eastAsia="ja-JP"/>
        </w:rPr>
        <w:t>aim to assist with access to mobile-phone communication and internet access with a reasonable call and data allowance;</w:t>
      </w:r>
    </w:p>
    <w:p w:rsidR="00140828" w:rsidRPr="0028790D" w:rsidRDefault="00140828" w:rsidP="00567914">
      <w:pPr>
        <w:numPr>
          <w:ilvl w:val="0"/>
          <w:numId w:val="3"/>
        </w:numPr>
        <w:spacing w:after="0"/>
        <w:ind w:left="714" w:hanging="357"/>
        <w:rPr>
          <w:lang w:eastAsia="ja-JP"/>
        </w:rPr>
      </w:pPr>
      <w:r w:rsidRPr="0028790D">
        <w:rPr>
          <w:lang w:eastAsia="ja-JP"/>
        </w:rPr>
        <w:t>be available to all Centrelink recipients;</w:t>
      </w:r>
    </w:p>
    <w:p w:rsidR="00140828" w:rsidRPr="0028790D" w:rsidRDefault="00140828" w:rsidP="00567914">
      <w:pPr>
        <w:numPr>
          <w:ilvl w:val="0"/>
          <w:numId w:val="3"/>
        </w:numPr>
        <w:spacing w:after="0"/>
        <w:ind w:left="714" w:hanging="357"/>
        <w:rPr>
          <w:lang w:eastAsia="ja-JP"/>
        </w:rPr>
      </w:pPr>
      <w:r w:rsidRPr="0028790D">
        <w:rPr>
          <w:lang w:eastAsia="ja-JP"/>
        </w:rPr>
        <w:t>have higher rates per child/dependant;</w:t>
      </w:r>
    </w:p>
    <w:p w:rsidR="00140828" w:rsidRPr="0028790D" w:rsidRDefault="00140828" w:rsidP="00567914">
      <w:pPr>
        <w:numPr>
          <w:ilvl w:val="0"/>
          <w:numId w:val="3"/>
        </w:numPr>
        <w:spacing w:after="0"/>
        <w:ind w:left="714" w:hanging="357"/>
        <w:rPr>
          <w:lang w:eastAsia="ja-JP"/>
        </w:rPr>
      </w:pPr>
      <w:r w:rsidRPr="0028790D">
        <w:rPr>
          <w:lang w:eastAsia="ja-JP"/>
        </w:rPr>
        <w:t>be increased to a base rate of at least $60 per quarter ($20/month);</w:t>
      </w:r>
    </w:p>
    <w:p w:rsidR="00140828" w:rsidRDefault="00140828" w:rsidP="00567914">
      <w:pPr>
        <w:numPr>
          <w:ilvl w:val="0"/>
          <w:numId w:val="3"/>
        </w:numPr>
        <w:spacing w:after="0"/>
        <w:ind w:left="714" w:hanging="357"/>
        <w:rPr>
          <w:lang w:eastAsia="ja-JP"/>
        </w:rPr>
      </w:pPr>
      <w:proofErr w:type="gramStart"/>
      <w:r w:rsidRPr="0028790D">
        <w:rPr>
          <w:lang w:eastAsia="ja-JP"/>
        </w:rPr>
        <w:t>be</w:t>
      </w:r>
      <w:proofErr w:type="gramEnd"/>
      <w:r w:rsidRPr="0028790D">
        <w:rPr>
          <w:lang w:eastAsia="ja-JP"/>
        </w:rPr>
        <w:t xml:space="preserve"> paid fortnightly or monthly.</w:t>
      </w:r>
    </w:p>
    <w:p w:rsidR="0077546F" w:rsidRDefault="0077546F" w:rsidP="000C53B9">
      <w:pPr>
        <w:spacing w:after="0"/>
        <w:rPr>
          <w:lang w:eastAsia="ja-JP"/>
        </w:rPr>
      </w:pPr>
    </w:p>
    <w:p w:rsidR="000C53B9" w:rsidRPr="000C53B9" w:rsidRDefault="000C53B9" w:rsidP="000C53B9">
      <w:pPr>
        <w:spacing w:after="0"/>
        <w:rPr>
          <w:lang w:eastAsia="ja-JP"/>
        </w:rPr>
      </w:pPr>
      <w:r w:rsidRPr="00C25E6D">
        <w:rPr>
          <w:lang w:eastAsia="ja-JP"/>
        </w:rPr>
        <w:t>Secondly, there should be a review of the adequacy of income support payments, and the costs of telecommunications should be included in the consideration of essential household expenditures.</w:t>
      </w:r>
      <w:r w:rsidR="00F26454" w:rsidRPr="00C25E6D">
        <w:rPr>
          <w:lang w:eastAsia="ja-JP"/>
        </w:rPr>
        <w:t xml:space="preserve"> </w:t>
      </w:r>
      <w:r w:rsidRPr="00C25E6D">
        <w:rPr>
          <w:lang w:eastAsia="ja-JP"/>
        </w:rPr>
        <w:t>If the costs of telecommunications are factored into setting genuinely liveable allowances, then there should be consideration of incorporating the CTA into the expanded base level payments.</w:t>
      </w:r>
    </w:p>
    <w:p w:rsidR="000875F5" w:rsidRDefault="007850D6" w:rsidP="00102B3F">
      <w:pPr>
        <w:pStyle w:val="Heading2"/>
      </w:pPr>
      <w:bookmarkStart w:id="103" w:name="_Toc465167593"/>
      <w:r>
        <w:t>Recommendation 2</w:t>
      </w:r>
      <w:r w:rsidR="000875F5">
        <w:t xml:space="preserve">: Data and </w:t>
      </w:r>
      <w:r w:rsidR="008C750C">
        <w:t>the drivers of expenditure</w:t>
      </w:r>
      <w:bookmarkEnd w:id="103"/>
    </w:p>
    <w:p w:rsidR="000875F5" w:rsidRDefault="000875F5" w:rsidP="000875F5">
      <w:pPr>
        <w:rPr>
          <w:lang w:eastAsia="ja-JP"/>
        </w:rPr>
      </w:pPr>
      <w:r>
        <w:rPr>
          <w:lang w:eastAsia="ja-JP"/>
        </w:rPr>
        <w:t xml:space="preserve">In recognition that </w:t>
      </w:r>
      <w:r w:rsidRPr="007A7AA7">
        <w:rPr>
          <w:lang w:eastAsia="ja-JP"/>
        </w:rPr>
        <w:t xml:space="preserve">the dominant driver of telecommunications expenditure and excess charges is the need for more data on low cost plans, </w:t>
      </w:r>
      <w:r>
        <w:rPr>
          <w:lang w:eastAsia="ja-JP"/>
        </w:rPr>
        <w:t xml:space="preserve">products and plans need to be offered </w:t>
      </w:r>
      <w:r w:rsidRPr="007A7AA7">
        <w:rPr>
          <w:lang w:eastAsia="ja-JP"/>
        </w:rPr>
        <w:t>that provide adeq</w:t>
      </w:r>
      <w:r>
        <w:rPr>
          <w:lang w:eastAsia="ja-JP"/>
        </w:rPr>
        <w:t>uate data at the same per unit price that applies</w:t>
      </w:r>
      <w:r w:rsidRPr="007A7AA7">
        <w:rPr>
          <w:lang w:eastAsia="ja-JP"/>
        </w:rPr>
        <w:t xml:space="preserve"> in higher cost plans.  </w:t>
      </w:r>
    </w:p>
    <w:p w:rsidR="000875F5" w:rsidRDefault="000875F5" w:rsidP="00102B3F">
      <w:pPr>
        <w:pStyle w:val="Heading2"/>
      </w:pPr>
      <w:bookmarkStart w:id="104" w:name="_Toc465167594"/>
      <w:r>
        <w:t xml:space="preserve">Recommendation 3: Barriers to </w:t>
      </w:r>
      <w:r w:rsidR="008C750C">
        <w:t>managing expenditure</w:t>
      </w:r>
      <w:bookmarkEnd w:id="104"/>
    </w:p>
    <w:p w:rsidR="000875F5" w:rsidRDefault="000875F5" w:rsidP="000875F5">
      <w:r>
        <w:t xml:space="preserve">The </w:t>
      </w:r>
      <w:r w:rsidRPr="007A7AA7">
        <w:rPr>
          <w:i/>
        </w:rPr>
        <w:t>Telecommunications Consumer Protections Code</w:t>
      </w:r>
      <w:r w:rsidRPr="007A7AA7">
        <w:t xml:space="preserve"> </w:t>
      </w:r>
      <w:r>
        <w:t xml:space="preserve">should mandate </w:t>
      </w:r>
      <w:r w:rsidRPr="007A7AA7">
        <w:t xml:space="preserve">that service providers allow a choice of payment methods on every plan – </w:t>
      </w:r>
      <w:r w:rsidR="0099559F">
        <w:t>ideally</w:t>
      </w:r>
      <w:r w:rsidR="0099559F" w:rsidRPr="007A7AA7">
        <w:t xml:space="preserve"> </w:t>
      </w:r>
      <w:r w:rsidRPr="007A7AA7">
        <w:t>for all customers, but at a minimum for low income consumers.</w:t>
      </w:r>
    </w:p>
    <w:p w:rsidR="000875F5" w:rsidRDefault="000875F5" w:rsidP="000875F5">
      <w:pPr>
        <w:rPr>
          <w:rFonts w:eastAsia="Calibri" w:cs="Arial"/>
        </w:rPr>
      </w:pPr>
      <w:r>
        <w:rPr>
          <w:rFonts w:eastAsia="Calibri" w:cs="Arial"/>
        </w:rPr>
        <w:t>T</w:t>
      </w:r>
      <w:r w:rsidRPr="007A7AA7">
        <w:rPr>
          <w:rFonts w:eastAsia="Calibri" w:cs="Arial"/>
        </w:rPr>
        <w:t xml:space="preserve">he </w:t>
      </w:r>
      <w:r w:rsidRPr="007A7AA7">
        <w:rPr>
          <w:rFonts w:eastAsia="Calibri" w:cs="Arial"/>
          <w:i/>
        </w:rPr>
        <w:t>Code</w:t>
      </w:r>
      <w:r w:rsidRPr="007A7AA7">
        <w:rPr>
          <w:rFonts w:eastAsia="Calibri" w:cs="Arial"/>
        </w:rPr>
        <w:t xml:space="preserve"> should </w:t>
      </w:r>
      <w:r>
        <w:rPr>
          <w:rFonts w:eastAsia="Calibri" w:cs="Arial"/>
        </w:rPr>
        <w:t xml:space="preserve">also </w:t>
      </w:r>
      <w:r w:rsidRPr="007A7AA7">
        <w:rPr>
          <w:rFonts w:eastAsia="Calibri" w:cs="Arial"/>
        </w:rPr>
        <w:t xml:space="preserve">mandate that </w:t>
      </w:r>
      <w:r>
        <w:rPr>
          <w:rFonts w:eastAsia="Calibri" w:cs="Arial"/>
        </w:rPr>
        <w:t>exit fees (beyond the repayment of upfront hardware costs)</w:t>
      </w:r>
      <w:r w:rsidRPr="007A7AA7">
        <w:rPr>
          <w:rFonts w:eastAsia="Calibri" w:cs="Arial"/>
        </w:rPr>
        <w:t xml:space="preserve"> be waived for </w:t>
      </w:r>
      <w:r>
        <w:rPr>
          <w:rFonts w:eastAsia="Calibri" w:cs="Arial"/>
        </w:rPr>
        <w:t>customers</w:t>
      </w:r>
      <w:r w:rsidRPr="007A7AA7">
        <w:rPr>
          <w:rFonts w:eastAsia="Calibri" w:cs="Arial"/>
        </w:rPr>
        <w:t xml:space="preserve"> on Centrelink </w:t>
      </w:r>
      <w:r>
        <w:rPr>
          <w:rFonts w:eastAsia="Calibri" w:cs="Arial"/>
        </w:rPr>
        <w:t>payments</w:t>
      </w:r>
      <w:r w:rsidRPr="007A7AA7">
        <w:rPr>
          <w:rFonts w:eastAsia="Calibri" w:cs="Arial"/>
        </w:rPr>
        <w:t xml:space="preserve"> or the Low Income Health Care Card.</w:t>
      </w:r>
    </w:p>
    <w:p w:rsidR="000875F5" w:rsidRPr="004B3D0B" w:rsidRDefault="000875F5" w:rsidP="00102B3F">
      <w:pPr>
        <w:pStyle w:val="Heading2"/>
      </w:pPr>
      <w:bookmarkStart w:id="105" w:name="_Toc465167595"/>
      <w:r>
        <w:lastRenderedPageBreak/>
        <w:t>Recommendation 4: Hardship Assistance</w:t>
      </w:r>
      <w:bookmarkEnd w:id="105"/>
    </w:p>
    <w:p w:rsidR="00D331C7" w:rsidRDefault="000875F5" w:rsidP="000875F5">
      <w:r>
        <w:rPr>
          <w:lang w:val="en-US" w:eastAsia="ja-JP"/>
        </w:rPr>
        <w:t>On the basis of the feedback from the focus groups, further research and analysis is required to determine</w:t>
      </w:r>
      <w:r w:rsidR="00624716">
        <w:rPr>
          <w:lang w:val="en-US" w:eastAsia="ja-JP"/>
        </w:rPr>
        <w:t>,</w:t>
      </w:r>
      <w:r>
        <w:rPr>
          <w:lang w:val="en-US" w:eastAsia="ja-JP"/>
        </w:rPr>
        <w:t xml:space="preserve"> in relation to hardship policies</w:t>
      </w:r>
      <w:r w:rsidR="00451DFD">
        <w:rPr>
          <w:lang w:val="en-US" w:eastAsia="ja-JP"/>
        </w:rPr>
        <w:t>,</w:t>
      </w:r>
      <w:r>
        <w:rPr>
          <w:lang w:val="en-US" w:eastAsia="ja-JP"/>
        </w:rPr>
        <w:t xml:space="preserve"> </w:t>
      </w:r>
      <w:r w:rsidR="00451DFD">
        <w:rPr>
          <w:lang w:val="en-US" w:eastAsia="ja-JP"/>
        </w:rPr>
        <w:t xml:space="preserve">whether </w:t>
      </w:r>
      <w:r>
        <w:rPr>
          <w:lang w:val="en-US" w:eastAsia="ja-JP"/>
        </w:rPr>
        <w:t>s</w:t>
      </w:r>
      <w:r>
        <w:rPr>
          <w:rFonts w:cs="Arial"/>
          <w:lang w:val="en-US" w:eastAsia="ja-JP"/>
        </w:rPr>
        <w:t xml:space="preserve">uppliers are complying with the </w:t>
      </w:r>
      <w:r w:rsidRPr="00624716">
        <w:rPr>
          <w:rFonts w:cs="Arial"/>
          <w:i/>
          <w:lang w:val="en-US" w:eastAsia="ja-JP"/>
        </w:rPr>
        <w:t>Telecommunication Consumer Protections Code</w:t>
      </w:r>
      <w:r>
        <w:rPr>
          <w:rFonts w:cs="Arial"/>
          <w:lang w:val="en-US" w:eastAsia="ja-JP"/>
        </w:rPr>
        <w:t xml:space="preserve">, whether the </w:t>
      </w:r>
      <w:r w:rsidRPr="008C750C">
        <w:rPr>
          <w:rFonts w:cs="Arial"/>
          <w:i/>
          <w:lang w:val="en-US" w:eastAsia="ja-JP"/>
        </w:rPr>
        <w:t>Code</w:t>
      </w:r>
      <w:r>
        <w:rPr>
          <w:rFonts w:cs="Arial"/>
          <w:lang w:val="en-US" w:eastAsia="ja-JP"/>
        </w:rPr>
        <w:t xml:space="preserve"> is tight enough to ensure access for vulnerable and disadvantaged people, and whether the content of the hardship arrangements are sufficient to alleviate hardship.</w:t>
      </w:r>
      <w:r w:rsidR="00451DFD">
        <w:t xml:space="preserve"> </w:t>
      </w:r>
    </w:p>
    <w:p w:rsidR="007850D6" w:rsidRDefault="007850D6" w:rsidP="0004483D">
      <w:pPr>
        <w:pStyle w:val="Heading1"/>
      </w:pPr>
      <w:bookmarkStart w:id="106" w:name="_Toc465167596"/>
      <w:r w:rsidRPr="005D0AB4">
        <w:lastRenderedPageBreak/>
        <w:t>Authors</w:t>
      </w:r>
      <w:bookmarkEnd w:id="106"/>
    </w:p>
    <w:p w:rsidR="007850D6" w:rsidRPr="00810E59" w:rsidRDefault="005D0AB4" w:rsidP="00810E59">
      <w:pPr>
        <w:rPr>
          <w:b/>
        </w:rPr>
      </w:pPr>
      <w:r w:rsidRPr="00810E59">
        <w:rPr>
          <w:b/>
        </w:rPr>
        <w:t>Greg Ogle</w:t>
      </w:r>
    </w:p>
    <w:p w:rsidR="007850D6" w:rsidRDefault="005D0AB4" w:rsidP="007850D6">
      <w:pPr>
        <w:rPr>
          <w:lang w:val="en-US" w:eastAsia="ja-JP"/>
        </w:rPr>
      </w:pPr>
      <w:proofErr w:type="spellStart"/>
      <w:r>
        <w:rPr>
          <w:lang w:val="en-US" w:eastAsia="ja-JP"/>
        </w:rPr>
        <w:t>Dr</w:t>
      </w:r>
      <w:proofErr w:type="spellEnd"/>
      <w:r>
        <w:rPr>
          <w:lang w:val="en-US" w:eastAsia="ja-JP"/>
        </w:rPr>
        <w:t xml:space="preserve"> Greg Ogle is the Senior Policy and Research Analyst at the South Australian Council of Social Service, and has authored the two SACOSS </w:t>
      </w:r>
      <w:r w:rsidRPr="005D0AB4">
        <w:rPr>
          <w:i/>
          <w:lang w:val="en-US" w:eastAsia="ja-JP"/>
        </w:rPr>
        <w:t>Cost of Living Updates</w:t>
      </w:r>
      <w:r>
        <w:rPr>
          <w:lang w:val="en-US" w:eastAsia="ja-JP"/>
        </w:rPr>
        <w:t xml:space="preserve"> on telecommunications (2013, 2015). He has a PhD in political economy from the University of Adelaide</w:t>
      </w:r>
      <w:r w:rsidR="00FC578F">
        <w:rPr>
          <w:lang w:val="en-US" w:eastAsia="ja-JP"/>
        </w:rPr>
        <w:t>.</w:t>
      </w:r>
    </w:p>
    <w:p w:rsidR="007850D6" w:rsidRPr="00810E59" w:rsidRDefault="005D0AB4" w:rsidP="00810E59">
      <w:pPr>
        <w:rPr>
          <w:b/>
        </w:rPr>
      </w:pPr>
      <w:r w:rsidRPr="00810E59">
        <w:rPr>
          <w:b/>
        </w:rPr>
        <w:t>Vanessa Musolino</w:t>
      </w:r>
    </w:p>
    <w:p w:rsidR="00D16666" w:rsidRDefault="005D0AB4" w:rsidP="00D16666">
      <w:pPr>
        <w:rPr>
          <w:lang w:val="en-US" w:eastAsia="ja-JP"/>
        </w:rPr>
      </w:pPr>
      <w:r>
        <w:t xml:space="preserve">Vanessa Musolino is a Senior Policy Officer at the South Australian Council of Social Service and has previously worked for the </w:t>
      </w:r>
      <w:r w:rsidR="00FC578F">
        <w:t xml:space="preserve">Department of Education and Training, and the </w:t>
      </w:r>
      <w:r>
        <w:t>Department of Premier and Cabinet in Victoria.</w:t>
      </w:r>
    </w:p>
    <w:p w:rsidR="00534D38" w:rsidRDefault="00534D38" w:rsidP="00534D38">
      <w:pPr>
        <w:pStyle w:val="Heading1"/>
      </w:pPr>
      <w:bookmarkStart w:id="107" w:name="_Toc452902929"/>
      <w:bookmarkStart w:id="108" w:name="_Toc453848531"/>
      <w:bookmarkStart w:id="109" w:name="_Toc465167597"/>
      <w:r w:rsidRPr="00F37F4B">
        <w:lastRenderedPageBreak/>
        <w:t>Appendix</w:t>
      </w:r>
      <w:r w:rsidR="00A818FF">
        <w:t xml:space="preserve"> 1</w:t>
      </w:r>
      <w:r w:rsidRPr="00F37F4B">
        <w:t xml:space="preserve">: </w:t>
      </w:r>
      <w:r>
        <w:t xml:space="preserve">Survey </w:t>
      </w:r>
      <w:r w:rsidRPr="00F37F4B">
        <w:t>Methodology and Demographics</w:t>
      </w:r>
      <w:bookmarkEnd w:id="107"/>
      <w:bookmarkEnd w:id="108"/>
      <w:bookmarkEnd w:id="109"/>
    </w:p>
    <w:p w:rsidR="00534D38" w:rsidRDefault="00534D38" w:rsidP="00534D38">
      <w:r>
        <w:t>The Mint Research survey conducted in May 2016 consisted of a 12 minute survey of a random sample of 523 low income telecommunications consumers via a mix of online and telephone surveys. Respondents were asked a range of questions about their use of telecommunications, its importance in their household budget, the technology used and the costs of connecting and remaining connected, as well as questions about the Centrelink Telephone Allowance.</w:t>
      </w:r>
    </w:p>
    <w:p w:rsidR="00534D38" w:rsidRDefault="00534D38" w:rsidP="00534D38">
      <w:r>
        <w:t>Survey respondents were spread relatively evenly across the country (see</w:t>
      </w:r>
      <w:r w:rsidR="00E953A3">
        <w:t xml:space="preserve"> </w:t>
      </w:r>
      <w:r w:rsidR="00E953A3">
        <w:fldChar w:fldCharType="begin"/>
      </w:r>
      <w:r w:rsidR="00E953A3">
        <w:instrText xml:space="preserve"> REF _Ref463964477 \h </w:instrText>
      </w:r>
      <w:r w:rsidR="00E953A3">
        <w:fldChar w:fldCharType="separate"/>
      </w:r>
      <w:r w:rsidR="002F60EE">
        <w:t xml:space="preserve">Figure </w:t>
      </w:r>
      <w:r w:rsidR="002F60EE">
        <w:rPr>
          <w:noProof/>
        </w:rPr>
        <w:t>8</w:t>
      </w:r>
      <w:r w:rsidR="00E953A3">
        <w:fldChar w:fldCharType="end"/>
      </w:r>
      <w:r>
        <w:t>)</w:t>
      </w:r>
      <w:r w:rsidR="00A209FD">
        <w:t>. T</w:t>
      </w:r>
      <w:r>
        <w:t>he age range of respondents was biased slightly towards older users as per</w:t>
      </w:r>
      <w:r w:rsidR="00E953A3">
        <w:t xml:space="preserve"> </w:t>
      </w:r>
      <w:r w:rsidR="00E953A3">
        <w:fldChar w:fldCharType="begin"/>
      </w:r>
      <w:r w:rsidR="00E953A3">
        <w:instrText xml:space="preserve"> REF _Ref463964257 \h </w:instrText>
      </w:r>
      <w:r w:rsidR="00E953A3">
        <w:fldChar w:fldCharType="separate"/>
      </w:r>
      <w:r w:rsidR="002F60EE">
        <w:t xml:space="preserve">Table </w:t>
      </w:r>
      <w:r w:rsidR="002F60EE">
        <w:rPr>
          <w:noProof/>
        </w:rPr>
        <w:t>6</w:t>
      </w:r>
      <w:r w:rsidR="00E953A3">
        <w:fldChar w:fldCharType="end"/>
      </w:r>
      <w:r>
        <w:t>.</w:t>
      </w:r>
    </w:p>
    <w:p w:rsidR="00E953A3" w:rsidRPr="00E953A3" w:rsidRDefault="00E953A3" w:rsidP="00FC3FB5">
      <w:pPr>
        <w:pStyle w:val="Caption"/>
        <w:keepNext/>
        <w:keepLines/>
      </w:pPr>
      <w:bookmarkStart w:id="110" w:name="_Ref463964477"/>
      <w:bookmarkStart w:id="111" w:name="_Toc465151879"/>
      <w:bookmarkStart w:id="112" w:name="_Toc458979647"/>
      <w:bookmarkStart w:id="113" w:name="_Ref463964019"/>
      <w:bookmarkStart w:id="114" w:name="_Toc465167610"/>
      <w:r>
        <w:t xml:space="preserve">Figure </w:t>
      </w:r>
      <w:r w:rsidR="002F60EE">
        <w:fldChar w:fldCharType="begin"/>
      </w:r>
      <w:r w:rsidR="002F60EE">
        <w:instrText xml:space="preserve"> SEQ Figure \* ARABIC </w:instrText>
      </w:r>
      <w:r w:rsidR="002F60EE">
        <w:fldChar w:fldCharType="separate"/>
      </w:r>
      <w:r w:rsidR="002F60EE">
        <w:rPr>
          <w:noProof/>
        </w:rPr>
        <w:t>8</w:t>
      </w:r>
      <w:r w:rsidR="002F60EE">
        <w:rPr>
          <w:noProof/>
        </w:rPr>
        <w:fldChar w:fldCharType="end"/>
      </w:r>
      <w:bookmarkEnd w:id="110"/>
      <w:r>
        <w:t>: Geographic spread of survey respondents</w:t>
      </w:r>
      <w:bookmarkEnd w:id="111"/>
      <w:bookmarkEnd w:id="114"/>
    </w:p>
    <w:bookmarkEnd w:id="112"/>
    <w:bookmarkEnd w:id="113"/>
    <w:p w:rsidR="00534D38" w:rsidRDefault="00534D38" w:rsidP="00F31C22">
      <w:pPr>
        <w:jc w:val="center"/>
        <w:rPr>
          <w:noProof/>
        </w:rPr>
      </w:pPr>
      <w:r>
        <w:rPr>
          <w:noProof/>
        </w:rPr>
        <w:drawing>
          <wp:inline distT="0" distB="0" distL="0" distR="0" wp14:anchorId="7B2CA685" wp14:editId="7AFD2D4E">
            <wp:extent cx="5228823" cy="4764040"/>
            <wp:effectExtent l="0" t="0" r="0" b="0"/>
            <wp:docPr id="13" name="Picture 13" descr="Figure 6 Map of Australia showing number of respondents per state: WA 107, NT+SA 111, QLD 99, NSW+ACT 98, VIC+TAS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6 Map of Australia showing number of respondents per state: WA 107, NT+SA 111, QLD 99, NSW+ACT 98, VIC+TAS 10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7982" cy="4772385"/>
                    </a:xfrm>
                    <a:prstGeom prst="rect">
                      <a:avLst/>
                    </a:prstGeom>
                    <a:noFill/>
                    <a:ln>
                      <a:noFill/>
                    </a:ln>
                  </pic:spPr>
                </pic:pic>
              </a:graphicData>
            </a:graphic>
          </wp:inline>
        </w:drawing>
      </w:r>
    </w:p>
    <w:p w:rsidR="00F31C22" w:rsidRDefault="00F31C22" w:rsidP="00E953A3">
      <w:pPr>
        <w:pStyle w:val="Caption"/>
        <w:keepNext/>
        <w:keepLines/>
        <w:rPr>
          <w:noProof/>
        </w:rPr>
      </w:pPr>
      <w:bookmarkStart w:id="115" w:name="_Ref463964257"/>
      <w:bookmarkStart w:id="116" w:name="_Toc465151880"/>
      <w:bookmarkStart w:id="117" w:name="_Toc465167617"/>
      <w:r>
        <w:lastRenderedPageBreak/>
        <w:t xml:space="preserve">Table </w:t>
      </w:r>
      <w:r w:rsidR="002F60EE">
        <w:fldChar w:fldCharType="begin"/>
      </w:r>
      <w:r w:rsidR="002F60EE">
        <w:instrText xml:space="preserve"> SEQ Table \* ARABIC </w:instrText>
      </w:r>
      <w:r w:rsidR="002F60EE">
        <w:fldChar w:fldCharType="separate"/>
      </w:r>
      <w:r w:rsidR="002F60EE">
        <w:rPr>
          <w:noProof/>
        </w:rPr>
        <w:t>6</w:t>
      </w:r>
      <w:r w:rsidR="002F60EE">
        <w:rPr>
          <w:noProof/>
        </w:rPr>
        <w:fldChar w:fldCharType="end"/>
      </w:r>
      <w:bookmarkEnd w:id="115"/>
      <w:r w:rsidR="00E953A3">
        <w:t>:</w:t>
      </w:r>
      <w:r>
        <w:t xml:space="preserve"> Age of r</w:t>
      </w:r>
      <w:r w:rsidRPr="00C218A9">
        <w:t>espondents</w:t>
      </w:r>
      <w:bookmarkEnd w:id="116"/>
      <w:bookmarkEnd w:id="117"/>
    </w:p>
    <w:tbl>
      <w:tblPr>
        <w:tblStyle w:val="LightList-Accent1"/>
        <w:tblW w:w="0" w:type="auto"/>
        <w:tblLook w:val="04A0" w:firstRow="1" w:lastRow="0" w:firstColumn="1" w:lastColumn="0" w:noHBand="0" w:noVBand="1"/>
        <w:tblDescription w:val="age brackets of respondents. fairly even spread between 16-65+"/>
      </w:tblPr>
      <w:tblGrid>
        <w:gridCol w:w="1985"/>
        <w:gridCol w:w="992"/>
      </w:tblGrid>
      <w:tr w:rsidR="00F31C22" w:rsidTr="00E71D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F31C22" w:rsidRPr="00880B50" w:rsidRDefault="00F31C22" w:rsidP="00E953A3">
            <w:pPr>
              <w:keepNext/>
              <w:keepLines/>
              <w:spacing w:before="60" w:after="60"/>
              <w:jc w:val="center"/>
              <w:rPr>
                <w:b w:val="0"/>
              </w:rPr>
            </w:pPr>
            <w:r w:rsidRPr="00880B50">
              <w:t xml:space="preserve">Age </w:t>
            </w:r>
            <w:bookmarkStart w:id="118" w:name="_GoBack"/>
            <w:bookmarkEnd w:id="118"/>
            <w:r w:rsidRPr="00880B50">
              <w:t>Group</w:t>
            </w:r>
          </w:p>
        </w:tc>
        <w:tc>
          <w:tcPr>
            <w:tcW w:w="992" w:type="dxa"/>
          </w:tcPr>
          <w:p w:rsidR="00F31C22" w:rsidRPr="00880B50" w:rsidRDefault="00F31C22" w:rsidP="00E953A3">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b w:val="0"/>
              </w:rPr>
            </w:pPr>
            <w:r w:rsidRPr="00880B50">
              <w:t>Survey Share</w:t>
            </w:r>
          </w:p>
        </w:tc>
      </w:tr>
      <w:tr w:rsidR="00F31C22" w:rsidTr="00E71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F31C22" w:rsidRDefault="00F31C22" w:rsidP="00E953A3">
            <w:pPr>
              <w:keepNext/>
              <w:keepLines/>
              <w:spacing w:before="60" w:after="60"/>
            </w:pPr>
            <w:r>
              <w:t>16-21 years</w:t>
            </w:r>
          </w:p>
        </w:tc>
        <w:tc>
          <w:tcPr>
            <w:tcW w:w="992" w:type="dxa"/>
          </w:tcPr>
          <w:p w:rsidR="00F31C22" w:rsidRDefault="00F31C22" w:rsidP="00E953A3">
            <w:pPr>
              <w:keepNext/>
              <w:keepLines/>
              <w:spacing w:before="60" w:after="60"/>
              <w:jc w:val="center"/>
              <w:cnfStyle w:val="000000100000" w:firstRow="0" w:lastRow="0" w:firstColumn="0" w:lastColumn="0" w:oddVBand="0" w:evenVBand="0" w:oddHBand="1" w:evenHBand="0" w:firstRowFirstColumn="0" w:firstRowLastColumn="0" w:lastRowFirstColumn="0" w:lastRowLastColumn="0"/>
            </w:pPr>
            <w:r>
              <w:t>9%</w:t>
            </w:r>
          </w:p>
        </w:tc>
      </w:tr>
      <w:tr w:rsidR="00F31C22" w:rsidTr="00E71DA7">
        <w:tc>
          <w:tcPr>
            <w:cnfStyle w:val="001000000000" w:firstRow="0" w:lastRow="0" w:firstColumn="1" w:lastColumn="0" w:oddVBand="0" w:evenVBand="0" w:oddHBand="0" w:evenHBand="0" w:firstRowFirstColumn="0" w:firstRowLastColumn="0" w:lastRowFirstColumn="0" w:lastRowLastColumn="0"/>
            <w:tcW w:w="1985" w:type="dxa"/>
          </w:tcPr>
          <w:p w:rsidR="00F31C22" w:rsidRDefault="00F31C22" w:rsidP="00E953A3">
            <w:pPr>
              <w:keepNext/>
              <w:keepLines/>
              <w:spacing w:before="60" w:after="60"/>
            </w:pPr>
            <w:r>
              <w:t>22-29 years</w:t>
            </w:r>
          </w:p>
        </w:tc>
        <w:tc>
          <w:tcPr>
            <w:tcW w:w="992" w:type="dxa"/>
          </w:tcPr>
          <w:p w:rsidR="00F31C22" w:rsidRDefault="00F31C22" w:rsidP="00E953A3">
            <w:pPr>
              <w:keepNext/>
              <w:keepLines/>
              <w:spacing w:before="60" w:after="60"/>
              <w:jc w:val="center"/>
              <w:cnfStyle w:val="000000000000" w:firstRow="0" w:lastRow="0" w:firstColumn="0" w:lastColumn="0" w:oddVBand="0" w:evenVBand="0" w:oddHBand="0" w:evenHBand="0" w:firstRowFirstColumn="0" w:firstRowLastColumn="0" w:lastRowFirstColumn="0" w:lastRowLastColumn="0"/>
            </w:pPr>
            <w:r>
              <w:t>15%</w:t>
            </w:r>
          </w:p>
        </w:tc>
      </w:tr>
      <w:tr w:rsidR="00F31C22" w:rsidTr="00E71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F31C22" w:rsidRDefault="00F31C22" w:rsidP="00E953A3">
            <w:pPr>
              <w:keepNext/>
              <w:keepLines/>
              <w:spacing w:before="60" w:after="60"/>
            </w:pPr>
            <w:r>
              <w:t>30-39 years</w:t>
            </w:r>
          </w:p>
        </w:tc>
        <w:tc>
          <w:tcPr>
            <w:tcW w:w="992" w:type="dxa"/>
          </w:tcPr>
          <w:p w:rsidR="00F31C22" w:rsidRDefault="00F31C22" w:rsidP="00E953A3">
            <w:pPr>
              <w:keepNext/>
              <w:keepLines/>
              <w:spacing w:before="60" w:after="60"/>
              <w:jc w:val="center"/>
              <w:cnfStyle w:val="000000100000" w:firstRow="0" w:lastRow="0" w:firstColumn="0" w:lastColumn="0" w:oddVBand="0" w:evenVBand="0" w:oddHBand="1" w:evenHBand="0" w:firstRowFirstColumn="0" w:firstRowLastColumn="0" w:lastRowFirstColumn="0" w:lastRowLastColumn="0"/>
            </w:pPr>
            <w:r>
              <w:t>14%</w:t>
            </w:r>
          </w:p>
        </w:tc>
      </w:tr>
      <w:tr w:rsidR="00F31C22" w:rsidTr="00E71DA7">
        <w:tc>
          <w:tcPr>
            <w:cnfStyle w:val="001000000000" w:firstRow="0" w:lastRow="0" w:firstColumn="1" w:lastColumn="0" w:oddVBand="0" w:evenVBand="0" w:oddHBand="0" w:evenHBand="0" w:firstRowFirstColumn="0" w:firstRowLastColumn="0" w:lastRowFirstColumn="0" w:lastRowLastColumn="0"/>
            <w:tcW w:w="1985" w:type="dxa"/>
          </w:tcPr>
          <w:p w:rsidR="00F31C22" w:rsidRDefault="00F31C22" w:rsidP="00E953A3">
            <w:pPr>
              <w:keepNext/>
              <w:keepLines/>
              <w:spacing w:before="60" w:after="60"/>
            </w:pPr>
            <w:r>
              <w:t>40-49 years</w:t>
            </w:r>
          </w:p>
        </w:tc>
        <w:tc>
          <w:tcPr>
            <w:tcW w:w="992" w:type="dxa"/>
          </w:tcPr>
          <w:p w:rsidR="00F31C22" w:rsidRDefault="00F31C22" w:rsidP="00E953A3">
            <w:pPr>
              <w:keepNext/>
              <w:keepLines/>
              <w:spacing w:before="60" w:after="60"/>
              <w:jc w:val="center"/>
              <w:cnfStyle w:val="000000000000" w:firstRow="0" w:lastRow="0" w:firstColumn="0" w:lastColumn="0" w:oddVBand="0" w:evenVBand="0" w:oddHBand="0" w:evenHBand="0" w:firstRowFirstColumn="0" w:firstRowLastColumn="0" w:lastRowFirstColumn="0" w:lastRowLastColumn="0"/>
            </w:pPr>
            <w:r>
              <w:t>13%</w:t>
            </w:r>
          </w:p>
        </w:tc>
      </w:tr>
      <w:tr w:rsidR="00F31C22" w:rsidTr="00E71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F31C22" w:rsidRDefault="00F31C22" w:rsidP="00E953A3">
            <w:pPr>
              <w:keepNext/>
              <w:keepLines/>
              <w:spacing w:before="60" w:after="60"/>
            </w:pPr>
            <w:r>
              <w:t>50-59 years</w:t>
            </w:r>
          </w:p>
        </w:tc>
        <w:tc>
          <w:tcPr>
            <w:tcW w:w="992" w:type="dxa"/>
          </w:tcPr>
          <w:p w:rsidR="00F31C22" w:rsidRDefault="00F31C22" w:rsidP="00E953A3">
            <w:pPr>
              <w:keepNext/>
              <w:keepLines/>
              <w:spacing w:before="60" w:after="60"/>
              <w:jc w:val="center"/>
              <w:cnfStyle w:val="000000100000" w:firstRow="0" w:lastRow="0" w:firstColumn="0" w:lastColumn="0" w:oddVBand="0" w:evenVBand="0" w:oddHBand="1" w:evenHBand="0" w:firstRowFirstColumn="0" w:firstRowLastColumn="0" w:lastRowFirstColumn="0" w:lastRowLastColumn="0"/>
            </w:pPr>
            <w:r>
              <w:t>17%</w:t>
            </w:r>
          </w:p>
        </w:tc>
      </w:tr>
      <w:tr w:rsidR="00F31C22" w:rsidTr="00E71DA7">
        <w:tc>
          <w:tcPr>
            <w:cnfStyle w:val="001000000000" w:firstRow="0" w:lastRow="0" w:firstColumn="1" w:lastColumn="0" w:oddVBand="0" w:evenVBand="0" w:oddHBand="0" w:evenHBand="0" w:firstRowFirstColumn="0" w:firstRowLastColumn="0" w:lastRowFirstColumn="0" w:lastRowLastColumn="0"/>
            <w:tcW w:w="1985" w:type="dxa"/>
          </w:tcPr>
          <w:p w:rsidR="00F31C22" w:rsidRDefault="00F31C22" w:rsidP="00E953A3">
            <w:pPr>
              <w:keepNext/>
              <w:keepLines/>
              <w:spacing w:before="60" w:after="60"/>
            </w:pPr>
            <w:r>
              <w:t>60-64 years</w:t>
            </w:r>
          </w:p>
        </w:tc>
        <w:tc>
          <w:tcPr>
            <w:tcW w:w="992" w:type="dxa"/>
          </w:tcPr>
          <w:p w:rsidR="00F31C22" w:rsidRDefault="00F31C22" w:rsidP="00E953A3">
            <w:pPr>
              <w:keepNext/>
              <w:keepLines/>
              <w:spacing w:before="60" w:after="60"/>
              <w:jc w:val="center"/>
              <w:cnfStyle w:val="000000000000" w:firstRow="0" w:lastRow="0" w:firstColumn="0" w:lastColumn="0" w:oddVBand="0" w:evenVBand="0" w:oddHBand="0" w:evenHBand="0" w:firstRowFirstColumn="0" w:firstRowLastColumn="0" w:lastRowFirstColumn="0" w:lastRowLastColumn="0"/>
            </w:pPr>
            <w:r>
              <w:t>17%</w:t>
            </w:r>
          </w:p>
        </w:tc>
      </w:tr>
      <w:tr w:rsidR="00F31C22" w:rsidTr="00E71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F31C22" w:rsidRDefault="00F31C22" w:rsidP="00F31C22">
            <w:pPr>
              <w:spacing w:before="60" w:after="60"/>
            </w:pPr>
            <w:r>
              <w:t>65 years or over</w:t>
            </w:r>
          </w:p>
        </w:tc>
        <w:tc>
          <w:tcPr>
            <w:tcW w:w="992" w:type="dxa"/>
          </w:tcPr>
          <w:p w:rsidR="00F31C22" w:rsidRDefault="00F31C22" w:rsidP="00F31C22">
            <w:pPr>
              <w:spacing w:before="60" w:after="60"/>
              <w:jc w:val="center"/>
              <w:cnfStyle w:val="000000100000" w:firstRow="0" w:lastRow="0" w:firstColumn="0" w:lastColumn="0" w:oddVBand="0" w:evenVBand="0" w:oddHBand="1" w:evenHBand="0" w:firstRowFirstColumn="0" w:firstRowLastColumn="0" w:lastRowFirstColumn="0" w:lastRowLastColumn="0"/>
            </w:pPr>
            <w:r>
              <w:t>15%</w:t>
            </w:r>
          </w:p>
        </w:tc>
      </w:tr>
    </w:tbl>
    <w:p w:rsidR="00F31C22" w:rsidRDefault="00F31C22" w:rsidP="00534D38">
      <w:pPr>
        <w:rPr>
          <w:noProof/>
        </w:rPr>
      </w:pPr>
    </w:p>
    <w:p w:rsidR="00534D38" w:rsidRDefault="00534D38" w:rsidP="00534D38">
      <w:r>
        <w:t xml:space="preserve">59% </w:t>
      </w:r>
      <w:r w:rsidR="00121E21">
        <w:t>per cent</w:t>
      </w:r>
      <w:r>
        <w:t xml:space="preserve"> of survey respondents were female, and over half of respondents were living in multi-adult households (</w:t>
      </w:r>
      <w:proofErr w:type="spellStart"/>
      <w:r>
        <w:t>ie</w:t>
      </w:r>
      <w:proofErr w:type="spellEnd"/>
      <w:r>
        <w:t xml:space="preserve">. with a partner, and/or with children over 15 years old, or a shared house). </w:t>
      </w:r>
      <w:r w:rsidR="00121E21">
        <w:t>Twenty three per cent</w:t>
      </w:r>
      <w:r>
        <w:t xml:space="preserve"> of respondents lived alone, while 15% lived with children. </w:t>
      </w:r>
    </w:p>
    <w:p w:rsidR="00534D38" w:rsidRDefault="00534D38" w:rsidP="00534D38">
      <w:r>
        <w:t>The survey was targeted to low income households and 8% of respondents were receiving income support payments, with the majo</w:t>
      </w:r>
      <w:r w:rsidR="00C46B3A">
        <w:t>r categories set out in</w:t>
      </w:r>
      <w:r w:rsidR="00121E21">
        <w:t xml:space="preserve"> </w:t>
      </w:r>
      <w:r w:rsidR="00121E21">
        <w:fldChar w:fldCharType="begin"/>
      </w:r>
      <w:r w:rsidR="00121E21">
        <w:instrText xml:space="preserve"> REF _Ref464478512 \h </w:instrText>
      </w:r>
      <w:r w:rsidR="00121E21">
        <w:fldChar w:fldCharType="separate"/>
      </w:r>
      <w:r w:rsidR="002F60EE">
        <w:t xml:space="preserve">Figure </w:t>
      </w:r>
      <w:r w:rsidR="002F60EE">
        <w:rPr>
          <w:noProof/>
        </w:rPr>
        <w:t>9</w:t>
      </w:r>
      <w:r w:rsidR="00121E21">
        <w:fldChar w:fldCharType="end"/>
      </w:r>
      <w:r>
        <w:t>. The remaining 20% were on the Low Income Health Card (eligibility for which cuts out at an income of $53</w:t>
      </w:r>
      <w:r w:rsidR="00FB425F">
        <w:t>7</w:t>
      </w:r>
      <w:r>
        <w:t xml:space="preserve"> per week for a single person with no children, or $92</w:t>
      </w:r>
      <w:r w:rsidR="00FB425F">
        <w:t>8</w:t>
      </w:r>
      <w:r>
        <w:t xml:space="preserve"> per week for a couple with no children or a single person with a dependent child (DHS, 2016)).</w:t>
      </w:r>
    </w:p>
    <w:p w:rsidR="00121E21" w:rsidRPr="00121E21" w:rsidRDefault="00121E21" w:rsidP="00121E21">
      <w:pPr>
        <w:pStyle w:val="Caption"/>
        <w:keepNext/>
        <w:keepLines/>
      </w:pPr>
      <w:bookmarkStart w:id="119" w:name="_Ref464478512"/>
      <w:bookmarkStart w:id="120" w:name="_Toc465151881"/>
      <w:bookmarkStart w:id="121" w:name="_Toc465167611"/>
      <w:r>
        <w:lastRenderedPageBreak/>
        <w:t xml:space="preserve">Figure </w:t>
      </w:r>
      <w:r w:rsidR="002F60EE">
        <w:fldChar w:fldCharType="begin"/>
      </w:r>
      <w:r w:rsidR="002F60EE">
        <w:instrText xml:space="preserve"> SEQ Figure \* ARABIC </w:instrText>
      </w:r>
      <w:r w:rsidR="002F60EE">
        <w:fldChar w:fldCharType="separate"/>
      </w:r>
      <w:r w:rsidR="002F60EE">
        <w:rPr>
          <w:noProof/>
        </w:rPr>
        <w:t>9</w:t>
      </w:r>
      <w:r w:rsidR="002F60EE">
        <w:rPr>
          <w:noProof/>
        </w:rPr>
        <w:fldChar w:fldCharType="end"/>
      </w:r>
      <w:bookmarkEnd w:id="119"/>
      <w:r w:rsidRPr="005B2139">
        <w:t>: Representation of</w:t>
      </w:r>
      <w:r>
        <w:t xml:space="preserve"> income support payments among s</w:t>
      </w:r>
      <w:r w:rsidRPr="005B2139">
        <w:t xml:space="preserve">urvey </w:t>
      </w:r>
      <w:r>
        <w:t>r</w:t>
      </w:r>
      <w:r w:rsidRPr="005B2139">
        <w:t>espondents</w:t>
      </w:r>
      <w:bookmarkEnd w:id="120"/>
      <w:bookmarkEnd w:id="121"/>
    </w:p>
    <w:p w:rsidR="00534D38" w:rsidRDefault="00534D38" w:rsidP="00534D38">
      <w:pPr>
        <w:rPr>
          <w:lang w:val="en-US" w:eastAsia="ja-JP"/>
        </w:rPr>
      </w:pPr>
      <w:r>
        <w:rPr>
          <w:noProof/>
        </w:rPr>
        <w:drawing>
          <wp:inline distT="0" distB="0" distL="0" distR="0" wp14:anchorId="264D6106" wp14:editId="018FE57F">
            <wp:extent cx="6350800" cy="5203065"/>
            <wp:effectExtent l="0" t="0" r="0" b="0"/>
            <wp:docPr id="12" name="Picture 12" descr="Figure 7 Representation of income support payments among survey recipients:&#10;Disability support pension 21%&#10;Newstart allowance 15%&#10;Age pension 15%&#10;Youth allowance 12%&#10;Carer payment 9%&#10;Carer allowance 7%&#10;Parenting payment single 6%&#10;Parenting payment partnered $%&#10;Austudy 2%&#10;Sickness allowance 2%&#10;Partner allowance 2%&#10;Special benefit 1%&#10;Widow allowance 1%&#10;Abstudy &lt;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7 Representation of income support payments among survey recipients:&#10;Disability support pension 21%&#10;Newstart allowance 15%&#10;Age pension 15%&#10;Youth allowance 12%&#10;Carer payment 9%&#10;Carer allowance 7%&#10;Parenting payment single 6%&#10;Parenting payment partnered $%&#10;Austudy 2%&#10;Sickness allowance 2%&#10;Partner allowance 2%&#10;Special benefit 1%&#10;Widow allowance 1%&#10;Abstudy &lt;1%&#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66412" cy="5215856"/>
                    </a:xfrm>
                    <a:prstGeom prst="rect">
                      <a:avLst/>
                    </a:prstGeom>
                    <a:noFill/>
                    <a:ln>
                      <a:noFill/>
                    </a:ln>
                  </pic:spPr>
                </pic:pic>
              </a:graphicData>
            </a:graphic>
          </wp:inline>
        </w:drawing>
      </w:r>
    </w:p>
    <w:p w:rsidR="00A818FF" w:rsidRDefault="00A818FF">
      <w:pPr>
        <w:spacing w:after="0" w:line="240" w:lineRule="auto"/>
        <w:rPr>
          <w:lang w:val="en-US" w:eastAsia="ja-JP"/>
        </w:rPr>
      </w:pPr>
      <w:r>
        <w:rPr>
          <w:lang w:val="en-US" w:eastAsia="ja-JP"/>
        </w:rPr>
        <w:br w:type="page"/>
      </w:r>
    </w:p>
    <w:p w:rsidR="00A818FF" w:rsidRDefault="00A818FF" w:rsidP="00A818FF">
      <w:pPr>
        <w:pStyle w:val="Heading1"/>
      </w:pPr>
      <w:bookmarkStart w:id="122" w:name="_Toc465167598"/>
      <w:r w:rsidRPr="00F37F4B">
        <w:lastRenderedPageBreak/>
        <w:t>Appendix</w:t>
      </w:r>
      <w:r>
        <w:t xml:space="preserve"> 2</w:t>
      </w:r>
      <w:r w:rsidRPr="00F37F4B">
        <w:t xml:space="preserve">: </w:t>
      </w:r>
      <w:r>
        <w:t>The Centrelink Telephone Allowance</w:t>
      </w:r>
      <w:bookmarkEnd w:id="122"/>
    </w:p>
    <w:p w:rsidR="00B92C02" w:rsidRDefault="00B92C02" w:rsidP="00B92C02">
      <w:pPr>
        <w:pStyle w:val="Heading2"/>
      </w:pPr>
      <w:bookmarkStart w:id="123" w:name="_Toc465167599"/>
      <w:r>
        <w:t>Eligibility</w:t>
      </w:r>
      <w:r w:rsidRPr="00DC410B">
        <w:t xml:space="preserve"> criteria</w:t>
      </w:r>
      <w:bookmarkEnd w:id="123"/>
    </w:p>
    <w:p w:rsidR="00A818FF" w:rsidRDefault="00A818FF" w:rsidP="00B92C02">
      <w:pPr>
        <w:pStyle w:val="Heading3"/>
        <w:rPr>
          <w:lang w:eastAsia="ja-JP"/>
        </w:rPr>
      </w:pPr>
      <w:bookmarkStart w:id="124" w:name="_Toc465167600"/>
      <w:r>
        <w:rPr>
          <w:lang w:eastAsia="ja-JP"/>
        </w:rPr>
        <w:t>Standalone CTA</w:t>
      </w:r>
      <w:bookmarkEnd w:id="124"/>
    </w:p>
    <w:p w:rsidR="00A818FF" w:rsidRPr="00AA47D1" w:rsidRDefault="00A818FF" w:rsidP="00B92C02">
      <w:pPr>
        <w:pStyle w:val="Heading4"/>
        <w:rPr>
          <w:lang w:eastAsia="ja-JP"/>
        </w:rPr>
      </w:pPr>
      <w:r w:rsidRPr="00AA47D1">
        <w:rPr>
          <w:lang w:eastAsia="ja-JP"/>
        </w:rPr>
        <w:t>Basic rate (single or couple combined): $2</w:t>
      </w:r>
      <w:r w:rsidR="009F14F3">
        <w:rPr>
          <w:lang w:eastAsia="ja-JP"/>
        </w:rPr>
        <w:t>8</w:t>
      </w:r>
      <w:r w:rsidRPr="00AA47D1">
        <w:rPr>
          <w:lang w:eastAsia="ja-JP"/>
        </w:rPr>
        <w:t>.</w:t>
      </w:r>
      <w:r w:rsidR="009F14F3">
        <w:rPr>
          <w:lang w:eastAsia="ja-JP"/>
        </w:rPr>
        <w:t>2</w:t>
      </w:r>
      <w:r w:rsidRPr="00AA47D1">
        <w:rPr>
          <w:lang w:eastAsia="ja-JP"/>
        </w:rPr>
        <w:t>0/quarter</w:t>
      </w:r>
      <w:r>
        <w:rPr>
          <w:lang w:eastAsia="ja-JP"/>
        </w:rPr>
        <w:t xml:space="preserve"> </w:t>
      </w:r>
    </w:p>
    <w:p w:rsidR="00A818FF" w:rsidRPr="007554D9" w:rsidRDefault="00A818FF" w:rsidP="00A818FF">
      <w:pPr>
        <w:rPr>
          <w:lang w:eastAsia="ja-JP"/>
        </w:rPr>
      </w:pPr>
      <w:r>
        <w:rPr>
          <w:lang w:eastAsia="ja-JP"/>
        </w:rPr>
        <w:t xml:space="preserve">You may be eligible </w:t>
      </w:r>
      <w:r w:rsidRPr="007554D9">
        <w:rPr>
          <w:lang w:eastAsia="ja-JP"/>
        </w:rPr>
        <w:t>if you have a telephone connected, such as a landline, fax or a mobile phone, in either your or your partner's name and receive:  </w:t>
      </w:r>
    </w:p>
    <w:p w:rsidR="00A818FF" w:rsidRPr="007554D9" w:rsidRDefault="002F60EE" w:rsidP="00567914">
      <w:pPr>
        <w:numPr>
          <w:ilvl w:val="0"/>
          <w:numId w:val="5"/>
        </w:numPr>
        <w:rPr>
          <w:lang w:eastAsia="ja-JP"/>
        </w:rPr>
      </w:pPr>
      <w:hyperlink r:id="rId28" w:history="1">
        <w:r w:rsidR="00A818FF" w:rsidRPr="007554D9">
          <w:rPr>
            <w:rStyle w:val="Hyperlink"/>
            <w:u w:val="none"/>
            <w:lang w:eastAsia="ja-JP"/>
          </w:rPr>
          <w:t>Disability Support Pension</w:t>
        </w:r>
      </w:hyperlink>
      <w:r w:rsidR="00A818FF" w:rsidRPr="007554D9">
        <w:rPr>
          <w:lang w:eastAsia="ja-JP"/>
        </w:rPr>
        <w:t xml:space="preserve"> and are under 21 with no dependent children</w:t>
      </w:r>
    </w:p>
    <w:p w:rsidR="00A818FF" w:rsidRPr="007554D9" w:rsidRDefault="002F60EE" w:rsidP="00567914">
      <w:pPr>
        <w:numPr>
          <w:ilvl w:val="0"/>
          <w:numId w:val="5"/>
        </w:numPr>
        <w:rPr>
          <w:lang w:eastAsia="ja-JP"/>
        </w:rPr>
      </w:pPr>
      <w:hyperlink r:id="rId29" w:history="1">
        <w:r w:rsidR="00A818FF" w:rsidRPr="007554D9">
          <w:rPr>
            <w:rStyle w:val="Hyperlink"/>
            <w:u w:val="none"/>
            <w:lang w:eastAsia="ja-JP"/>
          </w:rPr>
          <w:t>Parenting Payment (single)</w:t>
        </w:r>
      </w:hyperlink>
    </w:p>
    <w:p w:rsidR="00A818FF" w:rsidRPr="007554D9" w:rsidRDefault="002F60EE" w:rsidP="00567914">
      <w:pPr>
        <w:numPr>
          <w:ilvl w:val="0"/>
          <w:numId w:val="5"/>
        </w:numPr>
        <w:rPr>
          <w:lang w:eastAsia="ja-JP"/>
        </w:rPr>
      </w:pPr>
      <w:hyperlink r:id="rId30" w:history="1">
        <w:r w:rsidR="00A818FF" w:rsidRPr="007554D9">
          <w:rPr>
            <w:rStyle w:val="Hyperlink"/>
            <w:u w:val="none"/>
            <w:lang w:eastAsia="ja-JP"/>
          </w:rPr>
          <w:t>Parenting Payment (partnered)</w:t>
        </w:r>
      </w:hyperlink>
      <w:r w:rsidR="00A818FF" w:rsidRPr="007554D9">
        <w:rPr>
          <w:lang w:eastAsia="ja-JP"/>
        </w:rPr>
        <w:t xml:space="preserve"> if you claimed on or after 1 July 2006 and have been assessed as having a partial capacity to work due to a disability</w:t>
      </w:r>
    </w:p>
    <w:p w:rsidR="00A818FF" w:rsidRPr="007554D9" w:rsidRDefault="002F60EE" w:rsidP="00567914">
      <w:pPr>
        <w:numPr>
          <w:ilvl w:val="0"/>
          <w:numId w:val="5"/>
        </w:numPr>
        <w:rPr>
          <w:lang w:eastAsia="ja-JP"/>
        </w:rPr>
      </w:pPr>
      <w:hyperlink r:id="rId31" w:history="1">
        <w:r w:rsidR="00A818FF" w:rsidRPr="007554D9">
          <w:rPr>
            <w:rStyle w:val="Hyperlink"/>
            <w:u w:val="none"/>
            <w:lang w:eastAsia="ja-JP"/>
          </w:rPr>
          <w:t>Newstart Allowance</w:t>
        </w:r>
      </w:hyperlink>
      <w:r w:rsidR="00A818FF" w:rsidRPr="007554D9">
        <w:rPr>
          <w:lang w:eastAsia="ja-JP"/>
        </w:rPr>
        <w:t xml:space="preserve"> or </w:t>
      </w:r>
      <w:hyperlink r:id="rId32" w:history="1">
        <w:r w:rsidR="00A818FF" w:rsidRPr="007554D9">
          <w:rPr>
            <w:rStyle w:val="Hyperlink"/>
            <w:u w:val="none"/>
            <w:lang w:eastAsia="ja-JP"/>
          </w:rPr>
          <w:t>Sickness Allowance</w:t>
        </w:r>
      </w:hyperlink>
      <w:r w:rsidR="00A818FF" w:rsidRPr="007554D9">
        <w:rPr>
          <w:lang w:eastAsia="ja-JP"/>
        </w:rPr>
        <w:t xml:space="preserve"> and you are over 60 and have been in receipt of an income support payment continuously for 9 months</w:t>
      </w:r>
    </w:p>
    <w:p w:rsidR="00A818FF" w:rsidRPr="007554D9" w:rsidRDefault="002F60EE" w:rsidP="00567914">
      <w:pPr>
        <w:numPr>
          <w:ilvl w:val="0"/>
          <w:numId w:val="5"/>
        </w:numPr>
        <w:rPr>
          <w:lang w:eastAsia="ja-JP"/>
        </w:rPr>
      </w:pPr>
      <w:hyperlink r:id="rId33" w:history="1">
        <w:r w:rsidR="00A818FF" w:rsidRPr="007554D9">
          <w:rPr>
            <w:rStyle w:val="Hyperlink"/>
            <w:u w:val="none"/>
            <w:lang w:eastAsia="ja-JP"/>
          </w:rPr>
          <w:t>Partner Allowance</w:t>
        </w:r>
      </w:hyperlink>
      <w:r w:rsidR="00A818FF" w:rsidRPr="007554D9">
        <w:rPr>
          <w:lang w:eastAsia="ja-JP"/>
        </w:rPr>
        <w:t xml:space="preserve">, </w:t>
      </w:r>
      <w:hyperlink r:id="rId34" w:history="1">
        <w:r w:rsidR="00A818FF" w:rsidRPr="007554D9">
          <w:rPr>
            <w:rStyle w:val="Hyperlink"/>
            <w:u w:val="none"/>
            <w:lang w:eastAsia="ja-JP"/>
          </w:rPr>
          <w:t>Widow Allowance</w:t>
        </w:r>
      </w:hyperlink>
      <w:r w:rsidR="00A818FF" w:rsidRPr="007554D9">
        <w:rPr>
          <w:lang w:eastAsia="ja-JP"/>
        </w:rPr>
        <w:t xml:space="preserve">, </w:t>
      </w:r>
      <w:hyperlink r:id="rId35" w:history="1">
        <w:r w:rsidR="00A818FF" w:rsidRPr="007554D9">
          <w:rPr>
            <w:rStyle w:val="Hyperlink"/>
            <w:u w:val="none"/>
            <w:lang w:eastAsia="ja-JP"/>
          </w:rPr>
          <w:t>Special Benefit</w:t>
        </w:r>
      </w:hyperlink>
      <w:r w:rsidR="00A818FF" w:rsidRPr="007554D9">
        <w:rPr>
          <w:lang w:eastAsia="ja-JP"/>
        </w:rPr>
        <w:t xml:space="preserve"> or </w:t>
      </w:r>
      <w:hyperlink r:id="rId36" w:history="1">
        <w:r w:rsidR="00A818FF" w:rsidRPr="007554D9">
          <w:rPr>
            <w:rStyle w:val="Hyperlink"/>
            <w:u w:val="none"/>
            <w:lang w:eastAsia="ja-JP"/>
          </w:rPr>
          <w:t>Parenting Payment (partnered)</w:t>
        </w:r>
      </w:hyperlink>
      <w:r w:rsidR="00A818FF" w:rsidRPr="007554D9">
        <w:rPr>
          <w:lang w:eastAsia="ja-JP"/>
        </w:rPr>
        <w:t xml:space="preserve"> and are over 60 but under age pension age and have been in receipt of an income support payment continuously for 9 months</w:t>
      </w:r>
    </w:p>
    <w:p w:rsidR="00A818FF" w:rsidRPr="007554D9" w:rsidRDefault="002F60EE" w:rsidP="00567914">
      <w:pPr>
        <w:numPr>
          <w:ilvl w:val="0"/>
          <w:numId w:val="5"/>
        </w:numPr>
        <w:rPr>
          <w:lang w:eastAsia="ja-JP"/>
        </w:rPr>
      </w:pPr>
      <w:hyperlink r:id="rId37" w:history="1">
        <w:r w:rsidR="00A818FF" w:rsidRPr="007554D9">
          <w:rPr>
            <w:rStyle w:val="Hyperlink"/>
            <w:u w:val="none"/>
            <w:lang w:eastAsia="ja-JP"/>
          </w:rPr>
          <w:t>Newstart Allowance</w:t>
        </w:r>
      </w:hyperlink>
      <w:r w:rsidR="00A818FF" w:rsidRPr="007554D9">
        <w:rPr>
          <w:lang w:eastAsia="ja-JP"/>
        </w:rPr>
        <w:t xml:space="preserve"> or </w:t>
      </w:r>
      <w:hyperlink r:id="rId38" w:history="1">
        <w:r w:rsidR="00A818FF" w:rsidRPr="007554D9">
          <w:rPr>
            <w:rStyle w:val="Hyperlink"/>
            <w:u w:val="none"/>
            <w:lang w:eastAsia="ja-JP"/>
          </w:rPr>
          <w:t>Youth Allowance</w:t>
        </w:r>
      </w:hyperlink>
      <w:r w:rsidR="00A818FF" w:rsidRPr="007554D9">
        <w:rPr>
          <w:lang w:eastAsia="ja-JP"/>
        </w:rPr>
        <w:t xml:space="preserve"> and have a partial capacity to work as assessed by a Job Capacity Assessor</w:t>
      </w:r>
    </w:p>
    <w:p w:rsidR="00A818FF" w:rsidRPr="007554D9" w:rsidRDefault="002F60EE" w:rsidP="00567914">
      <w:pPr>
        <w:numPr>
          <w:ilvl w:val="0"/>
          <w:numId w:val="5"/>
        </w:numPr>
        <w:rPr>
          <w:lang w:eastAsia="ja-JP"/>
        </w:rPr>
      </w:pPr>
      <w:hyperlink r:id="rId39" w:history="1">
        <w:r w:rsidR="00A818FF" w:rsidRPr="007554D9">
          <w:rPr>
            <w:rStyle w:val="Hyperlink"/>
            <w:u w:val="none"/>
            <w:lang w:eastAsia="ja-JP"/>
          </w:rPr>
          <w:t>Partner Allowance</w:t>
        </w:r>
      </w:hyperlink>
      <w:r w:rsidR="00A818FF" w:rsidRPr="007554D9">
        <w:rPr>
          <w:lang w:eastAsia="ja-JP"/>
        </w:rPr>
        <w:t xml:space="preserve">, or </w:t>
      </w:r>
      <w:hyperlink r:id="rId40" w:history="1">
        <w:r w:rsidR="00A818FF" w:rsidRPr="007554D9">
          <w:rPr>
            <w:rStyle w:val="Hyperlink"/>
            <w:u w:val="none"/>
            <w:lang w:eastAsia="ja-JP"/>
          </w:rPr>
          <w:t>Parenting Payment (partnered)</w:t>
        </w:r>
      </w:hyperlink>
      <w:r w:rsidR="00A818FF" w:rsidRPr="007554D9">
        <w:rPr>
          <w:lang w:eastAsia="ja-JP"/>
        </w:rPr>
        <w:t xml:space="preserve"> and your partner is over 60 and receives </w:t>
      </w:r>
      <w:hyperlink r:id="rId41" w:history="1">
        <w:r w:rsidR="00A818FF" w:rsidRPr="007554D9">
          <w:rPr>
            <w:rStyle w:val="Hyperlink"/>
            <w:u w:val="none"/>
            <w:lang w:eastAsia="ja-JP"/>
          </w:rPr>
          <w:t>Newstart Allowance</w:t>
        </w:r>
      </w:hyperlink>
      <w:r w:rsidR="00A818FF" w:rsidRPr="007554D9">
        <w:rPr>
          <w:lang w:eastAsia="ja-JP"/>
        </w:rPr>
        <w:t xml:space="preserve"> or </w:t>
      </w:r>
      <w:hyperlink r:id="rId42" w:history="1">
        <w:r w:rsidR="00A818FF" w:rsidRPr="007554D9">
          <w:rPr>
            <w:rStyle w:val="Hyperlink"/>
            <w:u w:val="none"/>
            <w:lang w:eastAsia="ja-JP"/>
          </w:rPr>
          <w:t>Sickness Allowance</w:t>
        </w:r>
      </w:hyperlink>
      <w:r w:rsidR="00A818FF" w:rsidRPr="007554D9">
        <w:rPr>
          <w:lang w:eastAsia="ja-JP"/>
        </w:rPr>
        <w:t xml:space="preserve"> and has received income support payments continuously for 9 months, or</w:t>
      </w:r>
    </w:p>
    <w:p w:rsidR="00A818FF" w:rsidRPr="007554D9" w:rsidRDefault="002F60EE" w:rsidP="00567914">
      <w:pPr>
        <w:numPr>
          <w:ilvl w:val="0"/>
          <w:numId w:val="5"/>
        </w:numPr>
        <w:rPr>
          <w:lang w:eastAsia="ja-JP"/>
        </w:rPr>
      </w:pPr>
      <w:hyperlink r:id="rId43" w:history="1">
        <w:r w:rsidR="00A818FF" w:rsidRPr="007554D9">
          <w:rPr>
            <w:rStyle w:val="Hyperlink"/>
            <w:u w:val="none"/>
            <w:lang w:eastAsia="ja-JP"/>
          </w:rPr>
          <w:t>Newstart Allowance</w:t>
        </w:r>
      </w:hyperlink>
      <w:r w:rsidR="00A818FF" w:rsidRPr="007554D9">
        <w:rPr>
          <w:lang w:eastAsia="ja-JP"/>
        </w:rPr>
        <w:t xml:space="preserve"> or </w:t>
      </w:r>
      <w:hyperlink r:id="rId44" w:history="1">
        <w:r w:rsidR="00A818FF" w:rsidRPr="007554D9">
          <w:rPr>
            <w:rStyle w:val="Hyperlink"/>
            <w:u w:val="none"/>
            <w:lang w:eastAsia="ja-JP"/>
          </w:rPr>
          <w:t>Youth Allowance</w:t>
        </w:r>
      </w:hyperlink>
      <w:r w:rsidR="00A818FF" w:rsidRPr="007554D9">
        <w:rPr>
          <w:lang w:eastAsia="ja-JP"/>
        </w:rPr>
        <w:t xml:space="preserve"> and are a single principal carer of a dependent child</w:t>
      </w:r>
      <w:r w:rsidR="00A818FF">
        <w:rPr>
          <w:lang w:eastAsia="ja-JP"/>
        </w:rPr>
        <w:t xml:space="preserve"> </w:t>
      </w:r>
      <w:r w:rsidR="00A818FF">
        <w:rPr>
          <w:bCs/>
          <w:i/>
          <w:lang w:eastAsia="ja-JP"/>
        </w:rPr>
        <w:t>(DHS, 2016)</w:t>
      </w:r>
    </w:p>
    <w:p w:rsidR="00A818FF" w:rsidRPr="00AA47D1" w:rsidRDefault="00A818FF" w:rsidP="00B92C02">
      <w:pPr>
        <w:pStyle w:val="Heading4"/>
        <w:rPr>
          <w:lang w:eastAsia="ja-JP"/>
        </w:rPr>
      </w:pPr>
      <w:r w:rsidRPr="00AA47D1">
        <w:rPr>
          <w:lang w:eastAsia="ja-JP"/>
        </w:rPr>
        <w:t>Higher rate (single or couple combined):$4</w:t>
      </w:r>
      <w:r w:rsidR="009F14F3">
        <w:rPr>
          <w:lang w:eastAsia="ja-JP"/>
        </w:rPr>
        <w:t>2</w:t>
      </w:r>
      <w:r w:rsidRPr="00AA47D1">
        <w:rPr>
          <w:lang w:eastAsia="ja-JP"/>
        </w:rPr>
        <w:t>.</w:t>
      </w:r>
      <w:r w:rsidR="009F14F3">
        <w:rPr>
          <w:lang w:eastAsia="ja-JP"/>
        </w:rPr>
        <w:t>0</w:t>
      </w:r>
      <w:r w:rsidRPr="00AA47D1">
        <w:rPr>
          <w:lang w:eastAsia="ja-JP"/>
        </w:rPr>
        <w:t xml:space="preserve">0/quarter </w:t>
      </w:r>
    </w:p>
    <w:p w:rsidR="00A818FF" w:rsidRPr="007554D9" w:rsidRDefault="00A818FF" w:rsidP="00A818FF">
      <w:pPr>
        <w:rPr>
          <w:lang w:eastAsia="ja-JP"/>
        </w:rPr>
      </w:pPr>
      <w:r w:rsidRPr="007554D9">
        <w:rPr>
          <w:lang w:eastAsia="ja-JP"/>
        </w:rPr>
        <w:t>You may be eligible for the higher rate if you:</w:t>
      </w:r>
    </w:p>
    <w:p w:rsidR="00A818FF" w:rsidRPr="007554D9" w:rsidRDefault="00A818FF" w:rsidP="00567914">
      <w:pPr>
        <w:numPr>
          <w:ilvl w:val="0"/>
          <w:numId w:val="6"/>
        </w:numPr>
        <w:rPr>
          <w:lang w:eastAsia="ja-JP"/>
        </w:rPr>
      </w:pPr>
      <w:r w:rsidRPr="007554D9">
        <w:rPr>
          <w:lang w:eastAsia="ja-JP"/>
        </w:rPr>
        <w:t xml:space="preserve">receive </w:t>
      </w:r>
      <w:hyperlink r:id="rId45" w:history="1">
        <w:r w:rsidRPr="007554D9">
          <w:rPr>
            <w:rStyle w:val="Hyperlink"/>
            <w:lang w:eastAsia="ja-JP"/>
          </w:rPr>
          <w:t>Disability Support Pension</w:t>
        </w:r>
      </w:hyperlink>
    </w:p>
    <w:p w:rsidR="00A818FF" w:rsidRPr="007554D9" w:rsidRDefault="00A818FF" w:rsidP="00567914">
      <w:pPr>
        <w:numPr>
          <w:ilvl w:val="0"/>
          <w:numId w:val="6"/>
        </w:numPr>
        <w:rPr>
          <w:lang w:eastAsia="ja-JP"/>
        </w:rPr>
      </w:pPr>
      <w:r w:rsidRPr="007554D9">
        <w:rPr>
          <w:lang w:eastAsia="ja-JP"/>
        </w:rPr>
        <w:t>are aged under 21 with no dependent children, and</w:t>
      </w:r>
    </w:p>
    <w:p w:rsidR="00A818FF" w:rsidRPr="007554D9" w:rsidRDefault="00A818FF" w:rsidP="00567914">
      <w:pPr>
        <w:numPr>
          <w:ilvl w:val="0"/>
          <w:numId w:val="6"/>
        </w:numPr>
        <w:rPr>
          <w:lang w:eastAsia="ja-JP"/>
        </w:rPr>
      </w:pPr>
      <w:r w:rsidRPr="007554D9">
        <w:rPr>
          <w:lang w:eastAsia="ja-JP"/>
        </w:rPr>
        <w:lastRenderedPageBreak/>
        <w:t>have a home internet service connected, such as a dial up service, broadband service or an internet connection via your mobile phone, in your or your partner's name</w:t>
      </w:r>
    </w:p>
    <w:p w:rsidR="00A818FF" w:rsidRPr="007554D9" w:rsidRDefault="00A818FF" w:rsidP="00A818FF">
      <w:pPr>
        <w:rPr>
          <w:lang w:val="en-US" w:eastAsia="ja-JP"/>
        </w:rPr>
      </w:pPr>
      <w:r w:rsidRPr="007554D9">
        <w:rPr>
          <w:lang w:val="en-US" w:eastAsia="ja-JP"/>
        </w:rPr>
        <w:t xml:space="preserve">The </w:t>
      </w:r>
      <w:r>
        <w:rPr>
          <w:lang w:val="en-US" w:eastAsia="ja-JP"/>
        </w:rPr>
        <w:t xml:space="preserve">standalone </w:t>
      </w:r>
      <w:r w:rsidRPr="007554D9">
        <w:rPr>
          <w:lang w:val="en-US" w:eastAsia="ja-JP"/>
        </w:rPr>
        <w:t>CTA is paid quarterly with the first regular income support payment you receive on or after 1 January, 20 March, 1 July and 20 September each year.</w:t>
      </w:r>
    </w:p>
    <w:p w:rsidR="00A818FF" w:rsidRDefault="00A818FF" w:rsidP="00A818FF">
      <w:pPr>
        <w:rPr>
          <w:lang w:val="en-US" w:eastAsia="ja-JP"/>
        </w:rPr>
      </w:pPr>
      <w:r w:rsidRPr="007554D9">
        <w:rPr>
          <w:lang w:val="en-US" w:eastAsia="ja-JP"/>
        </w:rPr>
        <w:t>The payment rates are updated on 20 September each year in line with the Consumer Price Index</w:t>
      </w:r>
      <w:r>
        <w:rPr>
          <w:lang w:val="en-US" w:eastAsia="ja-JP"/>
        </w:rPr>
        <w:t xml:space="preserve"> </w:t>
      </w:r>
      <w:r>
        <w:rPr>
          <w:bCs/>
          <w:i/>
          <w:lang w:eastAsia="ja-JP"/>
        </w:rPr>
        <w:t>(DHS, 2016)</w:t>
      </w:r>
      <w:r w:rsidRPr="007554D9">
        <w:rPr>
          <w:lang w:val="en-US" w:eastAsia="ja-JP"/>
        </w:rPr>
        <w:t>.</w:t>
      </w:r>
    </w:p>
    <w:p w:rsidR="00A818FF" w:rsidRDefault="00A818FF" w:rsidP="00B92C02">
      <w:pPr>
        <w:pStyle w:val="Heading3"/>
        <w:rPr>
          <w:lang w:val="en-US" w:eastAsia="ja-JP"/>
        </w:rPr>
      </w:pPr>
      <w:bookmarkStart w:id="125" w:name="_Toc465167601"/>
      <w:r>
        <w:rPr>
          <w:lang w:val="en-US" w:eastAsia="ja-JP"/>
        </w:rPr>
        <w:t>CTA via the Pension Supplement</w:t>
      </w:r>
      <w:bookmarkEnd w:id="125"/>
      <w:r>
        <w:rPr>
          <w:lang w:val="en-US" w:eastAsia="ja-JP"/>
        </w:rPr>
        <w:t xml:space="preserve"> </w:t>
      </w:r>
    </w:p>
    <w:p w:rsidR="00A818FF" w:rsidRDefault="00A818FF" w:rsidP="00A818FF">
      <w:pPr>
        <w:rPr>
          <w:lang w:val="en-US" w:eastAsia="ja-JP"/>
        </w:rPr>
      </w:pPr>
      <w:r>
        <w:rPr>
          <w:lang w:val="en-US" w:eastAsia="ja-JP"/>
        </w:rPr>
        <w:t xml:space="preserve">The CTA is also one of four allowances that </w:t>
      </w:r>
      <w:proofErr w:type="gramStart"/>
      <w:r>
        <w:rPr>
          <w:lang w:val="en-US" w:eastAsia="ja-JP"/>
        </w:rPr>
        <w:t>is</w:t>
      </w:r>
      <w:proofErr w:type="gramEnd"/>
      <w:r>
        <w:rPr>
          <w:lang w:val="en-US" w:eastAsia="ja-JP"/>
        </w:rPr>
        <w:t xml:space="preserve"> rolled into the Pension Supplement</w:t>
      </w:r>
      <w:r w:rsidR="00DC410B">
        <w:rPr>
          <w:lang w:val="en-US" w:eastAsia="ja-JP"/>
        </w:rPr>
        <w:t>.</w:t>
      </w:r>
    </w:p>
    <w:p w:rsidR="00A818FF" w:rsidRPr="007554D9" w:rsidRDefault="00A818FF" w:rsidP="00A818FF">
      <w:pPr>
        <w:rPr>
          <w:lang w:val="en-US" w:eastAsia="ja-JP"/>
        </w:rPr>
      </w:pPr>
      <w:r>
        <w:rPr>
          <w:lang w:val="en-US" w:eastAsia="ja-JP"/>
        </w:rPr>
        <w:t xml:space="preserve">You </w:t>
      </w:r>
      <w:r w:rsidRPr="007554D9">
        <w:rPr>
          <w:lang w:val="en-US" w:eastAsia="ja-JP"/>
        </w:rPr>
        <w:t>get the supplement automatically if you are receiving:</w:t>
      </w:r>
    </w:p>
    <w:p w:rsidR="00A818FF" w:rsidRPr="007554D9" w:rsidRDefault="00A818FF" w:rsidP="00567914">
      <w:pPr>
        <w:numPr>
          <w:ilvl w:val="0"/>
          <w:numId w:val="5"/>
        </w:numPr>
        <w:rPr>
          <w:rStyle w:val="Hyperlink"/>
          <w:u w:val="none"/>
          <w:lang w:eastAsia="ja-JP"/>
        </w:rPr>
      </w:pPr>
      <w:r w:rsidRPr="007554D9">
        <w:rPr>
          <w:rStyle w:val="Hyperlink"/>
          <w:u w:val="none"/>
          <w:lang w:eastAsia="ja-JP"/>
        </w:rPr>
        <w:t>Age Pension</w:t>
      </w:r>
    </w:p>
    <w:p w:rsidR="00A818FF" w:rsidRPr="007554D9" w:rsidRDefault="00A818FF" w:rsidP="00567914">
      <w:pPr>
        <w:numPr>
          <w:ilvl w:val="0"/>
          <w:numId w:val="5"/>
        </w:numPr>
        <w:rPr>
          <w:rStyle w:val="Hyperlink"/>
          <w:u w:val="none"/>
          <w:lang w:eastAsia="ja-JP"/>
        </w:rPr>
      </w:pPr>
      <w:r w:rsidRPr="007554D9">
        <w:rPr>
          <w:rStyle w:val="Hyperlink"/>
          <w:u w:val="none"/>
          <w:lang w:eastAsia="ja-JP"/>
        </w:rPr>
        <w:t>Bereavement Allowance</w:t>
      </w:r>
    </w:p>
    <w:p w:rsidR="00A818FF" w:rsidRPr="007554D9" w:rsidRDefault="00A818FF" w:rsidP="00567914">
      <w:pPr>
        <w:numPr>
          <w:ilvl w:val="0"/>
          <w:numId w:val="5"/>
        </w:numPr>
        <w:rPr>
          <w:rStyle w:val="Hyperlink"/>
          <w:u w:val="none"/>
          <w:lang w:eastAsia="ja-JP"/>
        </w:rPr>
      </w:pPr>
      <w:r w:rsidRPr="007554D9">
        <w:rPr>
          <w:rStyle w:val="Hyperlink"/>
          <w:u w:val="none"/>
          <w:lang w:eastAsia="ja-JP"/>
        </w:rPr>
        <w:t>Carer Payment</w:t>
      </w:r>
    </w:p>
    <w:p w:rsidR="00A818FF" w:rsidRPr="007554D9" w:rsidRDefault="00A818FF" w:rsidP="00567914">
      <w:pPr>
        <w:numPr>
          <w:ilvl w:val="0"/>
          <w:numId w:val="5"/>
        </w:numPr>
        <w:rPr>
          <w:rStyle w:val="Hyperlink"/>
          <w:u w:val="none"/>
          <w:lang w:eastAsia="ja-JP"/>
        </w:rPr>
      </w:pPr>
      <w:r w:rsidRPr="007554D9">
        <w:rPr>
          <w:rStyle w:val="Hyperlink"/>
          <w:u w:val="none"/>
          <w:lang w:eastAsia="ja-JP"/>
        </w:rPr>
        <w:t>Disability Support Pension - except if you are aged under 21 and have no children</w:t>
      </w:r>
    </w:p>
    <w:p w:rsidR="00A818FF" w:rsidRPr="007554D9" w:rsidRDefault="00A818FF" w:rsidP="00567914">
      <w:pPr>
        <w:numPr>
          <w:ilvl w:val="0"/>
          <w:numId w:val="5"/>
        </w:numPr>
        <w:rPr>
          <w:rStyle w:val="Hyperlink"/>
          <w:u w:val="none"/>
          <w:lang w:eastAsia="ja-JP"/>
        </w:rPr>
      </w:pPr>
      <w:r w:rsidRPr="007554D9">
        <w:rPr>
          <w:rStyle w:val="Hyperlink"/>
          <w:u w:val="none"/>
          <w:lang w:eastAsia="ja-JP"/>
        </w:rPr>
        <w:t>Widow B Pension or</w:t>
      </w:r>
    </w:p>
    <w:p w:rsidR="00A818FF" w:rsidRPr="007554D9" w:rsidRDefault="00A818FF" w:rsidP="00567914">
      <w:pPr>
        <w:numPr>
          <w:ilvl w:val="0"/>
          <w:numId w:val="5"/>
        </w:numPr>
        <w:rPr>
          <w:rStyle w:val="Hyperlink"/>
          <w:u w:val="none"/>
          <w:lang w:eastAsia="ja-JP"/>
        </w:rPr>
      </w:pPr>
      <w:r w:rsidRPr="007554D9">
        <w:rPr>
          <w:rStyle w:val="Hyperlink"/>
          <w:u w:val="none"/>
          <w:lang w:eastAsia="ja-JP"/>
        </w:rPr>
        <w:t>Wife Pension</w:t>
      </w:r>
    </w:p>
    <w:p w:rsidR="00A818FF" w:rsidRPr="007554D9" w:rsidRDefault="00A818FF" w:rsidP="00A818FF">
      <w:pPr>
        <w:rPr>
          <w:lang w:val="en-US" w:eastAsia="ja-JP"/>
        </w:rPr>
      </w:pPr>
      <w:r w:rsidRPr="007554D9">
        <w:rPr>
          <w:lang w:val="en-US" w:eastAsia="ja-JP"/>
        </w:rPr>
        <w:t>The Pension Supplement is also automatically paid</w:t>
      </w:r>
      <w:r>
        <w:rPr>
          <w:lang w:val="en-US" w:eastAsia="ja-JP"/>
        </w:rPr>
        <w:t xml:space="preserve"> to people over age pension age </w:t>
      </w:r>
      <w:r w:rsidRPr="007554D9">
        <w:rPr>
          <w:lang w:val="en-US" w:eastAsia="ja-JP"/>
        </w:rPr>
        <w:t>who</w:t>
      </w:r>
      <w:r>
        <w:rPr>
          <w:lang w:val="en-US" w:eastAsia="ja-JP"/>
        </w:rPr>
        <w:t xml:space="preserve"> </w:t>
      </w:r>
      <w:r w:rsidRPr="007554D9">
        <w:rPr>
          <w:lang w:val="en-US" w:eastAsia="ja-JP"/>
        </w:rPr>
        <w:t>are</w:t>
      </w:r>
      <w:r>
        <w:rPr>
          <w:lang w:val="en-US" w:eastAsia="ja-JP"/>
        </w:rPr>
        <w:t xml:space="preserve"> </w:t>
      </w:r>
      <w:r w:rsidRPr="007554D9">
        <w:rPr>
          <w:lang w:val="en-US" w:eastAsia="ja-JP"/>
        </w:rPr>
        <w:t>receiving:</w:t>
      </w:r>
    </w:p>
    <w:p w:rsidR="00A818FF" w:rsidRPr="007554D9" w:rsidRDefault="00A818FF" w:rsidP="00567914">
      <w:pPr>
        <w:numPr>
          <w:ilvl w:val="0"/>
          <w:numId w:val="5"/>
        </w:numPr>
        <w:rPr>
          <w:rStyle w:val="Hyperlink"/>
          <w:u w:val="none"/>
          <w:lang w:eastAsia="ja-JP"/>
        </w:rPr>
      </w:pPr>
      <w:proofErr w:type="spellStart"/>
      <w:r w:rsidRPr="007554D9">
        <w:rPr>
          <w:rStyle w:val="Hyperlink"/>
          <w:u w:val="none"/>
          <w:lang w:eastAsia="ja-JP"/>
        </w:rPr>
        <w:t>Austudy</w:t>
      </w:r>
      <w:proofErr w:type="spellEnd"/>
    </w:p>
    <w:p w:rsidR="00A818FF" w:rsidRPr="007554D9" w:rsidRDefault="00A818FF" w:rsidP="00567914">
      <w:pPr>
        <w:numPr>
          <w:ilvl w:val="0"/>
          <w:numId w:val="5"/>
        </w:numPr>
        <w:rPr>
          <w:rStyle w:val="Hyperlink"/>
          <w:u w:val="none"/>
          <w:lang w:eastAsia="ja-JP"/>
        </w:rPr>
      </w:pPr>
      <w:r w:rsidRPr="007554D9">
        <w:rPr>
          <w:rStyle w:val="Hyperlink"/>
          <w:u w:val="none"/>
          <w:lang w:eastAsia="ja-JP"/>
        </w:rPr>
        <w:t>Parenting Payment</w:t>
      </w:r>
    </w:p>
    <w:p w:rsidR="00A818FF" w:rsidRPr="007554D9" w:rsidRDefault="00A818FF" w:rsidP="00567914">
      <w:pPr>
        <w:numPr>
          <w:ilvl w:val="0"/>
          <w:numId w:val="5"/>
        </w:numPr>
        <w:rPr>
          <w:rStyle w:val="Hyperlink"/>
          <w:u w:val="none"/>
          <w:lang w:eastAsia="ja-JP"/>
        </w:rPr>
      </w:pPr>
      <w:r w:rsidRPr="007554D9">
        <w:rPr>
          <w:rStyle w:val="Hyperlink"/>
          <w:u w:val="none"/>
          <w:lang w:eastAsia="ja-JP"/>
        </w:rPr>
        <w:t>Partner Allowance</w:t>
      </w:r>
    </w:p>
    <w:p w:rsidR="00A818FF" w:rsidRPr="007554D9" w:rsidRDefault="00A818FF" w:rsidP="00567914">
      <w:pPr>
        <w:numPr>
          <w:ilvl w:val="0"/>
          <w:numId w:val="5"/>
        </w:numPr>
        <w:rPr>
          <w:rStyle w:val="Hyperlink"/>
          <w:u w:val="none"/>
          <w:lang w:eastAsia="ja-JP"/>
        </w:rPr>
      </w:pPr>
      <w:r w:rsidRPr="007554D9">
        <w:rPr>
          <w:rStyle w:val="Hyperlink"/>
          <w:u w:val="none"/>
          <w:lang w:eastAsia="ja-JP"/>
        </w:rPr>
        <w:t>Special Benefit or</w:t>
      </w:r>
    </w:p>
    <w:p w:rsidR="00A818FF" w:rsidRPr="007554D9" w:rsidRDefault="00A818FF" w:rsidP="00567914">
      <w:pPr>
        <w:numPr>
          <w:ilvl w:val="0"/>
          <w:numId w:val="5"/>
        </w:numPr>
        <w:rPr>
          <w:rStyle w:val="Hyperlink"/>
          <w:u w:val="none"/>
          <w:lang w:eastAsia="ja-JP"/>
        </w:rPr>
      </w:pPr>
      <w:r w:rsidRPr="007554D9">
        <w:rPr>
          <w:rStyle w:val="Hyperlink"/>
          <w:u w:val="none"/>
          <w:lang w:eastAsia="ja-JP"/>
        </w:rPr>
        <w:t>Widow Allowance</w:t>
      </w:r>
    </w:p>
    <w:p w:rsidR="00A818FF" w:rsidRPr="007554D9" w:rsidRDefault="00A818FF" w:rsidP="00A818FF">
      <w:pPr>
        <w:rPr>
          <w:lang w:eastAsia="ja-JP"/>
        </w:rPr>
      </w:pPr>
      <w:r>
        <w:rPr>
          <w:lang w:eastAsia="ja-JP"/>
        </w:rPr>
        <w:t>P</w:t>
      </w:r>
      <w:r w:rsidRPr="007554D9">
        <w:rPr>
          <w:lang w:eastAsia="ja-JP"/>
        </w:rPr>
        <w:t>ayments that are rolled into the Pension Supplement:</w:t>
      </w:r>
    </w:p>
    <w:p w:rsidR="00A818FF" w:rsidRPr="007554D9" w:rsidRDefault="00A818FF" w:rsidP="00567914">
      <w:pPr>
        <w:numPr>
          <w:ilvl w:val="0"/>
          <w:numId w:val="7"/>
        </w:numPr>
        <w:rPr>
          <w:lang w:eastAsia="ja-JP"/>
        </w:rPr>
      </w:pPr>
      <w:r w:rsidRPr="007554D9">
        <w:rPr>
          <w:lang w:eastAsia="ja-JP"/>
        </w:rPr>
        <w:t>Pharmaceutical Allowance</w:t>
      </w:r>
    </w:p>
    <w:p w:rsidR="00A818FF" w:rsidRPr="007554D9" w:rsidRDefault="00A818FF" w:rsidP="00567914">
      <w:pPr>
        <w:numPr>
          <w:ilvl w:val="0"/>
          <w:numId w:val="7"/>
        </w:numPr>
        <w:rPr>
          <w:lang w:eastAsia="ja-JP"/>
        </w:rPr>
      </w:pPr>
      <w:r w:rsidRPr="007554D9">
        <w:rPr>
          <w:lang w:eastAsia="ja-JP"/>
        </w:rPr>
        <w:t>Utilities Allowance</w:t>
      </w:r>
    </w:p>
    <w:p w:rsidR="00A818FF" w:rsidRPr="007554D9" w:rsidRDefault="00A818FF" w:rsidP="00567914">
      <w:pPr>
        <w:numPr>
          <w:ilvl w:val="0"/>
          <w:numId w:val="7"/>
        </w:numPr>
        <w:rPr>
          <w:lang w:eastAsia="ja-JP"/>
        </w:rPr>
      </w:pPr>
      <w:r w:rsidRPr="007554D9">
        <w:rPr>
          <w:lang w:eastAsia="ja-JP"/>
        </w:rPr>
        <w:t>GST Supplement or</w:t>
      </w:r>
    </w:p>
    <w:p w:rsidR="00A818FF" w:rsidRPr="007554D9" w:rsidRDefault="00A818FF" w:rsidP="00567914">
      <w:pPr>
        <w:numPr>
          <w:ilvl w:val="0"/>
          <w:numId w:val="7"/>
        </w:numPr>
        <w:rPr>
          <w:lang w:eastAsia="ja-JP"/>
        </w:rPr>
      </w:pPr>
      <w:r w:rsidRPr="007554D9">
        <w:rPr>
          <w:lang w:eastAsia="ja-JP"/>
        </w:rPr>
        <w:t>Telephone Allowance equivalent to the higher rate for internet subscribers</w:t>
      </w:r>
    </w:p>
    <w:p w:rsidR="00A818FF" w:rsidRDefault="00A818FF" w:rsidP="00D16666">
      <w:pPr>
        <w:rPr>
          <w:lang w:val="en-US" w:eastAsia="ja-JP"/>
        </w:rPr>
      </w:pPr>
      <w:r>
        <w:rPr>
          <w:lang w:val="en-US" w:eastAsia="ja-JP"/>
        </w:rPr>
        <w:t>The supplement may be paid either fortnightly or quarterly (DHS, 2016)</w:t>
      </w:r>
    </w:p>
    <w:p w:rsidR="00D16666" w:rsidRPr="00D16666" w:rsidRDefault="00A818FF" w:rsidP="00D16666">
      <w:pPr>
        <w:rPr>
          <w:lang w:val="en-US" w:eastAsia="ja-JP"/>
        </w:rPr>
      </w:pPr>
      <w:r>
        <w:rPr>
          <w:lang w:val="en-US" w:eastAsia="ja-JP"/>
        </w:rPr>
        <w:br w:type="page"/>
      </w:r>
    </w:p>
    <w:bookmarkStart w:id="126" w:name="_Toc465167602" w:displacedByCustomXml="next"/>
    <w:sdt>
      <w:sdtPr>
        <w:rPr>
          <w:rFonts w:eastAsia="Cambria" w:cs="Cambria"/>
          <w:color w:val="auto"/>
          <w:spacing w:val="0"/>
          <w:kern w:val="0"/>
          <w:sz w:val="22"/>
          <w:szCs w:val="20"/>
          <w:lang w:val="en-AU" w:eastAsia="en-AU"/>
        </w:rPr>
        <w:id w:val="-913320183"/>
        <w:docPartObj>
          <w:docPartGallery w:val="Bibliographies"/>
          <w:docPartUnique/>
        </w:docPartObj>
      </w:sdtPr>
      <w:sdtContent>
        <w:sdt>
          <w:sdtPr>
            <w:rPr>
              <w:rFonts w:eastAsia="Cambria" w:cs="Cambria"/>
              <w:color w:val="auto"/>
              <w:spacing w:val="0"/>
              <w:kern w:val="0"/>
              <w:sz w:val="22"/>
              <w:szCs w:val="20"/>
              <w:lang w:val="en-AU" w:eastAsia="en-AU"/>
            </w:rPr>
            <w:id w:val="1945581215"/>
            <w:docPartObj>
              <w:docPartGallery w:val="Bibliographies"/>
              <w:docPartUnique/>
            </w:docPartObj>
          </w:sdtPr>
          <w:sdtContent>
            <w:p w:rsidR="00935ED5" w:rsidRDefault="00826502" w:rsidP="00935ED5">
              <w:pPr>
                <w:pStyle w:val="Heading1"/>
              </w:pPr>
              <w:r>
                <w:t>References</w:t>
              </w:r>
              <w:bookmarkEnd w:id="126"/>
              <w:r>
                <w:t xml:space="preserve"> </w:t>
              </w:r>
            </w:p>
            <w:sdt>
              <w:sdtPr>
                <w:id w:val="-1118447719"/>
                <w:bibliography/>
              </w:sdtPr>
              <w:sdtContent>
                <w:sdt>
                  <w:sdtPr>
                    <w:id w:val="-1255900831"/>
                    <w:bibliography/>
                  </w:sdtPr>
                  <w:sdtContent>
                    <w:p w:rsidR="0045334A" w:rsidRDefault="0045334A" w:rsidP="0045334A">
                      <w:pPr>
                        <w:pStyle w:val="Bibliography"/>
                        <w:ind w:left="720" w:hanging="720"/>
                        <w:rPr>
                          <w:noProof/>
                          <w:lang w:val="en-US"/>
                        </w:rPr>
                      </w:pPr>
                      <w:r>
                        <w:fldChar w:fldCharType="begin"/>
                      </w:r>
                      <w:r>
                        <w:instrText xml:space="preserve"> BIBLIOGRAPHY </w:instrText>
                      </w:r>
                      <w:r>
                        <w:fldChar w:fldCharType="separate"/>
                      </w:r>
                      <w:r>
                        <w:rPr>
                          <w:noProof/>
                          <w:lang w:val="en-US"/>
                        </w:rPr>
                        <w:t xml:space="preserve">ABS - </w:t>
                      </w:r>
                      <w:r w:rsidRPr="007F331A">
                        <w:rPr>
                          <w:i/>
                          <w:noProof/>
                          <w:lang w:val="en-US"/>
                        </w:rPr>
                        <w:t>see</w:t>
                      </w:r>
                      <w:r>
                        <w:rPr>
                          <w:noProof/>
                          <w:lang w:val="en-US"/>
                        </w:rPr>
                        <w:t xml:space="preserve"> Australian Bureau of Statistics</w:t>
                      </w:r>
                    </w:p>
                    <w:p w:rsidR="0045334A" w:rsidRDefault="0045334A" w:rsidP="0045334A">
                      <w:pPr>
                        <w:pStyle w:val="Bibliography"/>
                        <w:ind w:left="720" w:hanging="720"/>
                        <w:rPr>
                          <w:noProof/>
                          <w:lang w:val="en-US"/>
                        </w:rPr>
                      </w:pPr>
                      <w:r>
                        <w:rPr>
                          <w:noProof/>
                          <w:lang w:val="en-US"/>
                        </w:rPr>
                        <w:t xml:space="preserve">ACCAN - </w:t>
                      </w:r>
                      <w:r w:rsidRPr="00670956">
                        <w:rPr>
                          <w:i/>
                          <w:noProof/>
                          <w:lang w:val="en-US"/>
                        </w:rPr>
                        <w:t>see</w:t>
                      </w:r>
                      <w:r>
                        <w:rPr>
                          <w:noProof/>
                          <w:lang w:val="en-US"/>
                        </w:rPr>
                        <w:t xml:space="preserve"> Australian Communications Consumer Action Network</w:t>
                      </w:r>
                    </w:p>
                    <w:p w:rsidR="0045334A" w:rsidRDefault="0045334A" w:rsidP="0045334A">
                      <w:pPr>
                        <w:pStyle w:val="Bibliography"/>
                        <w:ind w:left="720" w:hanging="720"/>
                        <w:rPr>
                          <w:noProof/>
                          <w:lang w:val="en-US"/>
                        </w:rPr>
                      </w:pPr>
                      <w:r>
                        <w:rPr>
                          <w:noProof/>
                          <w:lang w:val="en-US"/>
                        </w:rPr>
                        <w:t xml:space="preserve">ACCC - </w:t>
                      </w:r>
                      <w:r w:rsidRPr="00670956">
                        <w:rPr>
                          <w:i/>
                          <w:noProof/>
                          <w:lang w:val="en-US"/>
                        </w:rPr>
                        <w:t>see</w:t>
                      </w:r>
                      <w:r>
                        <w:rPr>
                          <w:noProof/>
                          <w:lang w:val="en-US"/>
                        </w:rPr>
                        <w:t xml:space="preserve"> Australian Competition and Consumer Commission </w:t>
                      </w:r>
                    </w:p>
                    <w:p w:rsidR="0045334A" w:rsidRDefault="0045334A" w:rsidP="0045334A">
                      <w:pPr>
                        <w:pStyle w:val="Bibliography"/>
                        <w:ind w:left="720" w:hanging="720"/>
                        <w:rPr>
                          <w:noProof/>
                          <w:lang w:val="en-US"/>
                        </w:rPr>
                      </w:pPr>
                      <w:r>
                        <w:rPr>
                          <w:noProof/>
                          <w:lang w:val="en-US"/>
                        </w:rPr>
                        <w:t xml:space="preserve">ACMA - </w:t>
                      </w:r>
                      <w:r w:rsidRPr="0064622B">
                        <w:rPr>
                          <w:i/>
                          <w:noProof/>
                          <w:lang w:val="en-US"/>
                        </w:rPr>
                        <w:t>see</w:t>
                      </w:r>
                      <w:r>
                        <w:rPr>
                          <w:noProof/>
                          <w:lang w:val="en-US"/>
                        </w:rPr>
                        <w:t xml:space="preserve"> </w:t>
                      </w:r>
                      <w:r w:rsidRPr="00670956">
                        <w:rPr>
                          <w:noProof/>
                          <w:lang w:val="en-US"/>
                        </w:rPr>
                        <w:t>Australian Communications and Media Authority</w:t>
                      </w:r>
                    </w:p>
                    <w:p w:rsidR="0045334A" w:rsidRDefault="0045334A" w:rsidP="0045334A">
                      <w:pPr>
                        <w:pStyle w:val="Bibliography"/>
                        <w:ind w:left="720" w:hanging="720"/>
                        <w:rPr>
                          <w:noProof/>
                          <w:lang w:val="en-US"/>
                        </w:rPr>
                      </w:pPr>
                      <w:r>
                        <w:rPr>
                          <w:noProof/>
                          <w:lang w:val="en-US"/>
                        </w:rPr>
                        <w:t xml:space="preserve">ACOSS - </w:t>
                      </w:r>
                      <w:r>
                        <w:rPr>
                          <w:i/>
                          <w:noProof/>
                          <w:lang w:val="en-US"/>
                        </w:rPr>
                        <w:t>see</w:t>
                      </w:r>
                      <w:r>
                        <w:rPr>
                          <w:noProof/>
                          <w:lang w:val="en-US"/>
                        </w:rPr>
                        <w:t xml:space="preserve"> Australian Council of Social Service</w:t>
                      </w:r>
                    </w:p>
                    <w:p w:rsidR="0045334A" w:rsidRDefault="0045334A" w:rsidP="0045334A">
                      <w:pPr>
                        <w:pStyle w:val="Bibliography"/>
                        <w:ind w:left="720" w:hanging="720"/>
                        <w:rPr>
                          <w:noProof/>
                          <w:lang w:val="en-US"/>
                        </w:rPr>
                      </w:pPr>
                      <w:r>
                        <w:rPr>
                          <w:noProof/>
                          <w:lang w:val="en-US"/>
                        </w:rPr>
                        <w:t xml:space="preserve">Allen Consulting (2010). </w:t>
                      </w:r>
                      <w:r>
                        <w:rPr>
                          <w:i/>
                          <w:iCs/>
                          <w:noProof/>
                          <w:lang w:val="en-US"/>
                        </w:rPr>
                        <w:t>Quantifying the Possible Economic Gains of Getting More Australian Households Online.</w:t>
                      </w:r>
                      <w:r>
                        <w:rPr>
                          <w:noProof/>
                          <w:lang w:val="en-US"/>
                        </w:rPr>
                        <w:t xml:space="preserve"> Canberra: Department of Broadband, Communications and the Digital Economy.</w:t>
                      </w:r>
                    </w:p>
                    <w:p w:rsidR="0045334A" w:rsidRDefault="0045334A" w:rsidP="0045334A">
                      <w:pPr>
                        <w:pStyle w:val="Bibliography"/>
                        <w:ind w:left="720" w:hanging="720"/>
                        <w:rPr>
                          <w:noProof/>
                          <w:lang w:val="en-US"/>
                        </w:rPr>
                      </w:pPr>
                      <w:r>
                        <w:rPr>
                          <w:noProof/>
                          <w:lang w:val="en-US"/>
                        </w:rPr>
                        <w:t xml:space="preserve">Australian Bureau of Statistics (2015). </w:t>
                      </w:r>
                      <w:r>
                        <w:rPr>
                          <w:i/>
                          <w:iCs/>
                          <w:noProof/>
                          <w:lang w:val="en-US"/>
                        </w:rPr>
                        <w:t>8146.0 Household Use of Information Technology, Australia, 2014-15.</w:t>
                      </w:r>
                      <w:r>
                        <w:rPr>
                          <w:noProof/>
                          <w:lang w:val="en-US"/>
                        </w:rPr>
                        <w:t xml:space="preserve"> Canberra: Australian Bureau of Statistics.</w:t>
                      </w:r>
                    </w:p>
                    <w:p w:rsidR="0045334A" w:rsidRDefault="0045334A" w:rsidP="0045334A">
                      <w:pPr>
                        <w:pStyle w:val="Bibliography"/>
                        <w:ind w:left="720" w:hanging="720"/>
                        <w:rPr>
                          <w:noProof/>
                          <w:lang w:val="en-US"/>
                        </w:rPr>
                      </w:pPr>
                      <w:r w:rsidRPr="00670956">
                        <w:rPr>
                          <w:noProof/>
                          <w:lang w:val="en-US"/>
                        </w:rPr>
                        <w:t>Australian Communications and Media Authority</w:t>
                      </w:r>
                      <w:r>
                        <w:rPr>
                          <w:noProof/>
                          <w:lang w:val="en-US"/>
                        </w:rPr>
                        <w:t xml:space="preserve"> (2014, July 21). </w:t>
                      </w:r>
                      <w:r>
                        <w:rPr>
                          <w:i/>
                          <w:iCs/>
                          <w:noProof/>
                          <w:lang w:val="en-US"/>
                        </w:rPr>
                        <w:t>Older Australians resist cutting the cord.</w:t>
                      </w:r>
                      <w:r>
                        <w:rPr>
                          <w:noProof/>
                          <w:lang w:val="en-US"/>
                        </w:rPr>
                        <w:t xml:space="preserve"> Retrieved June 9, 2016, from http://www.acma.gov.au/theACMA/engage-blogs/engage-blogs/Research-snapshots/Older-Australians-resist-cutting-the-cord</w:t>
                      </w:r>
                    </w:p>
                    <w:p w:rsidR="0045334A" w:rsidRDefault="0045334A" w:rsidP="0045334A">
                      <w:pPr>
                        <w:pStyle w:val="Bibliography"/>
                        <w:ind w:left="720" w:hanging="720"/>
                        <w:rPr>
                          <w:noProof/>
                          <w:lang w:val="en-US"/>
                        </w:rPr>
                      </w:pPr>
                      <w:r>
                        <w:rPr>
                          <w:noProof/>
                          <w:lang w:val="en-US"/>
                        </w:rPr>
                        <w:t xml:space="preserve">Australian Communications Consumer Action Network (2015). </w:t>
                      </w:r>
                      <w:r>
                        <w:rPr>
                          <w:i/>
                          <w:iCs/>
                          <w:noProof/>
                          <w:lang w:val="en-US"/>
                        </w:rPr>
                        <w:t>Universal Service Consultation Paper.</w:t>
                      </w:r>
                      <w:r>
                        <w:rPr>
                          <w:noProof/>
                          <w:lang w:val="en-US"/>
                        </w:rPr>
                        <w:t xml:space="preserve"> Sydney: Australian Communications Consumer Action Network.</w:t>
                      </w:r>
                    </w:p>
                    <w:p w:rsidR="0045334A" w:rsidRDefault="0045334A" w:rsidP="0045334A">
                      <w:pPr>
                        <w:pStyle w:val="Bibliography"/>
                        <w:ind w:left="720" w:hanging="720"/>
                        <w:rPr>
                          <w:noProof/>
                          <w:lang w:val="en-US"/>
                        </w:rPr>
                      </w:pPr>
                      <w:r>
                        <w:rPr>
                          <w:noProof/>
                          <w:lang w:val="en-US"/>
                        </w:rPr>
                        <w:t xml:space="preserve">Australian Competition and Consumer Commission (2016). </w:t>
                      </w:r>
                      <w:r>
                        <w:rPr>
                          <w:i/>
                          <w:iCs/>
                          <w:noProof/>
                          <w:lang w:val="en-US"/>
                        </w:rPr>
                        <w:t>Competition in the Australian telecommunications sector: Report to the Minister for Communications.</w:t>
                      </w:r>
                      <w:r>
                        <w:rPr>
                          <w:noProof/>
                          <w:lang w:val="en-US"/>
                        </w:rPr>
                        <w:t xml:space="preserve"> Canberra: Australian Competition and Consumer Commission.</w:t>
                      </w:r>
                    </w:p>
                    <w:p w:rsidR="0045334A" w:rsidRDefault="0045334A" w:rsidP="0045334A">
                      <w:pPr>
                        <w:pStyle w:val="Bibliography"/>
                        <w:ind w:left="720" w:hanging="720"/>
                        <w:rPr>
                          <w:noProof/>
                          <w:lang w:val="en-US"/>
                        </w:rPr>
                      </w:pPr>
                      <w:r>
                        <w:rPr>
                          <w:noProof/>
                          <w:lang w:val="en-US"/>
                        </w:rPr>
                        <w:t xml:space="preserve">Australian Council of Social Service (2014). </w:t>
                      </w:r>
                      <w:r>
                        <w:rPr>
                          <w:i/>
                          <w:iCs/>
                          <w:noProof/>
                          <w:lang w:val="en-US"/>
                        </w:rPr>
                        <w:t>Poverty in Australia 2014.</w:t>
                      </w:r>
                      <w:r>
                        <w:rPr>
                          <w:noProof/>
                          <w:lang w:val="en-US"/>
                        </w:rPr>
                        <w:t xml:space="preserve"> Sydney: Australian Council of Social Service.</w:t>
                      </w:r>
                    </w:p>
                    <w:p w:rsidR="0045334A" w:rsidRDefault="0045334A" w:rsidP="0045334A">
                      <w:pPr>
                        <w:pStyle w:val="Bibliography"/>
                        <w:ind w:left="720" w:hanging="720"/>
                        <w:rPr>
                          <w:noProof/>
                          <w:lang w:val="en-US"/>
                        </w:rPr>
                      </w:pPr>
                      <w:r>
                        <w:rPr>
                          <w:noProof/>
                          <w:lang w:val="en-US"/>
                        </w:rPr>
                        <w:t xml:space="preserve">Australian Council of Social Service (2016). </w:t>
                      </w:r>
                      <w:r>
                        <w:rPr>
                          <w:i/>
                          <w:iCs/>
                          <w:noProof/>
                          <w:lang w:val="en-US"/>
                        </w:rPr>
                        <w:t>Budget Priorities Statement, 2016-17.</w:t>
                      </w:r>
                      <w:r>
                        <w:rPr>
                          <w:noProof/>
                          <w:lang w:val="en-US"/>
                        </w:rPr>
                        <w:t xml:space="preserve"> Sydney: Australian Council of Social Services.</w:t>
                      </w:r>
                    </w:p>
                    <w:p w:rsidR="0045334A" w:rsidRDefault="0045334A" w:rsidP="0045334A">
                      <w:pPr>
                        <w:pStyle w:val="Bibliography"/>
                        <w:ind w:left="720" w:hanging="720"/>
                        <w:rPr>
                          <w:noProof/>
                          <w:lang w:val="en-US"/>
                        </w:rPr>
                      </w:pPr>
                      <w:r>
                        <w:rPr>
                          <w:noProof/>
                          <w:lang w:val="en-US"/>
                        </w:rPr>
                        <w:t xml:space="preserve">Australian Government (2015). </w:t>
                      </w:r>
                      <w:r w:rsidRPr="007C23B9">
                        <w:rPr>
                          <w:i/>
                          <w:noProof/>
                          <w:lang w:val="en-US"/>
                        </w:rPr>
                        <w:t>Carrier Licence Conditions (Telstra Corporation Limited) Declaration 1997</w:t>
                      </w:r>
                      <w:r>
                        <w:rPr>
                          <w:noProof/>
                          <w:lang w:val="en-US"/>
                        </w:rPr>
                        <w:t>. Australian Government Federal Register of Legislation.</w:t>
                      </w:r>
                    </w:p>
                    <w:p w:rsidR="0045334A" w:rsidRDefault="0045334A" w:rsidP="0045334A">
                      <w:pPr>
                        <w:pStyle w:val="Bibliography"/>
                        <w:ind w:left="720" w:hanging="720"/>
                        <w:rPr>
                          <w:noProof/>
                          <w:lang w:val="en-US"/>
                        </w:rPr>
                      </w:pPr>
                      <w:r>
                        <w:rPr>
                          <w:noProof/>
                          <w:lang w:val="en-US"/>
                        </w:rPr>
                        <w:t xml:space="preserve">Centrelink (2016). </w:t>
                      </w:r>
                      <w:r>
                        <w:rPr>
                          <w:i/>
                          <w:iCs/>
                          <w:noProof/>
                          <w:lang w:val="en-US"/>
                        </w:rPr>
                        <w:t>A Guide to Australian Government Payments.</w:t>
                      </w:r>
                      <w:r>
                        <w:rPr>
                          <w:noProof/>
                          <w:lang w:val="en-US"/>
                        </w:rPr>
                        <w:t xml:space="preserve"> Department of Human Services.</w:t>
                      </w:r>
                    </w:p>
                    <w:p w:rsidR="0045334A" w:rsidRDefault="0045334A" w:rsidP="0045334A">
                      <w:pPr>
                        <w:pStyle w:val="Bibliography"/>
                        <w:ind w:left="720" w:hanging="720"/>
                        <w:rPr>
                          <w:noProof/>
                          <w:lang w:val="en-US"/>
                        </w:rPr>
                      </w:pPr>
                      <w:r>
                        <w:rPr>
                          <w:noProof/>
                          <w:lang w:val="en-US"/>
                        </w:rPr>
                        <w:lastRenderedPageBreak/>
                        <w:t xml:space="preserve">Communications Alliance (2016). </w:t>
                      </w:r>
                      <w:r>
                        <w:rPr>
                          <w:i/>
                          <w:iCs/>
                          <w:noProof/>
                          <w:lang w:val="en-US"/>
                        </w:rPr>
                        <w:t>Telecommunications Consumer Protections Code C628_2015.</w:t>
                      </w:r>
                      <w:r>
                        <w:rPr>
                          <w:noProof/>
                          <w:lang w:val="en-US"/>
                        </w:rPr>
                        <w:t xml:space="preserve"> </w:t>
                      </w:r>
                    </w:p>
                    <w:p w:rsidR="0045334A" w:rsidRDefault="0045334A" w:rsidP="0045334A">
                      <w:pPr>
                        <w:pStyle w:val="Bibliography"/>
                        <w:ind w:left="720" w:hanging="720"/>
                        <w:rPr>
                          <w:noProof/>
                          <w:lang w:val="en-US"/>
                        </w:rPr>
                      </w:pPr>
                      <w:r>
                        <w:rPr>
                          <w:noProof/>
                          <w:lang w:val="en-US"/>
                        </w:rPr>
                        <w:t xml:space="preserve">Deloitte (2015). </w:t>
                      </w:r>
                      <w:r>
                        <w:rPr>
                          <w:i/>
                          <w:iCs/>
                          <w:noProof/>
                          <w:lang w:val="en-US"/>
                        </w:rPr>
                        <w:t>Australia’s Digital Pulse: Key challenges for our nation – digital skills, jobs and education.</w:t>
                      </w:r>
                      <w:r>
                        <w:rPr>
                          <w:noProof/>
                          <w:lang w:val="en-US"/>
                        </w:rPr>
                        <w:t xml:space="preserve"> Deloitte Access Economics.</w:t>
                      </w:r>
                    </w:p>
                    <w:p w:rsidR="0045334A" w:rsidRDefault="0045334A" w:rsidP="0045334A">
                      <w:pPr>
                        <w:pStyle w:val="Bibliography"/>
                        <w:ind w:left="720" w:hanging="720"/>
                        <w:rPr>
                          <w:noProof/>
                          <w:lang w:val="en-US"/>
                        </w:rPr>
                      </w:pPr>
                      <w:r>
                        <w:rPr>
                          <w:noProof/>
                          <w:lang w:val="en-US"/>
                        </w:rPr>
                        <w:t xml:space="preserve">Department of Human Services (2016). </w:t>
                      </w:r>
                      <w:r>
                        <w:rPr>
                          <w:i/>
                          <w:iCs/>
                          <w:noProof/>
                          <w:lang w:val="en-US"/>
                        </w:rPr>
                        <w:t>Centrelink</w:t>
                      </w:r>
                      <w:r>
                        <w:rPr>
                          <w:noProof/>
                          <w:lang w:val="en-US"/>
                        </w:rPr>
                        <w:t>. Retrieved October 24, 2016, from https://www.humanservices.gov.au/customer/dhs/centrelink</w:t>
                      </w:r>
                    </w:p>
                    <w:p w:rsidR="0045334A" w:rsidRDefault="0045334A" w:rsidP="0045334A">
                      <w:pPr>
                        <w:pStyle w:val="Bibliography"/>
                        <w:ind w:left="720" w:hanging="720"/>
                        <w:rPr>
                          <w:noProof/>
                          <w:lang w:val="en-US"/>
                        </w:rPr>
                      </w:pPr>
                      <w:r>
                        <w:rPr>
                          <w:noProof/>
                          <w:lang w:val="en-US"/>
                        </w:rPr>
                        <w:t xml:space="preserve">DHS - </w:t>
                      </w:r>
                      <w:r>
                        <w:rPr>
                          <w:i/>
                          <w:noProof/>
                          <w:lang w:val="en-US"/>
                        </w:rPr>
                        <w:t>see</w:t>
                      </w:r>
                      <w:r>
                        <w:rPr>
                          <w:noProof/>
                          <w:lang w:val="en-US"/>
                        </w:rPr>
                        <w:t xml:space="preserve"> Department of Human Services </w:t>
                      </w:r>
                    </w:p>
                    <w:p w:rsidR="007C7221" w:rsidRDefault="007C7221" w:rsidP="007C7221">
                      <w:pPr>
                        <w:pStyle w:val="Bibliography"/>
                        <w:ind w:left="720" w:hanging="720"/>
                        <w:rPr>
                          <w:noProof/>
                          <w:lang w:val="en-US"/>
                        </w:rPr>
                      </w:pPr>
                      <w:r>
                        <w:rPr>
                          <w:noProof/>
                          <w:lang w:val="en-US"/>
                        </w:rPr>
                        <w:t xml:space="preserve">Ewing, S. (2016, February 25). </w:t>
                      </w:r>
                      <w:r>
                        <w:rPr>
                          <w:i/>
                          <w:iCs/>
                          <w:noProof/>
                          <w:lang w:val="en-US"/>
                        </w:rPr>
                        <w:t>Australia’s digital divide is narrowing but getting deeper.</w:t>
                      </w:r>
                      <w:r>
                        <w:rPr>
                          <w:noProof/>
                          <w:lang w:val="en-US"/>
                        </w:rPr>
                        <w:t xml:space="preserve"> The Conversation. Retrieved May 9, 2016, from </w:t>
                      </w:r>
                      <w:r w:rsidRPr="00B944A8">
                        <w:rPr>
                          <w:rStyle w:val="Hyperlink"/>
                        </w:rPr>
                        <w:t>https://theconversation.com/australias-digital-divide-is-narrowing-but-getting-deeper-55232</w:t>
                      </w:r>
                      <w:r>
                        <w:rPr>
                          <w:noProof/>
                          <w:lang w:val="en-US"/>
                        </w:rPr>
                        <w:t xml:space="preserve"> </w:t>
                      </w:r>
                    </w:p>
                    <w:p w:rsidR="0045334A" w:rsidRDefault="0045334A" w:rsidP="0045334A">
                      <w:pPr>
                        <w:pStyle w:val="Bibliography"/>
                        <w:ind w:left="720" w:hanging="720"/>
                        <w:rPr>
                          <w:noProof/>
                          <w:lang w:val="en-US"/>
                        </w:rPr>
                      </w:pPr>
                      <w:r>
                        <w:rPr>
                          <w:noProof/>
                          <w:lang w:val="en-US"/>
                        </w:rPr>
                        <w:t xml:space="preserve">Goggin, G. (2014). New Ideas for digital affordability: Is a paradigm shift possible? </w:t>
                      </w:r>
                      <w:r>
                        <w:rPr>
                          <w:i/>
                          <w:iCs/>
                          <w:noProof/>
                          <w:lang w:val="en-US"/>
                        </w:rPr>
                        <w:t>Australian Journal of Telecommunications and the Digital Economy, 2</w:t>
                      </w:r>
                      <w:r>
                        <w:rPr>
                          <w:noProof/>
                          <w:lang w:val="en-US"/>
                        </w:rPr>
                        <w:t>(2).</w:t>
                      </w:r>
                    </w:p>
                    <w:p w:rsidR="0045334A" w:rsidRDefault="0045334A" w:rsidP="0045334A">
                      <w:pPr>
                        <w:pStyle w:val="Bibliography"/>
                        <w:ind w:left="720" w:hanging="720"/>
                        <w:rPr>
                          <w:noProof/>
                          <w:lang w:val="en-US"/>
                        </w:rPr>
                      </w:pPr>
                      <w:r>
                        <w:rPr>
                          <w:noProof/>
                          <w:lang w:val="en-US"/>
                        </w:rPr>
                        <w:t xml:space="preserve">Humphry, J. (2014). </w:t>
                      </w:r>
                      <w:r>
                        <w:rPr>
                          <w:i/>
                          <w:iCs/>
                          <w:noProof/>
                          <w:lang w:val="en-US"/>
                        </w:rPr>
                        <w:t>Homeless and Connected: Mobile phones and the Internet in the lives of homeless Australians.</w:t>
                      </w:r>
                      <w:r>
                        <w:rPr>
                          <w:noProof/>
                          <w:lang w:val="en-US"/>
                        </w:rPr>
                        <w:t xml:space="preserve"> Sydney: Australian Communications Consumer Action Network.</w:t>
                      </w:r>
                    </w:p>
                    <w:p w:rsidR="0045334A" w:rsidRDefault="0045334A" w:rsidP="0045334A">
                      <w:pPr>
                        <w:pStyle w:val="Bibliography"/>
                        <w:ind w:left="720" w:hanging="720"/>
                        <w:rPr>
                          <w:noProof/>
                          <w:lang w:val="en-US"/>
                        </w:rPr>
                      </w:pPr>
                      <w:r>
                        <w:rPr>
                          <w:noProof/>
                          <w:lang w:val="en-US"/>
                        </w:rPr>
                        <w:t xml:space="preserve">Minister for Communications (2015). </w:t>
                      </w:r>
                      <w:r>
                        <w:rPr>
                          <w:i/>
                          <w:iCs/>
                          <w:noProof/>
                          <w:lang w:val="en-US"/>
                        </w:rPr>
                        <w:t>Investing in digital transformation.</w:t>
                      </w:r>
                      <w:r>
                        <w:rPr>
                          <w:noProof/>
                          <w:lang w:val="en-US"/>
                        </w:rPr>
                        <w:t xml:space="preserve"> Retrieved May 11, 2015, from http://www.malcolmturnbull.com.au/media/release-investing-in-digital-transformation</w:t>
                      </w:r>
                    </w:p>
                    <w:p w:rsidR="00414485" w:rsidRPr="00414485" w:rsidRDefault="00414485" w:rsidP="007C1F30">
                      <w:pPr>
                        <w:ind w:left="709" w:hanging="709"/>
                        <w:rPr>
                          <w:lang w:val="en-US"/>
                        </w:rPr>
                      </w:pPr>
                      <w:r>
                        <w:rPr>
                          <w:lang w:val="en-US"/>
                        </w:rPr>
                        <w:t xml:space="preserve">Mint Research (2016). </w:t>
                      </w:r>
                      <w:r w:rsidRPr="00414485">
                        <w:rPr>
                          <w:i/>
                          <w:szCs w:val="22"/>
                        </w:rPr>
                        <w:t>Centrelink Telephone Allowance Study</w:t>
                      </w:r>
                      <w:r>
                        <w:rPr>
                          <w:i/>
                          <w:szCs w:val="22"/>
                        </w:rPr>
                        <w:t>.</w:t>
                      </w:r>
                      <w:r>
                        <w:rPr>
                          <w:szCs w:val="22"/>
                        </w:rPr>
                        <w:t xml:space="preserve"> Mint Research (unpublished)</w:t>
                      </w:r>
                    </w:p>
                    <w:p w:rsidR="0045334A" w:rsidRDefault="0045334A" w:rsidP="0045334A">
                      <w:pPr>
                        <w:pStyle w:val="Bibliography"/>
                        <w:ind w:left="720" w:hanging="720"/>
                        <w:rPr>
                          <w:noProof/>
                          <w:lang w:val="en-US"/>
                        </w:rPr>
                      </w:pPr>
                      <w:r>
                        <w:rPr>
                          <w:noProof/>
                          <w:lang w:val="en-US"/>
                        </w:rPr>
                        <w:t xml:space="preserve">Morsillo, R. (2012). Affordable Broadband for All Australians. </w:t>
                      </w:r>
                      <w:r>
                        <w:rPr>
                          <w:i/>
                          <w:iCs/>
                          <w:noProof/>
                          <w:lang w:val="en-US"/>
                        </w:rPr>
                        <w:t>Telecommunications Journal of Australia, 62</w:t>
                      </w:r>
                      <w:r>
                        <w:rPr>
                          <w:noProof/>
                          <w:lang w:val="en-US"/>
                        </w:rPr>
                        <w:t>(5).</w:t>
                      </w:r>
                    </w:p>
                    <w:p w:rsidR="0045334A" w:rsidRDefault="0045334A" w:rsidP="0045334A">
                      <w:pPr>
                        <w:pStyle w:val="Bibliography"/>
                        <w:ind w:left="720" w:hanging="720"/>
                        <w:rPr>
                          <w:noProof/>
                          <w:lang w:val="en-US"/>
                        </w:rPr>
                      </w:pPr>
                      <w:r>
                        <w:rPr>
                          <w:noProof/>
                          <w:lang w:val="en-US"/>
                        </w:rPr>
                        <w:t xml:space="preserve">Musolino, V., &amp; Ogle, G. (2016). </w:t>
                      </w:r>
                      <w:r>
                        <w:rPr>
                          <w:i/>
                          <w:iCs/>
                          <w:noProof/>
                          <w:lang w:val="en-US"/>
                        </w:rPr>
                        <w:t>Analogue Concessions in a Digital Age: Preliminary Data Briefing on Why the Centrelink Telephone Allowance Needs an Upgrade.</w:t>
                      </w:r>
                      <w:r>
                        <w:rPr>
                          <w:noProof/>
                          <w:lang w:val="en-US"/>
                        </w:rPr>
                        <w:t xml:space="preserve"> Sydney: Australian Communications Consumer Action Network.</w:t>
                      </w:r>
                    </w:p>
                    <w:p w:rsidR="0045334A" w:rsidRDefault="0045334A" w:rsidP="0045334A">
                      <w:pPr>
                        <w:pStyle w:val="Bibliography"/>
                        <w:ind w:left="720" w:hanging="720"/>
                        <w:rPr>
                          <w:noProof/>
                          <w:lang w:val="en-US"/>
                        </w:rPr>
                      </w:pPr>
                      <w:r>
                        <w:rPr>
                          <w:noProof/>
                          <w:lang w:val="en-US"/>
                        </w:rPr>
                        <w:t xml:space="preserve">Ofcom (2014). </w:t>
                      </w:r>
                      <w:r>
                        <w:rPr>
                          <w:i/>
                          <w:iCs/>
                          <w:noProof/>
                          <w:lang w:val="en-US"/>
                        </w:rPr>
                        <w:t>Results of research into consumer views on the importance of communications services and their affordability.</w:t>
                      </w:r>
                      <w:r>
                        <w:rPr>
                          <w:noProof/>
                          <w:lang w:val="en-US"/>
                        </w:rPr>
                        <w:t xml:space="preserve"> London: Ofcom.</w:t>
                      </w:r>
                    </w:p>
                    <w:p w:rsidR="0045334A" w:rsidRDefault="0045334A" w:rsidP="0045334A">
                      <w:pPr>
                        <w:pStyle w:val="Bibliography"/>
                        <w:ind w:left="720" w:hanging="720"/>
                        <w:rPr>
                          <w:noProof/>
                          <w:lang w:val="en-US"/>
                        </w:rPr>
                      </w:pPr>
                      <w:r>
                        <w:rPr>
                          <w:noProof/>
                          <w:lang w:val="en-US"/>
                        </w:rPr>
                        <w:t xml:space="preserve">Pavlidis, K., &amp; Hawkins, W. (2015). Affordability and 21st century telecommunications services. </w:t>
                      </w:r>
                      <w:r>
                        <w:rPr>
                          <w:i/>
                          <w:iCs/>
                          <w:noProof/>
                          <w:lang w:val="en-US"/>
                        </w:rPr>
                        <w:t>Australian Journal of Telecommunications and the Digital Economy, 3</w:t>
                      </w:r>
                      <w:r>
                        <w:rPr>
                          <w:noProof/>
                          <w:lang w:val="en-US"/>
                        </w:rPr>
                        <w:t>(2).</w:t>
                      </w:r>
                    </w:p>
                    <w:p w:rsidR="0045334A" w:rsidRDefault="0045334A" w:rsidP="0045334A">
                      <w:pPr>
                        <w:pStyle w:val="Bibliography"/>
                        <w:ind w:left="720" w:hanging="720"/>
                        <w:rPr>
                          <w:noProof/>
                          <w:lang w:val="en-US"/>
                        </w:rPr>
                      </w:pPr>
                      <w:r>
                        <w:rPr>
                          <w:noProof/>
                          <w:lang w:val="en-US"/>
                        </w:rPr>
                        <w:t xml:space="preserve">Regional Telecommunications Independent Review Committee (2015). </w:t>
                      </w:r>
                      <w:r>
                        <w:rPr>
                          <w:i/>
                          <w:iCs/>
                          <w:noProof/>
                          <w:lang w:val="en-US"/>
                        </w:rPr>
                        <w:t>Regional Telecommunications Review.</w:t>
                      </w:r>
                      <w:r>
                        <w:rPr>
                          <w:noProof/>
                          <w:lang w:val="en-US"/>
                        </w:rPr>
                        <w:t xml:space="preserve"> Canberra: Commonwealth of Australia.</w:t>
                      </w:r>
                    </w:p>
                    <w:p w:rsidR="0045334A" w:rsidRDefault="0045334A" w:rsidP="0045334A">
                      <w:pPr>
                        <w:pStyle w:val="Bibliography"/>
                        <w:ind w:left="720" w:hanging="720"/>
                        <w:rPr>
                          <w:noProof/>
                          <w:lang w:val="en-US"/>
                        </w:rPr>
                      </w:pPr>
                      <w:r>
                        <w:rPr>
                          <w:noProof/>
                          <w:lang w:val="en-US"/>
                        </w:rPr>
                        <w:t xml:space="preserve">RTIRC - </w:t>
                      </w:r>
                      <w:r>
                        <w:rPr>
                          <w:i/>
                          <w:noProof/>
                          <w:lang w:val="en-US"/>
                        </w:rPr>
                        <w:t xml:space="preserve">see </w:t>
                      </w:r>
                      <w:r>
                        <w:rPr>
                          <w:noProof/>
                          <w:lang w:val="en-US"/>
                        </w:rPr>
                        <w:t xml:space="preserve">Regional Telecommunications Independent Review Committee </w:t>
                      </w:r>
                    </w:p>
                    <w:p w:rsidR="00BC15DE" w:rsidRDefault="00BC15DE" w:rsidP="0045334A">
                      <w:pPr>
                        <w:pStyle w:val="Bibliography"/>
                        <w:ind w:left="720" w:hanging="720"/>
                        <w:rPr>
                          <w:noProof/>
                          <w:lang w:val="en-US"/>
                        </w:rPr>
                      </w:pPr>
                    </w:p>
                    <w:p w:rsidR="00BC15DE" w:rsidRDefault="00BC15DE" w:rsidP="00BC15DE">
                      <w:pPr>
                        <w:pStyle w:val="Bibliography"/>
                        <w:ind w:left="720" w:hanging="720"/>
                        <w:rPr>
                          <w:noProof/>
                          <w:lang w:val="en-US"/>
                        </w:rPr>
                      </w:pPr>
                      <w:r>
                        <w:rPr>
                          <w:noProof/>
                          <w:lang w:val="en-US"/>
                        </w:rPr>
                        <w:lastRenderedPageBreak/>
                        <w:t xml:space="preserve">SACOSS - </w:t>
                      </w:r>
                      <w:r w:rsidRPr="00BC15DE">
                        <w:rPr>
                          <w:i/>
                          <w:noProof/>
                          <w:lang w:val="en-US"/>
                        </w:rPr>
                        <w:t xml:space="preserve">see </w:t>
                      </w:r>
                      <w:r>
                        <w:rPr>
                          <w:noProof/>
                          <w:lang w:val="en-US"/>
                        </w:rPr>
                        <w:t xml:space="preserve">South Australian Council of Social </w:t>
                      </w:r>
                      <w:r w:rsidR="0005031A">
                        <w:rPr>
                          <w:noProof/>
                          <w:lang w:val="en-US"/>
                        </w:rPr>
                        <w:t>Service</w:t>
                      </w:r>
                    </w:p>
                    <w:p w:rsidR="0045334A" w:rsidRDefault="0045334A" w:rsidP="0045334A">
                      <w:pPr>
                        <w:pStyle w:val="Bibliography"/>
                        <w:ind w:left="720" w:hanging="720"/>
                        <w:rPr>
                          <w:noProof/>
                          <w:lang w:val="en-US"/>
                        </w:rPr>
                      </w:pPr>
                      <w:r>
                        <w:rPr>
                          <w:noProof/>
                          <w:lang w:val="en-US"/>
                        </w:rPr>
                        <w:t xml:space="preserve">Saunders, P., &amp; Wong, M. (2012). </w:t>
                      </w:r>
                      <w:r>
                        <w:rPr>
                          <w:i/>
                          <w:iCs/>
                          <w:noProof/>
                          <w:lang w:val="en-US"/>
                        </w:rPr>
                        <w:t>Promoting Inclusion and Combating Deprivation: Recent Changes in Social Disadvantage in Australia.</w:t>
                      </w:r>
                      <w:r>
                        <w:rPr>
                          <w:noProof/>
                          <w:lang w:val="en-US"/>
                        </w:rPr>
                        <w:t xml:space="preserve"> Sydney: Social Policy Research Centre, University of New South Wales.</w:t>
                      </w:r>
                    </w:p>
                    <w:p w:rsidR="00793387" w:rsidRDefault="00793387" w:rsidP="00793387">
                      <w:pPr>
                        <w:pStyle w:val="Bibliography"/>
                        <w:ind w:left="720" w:hanging="720"/>
                        <w:rPr>
                          <w:noProof/>
                          <w:lang w:val="en-US"/>
                        </w:rPr>
                      </w:pPr>
                      <w:r>
                        <w:rPr>
                          <w:noProof/>
                          <w:lang w:val="en-US"/>
                        </w:rPr>
                        <w:t xml:space="preserve">South Australian Council of Social Service (2015). </w:t>
                      </w:r>
                      <w:r>
                        <w:rPr>
                          <w:i/>
                          <w:iCs/>
                          <w:noProof/>
                          <w:lang w:val="en-US"/>
                        </w:rPr>
                        <w:t>Cost of Living Update No.22 .</w:t>
                      </w:r>
                      <w:r>
                        <w:rPr>
                          <w:noProof/>
                          <w:lang w:val="en-US"/>
                        </w:rPr>
                        <w:t xml:space="preserve"> Adelaide: South Australian Council of Social Service.</w:t>
                      </w:r>
                    </w:p>
                    <w:p w:rsidR="00793387" w:rsidRDefault="00793387" w:rsidP="00793387">
                      <w:pPr>
                        <w:pStyle w:val="Bibliography"/>
                        <w:ind w:left="720" w:hanging="720"/>
                        <w:rPr>
                          <w:noProof/>
                          <w:lang w:val="en-US"/>
                        </w:rPr>
                      </w:pPr>
                      <w:r>
                        <w:rPr>
                          <w:noProof/>
                          <w:lang w:val="en-US"/>
                        </w:rPr>
                        <w:t xml:space="preserve">South Australian Council of Social Service (2016). </w:t>
                      </w:r>
                      <w:r>
                        <w:rPr>
                          <w:i/>
                          <w:iCs/>
                          <w:noProof/>
                          <w:lang w:val="en-US"/>
                        </w:rPr>
                        <w:t>Cost of Living Update No.27.</w:t>
                      </w:r>
                      <w:r>
                        <w:rPr>
                          <w:noProof/>
                          <w:lang w:val="en-US"/>
                        </w:rPr>
                        <w:t xml:space="preserve"> Adelaide: South Australian Council of Social Service.</w:t>
                      </w:r>
                    </w:p>
                    <w:p w:rsidR="0045334A" w:rsidRDefault="0045334A" w:rsidP="0045334A">
                      <w:pPr>
                        <w:pStyle w:val="Bibliography"/>
                        <w:ind w:left="720" w:hanging="720"/>
                        <w:rPr>
                          <w:noProof/>
                          <w:lang w:val="en-US"/>
                        </w:rPr>
                      </w:pPr>
                      <w:r>
                        <w:rPr>
                          <w:noProof/>
                          <w:lang w:val="en-US"/>
                        </w:rPr>
                        <w:t xml:space="preserve">Swinburne Institute for Social Research, Centre for Social Impact, Telstra Corporation Ltd. (2015). </w:t>
                      </w:r>
                      <w:r>
                        <w:rPr>
                          <w:i/>
                          <w:iCs/>
                          <w:noProof/>
                          <w:lang w:val="en-US"/>
                        </w:rPr>
                        <w:t>Australian Digital Inclusion Index: Discussion Paper.</w:t>
                      </w:r>
                      <w:r>
                        <w:rPr>
                          <w:noProof/>
                          <w:lang w:val="en-US"/>
                        </w:rPr>
                        <w:t xml:space="preserve"> Melbourne.</w:t>
                      </w:r>
                    </w:p>
                    <w:p w:rsidR="0045334A" w:rsidRDefault="0045334A" w:rsidP="0045334A">
                      <w:pPr>
                        <w:pStyle w:val="Bibliography"/>
                        <w:ind w:left="720" w:hanging="720"/>
                        <w:rPr>
                          <w:noProof/>
                          <w:lang w:val="en-US"/>
                        </w:rPr>
                      </w:pPr>
                      <w:r>
                        <w:rPr>
                          <w:noProof/>
                          <w:lang w:val="en-US"/>
                        </w:rPr>
                        <w:t xml:space="preserve">Thomas, J., Barraket, J., Ewing, S., MacDonald, T., Mundell, M., &amp; Tucker, J. (2016). </w:t>
                      </w:r>
                      <w:r>
                        <w:rPr>
                          <w:i/>
                          <w:iCs/>
                          <w:noProof/>
                          <w:lang w:val="en-US"/>
                        </w:rPr>
                        <w:t>Measuring Australia's Digital Divide: The Australian Digital Inclusion Index.</w:t>
                      </w:r>
                      <w:r>
                        <w:rPr>
                          <w:noProof/>
                          <w:lang w:val="en-US"/>
                        </w:rPr>
                        <w:t xml:space="preserve"> Melbourne: Swinburne University of Technology, for Telstra.</w:t>
                      </w:r>
                    </w:p>
                    <w:p w:rsidR="0045334A" w:rsidRDefault="0045334A" w:rsidP="0045334A">
                      <w:pPr>
                        <w:pStyle w:val="Bibliography"/>
                        <w:ind w:left="720" w:hanging="720"/>
                        <w:rPr>
                          <w:noProof/>
                          <w:lang w:val="en-US"/>
                        </w:rPr>
                      </w:pPr>
                      <w:r>
                        <w:rPr>
                          <w:noProof/>
                          <w:lang w:val="en-US"/>
                        </w:rPr>
                        <w:t xml:space="preserve">Turnbull, M. (2015, September 15). </w:t>
                      </w:r>
                      <w:r>
                        <w:rPr>
                          <w:i/>
                          <w:iCs/>
                          <w:noProof/>
                          <w:lang w:val="en-US"/>
                        </w:rPr>
                        <w:t>Transcript: Vote on the Liberal Party Leadership.</w:t>
                      </w:r>
                      <w:r>
                        <w:rPr>
                          <w:noProof/>
                          <w:lang w:val="en-US"/>
                        </w:rPr>
                        <w:t xml:space="preserve"> Retrieved July 29, 2016, from http://www.malcolmturnbull.com.au/media/transcript-vote-on-the-liberal-party-leadership</w:t>
                      </w:r>
                    </w:p>
                    <w:p w:rsidR="0045334A" w:rsidRDefault="0045334A" w:rsidP="0045334A">
                      <w:pPr>
                        <w:pStyle w:val="Bibliography"/>
                        <w:ind w:left="720" w:hanging="720"/>
                        <w:rPr>
                          <w:noProof/>
                          <w:lang w:val="en-US"/>
                        </w:rPr>
                      </w:pPr>
                      <w:r>
                        <w:rPr>
                          <w:noProof/>
                          <w:lang w:val="en-US"/>
                        </w:rPr>
                        <w:t xml:space="preserve">Walton, A., Kop, T., Spriggs, D., &amp; Fitzgerald, B. (2013). A digital inclusion: Empowering all Australians. </w:t>
                      </w:r>
                      <w:r>
                        <w:rPr>
                          <w:i/>
                          <w:iCs/>
                          <w:noProof/>
                          <w:lang w:val="en-US"/>
                        </w:rPr>
                        <w:t>Australian Journal of Telecommunications and the Digital Economy,</w:t>
                      </w:r>
                      <w:r w:rsidRPr="00B944A8">
                        <w:rPr>
                          <w:iCs/>
                          <w:noProof/>
                          <w:lang w:val="en-US"/>
                        </w:rPr>
                        <w:t xml:space="preserve"> 1</w:t>
                      </w:r>
                      <w:r w:rsidRPr="00B944A8">
                        <w:rPr>
                          <w:noProof/>
                          <w:lang w:val="en-US"/>
                        </w:rPr>
                        <w:t>(1)</w:t>
                      </w:r>
                      <w:r>
                        <w:rPr>
                          <w:noProof/>
                          <w:lang w:val="en-US"/>
                        </w:rPr>
                        <w:t>.</w:t>
                      </w:r>
                    </w:p>
                    <w:p w:rsidR="0045334A" w:rsidRDefault="0045334A" w:rsidP="0045334A">
                      <w:pPr>
                        <w:pStyle w:val="Bibliography"/>
                        <w:ind w:left="720" w:hanging="720"/>
                        <w:rPr>
                          <w:noProof/>
                          <w:lang w:val="en-US"/>
                        </w:rPr>
                      </w:pPr>
                      <w:r>
                        <w:rPr>
                          <w:noProof/>
                          <w:lang w:val="en-US"/>
                        </w:rPr>
                        <w:t xml:space="preserve">Wise, S. (2013). </w:t>
                      </w:r>
                      <w:r>
                        <w:rPr>
                          <w:i/>
                          <w:iCs/>
                          <w:noProof/>
                          <w:lang w:val="en-US"/>
                        </w:rPr>
                        <w:t>Trying to connect: Telecommunications access and affordability among people experiencing financial hardship.</w:t>
                      </w:r>
                      <w:r>
                        <w:rPr>
                          <w:noProof/>
                          <w:lang w:val="en-US"/>
                        </w:rPr>
                        <w:t xml:space="preserve"> Melbourne: Anglicare.</w:t>
                      </w:r>
                    </w:p>
                    <w:p w:rsidR="002D3C4C" w:rsidRPr="004D5D33" w:rsidRDefault="0045334A" w:rsidP="000D79D7">
                      <w:pPr>
                        <w:pStyle w:val="Bibliography"/>
                      </w:pPr>
                      <w:r>
                        <w:rPr>
                          <w:b/>
                          <w:bCs/>
                          <w:noProof/>
                        </w:rPr>
                        <w:fldChar w:fldCharType="end"/>
                      </w:r>
                    </w:p>
                  </w:sdtContent>
                </w:sdt>
              </w:sdtContent>
            </w:sdt>
          </w:sdtContent>
        </w:sdt>
      </w:sdtContent>
    </w:sdt>
    <w:p w:rsidR="009C5808" w:rsidRDefault="009C5808" w:rsidP="00B11E1C"/>
    <w:p w:rsidR="00882ED9" w:rsidRDefault="00882ED9" w:rsidP="00B11E1C">
      <w:pPr>
        <w:sectPr w:rsidR="00882ED9" w:rsidSect="00BE561F">
          <w:headerReference w:type="even" r:id="rId46"/>
          <w:headerReference w:type="default" r:id="rId47"/>
          <w:footerReference w:type="default" r:id="rId48"/>
          <w:headerReference w:type="first" r:id="rId49"/>
          <w:pgSz w:w="11906" w:h="16838"/>
          <w:pgMar w:top="1701" w:right="1701" w:bottom="2698" w:left="1701" w:header="720" w:footer="933" w:gutter="0"/>
          <w:cols w:space="720"/>
          <w:docGrid w:linePitch="299"/>
        </w:sectPr>
      </w:pPr>
    </w:p>
    <w:p w:rsidR="00E86C52" w:rsidRDefault="00E86C52" w:rsidP="00373118"/>
    <w:sectPr w:rsidR="00E86C52" w:rsidSect="00BE561F">
      <w:headerReference w:type="default" r:id="rId50"/>
      <w:footerReference w:type="default" r:id="rId51"/>
      <w:headerReference w:type="first" r:id="rId52"/>
      <w:footerReference w:type="first" r:id="rId53"/>
      <w:pgSz w:w="11906" w:h="16838"/>
      <w:pgMar w:top="1701" w:right="1701" w:bottom="2698" w:left="1701" w:header="72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FF" w:rsidRDefault="00881CFF" w:rsidP="00B11E1C">
      <w:r>
        <w:separator/>
      </w:r>
    </w:p>
  </w:endnote>
  <w:endnote w:type="continuationSeparator" w:id="0">
    <w:p w:rsidR="00881CFF" w:rsidRDefault="00881CFF" w:rsidP="00B11E1C">
      <w:r>
        <w:continuationSeparator/>
      </w:r>
    </w:p>
  </w:endnote>
  <w:endnote w:type="continuationNotice" w:id="1">
    <w:p w:rsidR="00881CFF" w:rsidRDefault="00881C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s Gothic">
    <w:altName w:val="Times New Roman"/>
    <w:charset w:val="00"/>
    <w:family w:val="auto"/>
    <w:pitch w:val="variable"/>
    <w:sig w:usb0="00000001" w:usb1="4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SCI Q+ Akkurat">
    <w:altName w:val="Akkurat"/>
    <w:panose1 w:val="00000000000000000000"/>
    <w:charset w:val="00"/>
    <w:family w:val="swiss"/>
    <w:notTrueType/>
    <w:pitch w:val="default"/>
    <w:sig w:usb0="00000003" w:usb1="00000000" w:usb2="00000000" w:usb3="00000000" w:csb0="00000001" w:csb1="00000000"/>
  </w:font>
  <w:font w:name="Frutiger Next Pro">
    <w:altName w:val="Frutiger Next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FF" w:rsidRDefault="00881CFF" w:rsidP="00651F8B">
    <w:pPr>
      <w:pStyle w:val="Footer"/>
    </w:pPr>
    <w:r>
      <mc:AlternateContent>
        <mc:Choice Requires="wps">
          <w:drawing>
            <wp:anchor distT="0" distB="0" distL="114300" distR="114300" simplePos="0" relativeHeight="251664384" behindDoc="0" locked="0" layoutInCell="1" allowOverlap="1" wp14:anchorId="0B9A849A" wp14:editId="41DDBF05">
              <wp:simplePos x="0" y="0"/>
              <wp:positionH relativeFrom="column">
                <wp:posOffset>-1043559</wp:posOffset>
              </wp:positionH>
              <wp:positionV relativeFrom="paragraph">
                <wp:posOffset>-253670</wp:posOffset>
              </wp:positionV>
              <wp:extent cx="7513015" cy="105410"/>
              <wp:effectExtent l="0" t="0" r="0" b="8890"/>
              <wp:wrapNone/>
              <wp:docPr id="2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3015" cy="105410"/>
                      </a:xfrm>
                      <a:prstGeom prst="rect">
                        <a:avLst/>
                      </a:prstGeom>
                      <a:gradFill rotWithShape="1">
                        <a:gsLst>
                          <a:gs pos="0">
                            <a:srgbClr val="FFFFFF"/>
                          </a:gs>
                          <a:gs pos="50000">
                            <a:srgbClr val="44C8F5"/>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82.15pt;margin-top:-19.95pt;width:591.6pt;height: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" stroked="f">
              <v:fill color2="#44c8f5" rotate="t" angle="90" focus="50%" type="gradient"/>
            </v:rect>
          </w:pict>
        </mc:Fallback>
      </mc:AlternateContent>
    </w:r>
    <w:r>
      <mc:AlternateContent>
        <mc:Choice Requires="wps">
          <w:drawing>
            <wp:anchor distT="0" distB="0" distL="114300" distR="114300" simplePos="0" relativeHeight="251657216" behindDoc="0" locked="0" layoutInCell="1" allowOverlap="1" wp14:anchorId="72F5E9B2" wp14:editId="5F134B6C">
              <wp:simplePos x="0" y="0"/>
              <wp:positionH relativeFrom="column">
                <wp:posOffset>-1039495</wp:posOffset>
              </wp:positionH>
              <wp:positionV relativeFrom="paragraph">
                <wp:posOffset>-254635</wp:posOffset>
              </wp:positionV>
              <wp:extent cx="7505700" cy="105410"/>
              <wp:effectExtent l="0" t="0" r="0" b="8890"/>
              <wp:wrapNone/>
              <wp:docPr id="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105410"/>
                      </a:xfrm>
                      <a:prstGeom prst="rect">
                        <a:avLst/>
                      </a:prstGeom>
                      <a:gradFill rotWithShape="1">
                        <a:gsLst>
                          <a:gs pos="0">
                            <a:srgbClr val="FFFFFF"/>
                          </a:gs>
                          <a:gs pos="50000">
                            <a:srgbClr val="44C8F5"/>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81.85pt;margin-top:-20.05pt;width:591pt;height: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" stroked="f">
              <v:fill color2="#44c8f5" rotate="t" angle="90" focus="50%" type="gradient"/>
            </v:rect>
          </w:pict>
        </mc:Fallback>
      </mc:AlternateContent>
    </w:r>
    <w:r>
      <w:fldChar w:fldCharType="begin"/>
    </w:r>
    <w:r>
      <w:instrText xml:space="preserve"> PAGE   \* MERGEFORMAT </w:instrText>
    </w:r>
    <w:r>
      <w:fldChar w:fldCharType="separate"/>
    </w:r>
    <w: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FF" w:rsidRDefault="00881CFF" w:rsidP="00651F8B">
    <w:pPr>
      <w:pStyle w:val="Footer"/>
    </w:pPr>
    <w:r>
      <mc:AlternateContent>
        <mc:Choice Requires="wps">
          <w:drawing>
            <wp:anchor distT="0" distB="0" distL="114300" distR="114300" simplePos="0" relativeHeight="251666432" behindDoc="0" locked="0" layoutInCell="1" allowOverlap="1" wp14:anchorId="7E20BD63" wp14:editId="490E8469">
              <wp:simplePos x="0" y="0"/>
              <wp:positionH relativeFrom="column">
                <wp:posOffset>-1039495</wp:posOffset>
              </wp:positionH>
              <wp:positionV relativeFrom="paragraph">
                <wp:posOffset>-254635</wp:posOffset>
              </wp:positionV>
              <wp:extent cx="7505700" cy="105410"/>
              <wp:effectExtent l="2540" t="0" r="0" b="2540"/>
              <wp:wrapNone/>
              <wp:docPr id="2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105410"/>
                      </a:xfrm>
                      <a:prstGeom prst="rect">
                        <a:avLst/>
                      </a:prstGeom>
                      <a:gradFill rotWithShape="1">
                        <a:gsLst>
                          <a:gs pos="0">
                            <a:srgbClr val="FFFFFF"/>
                          </a:gs>
                          <a:gs pos="50000">
                            <a:srgbClr val="44C8F5"/>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81.85pt;margin-top:-20.05pt;width:591pt;height: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" stroked="f">
              <v:fill color2="#44c8f5" rotate="t" angle="90" focus="50%" type="gradient"/>
            </v:rect>
          </w:pict>
        </mc:Fallback>
      </mc:AlternateContent>
    </w:r>
    <w:r>
      <mc:AlternateContent>
        <mc:Choice Requires="wps">
          <w:drawing>
            <wp:anchor distT="0" distB="0" distL="114300" distR="114300" simplePos="0" relativeHeight="251660288" behindDoc="0" locked="0" layoutInCell="1" allowOverlap="1" wp14:anchorId="4CFA9D51" wp14:editId="4571F8DA">
              <wp:simplePos x="0" y="0"/>
              <wp:positionH relativeFrom="column">
                <wp:posOffset>-1039495</wp:posOffset>
              </wp:positionH>
              <wp:positionV relativeFrom="paragraph">
                <wp:posOffset>-254635</wp:posOffset>
              </wp:positionV>
              <wp:extent cx="7505700" cy="105410"/>
              <wp:effectExtent l="0" t="0" r="0" b="8890"/>
              <wp:wrapNone/>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105410"/>
                      </a:xfrm>
                      <a:prstGeom prst="rect">
                        <a:avLst/>
                      </a:prstGeom>
                      <a:gradFill rotWithShape="1">
                        <a:gsLst>
                          <a:gs pos="0">
                            <a:srgbClr val="FFFFFF"/>
                          </a:gs>
                          <a:gs pos="50000">
                            <a:srgbClr val="44C8F5"/>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81.85pt;margin-top:-20.05pt;width:591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" stroked="f">
              <v:fill color2="#44c8f5" rotate="t" angle="90" focus="50%" type="gradient"/>
            </v:rect>
          </w:pict>
        </mc:Fallback>
      </mc:AlternateContent>
    </w:r>
    <w:r>
      <w:fldChar w:fldCharType="begin"/>
    </w:r>
    <w:r>
      <w:instrText xml:space="preserve"> PAGE   \* MERGEFORMAT </w:instrText>
    </w:r>
    <w:r>
      <w:fldChar w:fldCharType="separate"/>
    </w:r>
    <w:r w:rsidR="00B34E8A">
      <w:t>60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FF" w:rsidRPr="009C5808" w:rsidRDefault="00881CFF" w:rsidP="00651F8B">
    <w:pPr>
      <w:pStyle w:val="Foote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FF" w:rsidRDefault="00881CFF" w:rsidP="00651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FF" w:rsidRDefault="00881CFF" w:rsidP="00B11E1C">
      <w:r>
        <w:separator/>
      </w:r>
    </w:p>
  </w:footnote>
  <w:footnote w:type="continuationSeparator" w:id="0">
    <w:p w:rsidR="00881CFF" w:rsidRDefault="00881CFF" w:rsidP="00B11E1C">
      <w:r>
        <w:continuationSeparator/>
      </w:r>
    </w:p>
  </w:footnote>
  <w:footnote w:type="continuationNotice" w:id="1">
    <w:p w:rsidR="00881CFF" w:rsidRDefault="00881CFF">
      <w:pPr>
        <w:spacing w:after="0" w:line="240" w:lineRule="auto"/>
      </w:pPr>
    </w:p>
  </w:footnote>
  <w:footnote w:id="2">
    <w:p w:rsidR="00881CFF" w:rsidRDefault="00881CFF" w:rsidP="003B57DF">
      <w:pPr>
        <w:pStyle w:val="FootnoteText"/>
      </w:pPr>
      <w:r>
        <w:rPr>
          <w:rStyle w:val="FootnoteReference"/>
        </w:rPr>
        <w:footnoteRef/>
      </w:r>
      <w:r>
        <w:t xml:space="preserve"> Translated for participant by an interpreter in attendance at the focus group session</w:t>
      </w:r>
    </w:p>
  </w:footnote>
  <w:footnote w:id="3">
    <w:p w:rsidR="00881CFF" w:rsidRDefault="00881CFF" w:rsidP="00C25E6D">
      <w:pPr>
        <w:pStyle w:val="FootnoteText"/>
        <w:ind w:left="720" w:hanging="720"/>
      </w:pPr>
      <w:r>
        <w:rPr>
          <w:rStyle w:val="FootnoteReference"/>
        </w:rPr>
        <w:footnoteRef/>
      </w:r>
      <w:r>
        <w:t xml:space="preserve"> </w:t>
      </w:r>
      <w:r>
        <w:tab/>
        <w:t xml:space="preserve">The case is different for other supplementary allowances such as the Commonwealth Rent Allowance, which is limited to those with particular significant expenses that others on the same income support payment don’t have. </w:t>
      </w:r>
    </w:p>
  </w:footnote>
  <w:footnote w:id="4">
    <w:p w:rsidR="00881CFF" w:rsidRDefault="00881CFF" w:rsidP="000C12BC">
      <w:pPr>
        <w:pStyle w:val="FootnoteText"/>
        <w:ind w:left="720" w:hanging="720"/>
      </w:pPr>
      <w:r>
        <w:rPr>
          <w:rStyle w:val="FootnoteReference"/>
        </w:rPr>
        <w:footnoteRef/>
      </w:r>
      <w:r>
        <w:t xml:space="preserve"> </w:t>
      </w:r>
      <w:r>
        <w:tab/>
        <w:t>The rating of 39.4 equates to a value of 0.7GB per dollar, while an ADII score of 63.8 equates to approximately 3.4GB per dollar (using a straight proportion of 60-80 index range where value was 2.61-6.8GB per dollar).</w:t>
      </w:r>
    </w:p>
  </w:footnote>
  <w:footnote w:id="5">
    <w:p w:rsidR="00881CFF" w:rsidRDefault="00881CFF" w:rsidP="009B157C">
      <w:pPr>
        <w:pStyle w:val="FootnoteText"/>
        <w:ind w:left="720" w:hanging="720"/>
      </w:pPr>
      <w:r>
        <w:rPr>
          <w:rStyle w:val="FootnoteReference"/>
        </w:rPr>
        <w:footnoteRef/>
      </w:r>
      <w:r>
        <w:t xml:space="preserve"> </w:t>
      </w:r>
      <w:r>
        <w:tab/>
        <w:t>Section 6.5.5 actually lists a range of spend management tools which are about more than information provision, but there is only an obligation to supply one of the list, so suppliers can default to the easy information provision option.</w:t>
      </w:r>
    </w:p>
  </w:footnote>
  <w:footnote w:id="6">
    <w:p w:rsidR="00881CFF" w:rsidRDefault="00881CFF" w:rsidP="00300583">
      <w:pPr>
        <w:pStyle w:val="FootnoteText"/>
      </w:pPr>
      <w:r>
        <w:rPr>
          <w:rStyle w:val="FootnoteReference"/>
        </w:rPr>
        <w:footnoteRef/>
      </w:r>
      <w:r>
        <w:t xml:space="preserve"> </w:t>
      </w:r>
      <w:proofErr w:type="gramStart"/>
      <w:r>
        <w:t>Translated for participant by an interpreter in attendance at the focus group session.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FF" w:rsidRDefault="00881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FF" w:rsidRDefault="00881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FF" w:rsidRDefault="00881C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FF" w:rsidRPr="00E86C52" w:rsidRDefault="00881CFF" w:rsidP="00E86C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FF" w:rsidRDefault="00881CFF" w:rsidP="00B11E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FE6"/>
    <w:multiLevelType w:val="multilevel"/>
    <w:tmpl w:val="3A7C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30D8C"/>
    <w:multiLevelType w:val="hybridMultilevel"/>
    <w:tmpl w:val="D5AA8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275E2A"/>
    <w:multiLevelType w:val="hybridMultilevel"/>
    <w:tmpl w:val="0298DD38"/>
    <w:lvl w:ilvl="0" w:tplc="0F4E7B3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0434769"/>
    <w:multiLevelType w:val="hybridMultilevel"/>
    <w:tmpl w:val="ADE48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302928"/>
    <w:multiLevelType w:val="hybridMultilevel"/>
    <w:tmpl w:val="3B2C90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0843AED"/>
    <w:multiLevelType w:val="multilevel"/>
    <w:tmpl w:val="C000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74D2E"/>
    <w:multiLevelType w:val="hybridMultilevel"/>
    <w:tmpl w:val="41B89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581A19"/>
    <w:multiLevelType w:val="hybridMultilevel"/>
    <w:tmpl w:val="CA4EC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13D5FD8"/>
    <w:multiLevelType w:val="hybridMultilevel"/>
    <w:tmpl w:val="362A7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B44C56"/>
    <w:multiLevelType w:val="hybridMultilevel"/>
    <w:tmpl w:val="6FC67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E400989"/>
    <w:multiLevelType w:val="hybridMultilevel"/>
    <w:tmpl w:val="50264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282C40"/>
    <w:multiLevelType w:val="multilevel"/>
    <w:tmpl w:val="8DA2E950"/>
    <w:lvl w:ilvl="0">
      <w:start w:val="1"/>
      <w:numFmt w:val="bullet"/>
      <w:pStyle w:val="BullitTEX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BB8411D"/>
    <w:multiLevelType w:val="multilevel"/>
    <w:tmpl w:val="55F8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4055A8"/>
    <w:multiLevelType w:val="hybridMultilevel"/>
    <w:tmpl w:val="ACCA3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61B30BA"/>
    <w:multiLevelType w:val="hybridMultilevel"/>
    <w:tmpl w:val="D7F69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9A04D56"/>
    <w:multiLevelType w:val="hybridMultilevel"/>
    <w:tmpl w:val="471453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FBB0BEF"/>
    <w:multiLevelType w:val="hybridMultilevel"/>
    <w:tmpl w:val="0C28B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3"/>
  </w:num>
  <w:num w:numId="5">
    <w:abstractNumId w:val="5"/>
  </w:num>
  <w:num w:numId="6">
    <w:abstractNumId w:val="0"/>
  </w:num>
  <w:num w:numId="7">
    <w:abstractNumId w:val="12"/>
  </w:num>
  <w:num w:numId="8">
    <w:abstractNumId w:val="4"/>
  </w:num>
  <w:num w:numId="9">
    <w:abstractNumId w:val="16"/>
  </w:num>
  <w:num w:numId="10">
    <w:abstractNumId w:val="13"/>
  </w:num>
  <w:num w:numId="11">
    <w:abstractNumId w:val="8"/>
  </w:num>
  <w:num w:numId="12">
    <w:abstractNumId w:val="7"/>
  </w:num>
  <w:num w:numId="13">
    <w:abstractNumId w:val="1"/>
  </w:num>
  <w:num w:numId="14">
    <w:abstractNumId w:val="6"/>
  </w:num>
  <w:num w:numId="15">
    <w:abstractNumId w:val="2"/>
  </w:num>
  <w:num w:numId="16">
    <w:abstractNumId w:val="9"/>
  </w:num>
  <w:num w:numId="17">
    <w:abstractNumId w:val="1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w15:presenceInfo w15:providerId="None" w15:userId="Gre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mirrorMargin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o:colormru v:ext="edit" colors="#acd5e2,#59636d,#bbd128,#c3d426,#c7d739,#ccda38,maroon"/>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B3158A"/>
    <w:rsid w:val="00000BEE"/>
    <w:rsid w:val="0000220E"/>
    <w:rsid w:val="000045FB"/>
    <w:rsid w:val="000067C4"/>
    <w:rsid w:val="00014581"/>
    <w:rsid w:val="00017691"/>
    <w:rsid w:val="00020388"/>
    <w:rsid w:val="00020422"/>
    <w:rsid w:val="00021460"/>
    <w:rsid w:val="00025D90"/>
    <w:rsid w:val="00025E49"/>
    <w:rsid w:val="00027819"/>
    <w:rsid w:val="00031D7C"/>
    <w:rsid w:val="000334D1"/>
    <w:rsid w:val="00034295"/>
    <w:rsid w:val="000364E8"/>
    <w:rsid w:val="0003688B"/>
    <w:rsid w:val="00036946"/>
    <w:rsid w:val="00037290"/>
    <w:rsid w:val="000379C0"/>
    <w:rsid w:val="00040BF7"/>
    <w:rsid w:val="00040E3A"/>
    <w:rsid w:val="0004483D"/>
    <w:rsid w:val="00046256"/>
    <w:rsid w:val="0004696B"/>
    <w:rsid w:val="0005031A"/>
    <w:rsid w:val="000516A4"/>
    <w:rsid w:val="00051C91"/>
    <w:rsid w:val="00055338"/>
    <w:rsid w:val="00057A41"/>
    <w:rsid w:val="000624BF"/>
    <w:rsid w:val="00065E7C"/>
    <w:rsid w:val="00066808"/>
    <w:rsid w:val="000679DC"/>
    <w:rsid w:val="00067FE6"/>
    <w:rsid w:val="00072730"/>
    <w:rsid w:val="00073E35"/>
    <w:rsid w:val="000740B2"/>
    <w:rsid w:val="00076CF1"/>
    <w:rsid w:val="000772A2"/>
    <w:rsid w:val="000803DA"/>
    <w:rsid w:val="0008054C"/>
    <w:rsid w:val="000814AC"/>
    <w:rsid w:val="00082CE8"/>
    <w:rsid w:val="000846DE"/>
    <w:rsid w:val="00085219"/>
    <w:rsid w:val="00085A5F"/>
    <w:rsid w:val="000875F5"/>
    <w:rsid w:val="0009006C"/>
    <w:rsid w:val="00092B59"/>
    <w:rsid w:val="00094194"/>
    <w:rsid w:val="00094F9F"/>
    <w:rsid w:val="00097E3C"/>
    <w:rsid w:val="000A15FD"/>
    <w:rsid w:val="000A2CC8"/>
    <w:rsid w:val="000A3AD0"/>
    <w:rsid w:val="000A3D2A"/>
    <w:rsid w:val="000A4F7A"/>
    <w:rsid w:val="000A50ED"/>
    <w:rsid w:val="000A615A"/>
    <w:rsid w:val="000A6646"/>
    <w:rsid w:val="000B1944"/>
    <w:rsid w:val="000B20CA"/>
    <w:rsid w:val="000B2713"/>
    <w:rsid w:val="000B36E0"/>
    <w:rsid w:val="000B5059"/>
    <w:rsid w:val="000B5448"/>
    <w:rsid w:val="000B7839"/>
    <w:rsid w:val="000C08DD"/>
    <w:rsid w:val="000C12BC"/>
    <w:rsid w:val="000C1BEE"/>
    <w:rsid w:val="000C20F6"/>
    <w:rsid w:val="000C3992"/>
    <w:rsid w:val="000C53B9"/>
    <w:rsid w:val="000C5F1C"/>
    <w:rsid w:val="000C65BA"/>
    <w:rsid w:val="000C7F29"/>
    <w:rsid w:val="000D0721"/>
    <w:rsid w:val="000D11C8"/>
    <w:rsid w:val="000D17BC"/>
    <w:rsid w:val="000D1D7A"/>
    <w:rsid w:val="000D33C7"/>
    <w:rsid w:val="000D360E"/>
    <w:rsid w:val="000D6EFB"/>
    <w:rsid w:val="000D79D7"/>
    <w:rsid w:val="000E07DC"/>
    <w:rsid w:val="000E0FD3"/>
    <w:rsid w:val="000E1659"/>
    <w:rsid w:val="000E1693"/>
    <w:rsid w:val="000E4C0D"/>
    <w:rsid w:val="000E51BD"/>
    <w:rsid w:val="000E53E0"/>
    <w:rsid w:val="000E5626"/>
    <w:rsid w:val="000E6255"/>
    <w:rsid w:val="000F4DFA"/>
    <w:rsid w:val="00100668"/>
    <w:rsid w:val="0010212E"/>
    <w:rsid w:val="001028D6"/>
    <w:rsid w:val="00102B3F"/>
    <w:rsid w:val="0010342A"/>
    <w:rsid w:val="00103EF7"/>
    <w:rsid w:val="00104F91"/>
    <w:rsid w:val="00105712"/>
    <w:rsid w:val="00105BDB"/>
    <w:rsid w:val="001061D3"/>
    <w:rsid w:val="00106A04"/>
    <w:rsid w:val="00114C26"/>
    <w:rsid w:val="00116701"/>
    <w:rsid w:val="00116F43"/>
    <w:rsid w:val="0012012B"/>
    <w:rsid w:val="00121E21"/>
    <w:rsid w:val="00124122"/>
    <w:rsid w:val="0012724F"/>
    <w:rsid w:val="00130C6E"/>
    <w:rsid w:val="001315DE"/>
    <w:rsid w:val="001319B4"/>
    <w:rsid w:val="00132A0F"/>
    <w:rsid w:val="00134675"/>
    <w:rsid w:val="00136C8D"/>
    <w:rsid w:val="00140828"/>
    <w:rsid w:val="00141F69"/>
    <w:rsid w:val="00146963"/>
    <w:rsid w:val="00147FDE"/>
    <w:rsid w:val="001507D4"/>
    <w:rsid w:val="00155C30"/>
    <w:rsid w:val="001572D1"/>
    <w:rsid w:val="00161DA0"/>
    <w:rsid w:val="00164647"/>
    <w:rsid w:val="00164709"/>
    <w:rsid w:val="00164E09"/>
    <w:rsid w:val="00170906"/>
    <w:rsid w:val="00170A2C"/>
    <w:rsid w:val="00170B52"/>
    <w:rsid w:val="001764B7"/>
    <w:rsid w:val="001772BF"/>
    <w:rsid w:val="00177D02"/>
    <w:rsid w:val="0018380B"/>
    <w:rsid w:val="001850DB"/>
    <w:rsid w:val="00185176"/>
    <w:rsid w:val="00187044"/>
    <w:rsid w:val="001876C7"/>
    <w:rsid w:val="00190A80"/>
    <w:rsid w:val="00190BE2"/>
    <w:rsid w:val="001961B1"/>
    <w:rsid w:val="001971B3"/>
    <w:rsid w:val="001A2F44"/>
    <w:rsid w:val="001A4579"/>
    <w:rsid w:val="001A7268"/>
    <w:rsid w:val="001B0BB1"/>
    <w:rsid w:val="001B2255"/>
    <w:rsid w:val="001B2845"/>
    <w:rsid w:val="001B44F2"/>
    <w:rsid w:val="001B5447"/>
    <w:rsid w:val="001B57DE"/>
    <w:rsid w:val="001B6F2E"/>
    <w:rsid w:val="001B7179"/>
    <w:rsid w:val="001B7D31"/>
    <w:rsid w:val="001C10AE"/>
    <w:rsid w:val="001C25EB"/>
    <w:rsid w:val="001C51DB"/>
    <w:rsid w:val="001C56D2"/>
    <w:rsid w:val="001C6D48"/>
    <w:rsid w:val="001C7FFA"/>
    <w:rsid w:val="001D0112"/>
    <w:rsid w:val="001D0F58"/>
    <w:rsid w:val="001D1D8B"/>
    <w:rsid w:val="001D21A9"/>
    <w:rsid w:val="001D574C"/>
    <w:rsid w:val="001D703F"/>
    <w:rsid w:val="001D7E08"/>
    <w:rsid w:val="001D7E56"/>
    <w:rsid w:val="001E07E2"/>
    <w:rsid w:val="001E464C"/>
    <w:rsid w:val="001E5315"/>
    <w:rsid w:val="001E5F54"/>
    <w:rsid w:val="001E6076"/>
    <w:rsid w:val="001E608D"/>
    <w:rsid w:val="001E781C"/>
    <w:rsid w:val="001F0015"/>
    <w:rsid w:val="001F247C"/>
    <w:rsid w:val="001F290A"/>
    <w:rsid w:val="001F4114"/>
    <w:rsid w:val="001F425C"/>
    <w:rsid w:val="001F4D13"/>
    <w:rsid w:val="001F5AEA"/>
    <w:rsid w:val="001F68E5"/>
    <w:rsid w:val="001F7828"/>
    <w:rsid w:val="002001D8"/>
    <w:rsid w:val="00200BA5"/>
    <w:rsid w:val="00215B35"/>
    <w:rsid w:val="00215D99"/>
    <w:rsid w:val="002226CF"/>
    <w:rsid w:val="00224CFA"/>
    <w:rsid w:val="002262C0"/>
    <w:rsid w:val="00230AB2"/>
    <w:rsid w:val="00231ADB"/>
    <w:rsid w:val="00233D95"/>
    <w:rsid w:val="00235BE6"/>
    <w:rsid w:val="00237A55"/>
    <w:rsid w:val="00240AA7"/>
    <w:rsid w:val="00242300"/>
    <w:rsid w:val="0024299D"/>
    <w:rsid w:val="00242B75"/>
    <w:rsid w:val="00244050"/>
    <w:rsid w:val="00244304"/>
    <w:rsid w:val="0024614D"/>
    <w:rsid w:val="002471E7"/>
    <w:rsid w:val="00247C7A"/>
    <w:rsid w:val="002509A0"/>
    <w:rsid w:val="002536F5"/>
    <w:rsid w:val="00254CB6"/>
    <w:rsid w:val="00254EFB"/>
    <w:rsid w:val="00257030"/>
    <w:rsid w:val="00257BB4"/>
    <w:rsid w:val="00257DAE"/>
    <w:rsid w:val="00262658"/>
    <w:rsid w:val="002644B7"/>
    <w:rsid w:val="002663BD"/>
    <w:rsid w:val="00266674"/>
    <w:rsid w:val="00270ACA"/>
    <w:rsid w:val="00270F2B"/>
    <w:rsid w:val="0027163C"/>
    <w:rsid w:val="00273E6A"/>
    <w:rsid w:val="0027513E"/>
    <w:rsid w:val="00275150"/>
    <w:rsid w:val="002757F5"/>
    <w:rsid w:val="00276C70"/>
    <w:rsid w:val="002808EF"/>
    <w:rsid w:val="00280FA0"/>
    <w:rsid w:val="00281F33"/>
    <w:rsid w:val="00286C1E"/>
    <w:rsid w:val="0028790D"/>
    <w:rsid w:val="0029121A"/>
    <w:rsid w:val="00293AD3"/>
    <w:rsid w:val="002A06C3"/>
    <w:rsid w:val="002A1B73"/>
    <w:rsid w:val="002A1BE2"/>
    <w:rsid w:val="002A4014"/>
    <w:rsid w:val="002A431F"/>
    <w:rsid w:val="002A6DAC"/>
    <w:rsid w:val="002B2463"/>
    <w:rsid w:val="002B299C"/>
    <w:rsid w:val="002B31D2"/>
    <w:rsid w:val="002B37CF"/>
    <w:rsid w:val="002B4265"/>
    <w:rsid w:val="002B6E1F"/>
    <w:rsid w:val="002B703B"/>
    <w:rsid w:val="002C0411"/>
    <w:rsid w:val="002C0F03"/>
    <w:rsid w:val="002C24AB"/>
    <w:rsid w:val="002C5480"/>
    <w:rsid w:val="002C590B"/>
    <w:rsid w:val="002C6E8C"/>
    <w:rsid w:val="002C75FF"/>
    <w:rsid w:val="002D077A"/>
    <w:rsid w:val="002D3C4C"/>
    <w:rsid w:val="002E0170"/>
    <w:rsid w:val="002E08D9"/>
    <w:rsid w:val="002E13EA"/>
    <w:rsid w:val="002E1AD5"/>
    <w:rsid w:val="002E6395"/>
    <w:rsid w:val="002E687A"/>
    <w:rsid w:val="002F153A"/>
    <w:rsid w:val="002F2570"/>
    <w:rsid w:val="002F3167"/>
    <w:rsid w:val="002F5F01"/>
    <w:rsid w:val="002F60EE"/>
    <w:rsid w:val="002F6616"/>
    <w:rsid w:val="002F6C75"/>
    <w:rsid w:val="00300583"/>
    <w:rsid w:val="00300F3C"/>
    <w:rsid w:val="00305B0E"/>
    <w:rsid w:val="0030619B"/>
    <w:rsid w:val="0030630B"/>
    <w:rsid w:val="00306A88"/>
    <w:rsid w:val="003072FB"/>
    <w:rsid w:val="00310401"/>
    <w:rsid w:val="003117A2"/>
    <w:rsid w:val="003118D9"/>
    <w:rsid w:val="00313F18"/>
    <w:rsid w:val="00314FFE"/>
    <w:rsid w:val="003159FA"/>
    <w:rsid w:val="003207E8"/>
    <w:rsid w:val="003230CA"/>
    <w:rsid w:val="00326B53"/>
    <w:rsid w:val="00326CAE"/>
    <w:rsid w:val="00333146"/>
    <w:rsid w:val="003345DB"/>
    <w:rsid w:val="00337C86"/>
    <w:rsid w:val="003446A7"/>
    <w:rsid w:val="0034482E"/>
    <w:rsid w:val="00344F66"/>
    <w:rsid w:val="00346CB5"/>
    <w:rsid w:val="003507D3"/>
    <w:rsid w:val="0035343A"/>
    <w:rsid w:val="003536D8"/>
    <w:rsid w:val="00361411"/>
    <w:rsid w:val="00361AC7"/>
    <w:rsid w:val="00362C6A"/>
    <w:rsid w:val="00363BA6"/>
    <w:rsid w:val="00363C19"/>
    <w:rsid w:val="00363C66"/>
    <w:rsid w:val="00363EBC"/>
    <w:rsid w:val="00364C12"/>
    <w:rsid w:val="003703D7"/>
    <w:rsid w:val="00370CE2"/>
    <w:rsid w:val="00373118"/>
    <w:rsid w:val="003767B0"/>
    <w:rsid w:val="00382E15"/>
    <w:rsid w:val="00383B4D"/>
    <w:rsid w:val="00384985"/>
    <w:rsid w:val="00387CB7"/>
    <w:rsid w:val="0039026C"/>
    <w:rsid w:val="003905D3"/>
    <w:rsid w:val="00392280"/>
    <w:rsid w:val="00394E24"/>
    <w:rsid w:val="003966BB"/>
    <w:rsid w:val="00397A97"/>
    <w:rsid w:val="003A1044"/>
    <w:rsid w:val="003A2183"/>
    <w:rsid w:val="003A46DB"/>
    <w:rsid w:val="003A489B"/>
    <w:rsid w:val="003A4944"/>
    <w:rsid w:val="003B000C"/>
    <w:rsid w:val="003B1255"/>
    <w:rsid w:val="003B3BB4"/>
    <w:rsid w:val="003B3FC8"/>
    <w:rsid w:val="003B52AA"/>
    <w:rsid w:val="003B57DF"/>
    <w:rsid w:val="003B7131"/>
    <w:rsid w:val="003C3906"/>
    <w:rsid w:val="003C393A"/>
    <w:rsid w:val="003C64A7"/>
    <w:rsid w:val="003D74EA"/>
    <w:rsid w:val="003D7F73"/>
    <w:rsid w:val="003E1B89"/>
    <w:rsid w:val="003E2B65"/>
    <w:rsid w:val="003E3B94"/>
    <w:rsid w:val="003E4D96"/>
    <w:rsid w:val="003E5ABA"/>
    <w:rsid w:val="003E69D2"/>
    <w:rsid w:val="003E6AAF"/>
    <w:rsid w:val="003E7216"/>
    <w:rsid w:val="003F04A1"/>
    <w:rsid w:val="003F0FA3"/>
    <w:rsid w:val="003F37A3"/>
    <w:rsid w:val="003F48D1"/>
    <w:rsid w:val="003F527E"/>
    <w:rsid w:val="003F68DE"/>
    <w:rsid w:val="003F6919"/>
    <w:rsid w:val="003F6BDC"/>
    <w:rsid w:val="00400390"/>
    <w:rsid w:val="0040419F"/>
    <w:rsid w:val="00405392"/>
    <w:rsid w:val="004100E3"/>
    <w:rsid w:val="0041038D"/>
    <w:rsid w:val="00411F81"/>
    <w:rsid w:val="00413D05"/>
    <w:rsid w:val="00414485"/>
    <w:rsid w:val="004168C0"/>
    <w:rsid w:val="00417AD6"/>
    <w:rsid w:val="00420D13"/>
    <w:rsid w:val="00422987"/>
    <w:rsid w:val="00423E7D"/>
    <w:rsid w:val="00424D66"/>
    <w:rsid w:val="004261D7"/>
    <w:rsid w:val="00426AA9"/>
    <w:rsid w:val="00432002"/>
    <w:rsid w:val="00433DF3"/>
    <w:rsid w:val="00433FF5"/>
    <w:rsid w:val="00434648"/>
    <w:rsid w:val="00434BC9"/>
    <w:rsid w:val="00435A18"/>
    <w:rsid w:val="00436A4E"/>
    <w:rsid w:val="004452C4"/>
    <w:rsid w:val="00451DFD"/>
    <w:rsid w:val="0045334A"/>
    <w:rsid w:val="00453D00"/>
    <w:rsid w:val="00456C8C"/>
    <w:rsid w:val="00460925"/>
    <w:rsid w:val="004616C8"/>
    <w:rsid w:val="004620CD"/>
    <w:rsid w:val="004621B7"/>
    <w:rsid w:val="00463B25"/>
    <w:rsid w:val="00466BF4"/>
    <w:rsid w:val="0047757C"/>
    <w:rsid w:val="00483558"/>
    <w:rsid w:val="004835F8"/>
    <w:rsid w:val="00485DFF"/>
    <w:rsid w:val="00486E56"/>
    <w:rsid w:val="00487F44"/>
    <w:rsid w:val="0049126F"/>
    <w:rsid w:val="004921D9"/>
    <w:rsid w:val="004938F8"/>
    <w:rsid w:val="0049411F"/>
    <w:rsid w:val="004942AC"/>
    <w:rsid w:val="004946FF"/>
    <w:rsid w:val="0049487E"/>
    <w:rsid w:val="004952A5"/>
    <w:rsid w:val="00496186"/>
    <w:rsid w:val="004A05F0"/>
    <w:rsid w:val="004A2087"/>
    <w:rsid w:val="004A27CB"/>
    <w:rsid w:val="004A328F"/>
    <w:rsid w:val="004A39BF"/>
    <w:rsid w:val="004A43E0"/>
    <w:rsid w:val="004A49FB"/>
    <w:rsid w:val="004A62D6"/>
    <w:rsid w:val="004B26BE"/>
    <w:rsid w:val="004B3D0B"/>
    <w:rsid w:val="004B5063"/>
    <w:rsid w:val="004B797A"/>
    <w:rsid w:val="004C2784"/>
    <w:rsid w:val="004C27DC"/>
    <w:rsid w:val="004C4AAB"/>
    <w:rsid w:val="004C5067"/>
    <w:rsid w:val="004C5569"/>
    <w:rsid w:val="004D3959"/>
    <w:rsid w:val="004D59C8"/>
    <w:rsid w:val="004D5EAB"/>
    <w:rsid w:val="004D7214"/>
    <w:rsid w:val="004D7B5F"/>
    <w:rsid w:val="004E219C"/>
    <w:rsid w:val="004E3453"/>
    <w:rsid w:val="004E387C"/>
    <w:rsid w:val="004E3E4F"/>
    <w:rsid w:val="004E682E"/>
    <w:rsid w:val="004E6B11"/>
    <w:rsid w:val="004E7B35"/>
    <w:rsid w:val="004F15DA"/>
    <w:rsid w:val="004F2859"/>
    <w:rsid w:val="004F66A9"/>
    <w:rsid w:val="004F6B1F"/>
    <w:rsid w:val="004F7629"/>
    <w:rsid w:val="0050167E"/>
    <w:rsid w:val="00510C26"/>
    <w:rsid w:val="00510D1E"/>
    <w:rsid w:val="0051122E"/>
    <w:rsid w:val="005112DB"/>
    <w:rsid w:val="00511785"/>
    <w:rsid w:val="00512751"/>
    <w:rsid w:val="00515D73"/>
    <w:rsid w:val="00517BB6"/>
    <w:rsid w:val="00521D36"/>
    <w:rsid w:val="00530067"/>
    <w:rsid w:val="00530288"/>
    <w:rsid w:val="0053174B"/>
    <w:rsid w:val="0053282A"/>
    <w:rsid w:val="00532995"/>
    <w:rsid w:val="00532B86"/>
    <w:rsid w:val="0053335A"/>
    <w:rsid w:val="005344ED"/>
    <w:rsid w:val="00534D38"/>
    <w:rsid w:val="00535292"/>
    <w:rsid w:val="00536ED7"/>
    <w:rsid w:val="00541F55"/>
    <w:rsid w:val="0054334A"/>
    <w:rsid w:val="005459B0"/>
    <w:rsid w:val="00546BE0"/>
    <w:rsid w:val="00547D00"/>
    <w:rsid w:val="00550F5B"/>
    <w:rsid w:val="00553591"/>
    <w:rsid w:val="0055525E"/>
    <w:rsid w:val="00556858"/>
    <w:rsid w:val="00556D35"/>
    <w:rsid w:val="00561645"/>
    <w:rsid w:val="00562E6C"/>
    <w:rsid w:val="00565B94"/>
    <w:rsid w:val="00567914"/>
    <w:rsid w:val="00572E4B"/>
    <w:rsid w:val="00573B0F"/>
    <w:rsid w:val="00574D20"/>
    <w:rsid w:val="00574EED"/>
    <w:rsid w:val="0057602C"/>
    <w:rsid w:val="0057684F"/>
    <w:rsid w:val="00576E69"/>
    <w:rsid w:val="00577943"/>
    <w:rsid w:val="00585101"/>
    <w:rsid w:val="00591420"/>
    <w:rsid w:val="0059174E"/>
    <w:rsid w:val="005939D4"/>
    <w:rsid w:val="00593C00"/>
    <w:rsid w:val="00594C4D"/>
    <w:rsid w:val="005950FE"/>
    <w:rsid w:val="005963B0"/>
    <w:rsid w:val="005965ED"/>
    <w:rsid w:val="0059662E"/>
    <w:rsid w:val="00596982"/>
    <w:rsid w:val="00596F8B"/>
    <w:rsid w:val="005A04E9"/>
    <w:rsid w:val="005A1114"/>
    <w:rsid w:val="005A1B38"/>
    <w:rsid w:val="005A2777"/>
    <w:rsid w:val="005A5FFA"/>
    <w:rsid w:val="005A6AEB"/>
    <w:rsid w:val="005B1766"/>
    <w:rsid w:val="005B1CB2"/>
    <w:rsid w:val="005B3043"/>
    <w:rsid w:val="005B39AF"/>
    <w:rsid w:val="005B40B1"/>
    <w:rsid w:val="005B4B8C"/>
    <w:rsid w:val="005B4E77"/>
    <w:rsid w:val="005B5665"/>
    <w:rsid w:val="005B72C5"/>
    <w:rsid w:val="005B7B71"/>
    <w:rsid w:val="005C141A"/>
    <w:rsid w:val="005C28F8"/>
    <w:rsid w:val="005C3334"/>
    <w:rsid w:val="005C426B"/>
    <w:rsid w:val="005D0870"/>
    <w:rsid w:val="005D0AB4"/>
    <w:rsid w:val="005D2B2C"/>
    <w:rsid w:val="005D660B"/>
    <w:rsid w:val="005D6BF6"/>
    <w:rsid w:val="005E34D3"/>
    <w:rsid w:val="005E3EC9"/>
    <w:rsid w:val="005E4342"/>
    <w:rsid w:val="005E4CA5"/>
    <w:rsid w:val="005F105B"/>
    <w:rsid w:val="005F4474"/>
    <w:rsid w:val="005F4BE6"/>
    <w:rsid w:val="005F5487"/>
    <w:rsid w:val="006007A1"/>
    <w:rsid w:val="00601D9A"/>
    <w:rsid w:val="00602FB6"/>
    <w:rsid w:val="00603DE5"/>
    <w:rsid w:val="00605B8C"/>
    <w:rsid w:val="00607207"/>
    <w:rsid w:val="00610523"/>
    <w:rsid w:val="00610C20"/>
    <w:rsid w:val="006161B3"/>
    <w:rsid w:val="006177CE"/>
    <w:rsid w:val="00624716"/>
    <w:rsid w:val="00625076"/>
    <w:rsid w:val="00625700"/>
    <w:rsid w:val="006319FA"/>
    <w:rsid w:val="00632993"/>
    <w:rsid w:val="00632E9C"/>
    <w:rsid w:val="00632F82"/>
    <w:rsid w:val="00635EDF"/>
    <w:rsid w:val="006408FF"/>
    <w:rsid w:val="0064495F"/>
    <w:rsid w:val="00644962"/>
    <w:rsid w:val="0064622B"/>
    <w:rsid w:val="00651F8B"/>
    <w:rsid w:val="00656765"/>
    <w:rsid w:val="00660290"/>
    <w:rsid w:val="0066346E"/>
    <w:rsid w:val="00663F42"/>
    <w:rsid w:val="006647A4"/>
    <w:rsid w:val="00670956"/>
    <w:rsid w:val="00671C09"/>
    <w:rsid w:val="006722DD"/>
    <w:rsid w:val="00673310"/>
    <w:rsid w:val="0067340F"/>
    <w:rsid w:val="00674CA3"/>
    <w:rsid w:val="00675404"/>
    <w:rsid w:val="00675B79"/>
    <w:rsid w:val="006769C9"/>
    <w:rsid w:val="00676E6D"/>
    <w:rsid w:val="006826E6"/>
    <w:rsid w:val="006862DB"/>
    <w:rsid w:val="0069004B"/>
    <w:rsid w:val="00690BA1"/>
    <w:rsid w:val="006931C8"/>
    <w:rsid w:val="0069613F"/>
    <w:rsid w:val="006963DA"/>
    <w:rsid w:val="006A0020"/>
    <w:rsid w:val="006A45A0"/>
    <w:rsid w:val="006A68CD"/>
    <w:rsid w:val="006A696D"/>
    <w:rsid w:val="006A76A0"/>
    <w:rsid w:val="006B02F5"/>
    <w:rsid w:val="006B2997"/>
    <w:rsid w:val="006B2AE4"/>
    <w:rsid w:val="006C0321"/>
    <w:rsid w:val="006C11FC"/>
    <w:rsid w:val="006C41FF"/>
    <w:rsid w:val="006C73FD"/>
    <w:rsid w:val="006D340D"/>
    <w:rsid w:val="006D3A1D"/>
    <w:rsid w:val="006D3EBB"/>
    <w:rsid w:val="006D49FD"/>
    <w:rsid w:val="006E29B5"/>
    <w:rsid w:val="006E409C"/>
    <w:rsid w:val="006E4AE8"/>
    <w:rsid w:val="006E7DF1"/>
    <w:rsid w:val="006F1794"/>
    <w:rsid w:val="006F413C"/>
    <w:rsid w:val="006F4A22"/>
    <w:rsid w:val="006F4BD7"/>
    <w:rsid w:val="006F597E"/>
    <w:rsid w:val="006F7C13"/>
    <w:rsid w:val="00701436"/>
    <w:rsid w:val="00701B08"/>
    <w:rsid w:val="0070344D"/>
    <w:rsid w:val="0070400D"/>
    <w:rsid w:val="00704FEC"/>
    <w:rsid w:val="007057C0"/>
    <w:rsid w:val="00705EDC"/>
    <w:rsid w:val="0070667C"/>
    <w:rsid w:val="00711AB7"/>
    <w:rsid w:val="007128A9"/>
    <w:rsid w:val="007137E8"/>
    <w:rsid w:val="0071421A"/>
    <w:rsid w:val="00720C21"/>
    <w:rsid w:val="007211F8"/>
    <w:rsid w:val="0072168E"/>
    <w:rsid w:val="00722E21"/>
    <w:rsid w:val="00723EF5"/>
    <w:rsid w:val="00725104"/>
    <w:rsid w:val="00725F91"/>
    <w:rsid w:val="0072795C"/>
    <w:rsid w:val="0073037C"/>
    <w:rsid w:val="00731B9A"/>
    <w:rsid w:val="00734E91"/>
    <w:rsid w:val="007355AE"/>
    <w:rsid w:val="007363C9"/>
    <w:rsid w:val="007373B3"/>
    <w:rsid w:val="0074299E"/>
    <w:rsid w:val="007438B9"/>
    <w:rsid w:val="007449D4"/>
    <w:rsid w:val="00746ED0"/>
    <w:rsid w:val="007530CF"/>
    <w:rsid w:val="00754823"/>
    <w:rsid w:val="0075572D"/>
    <w:rsid w:val="00761EB0"/>
    <w:rsid w:val="00763A6F"/>
    <w:rsid w:val="007657E4"/>
    <w:rsid w:val="00766C96"/>
    <w:rsid w:val="00767E0E"/>
    <w:rsid w:val="0077076E"/>
    <w:rsid w:val="007707D3"/>
    <w:rsid w:val="007720C8"/>
    <w:rsid w:val="007721B3"/>
    <w:rsid w:val="00773C8F"/>
    <w:rsid w:val="00774A5F"/>
    <w:rsid w:val="0077546F"/>
    <w:rsid w:val="00775B8C"/>
    <w:rsid w:val="00777695"/>
    <w:rsid w:val="00777CAF"/>
    <w:rsid w:val="007807D1"/>
    <w:rsid w:val="007846C0"/>
    <w:rsid w:val="007850D6"/>
    <w:rsid w:val="007866E6"/>
    <w:rsid w:val="00787F91"/>
    <w:rsid w:val="00790EF8"/>
    <w:rsid w:val="00791F68"/>
    <w:rsid w:val="0079282E"/>
    <w:rsid w:val="007929E9"/>
    <w:rsid w:val="00792DAA"/>
    <w:rsid w:val="00792E16"/>
    <w:rsid w:val="00793387"/>
    <w:rsid w:val="00793516"/>
    <w:rsid w:val="007947FD"/>
    <w:rsid w:val="0079538A"/>
    <w:rsid w:val="0079679A"/>
    <w:rsid w:val="007A1B27"/>
    <w:rsid w:val="007A3610"/>
    <w:rsid w:val="007A5FFE"/>
    <w:rsid w:val="007A6440"/>
    <w:rsid w:val="007A6449"/>
    <w:rsid w:val="007A6B57"/>
    <w:rsid w:val="007A6CA4"/>
    <w:rsid w:val="007A7273"/>
    <w:rsid w:val="007A7AA7"/>
    <w:rsid w:val="007B0F17"/>
    <w:rsid w:val="007B3CA2"/>
    <w:rsid w:val="007B3EB1"/>
    <w:rsid w:val="007B4923"/>
    <w:rsid w:val="007B4E9A"/>
    <w:rsid w:val="007B6106"/>
    <w:rsid w:val="007B65F0"/>
    <w:rsid w:val="007B66E5"/>
    <w:rsid w:val="007B66F8"/>
    <w:rsid w:val="007C0972"/>
    <w:rsid w:val="007C1F30"/>
    <w:rsid w:val="007C23B9"/>
    <w:rsid w:val="007C26A2"/>
    <w:rsid w:val="007C337F"/>
    <w:rsid w:val="007C38E1"/>
    <w:rsid w:val="007C60CE"/>
    <w:rsid w:val="007C616F"/>
    <w:rsid w:val="007C7221"/>
    <w:rsid w:val="007C72EB"/>
    <w:rsid w:val="007D1031"/>
    <w:rsid w:val="007D25AD"/>
    <w:rsid w:val="007D465C"/>
    <w:rsid w:val="007D51E8"/>
    <w:rsid w:val="007D6173"/>
    <w:rsid w:val="007D79D1"/>
    <w:rsid w:val="007E0B6D"/>
    <w:rsid w:val="007E1062"/>
    <w:rsid w:val="007E2A14"/>
    <w:rsid w:val="007E3D63"/>
    <w:rsid w:val="007E73DF"/>
    <w:rsid w:val="007F04D1"/>
    <w:rsid w:val="007F331A"/>
    <w:rsid w:val="007F4649"/>
    <w:rsid w:val="007F6E36"/>
    <w:rsid w:val="007F7B07"/>
    <w:rsid w:val="008004B2"/>
    <w:rsid w:val="00801A9A"/>
    <w:rsid w:val="008021F5"/>
    <w:rsid w:val="00805C57"/>
    <w:rsid w:val="00807C16"/>
    <w:rsid w:val="008102C4"/>
    <w:rsid w:val="00810CD6"/>
    <w:rsid w:val="00810E59"/>
    <w:rsid w:val="008115C4"/>
    <w:rsid w:val="0081316D"/>
    <w:rsid w:val="008135EF"/>
    <w:rsid w:val="00813975"/>
    <w:rsid w:val="008148B0"/>
    <w:rsid w:val="00815F08"/>
    <w:rsid w:val="00815FBB"/>
    <w:rsid w:val="00816621"/>
    <w:rsid w:val="00817DD1"/>
    <w:rsid w:val="0082054C"/>
    <w:rsid w:val="00821A47"/>
    <w:rsid w:val="00823A99"/>
    <w:rsid w:val="0082504F"/>
    <w:rsid w:val="00826502"/>
    <w:rsid w:val="00826595"/>
    <w:rsid w:val="00827361"/>
    <w:rsid w:val="0083047B"/>
    <w:rsid w:val="0083132A"/>
    <w:rsid w:val="008317B2"/>
    <w:rsid w:val="00833A83"/>
    <w:rsid w:val="00835043"/>
    <w:rsid w:val="008360DC"/>
    <w:rsid w:val="008367FD"/>
    <w:rsid w:val="0083749E"/>
    <w:rsid w:val="00840E63"/>
    <w:rsid w:val="008416D6"/>
    <w:rsid w:val="0084399E"/>
    <w:rsid w:val="00844F98"/>
    <w:rsid w:val="008458CC"/>
    <w:rsid w:val="00850BDB"/>
    <w:rsid w:val="008519FF"/>
    <w:rsid w:val="00853D35"/>
    <w:rsid w:val="00854148"/>
    <w:rsid w:val="00854F84"/>
    <w:rsid w:val="0085586B"/>
    <w:rsid w:val="00863013"/>
    <w:rsid w:val="008646E8"/>
    <w:rsid w:val="00867B94"/>
    <w:rsid w:val="00871FEB"/>
    <w:rsid w:val="00872D7D"/>
    <w:rsid w:val="00877AD0"/>
    <w:rsid w:val="00881CFF"/>
    <w:rsid w:val="00881ECD"/>
    <w:rsid w:val="00882ED9"/>
    <w:rsid w:val="00885DC1"/>
    <w:rsid w:val="0088654E"/>
    <w:rsid w:val="0088682F"/>
    <w:rsid w:val="00887734"/>
    <w:rsid w:val="00890F8F"/>
    <w:rsid w:val="00893F55"/>
    <w:rsid w:val="00894E22"/>
    <w:rsid w:val="008959B9"/>
    <w:rsid w:val="008A0DA4"/>
    <w:rsid w:val="008A29E6"/>
    <w:rsid w:val="008A337A"/>
    <w:rsid w:val="008A39E5"/>
    <w:rsid w:val="008A3EAF"/>
    <w:rsid w:val="008A51B4"/>
    <w:rsid w:val="008A5DFB"/>
    <w:rsid w:val="008A6024"/>
    <w:rsid w:val="008B1695"/>
    <w:rsid w:val="008B473F"/>
    <w:rsid w:val="008B62CD"/>
    <w:rsid w:val="008B7EDB"/>
    <w:rsid w:val="008C2DCF"/>
    <w:rsid w:val="008C30EA"/>
    <w:rsid w:val="008C3BC4"/>
    <w:rsid w:val="008C507C"/>
    <w:rsid w:val="008C6AF7"/>
    <w:rsid w:val="008C750C"/>
    <w:rsid w:val="008C7A14"/>
    <w:rsid w:val="008D00EB"/>
    <w:rsid w:val="008D0461"/>
    <w:rsid w:val="008D0BB9"/>
    <w:rsid w:val="008D1F78"/>
    <w:rsid w:val="008D2B8F"/>
    <w:rsid w:val="008D42CD"/>
    <w:rsid w:val="008D4F82"/>
    <w:rsid w:val="008D5B89"/>
    <w:rsid w:val="008D7DB2"/>
    <w:rsid w:val="008D7EF5"/>
    <w:rsid w:val="008D7FE4"/>
    <w:rsid w:val="008E0795"/>
    <w:rsid w:val="008E2E2B"/>
    <w:rsid w:val="008E7036"/>
    <w:rsid w:val="008E72A1"/>
    <w:rsid w:val="008E7721"/>
    <w:rsid w:val="008E7BE3"/>
    <w:rsid w:val="008E7F3E"/>
    <w:rsid w:val="008F1604"/>
    <w:rsid w:val="008F1ED2"/>
    <w:rsid w:val="008F265F"/>
    <w:rsid w:val="008F2C84"/>
    <w:rsid w:val="008F2F06"/>
    <w:rsid w:val="009042D3"/>
    <w:rsid w:val="00906553"/>
    <w:rsid w:val="00910360"/>
    <w:rsid w:val="009107F9"/>
    <w:rsid w:val="00917171"/>
    <w:rsid w:val="0092063E"/>
    <w:rsid w:val="0092080D"/>
    <w:rsid w:val="00922990"/>
    <w:rsid w:val="00922CD1"/>
    <w:rsid w:val="009232A8"/>
    <w:rsid w:val="00923A44"/>
    <w:rsid w:val="00926876"/>
    <w:rsid w:val="00926A05"/>
    <w:rsid w:val="00930D61"/>
    <w:rsid w:val="00931EDF"/>
    <w:rsid w:val="009336F4"/>
    <w:rsid w:val="009337BE"/>
    <w:rsid w:val="0093571B"/>
    <w:rsid w:val="00935ED5"/>
    <w:rsid w:val="00937CD1"/>
    <w:rsid w:val="00937DF8"/>
    <w:rsid w:val="00937E0F"/>
    <w:rsid w:val="00944F2E"/>
    <w:rsid w:val="0094572B"/>
    <w:rsid w:val="00945CC0"/>
    <w:rsid w:val="00946DC4"/>
    <w:rsid w:val="00947F5C"/>
    <w:rsid w:val="00951E6D"/>
    <w:rsid w:val="00952009"/>
    <w:rsid w:val="0095226B"/>
    <w:rsid w:val="00952611"/>
    <w:rsid w:val="00952F4E"/>
    <w:rsid w:val="00954D0B"/>
    <w:rsid w:val="009578AB"/>
    <w:rsid w:val="00957AC2"/>
    <w:rsid w:val="00961BB5"/>
    <w:rsid w:val="00961BCB"/>
    <w:rsid w:val="00961D04"/>
    <w:rsid w:val="00962642"/>
    <w:rsid w:val="00965130"/>
    <w:rsid w:val="0097153C"/>
    <w:rsid w:val="00974C5B"/>
    <w:rsid w:val="00976452"/>
    <w:rsid w:val="009767EE"/>
    <w:rsid w:val="00976956"/>
    <w:rsid w:val="0098357C"/>
    <w:rsid w:val="0098531B"/>
    <w:rsid w:val="009861A5"/>
    <w:rsid w:val="00992D43"/>
    <w:rsid w:val="0099559F"/>
    <w:rsid w:val="00996928"/>
    <w:rsid w:val="00996A79"/>
    <w:rsid w:val="009970C9"/>
    <w:rsid w:val="009971B7"/>
    <w:rsid w:val="009A1824"/>
    <w:rsid w:val="009A251C"/>
    <w:rsid w:val="009A2A70"/>
    <w:rsid w:val="009A2D00"/>
    <w:rsid w:val="009B0244"/>
    <w:rsid w:val="009B157C"/>
    <w:rsid w:val="009B231F"/>
    <w:rsid w:val="009B4C62"/>
    <w:rsid w:val="009B52B8"/>
    <w:rsid w:val="009B56DE"/>
    <w:rsid w:val="009B589B"/>
    <w:rsid w:val="009B6730"/>
    <w:rsid w:val="009C0EC7"/>
    <w:rsid w:val="009C1CB9"/>
    <w:rsid w:val="009C262E"/>
    <w:rsid w:val="009C3B58"/>
    <w:rsid w:val="009C5808"/>
    <w:rsid w:val="009D0B73"/>
    <w:rsid w:val="009D34FE"/>
    <w:rsid w:val="009D4E31"/>
    <w:rsid w:val="009D645F"/>
    <w:rsid w:val="009E1B2F"/>
    <w:rsid w:val="009E1B35"/>
    <w:rsid w:val="009E4FF5"/>
    <w:rsid w:val="009E5246"/>
    <w:rsid w:val="009E6F53"/>
    <w:rsid w:val="009E7D7E"/>
    <w:rsid w:val="009F1392"/>
    <w:rsid w:val="009F14F3"/>
    <w:rsid w:val="009F4273"/>
    <w:rsid w:val="009F7D75"/>
    <w:rsid w:val="00A0233A"/>
    <w:rsid w:val="00A023A3"/>
    <w:rsid w:val="00A0450F"/>
    <w:rsid w:val="00A04FD1"/>
    <w:rsid w:val="00A06BE7"/>
    <w:rsid w:val="00A076B7"/>
    <w:rsid w:val="00A14841"/>
    <w:rsid w:val="00A151AF"/>
    <w:rsid w:val="00A2024A"/>
    <w:rsid w:val="00A2066F"/>
    <w:rsid w:val="00A209FD"/>
    <w:rsid w:val="00A20C6F"/>
    <w:rsid w:val="00A20FF4"/>
    <w:rsid w:val="00A213B6"/>
    <w:rsid w:val="00A2228A"/>
    <w:rsid w:val="00A22AFA"/>
    <w:rsid w:val="00A24B9D"/>
    <w:rsid w:val="00A25B29"/>
    <w:rsid w:val="00A308CF"/>
    <w:rsid w:val="00A3286B"/>
    <w:rsid w:val="00A34114"/>
    <w:rsid w:val="00A3438A"/>
    <w:rsid w:val="00A35828"/>
    <w:rsid w:val="00A371DA"/>
    <w:rsid w:val="00A41244"/>
    <w:rsid w:val="00A445B8"/>
    <w:rsid w:val="00A4628A"/>
    <w:rsid w:val="00A46458"/>
    <w:rsid w:val="00A46CB2"/>
    <w:rsid w:val="00A46F8B"/>
    <w:rsid w:val="00A516CF"/>
    <w:rsid w:val="00A539FF"/>
    <w:rsid w:val="00A54E1E"/>
    <w:rsid w:val="00A5594C"/>
    <w:rsid w:val="00A55B56"/>
    <w:rsid w:val="00A55DAD"/>
    <w:rsid w:val="00A56AD2"/>
    <w:rsid w:val="00A56BAE"/>
    <w:rsid w:val="00A56F1E"/>
    <w:rsid w:val="00A60C58"/>
    <w:rsid w:val="00A61227"/>
    <w:rsid w:val="00A67B86"/>
    <w:rsid w:val="00A71756"/>
    <w:rsid w:val="00A71FF1"/>
    <w:rsid w:val="00A72F06"/>
    <w:rsid w:val="00A73797"/>
    <w:rsid w:val="00A750F8"/>
    <w:rsid w:val="00A7551F"/>
    <w:rsid w:val="00A7561F"/>
    <w:rsid w:val="00A767D1"/>
    <w:rsid w:val="00A776F3"/>
    <w:rsid w:val="00A814F2"/>
    <w:rsid w:val="00A818FF"/>
    <w:rsid w:val="00A84F4E"/>
    <w:rsid w:val="00A8683E"/>
    <w:rsid w:val="00A8730F"/>
    <w:rsid w:val="00A87337"/>
    <w:rsid w:val="00A92450"/>
    <w:rsid w:val="00A92A33"/>
    <w:rsid w:val="00A95D81"/>
    <w:rsid w:val="00AA1CD0"/>
    <w:rsid w:val="00AA2EC7"/>
    <w:rsid w:val="00AA63A9"/>
    <w:rsid w:val="00AB50D5"/>
    <w:rsid w:val="00AB5834"/>
    <w:rsid w:val="00AC0937"/>
    <w:rsid w:val="00AC1C7A"/>
    <w:rsid w:val="00AC37F2"/>
    <w:rsid w:val="00AC4245"/>
    <w:rsid w:val="00AD3315"/>
    <w:rsid w:val="00AD3AA8"/>
    <w:rsid w:val="00AD4AD7"/>
    <w:rsid w:val="00AD56AD"/>
    <w:rsid w:val="00AD654D"/>
    <w:rsid w:val="00AD6F76"/>
    <w:rsid w:val="00AE09E4"/>
    <w:rsid w:val="00AE1BA0"/>
    <w:rsid w:val="00AE31C4"/>
    <w:rsid w:val="00AE3DEF"/>
    <w:rsid w:val="00AE478D"/>
    <w:rsid w:val="00AF228F"/>
    <w:rsid w:val="00AF2498"/>
    <w:rsid w:val="00AF25CB"/>
    <w:rsid w:val="00AF3E68"/>
    <w:rsid w:val="00AF4AF2"/>
    <w:rsid w:val="00AF4DEF"/>
    <w:rsid w:val="00AF521C"/>
    <w:rsid w:val="00AF704C"/>
    <w:rsid w:val="00AF7EF4"/>
    <w:rsid w:val="00B002CB"/>
    <w:rsid w:val="00B01A66"/>
    <w:rsid w:val="00B11E1C"/>
    <w:rsid w:val="00B12E74"/>
    <w:rsid w:val="00B13389"/>
    <w:rsid w:val="00B13FDD"/>
    <w:rsid w:val="00B14217"/>
    <w:rsid w:val="00B14D99"/>
    <w:rsid w:val="00B15444"/>
    <w:rsid w:val="00B156B9"/>
    <w:rsid w:val="00B15A52"/>
    <w:rsid w:val="00B17AEA"/>
    <w:rsid w:val="00B21597"/>
    <w:rsid w:val="00B2495C"/>
    <w:rsid w:val="00B24A13"/>
    <w:rsid w:val="00B24D2A"/>
    <w:rsid w:val="00B254B1"/>
    <w:rsid w:val="00B26EAE"/>
    <w:rsid w:val="00B270AD"/>
    <w:rsid w:val="00B27B7D"/>
    <w:rsid w:val="00B27F2E"/>
    <w:rsid w:val="00B31473"/>
    <w:rsid w:val="00B3158A"/>
    <w:rsid w:val="00B31DBF"/>
    <w:rsid w:val="00B33546"/>
    <w:rsid w:val="00B3459D"/>
    <w:rsid w:val="00B34E8A"/>
    <w:rsid w:val="00B34EB7"/>
    <w:rsid w:val="00B42106"/>
    <w:rsid w:val="00B44F9B"/>
    <w:rsid w:val="00B46081"/>
    <w:rsid w:val="00B46E47"/>
    <w:rsid w:val="00B4717D"/>
    <w:rsid w:val="00B47DCA"/>
    <w:rsid w:val="00B52758"/>
    <w:rsid w:val="00B5377C"/>
    <w:rsid w:val="00B548DD"/>
    <w:rsid w:val="00B54CB9"/>
    <w:rsid w:val="00B565B1"/>
    <w:rsid w:val="00B601EB"/>
    <w:rsid w:val="00B618C3"/>
    <w:rsid w:val="00B62F69"/>
    <w:rsid w:val="00B64319"/>
    <w:rsid w:val="00B66053"/>
    <w:rsid w:val="00B67855"/>
    <w:rsid w:val="00B705E6"/>
    <w:rsid w:val="00B70718"/>
    <w:rsid w:val="00B71F93"/>
    <w:rsid w:val="00B72325"/>
    <w:rsid w:val="00B72550"/>
    <w:rsid w:val="00B7447F"/>
    <w:rsid w:val="00B7485B"/>
    <w:rsid w:val="00B74E9F"/>
    <w:rsid w:val="00B755C2"/>
    <w:rsid w:val="00B76747"/>
    <w:rsid w:val="00B77BA1"/>
    <w:rsid w:val="00B77E7E"/>
    <w:rsid w:val="00B80FBF"/>
    <w:rsid w:val="00B84A92"/>
    <w:rsid w:val="00B86CCE"/>
    <w:rsid w:val="00B90BF3"/>
    <w:rsid w:val="00B90EA9"/>
    <w:rsid w:val="00B91CA9"/>
    <w:rsid w:val="00B92C02"/>
    <w:rsid w:val="00B943BF"/>
    <w:rsid w:val="00B944A8"/>
    <w:rsid w:val="00B97326"/>
    <w:rsid w:val="00BA053F"/>
    <w:rsid w:val="00BA232A"/>
    <w:rsid w:val="00BA380D"/>
    <w:rsid w:val="00BA49C3"/>
    <w:rsid w:val="00BA50BD"/>
    <w:rsid w:val="00BA781C"/>
    <w:rsid w:val="00BB0B2F"/>
    <w:rsid w:val="00BB0E18"/>
    <w:rsid w:val="00BB1A6E"/>
    <w:rsid w:val="00BB3D93"/>
    <w:rsid w:val="00BB4C08"/>
    <w:rsid w:val="00BB5AAC"/>
    <w:rsid w:val="00BC048C"/>
    <w:rsid w:val="00BC0964"/>
    <w:rsid w:val="00BC10A5"/>
    <w:rsid w:val="00BC112B"/>
    <w:rsid w:val="00BC13DE"/>
    <w:rsid w:val="00BC15DE"/>
    <w:rsid w:val="00BC1E77"/>
    <w:rsid w:val="00BC4DA3"/>
    <w:rsid w:val="00BC5B91"/>
    <w:rsid w:val="00BC5D5C"/>
    <w:rsid w:val="00BC5EF1"/>
    <w:rsid w:val="00BC6CB5"/>
    <w:rsid w:val="00BC71AE"/>
    <w:rsid w:val="00BD3580"/>
    <w:rsid w:val="00BD44CC"/>
    <w:rsid w:val="00BD5764"/>
    <w:rsid w:val="00BD70A3"/>
    <w:rsid w:val="00BD7B93"/>
    <w:rsid w:val="00BE16C9"/>
    <w:rsid w:val="00BE1E5C"/>
    <w:rsid w:val="00BE34EE"/>
    <w:rsid w:val="00BE40F8"/>
    <w:rsid w:val="00BE561F"/>
    <w:rsid w:val="00BF3CDB"/>
    <w:rsid w:val="00BF66CE"/>
    <w:rsid w:val="00C00DD6"/>
    <w:rsid w:val="00C01997"/>
    <w:rsid w:val="00C01A4C"/>
    <w:rsid w:val="00C03DA0"/>
    <w:rsid w:val="00C04FBC"/>
    <w:rsid w:val="00C055BA"/>
    <w:rsid w:val="00C05D4B"/>
    <w:rsid w:val="00C06073"/>
    <w:rsid w:val="00C072DB"/>
    <w:rsid w:val="00C07A0D"/>
    <w:rsid w:val="00C10466"/>
    <w:rsid w:val="00C110C5"/>
    <w:rsid w:val="00C113CA"/>
    <w:rsid w:val="00C11F07"/>
    <w:rsid w:val="00C1422C"/>
    <w:rsid w:val="00C14D90"/>
    <w:rsid w:val="00C15119"/>
    <w:rsid w:val="00C152A5"/>
    <w:rsid w:val="00C15316"/>
    <w:rsid w:val="00C16A59"/>
    <w:rsid w:val="00C21CC4"/>
    <w:rsid w:val="00C22024"/>
    <w:rsid w:val="00C233C1"/>
    <w:rsid w:val="00C24143"/>
    <w:rsid w:val="00C25552"/>
    <w:rsid w:val="00C25782"/>
    <w:rsid w:val="00C25E6D"/>
    <w:rsid w:val="00C271D9"/>
    <w:rsid w:val="00C31179"/>
    <w:rsid w:val="00C3120E"/>
    <w:rsid w:val="00C313BE"/>
    <w:rsid w:val="00C32B56"/>
    <w:rsid w:val="00C36979"/>
    <w:rsid w:val="00C41237"/>
    <w:rsid w:val="00C42291"/>
    <w:rsid w:val="00C426C5"/>
    <w:rsid w:val="00C42822"/>
    <w:rsid w:val="00C42C0C"/>
    <w:rsid w:val="00C433E0"/>
    <w:rsid w:val="00C43C49"/>
    <w:rsid w:val="00C4555F"/>
    <w:rsid w:val="00C46035"/>
    <w:rsid w:val="00C4610E"/>
    <w:rsid w:val="00C46420"/>
    <w:rsid w:val="00C464ED"/>
    <w:rsid w:val="00C467A6"/>
    <w:rsid w:val="00C46B3A"/>
    <w:rsid w:val="00C46B99"/>
    <w:rsid w:val="00C46F05"/>
    <w:rsid w:val="00C51767"/>
    <w:rsid w:val="00C522DD"/>
    <w:rsid w:val="00C52966"/>
    <w:rsid w:val="00C52C6B"/>
    <w:rsid w:val="00C5450A"/>
    <w:rsid w:val="00C5499A"/>
    <w:rsid w:val="00C55056"/>
    <w:rsid w:val="00C56118"/>
    <w:rsid w:val="00C571E4"/>
    <w:rsid w:val="00C63088"/>
    <w:rsid w:val="00C63A71"/>
    <w:rsid w:val="00C7049A"/>
    <w:rsid w:val="00C70B53"/>
    <w:rsid w:val="00C70ED0"/>
    <w:rsid w:val="00C71615"/>
    <w:rsid w:val="00C71F7C"/>
    <w:rsid w:val="00C73393"/>
    <w:rsid w:val="00C7340D"/>
    <w:rsid w:val="00C74BAF"/>
    <w:rsid w:val="00C761A6"/>
    <w:rsid w:val="00C7649E"/>
    <w:rsid w:val="00C772F7"/>
    <w:rsid w:val="00C84076"/>
    <w:rsid w:val="00C84CA6"/>
    <w:rsid w:val="00C85F90"/>
    <w:rsid w:val="00C907D6"/>
    <w:rsid w:val="00C9259B"/>
    <w:rsid w:val="00C94A4D"/>
    <w:rsid w:val="00C94A5E"/>
    <w:rsid w:val="00C9741C"/>
    <w:rsid w:val="00CA200D"/>
    <w:rsid w:val="00CA2D82"/>
    <w:rsid w:val="00CB004F"/>
    <w:rsid w:val="00CB053C"/>
    <w:rsid w:val="00CB095C"/>
    <w:rsid w:val="00CB0BAF"/>
    <w:rsid w:val="00CB0BD1"/>
    <w:rsid w:val="00CB2A8B"/>
    <w:rsid w:val="00CB34DB"/>
    <w:rsid w:val="00CB43C9"/>
    <w:rsid w:val="00CB614F"/>
    <w:rsid w:val="00CB6793"/>
    <w:rsid w:val="00CC05A4"/>
    <w:rsid w:val="00CC124B"/>
    <w:rsid w:val="00CC2BF9"/>
    <w:rsid w:val="00CC4DE4"/>
    <w:rsid w:val="00CD1751"/>
    <w:rsid w:val="00CD205A"/>
    <w:rsid w:val="00CD2C49"/>
    <w:rsid w:val="00CD34E6"/>
    <w:rsid w:val="00CD48D4"/>
    <w:rsid w:val="00CD60D7"/>
    <w:rsid w:val="00CE116B"/>
    <w:rsid w:val="00CE1A5C"/>
    <w:rsid w:val="00CE22A4"/>
    <w:rsid w:val="00CE5AC6"/>
    <w:rsid w:val="00CF0B1A"/>
    <w:rsid w:val="00CF0DA0"/>
    <w:rsid w:val="00CF150C"/>
    <w:rsid w:val="00CF20D5"/>
    <w:rsid w:val="00CF3401"/>
    <w:rsid w:val="00CF3E18"/>
    <w:rsid w:val="00CF4C75"/>
    <w:rsid w:val="00CF5140"/>
    <w:rsid w:val="00CF5D92"/>
    <w:rsid w:val="00CF6011"/>
    <w:rsid w:val="00CF65D0"/>
    <w:rsid w:val="00CF6BC9"/>
    <w:rsid w:val="00D05FB4"/>
    <w:rsid w:val="00D06E6C"/>
    <w:rsid w:val="00D109F5"/>
    <w:rsid w:val="00D12AD5"/>
    <w:rsid w:val="00D16666"/>
    <w:rsid w:val="00D16FFA"/>
    <w:rsid w:val="00D1772D"/>
    <w:rsid w:val="00D1793E"/>
    <w:rsid w:val="00D229CA"/>
    <w:rsid w:val="00D22A80"/>
    <w:rsid w:val="00D25A31"/>
    <w:rsid w:val="00D27D90"/>
    <w:rsid w:val="00D307C8"/>
    <w:rsid w:val="00D32F3F"/>
    <w:rsid w:val="00D331C7"/>
    <w:rsid w:val="00D339EE"/>
    <w:rsid w:val="00D33BC8"/>
    <w:rsid w:val="00D347E3"/>
    <w:rsid w:val="00D34AA7"/>
    <w:rsid w:val="00D35F41"/>
    <w:rsid w:val="00D37BC7"/>
    <w:rsid w:val="00D40CC4"/>
    <w:rsid w:val="00D410C7"/>
    <w:rsid w:val="00D43AEA"/>
    <w:rsid w:val="00D44173"/>
    <w:rsid w:val="00D46384"/>
    <w:rsid w:val="00D4668D"/>
    <w:rsid w:val="00D52EF1"/>
    <w:rsid w:val="00D53CB0"/>
    <w:rsid w:val="00D5407B"/>
    <w:rsid w:val="00D54ACD"/>
    <w:rsid w:val="00D55E30"/>
    <w:rsid w:val="00D57481"/>
    <w:rsid w:val="00D6072E"/>
    <w:rsid w:val="00D60C86"/>
    <w:rsid w:val="00D62F0D"/>
    <w:rsid w:val="00D63E65"/>
    <w:rsid w:val="00D66458"/>
    <w:rsid w:val="00D66C57"/>
    <w:rsid w:val="00D70CAA"/>
    <w:rsid w:val="00D73455"/>
    <w:rsid w:val="00D75EF2"/>
    <w:rsid w:val="00D76CB8"/>
    <w:rsid w:val="00D8173F"/>
    <w:rsid w:val="00D8614A"/>
    <w:rsid w:val="00D9065F"/>
    <w:rsid w:val="00D90D80"/>
    <w:rsid w:val="00D9102C"/>
    <w:rsid w:val="00DA0794"/>
    <w:rsid w:val="00DA1314"/>
    <w:rsid w:val="00DA28AD"/>
    <w:rsid w:val="00DA2C47"/>
    <w:rsid w:val="00DA4A4E"/>
    <w:rsid w:val="00DA52BE"/>
    <w:rsid w:val="00DA5AF1"/>
    <w:rsid w:val="00DA6766"/>
    <w:rsid w:val="00DA7227"/>
    <w:rsid w:val="00DA791C"/>
    <w:rsid w:val="00DB0807"/>
    <w:rsid w:val="00DB168F"/>
    <w:rsid w:val="00DB2B99"/>
    <w:rsid w:val="00DB32A4"/>
    <w:rsid w:val="00DB3921"/>
    <w:rsid w:val="00DB3CC5"/>
    <w:rsid w:val="00DB3D53"/>
    <w:rsid w:val="00DB550A"/>
    <w:rsid w:val="00DB6AB4"/>
    <w:rsid w:val="00DC1F34"/>
    <w:rsid w:val="00DC20E5"/>
    <w:rsid w:val="00DC3CA6"/>
    <w:rsid w:val="00DC410B"/>
    <w:rsid w:val="00DC412E"/>
    <w:rsid w:val="00DC4279"/>
    <w:rsid w:val="00DC5076"/>
    <w:rsid w:val="00DC5295"/>
    <w:rsid w:val="00DC682C"/>
    <w:rsid w:val="00DC6E13"/>
    <w:rsid w:val="00DD083D"/>
    <w:rsid w:val="00DD3224"/>
    <w:rsid w:val="00DD36FD"/>
    <w:rsid w:val="00DE211A"/>
    <w:rsid w:val="00DE290C"/>
    <w:rsid w:val="00DE4431"/>
    <w:rsid w:val="00DE5C85"/>
    <w:rsid w:val="00DE631D"/>
    <w:rsid w:val="00DE6DA2"/>
    <w:rsid w:val="00DF0103"/>
    <w:rsid w:val="00DF1F58"/>
    <w:rsid w:val="00DF3159"/>
    <w:rsid w:val="00DF331B"/>
    <w:rsid w:val="00DF5318"/>
    <w:rsid w:val="00DF61AA"/>
    <w:rsid w:val="00DF774C"/>
    <w:rsid w:val="00E00C91"/>
    <w:rsid w:val="00E0162D"/>
    <w:rsid w:val="00E05CFC"/>
    <w:rsid w:val="00E068F8"/>
    <w:rsid w:val="00E06A08"/>
    <w:rsid w:val="00E13969"/>
    <w:rsid w:val="00E2026E"/>
    <w:rsid w:val="00E20BC9"/>
    <w:rsid w:val="00E24DDC"/>
    <w:rsid w:val="00E25721"/>
    <w:rsid w:val="00E307BB"/>
    <w:rsid w:val="00E32443"/>
    <w:rsid w:val="00E3509B"/>
    <w:rsid w:val="00E355FF"/>
    <w:rsid w:val="00E37250"/>
    <w:rsid w:val="00E4042E"/>
    <w:rsid w:val="00E4061A"/>
    <w:rsid w:val="00E4135B"/>
    <w:rsid w:val="00E41B96"/>
    <w:rsid w:val="00E42559"/>
    <w:rsid w:val="00E500CE"/>
    <w:rsid w:val="00E515CE"/>
    <w:rsid w:val="00E538A9"/>
    <w:rsid w:val="00E54E04"/>
    <w:rsid w:val="00E55185"/>
    <w:rsid w:val="00E57AA7"/>
    <w:rsid w:val="00E57C65"/>
    <w:rsid w:val="00E61F20"/>
    <w:rsid w:val="00E62BD1"/>
    <w:rsid w:val="00E63851"/>
    <w:rsid w:val="00E66B48"/>
    <w:rsid w:val="00E66DBB"/>
    <w:rsid w:val="00E71DA7"/>
    <w:rsid w:val="00E7382A"/>
    <w:rsid w:val="00E75C08"/>
    <w:rsid w:val="00E77DDA"/>
    <w:rsid w:val="00E819FA"/>
    <w:rsid w:val="00E82341"/>
    <w:rsid w:val="00E82659"/>
    <w:rsid w:val="00E82B6B"/>
    <w:rsid w:val="00E84644"/>
    <w:rsid w:val="00E85AD2"/>
    <w:rsid w:val="00E86C52"/>
    <w:rsid w:val="00E908CC"/>
    <w:rsid w:val="00E91593"/>
    <w:rsid w:val="00E91BA4"/>
    <w:rsid w:val="00E9481B"/>
    <w:rsid w:val="00E953A3"/>
    <w:rsid w:val="00E96CF2"/>
    <w:rsid w:val="00EA21DC"/>
    <w:rsid w:val="00EA4292"/>
    <w:rsid w:val="00EB0747"/>
    <w:rsid w:val="00EB4360"/>
    <w:rsid w:val="00EB4A40"/>
    <w:rsid w:val="00EB4C8C"/>
    <w:rsid w:val="00EB4D38"/>
    <w:rsid w:val="00EB5E5C"/>
    <w:rsid w:val="00EC12E4"/>
    <w:rsid w:val="00EC62E0"/>
    <w:rsid w:val="00EC641E"/>
    <w:rsid w:val="00EC7332"/>
    <w:rsid w:val="00ED01FA"/>
    <w:rsid w:val="00ED1633"/>
    <w:rsid w:val="00ED660D"/>
    <w:rsid w:val="00EE0A6D"/>
    <w:rsid w:val="00EE456A"/>
    <w:rsid w:val="00EE4D72"/>
    <w:rsid w:val="00EE7D9B"/>
    <w:rsid w:val="00EE7F54"/>
    <w:rsid w:val="00EF1F77"/>
    <w:rsid w:val="00EF3890"/>
    <w:rsid w:val="00EF3B57"/>
    <w:rsid w:val="00EF3BD9"/>
    <w:rsid w:val="00EF40E5"/>
    <w:rsid w:val="00EF4895"/>
    <w:rsid w:val="00EF71C2"/>
    <w:rsid w:val="00EF780B"/>
    <w:rsid w:val="00F00543"/>
    <w:rsid w:val="00F01664"/>
    <w:rsid w:val="00F02D9B"/>
    <w:rsid w:val="00F02FBE"/>
    <w:rsid w:val="00F03189"/>
    <w:rsid w:val="00F06875"/>
    <w:rsid w:val="00F07612"/>
    <w:rsid w:val="00F10339"/>
    <w:rsid w:val="00F10E8E"/>
    <w:rsid w:val="00F13467"/>
    <w:rsid w:val="00F13665"/>
    <w:rsid w:val="00F1674C"/>
    <w:rsid w:val="00F16757"/>
    <w:rsid w:val="00F2300E"/>
    <w:rsid w:val="00F23B19"/>
    <w:rsid w:val="00F25524"/>
    <w:rsid w:val="00F25970"/>
    <w:rsid w:val="00F26454"/>
    <w:rsid w:val="00F26463"/>
    <w:rsid w:val="00F267E9"/>
    <w:rsid w:val="00F27C89"/>
    <w:rsid w:val="00F301F0"/>
    <w:rsid w:val="00F31C22"/>
    <w:rsid w:val="00F33AF5"/>
    <w:rsid w:val="00F419D6"/>
    <w:rsid w:val="00F422CF"/>
    <w:rsid w:val="00F46C58"/>
    <w:rsid w:val="00F50455"/>
    <w:rsid w:val="00F50DAE"/>
    <w:rsid w:val="00F53191"/>
    <w:rsid w:val="00F55DAA"/>
    <w:rsid w:val="00F56190"/>
    <w:rsid w:val="00F56E28"/>
    <w:rsid w:val="00F65D0F"/>
    <w:rsid w:val="00F664D8"/>
    <w:rsid w:val="00F669D2"/>
    <w:rsid w:val="00F66B10"/>
    <w:rsid w:val="00F66B52"/>
    <w:rsid w:val="00F67054"/>
    <w:rsid w:val="00F70494"/>
    <w:rsid w:val="00F713E7"/>
    <w:rsid w:val="00F71536"/>
    <w:rsid w:val="00F718F0"/>
    <w:rsid w:val="00F74766"/>
    <w:rsid w:val="00F76658"/>
    <w:rsid w:val="00F77A81"/>
    <w:rsid w:val="00F80CDB"/>
    <w:rsid w:val="00F841BC"/>
    <w:rsid w:val="00F852A0"/>
    <w:rsid w:val="00F85636"/>
    <w:rsid w:val="00F85988"/>
    <w:rsid w:val="00F872FB"/>
    <w:rsid w:val="00F908B8"/>
    <w:rsid w:val="00F909E8"/>
    <w:rsid w:val="00F91B88"/>
    <w:rsid w:val="00F92972"/>
    <w:rsid w:val="00F93177"/>
    <w:rsid w:val="00F94D78"/>
    <w:rsid w:val="00F96C79"/>
    <w:rsid w:val="00F9734D"/>
    <w:rsid w:val="00F97E35"/>
    <w:rsid w:val="00FA1F96"/>
    <w:rsid w:val="00FA4947"/>
    <w:rsid w:val="00FA499D"/>
    <w:rsid w:val="00FA5362"/>
    <w:rsid w:val="00FA5E2E"/>
    <w:rsid w:val="00FB289E"/>
    <w:rsid w:val="00FB425F"/>
    <w:rsid w:val="00FB4D2A"/>
    <w:rsid w:val="00FB75E9"/>
    <w:rsid w:val="00FC1287"/>
    <w:rsid w:val="00FC2086"/>
    <w:rsid w:val="00FC3434"/>
    <w:rsid w:val="00FC3DB7"/>
    <w:rsid w:val="00FC3FB5"/>
    <w:rsid w:val="00FC5778"/>
    <w:rsid w:val="00FC578F"/>
    <w:rsid w:val="00FC5BB6"/>
    <w:rsid w:val="00FC6034"/>
    <w:rsid w:val="00FD0594"/>
    <w:rsid w:val="00FD2FF7"/>
    <w:rsid w:val="00FD33AE"/>
    <w:rsid w:val="00FD4296"/>
    <w:rsid w:val="00FD616B"/>
    <w:rsid w:val="00FD7084"/>
    <w:rsid w:val="00FD7D87"/>
    <w:rsid w:val="00FE01CF"/>
    <w:rsid w:val="00FE0BCA"/>
    <w:rsid w:val="00FE1B47"/>
    <w:rsid w:val="00FE20B5"/>
    <w:rsid w:val="00FE5E5F"/>
    <w:rsid w:val="00FE7739"/>
    <w:rsid w:val="00FF0D6C"/>
    <w:rsid w:val="00FF1D73"/>
    <w:rsid w:val="00FF594E"/>
    <w:rsid w:val="00FF5A74"/>
    <w:rsid w:val="00FF6C81"/>
    <w:rsid w:val="00FF7817"/>
    <w:rsid w:val="00FF7F4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colormru v:ext="edit" colors="#acd5e2,#59636d,#bbd128,#c3d426,#c7d739,#ccda38,maroo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11E1C"/>
    <w:pPr>
      <w:spacing w:after="120" w:line="288" w:lineRule="auto"/>
    </w:pPr>
    <w:rPr>
      <w:rFonts w:ascii="Arial" w:eastAsia="Cambria" w:hAnsi="Arial" w:cs="Cambria"/>
      <w:sz w:val="22"/>
    </w:rPr>
  </w:style>
  <w:style w:type="paragraph" w:styleId="Heading1">
    <w:name w:val="heading 1"/>
    <w:basedOn w:val="Normal"/>
    <w:next w:val="Normal"/>
    <w:link w:val="Heading1Char"/>
    <w:uiPriority w:val="9"/>
    <w:qFormat/>
    <w:rsid w:val="00A06BE7"/>
    <w:pPr>
      <w:keepNext/>
      <w:pageBreakBefore/>
      <w:spacing w:after="600" w:line="240" w:lineRule="auto"/>
      <w:outlineLvl w:val="0"/>
    </w:pPr>
    <w:rPr>
      <w:rFonts w:eastAsia="Times New Roman" w:cs="Times New Roman"/>
      <w:color w:val="6C6C6C"/>
      <w:spacing w:val="16"/>
      <w:kern w:val="32"/>
      <w:sz w:val="52"/>
      <w:szCs w:val="52"/>
      <w:lang w:val="en-US" w:eastAsia="ja-JP"/>
    </w:rPr>
  </w:style>
  <w:style w:type="paragraph" w:styleId="Heading2">
    <w:name w:val="heading 2"/>
    <w:basedOn w:val="Normal"/>
    <w:next w:val="Normal"/>
    <w:link w:val="Heading2Char"/>
    <w:autoRedefine/>
    <w:qFormat/>
    <w:rsid w:val="00B72325"/>
    <w:pPr>
      <w:keepNext/>
      <w:keepLines/>
      <w:spacing w:before="240" w:line="300" w:lineRule="exact"/>
      <w:outlineLvl w:val="1"/>
    </w:pPr>
    <w:rPr>
      <w:b/>
      <w:bCs/>
      <w:spacing w:val="10"/>
      <w:sz w:val="28"/>
      <w:szCs w:val="26"/>
      <w:lang w:val="en-US" w:eastAsia="ja-JP"/>
    </w:rPr>
  </w:style>
  <w:style w:type="paragraph" w:styleId="Heading3">
    <w:name w:val="heading 3"/>
    <w:basedOn w:val="Normal"/>
    <w:next w:val="Normal"/>
    <w:qFormat/>
    <w:rsid w:val="00B11E1C"/>
    <w:pPr>
      <w:keepNext/>
      <w:keepLines/>
      <w:spacing w:before="240" w:after="60"/>
      <w:outlineLvl w:val="2"/>
    </w:pPr>
    <w:rPr>
      <w:bCs/>
      <w:spacing w:val="8"/>
      <w:sz w:val="28"/>
      <w:szCs w:val="28"/>
    </w:rPr>
  </w:style>
  <w:style w:type="paragraph" w:styleId="Heading4">
    <w:name w:val="heading 4"/>
    <w:basedOn w:val="Normal"/>
    <w:next w:val="Normal"/>
    <w:link w:val="Heading4Char"/>
    <w:qFormat/>
    <w:rsid w:val="005950FE"/>
    <w:pPr>
      <w:keepNext/>
      <w:keepLines/>
      <w:spacing w:before="240" w:after="60"/>
      <w:outlineLvl w:val="3"/>
    </w:pPr>
    <w:rPr>
      <w:b/>
      <w:bCs/>
      <w:spacing w:val="8"/>
      <w:sz w:val="24"/>
      <w:szCs w:val="24"/>
    </w:rPr>
  </w:style>
  <w:style w:type="paragraph" w:styleId="Heading5">
    <w:name w:val="heading 5"/>
    <w:basedOn w:val="Normal"/>
    <w:next w:val="Normal"/>
    <w:qFormat/>
    <w:rsid w:val="00C907D6"/>
    <w:pPr>
      <w:keepNext/>
      <w:keepLines/>
      <w:spacing w:before="220" w:after="40"/>
      <w:contextualSpacing/>
      <w:outlineLvl w:val="4"/>
    </w:pPr>
    <w:rPr>
      <w:b/>
    </w:rPr>
  </w:style>
  <w:style w:type="paragraph" w:styleId="Heading6">
    <w:name w:val="heading 6"/>
    <w:basedOn w:val="Normal"/>
    <w:next w:val="Normal"/>
    <w:qFormat/>
    <w:rsid w:val="00C907D6"/>
    <w:pPr>
      <w:keepNext/>
      <w:keepLines/>
      <w:spacing w:before="200" w:after="40"/>
      <w:contextualSpacing/>
      <w:outlineLvl w:val="5"/>
    </w:pPr>
    <w:rPr>
      <w:b/>
      <w:sz w:val="20"/>
    </w:rPr>
  </w:style>
  <w:style w:type="paragraph" w:styleId="Heading7">
    <w:name w:val="heading 7"/>
    <w:basedOn w:val="Normal"/>
    <w:next w:val="Normal"/>
    <w:link w:val="Heading7Char"/>
    <w:uiPriority w:val="9"/>
    <w:qFormat/>
    <w:rsid w:val="005950FE"/>
    <w:pPr>
      <w:spacing w:before="240" w:after="60"/>
      <w:outlineLvl w:val="6"/>
    </w:pPr>
    <w:rPr>
      <w:rFonts w:eastAsia="MS Mincho"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semiHidden/>
    <w:rsid w:val="005950FE"/>
    <w:rPr>
      <w:rFonts w:ascii="News Gothic" w:eastAsia="MS Mincho" w:hAnsi="News Gothic" w:cs="Times New Roman"/>
      <w:sz w:val="24"/>
      <w:szCs w:val="24"/>
      <w:lang w:eastAsia="en-AU"/>
    </w:rPr>
  </w:style>
  <w:style w:type="paragraph" w:styleId="Subtitle">
    <w:name w:val="Subtitle"/>
    <w:basedOn w:val="Normal"/>
    <w:next w:val="Normal"/>
    <w:qFormat/>
    <w:rsid w:val="005950FE"/>
    <w:pPr>
      <w:keepNext/>
      <w:keepLines/>
    </w:pPr>
    <w:rPr>
      <w:i/>
      <w:sz w:val="24"/>
    </w:rPr>
  </w:style>
  <w:style w:type="table" w:customStyle="1" w:styleId="1">
    <w:name w:val="1"/>
    <w:basedOn w:val="TableNormal"/>
    <w:rsid w:val="00C907D6"/>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C907D6"/>
    <w:pPr>
      <w:spacing w:line="240" w:lineRule="auto"/>
    </w:pPr>
    <w:rPr>
      <w:sz w:val="20"/>
    </w:rPr>
  </w:style>
  <w:style w:type="character" w:customStyle="1" w:styleId="CommentTextChar">
    <w:name w:val="Comment Text Char"/>
    <w:link w:val="CommentText"/>
    <w:uiPriority w:val="99"/>
    <w:semiHidden/>
    <w:rsid w:val="00C907D6"/>
    <w:rPr>
      <w:sz w:val="20"/>
    </w:rPr>
  </w:style>
  <w:style w:type="character" w:styleId="CommentReference">
    <w:name w:val="annotation reference"/>
    <w:uiPriority w:val="99"/>
    <w:semiHidden/>
    <w:unhideWhenUsed/>
    <w:rsid w:val="00C907D6"/>
    <w:rPr>
      <w:sz w:val="16"/>
      <w:szCs w:val="16"/>
    </w:rPr>
  </w:style>
  <w:style w:type="paragraph" w:styleId="BalloonText">
    <w:name w:val="Balloon Text"/>
    <w:basedOn w:val="Normal"/>
    <w:link w:val="BalloonTextChar"/>
    <w:uiPriority w:val="99"/>
    <w:semiHidden/>
    <w:unhideWhenUsed/>
    <w:rsid w:val="005D08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0870"/>
    <w:rPr>
      <w:rFonts w:ascii="Tahoma" w:hAnsi="Tahoma" w:cs="Tahoma"/>
      <w:sz w:val="16"/>
      <w:szCs w:val="16"/>
    </w:rPr>
  </w:style>
  <w:style w:type="paragraph" w:customStyle="1" w:styleId="TITLE1">
    <w:name w:val="TITLE 1"/>
    <w:next w:val="TITLE2"/>
    <w:rsid w:val="00A06BE7"/>
    <w:pPr>
      <w:spacing w:after="120" w:line="840" w:lineRule="exact"/>
    </w:pPr>
    <w:rPr>
      <w:rFonts w:ascii="Arial" w:hAnsi="Arial"/>
      <w:noProof/>
      <w:color w:val="000000"/>
      <w:spacing w:val="10"/>
      <w:sz w:val="84"/>
      <w:szCs w:val="84"/>
      <w:lang w:val="en-US" w:eastAsia="en-US"/>
    </w:rPr>
  </w:style>
  <w:style w:type="paragraph" w:styleId="TOC1">
    <w:name w:val="toc 1"/>
    <w:basedOn w:val="Normal"/>
    <w:next w:val="Normal"/>
    <w:autoRedefine/>
    <w:uiPriority w:val="39"/>
    <w:unhideWhenUsed/>
    <w:rsid w:val="00877AD0"/>
    <w:pPr>
      <w:spacing w:after="100"/>
    </w:pPr>
  </w:style>
  <w:style w:type="paragraph" w:styleId="TOC2">
    <w:name w:val="toc 2"/>
    <w:basedOn w:val="Normal"/>
    <w:next w:val="Normal"/>
    <w:autoRedefine/>
    <w:uiPriority w:val="39"/>
    <w:unhideWhenUsed/>
    <w:rsid w:val="00877AD0"/>
    <w:pPr>
      <w:spacing w:after="100"/>
      <w:ind w:left="220"/>
    </w:pPr>
  </w:style>
  <w:style w:type="paragraph" w:styleId="TOC3">
    <w:name w:val="toc 3"/>
    <w:basedOn w:val="Normal"/>
    <w:next w:val="Normal"/>
    <w:autoRedefine/>
    <w:uiPriority w:val="39"/>
    <w:unhideWhenUsed/>
    <w:rsid w:val="00877AD0"/>
    <w:pPr>
      <w:spacing w:after="100"/>
      <w:ind w:left="440"/>
    </w:pPr>
  </w:style>
  <w:style w:type="character" w:styleId="Hyperlink">
    <w:name w:val="Hyperlink"/>
    <w:uiPriority w:val="99"/>
    <w:unhideWhenUsed/>
    <w:qFormat/>
    <w:rsid w:val="00FE0BCA"/>
    <w:rPr>
      <w:color w:val="auto"/>
      <w:u w:val="single"/>
    </w:rPr>
  </w:style>
  <w:style w:type="paragraph" w:styleId="FootnoteText">
    <w:name w:val="footnote text"/>
    <w:basedOn w:val="Normal"/>
    <w:link w:val="FootnoteTextChar"/>
    <w:uiPriority w:val="99"/>
    <w:unhideWhenUsed/>
    <w:rsid w:val="003345DB"/>
    <w:pPr>
      <w:spacing w:after="0" w:line="240" w:lineRule="auto"/>
    </w:pPr>
    <w:rPr>
      <w:sz w:val="20"/>
    </w:rPr>
  </w:style>
  <w:style w:type="character" w:customStyle="1" w:styleId="FootnoteTextChar">
    <w:name w:val="Footnote Text Char"/>
    <w:link w:val="FootnoteText"/>
    <w:uiPriority w:val="99"/>
    <w:rsid w:val="003345DB"/>
    <w:rPr>
      <w:sz w:val="20"/>
    </w:rPr>
  </w:style>
  <w:style w:type="character" w:styleId="FootnoteReference">
    <w:name w:val="footnote reference"/>
    <w:uiPriority w:val="99"/>
    <w:semiHidden/>
    <w:unhideWhenUsed/>
    <w:rsid w:val="003345DB"/>
    <w:rPr>
      <w:vertAlign w:val="superscript"/>
    </w:rPr>
  </w:style>
  <w:style w:type="character" w:customStyle="1" w:styleId="Heading1Char">
    <w:name w:val="Heading 1 Char"/>
    <w:link w:val="Heading1"/>
    <w:uiPriority w:val="9"/>
    <w:rsid w:val="00A06BE7"/>
    <w:rPr>
      <w:rFonts w:ascii="Arial" w:eastAsia="Times New Roman" w:hAnsi="Arial" w:cs="Times New Roman"/>
      <w:color w:val="6C6C6C"/>
      <w:spacing w:val="16"/>
      <w:kern w:val="32"/>
      <w:sz w:val="52"/>
      <w:szCs w:val="52"/>
      <w:lang w:val="en-US" w:eastAsia="ja-JP"/>
    </w:rPr>
  </w:style>
  <w:style w:type="paragraph" w:styleId="Header">
    <w:name w:val="header"/>
    <w:basedOn w:val="Normal"/>
    <w:link w:val="HeaderChar"/>
    <w:uiPriority w:val="99"/>
    <w:unhideWhenUsed/>
    <w:rsid w:val="00536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ED7"/>
  </w:style>
  <w:style w:type="paragraph" w:styleId="Footer">
    <w:name w:val="footer"/>
    <w:basedOn w:val="Normal"/>
    <w:link w:val="FooterChar"/>
    <w:autoRedefine/>
    <w:uiPriority w:val="99"/>
    <w:unhideWhenUsed/>
    <w:qFormat/>
    <w:rsid w:val="00651F8B"/>
    <w:pPr>
      <w:tabs>
        <w:tab w:val="center" w:pos="4513"/>
        <w:tab w:val="right" w:pos="9026"/>
      </w:tabs>
      <w:spacing w:after="0" w:line="240" w:lineRule="auto"/>
      <w:jc w:val="center"/>
    </w:pPr>
    <w:rPr>
      <w:noProof/>
      <w:sz w:val="20"/>
      <w:szCs w:val="24"/>
    </w:rPr>
  </w:style>
  <w:style w:type="character" w:customStyle="1" w:styleId="FooterChar">
    <w:name w:val="Footer Char"/>
    <w:link w:val="Footer"/>
    <w:uiPriority w:val="99"/>
    <w:rsid w:val="00651F8B"/>
    <w:rPr>
      <w:rFonts w:ascii="Arial" w:eastAsia="Cambria" w:hAnsi="Arial" w:cs="Cambria"/>
      <w:noProof/>
      <w:szCs w:val="24"/>
    </w:rPr>
  </w:style>
  <w:style w:type="character" w:styleId="FollowedHyperlink">
    <w:name w:val="FollowedHyperlink"/>
    <w:uiPriority w:val="99"/>
    <w:semiHidden/>
    <w:unhideWhenUsed/>
    <w:rsid w:val="00E37250"/>
    <w:rPr>
      <w:color w:val="59A8D1"/>
      <w:u w:val="single"/>
    </w:rPr>
  </w:style>
  <w:style w:type="paragraph" w:styleId="PlainText">
    <w:name w:val="Plain Text"/>
    <w:basedOn w:val="Normal"/>
    <w:link w:val="PlainTextChar"/>
    <w:uiPriority w:val="99"/>
    <w:unhideWhenUsed/>
    <w:rsid w:val="00AC4245"/>
    <w:pPr>
      <w:spacing w:after="0" w:line="240" w:lineRule="auto"/>
    </w:pPr>
    <w:rPr>
      <w:rFonts w:ascii="Courier" w:eastAsia="MS Gothic" w:hAnsi="Courier" w:cs="Times New Roman"/>
      <w:sz w:val="21"/>
      <w:szCs w:val="21"/>
      <w:lang w:eastAsia="ja-JP"/>
    </w:rPr>
  </w:style>
  <w:style w:type="character" w:customStyle="1" w:styleId="PlainTextChar">
    <w:name w:val="Plain Text Char"/>
    <w:link w:val="PlainText"/>
    <w:uiPriority w:val="99"/>
    <w:rsid w:val="00AC4245"/>
    <w:rPr>
      <w:rFonts w:ascii="Courier" w:eastAsia="MS Gothic" w:hAnsi="Courier" w:cs="Times New Roman"/>
      <w:color w:val="auto"/>
      <w:sz w:val="21"/>
      <w:szCs w:val="21"/>
      <w:lang w:eastAsia="ja-JP"/>
    </w:rPr>
  </w:style>
  <w:style w:type="character" w:styleId="PageNumber">
    <w:name w:val="page number"/>
    <w:uiPriority w:val="99"/>
    <w:semiHidden/>
    <w:unhideWhenUsed/>
    <w:rsid w:val="00B943BF"/>
  </w:style>
  <w:style w:type="paragraph" w:customStyle="1" w:styleId="BullitTEXT">
    <w:name w:val="Bullit TEXT"/>
    <w:basedOn w:val="Normal"/>
    <w:autoRedefine/>
    <w:qFormat/>
    <w:rsid w:val="0077076E"/>
    <w:pPr>
      <w:numPr>
        <w:numId w:val="1"/>
      </w:numPr>
      <w:ind w:left="714" w:hanging="357"/>
      <w:contextualSpacing/>
    </w:pPr>
    <w:rPr>
      <w:lang w:val="en-US" w:eastAsia="ja-JP"/>
    </w:rPr>
  </w:style>
  <w:style w:type="paragraph" w:customStyle="1" w:styleId="TITLE2">
    <w:name w:val="TITLE 2"/>
    <w:basedOn w:val="Normal"/>
    <w:rsid w:val="00A06BE7"/>
    <w:pPr>
      <w:spacing w:after="200" w:line="520" w:lineRule="exact"/>
      <w:ind w:left="-7"/>
      <w:jc w:val="center"/>
    </w:pPr>
    <w:rPr>
      <w:spacing w:val="7"/>
      <w:sz w:val="42"/>
      <w:szCs w:val="42"/>
    </w:rPr>
  </w:style>
  <w:style w:type="paragraph" w:styleId="Caption">
    <w:name w:val="caption"/>
    <w:basedOn w:val="Normal"/>
    <w:next w:val="Normal"/>
    <w:uiPriority w:val="35"/>
    <w:unhideWhenUsed/>
    <w:qFormat/>
    <w:rsid w:val="003118D9"/>
    <w:rPr>
      <w:b/>
      <w:bCs/>
      <w:sz w:val="20"/>
    </w:rPr>
  </w:style>
  <w:style w:type="table" w:styleId="TableGrid">
    <w:name w:val="Table Grid"/>
    <w:basedOn w:val="TableNormal"/>
    <w:uiPriority w:val="59"/>
    <w:rsid w:val="00BC7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0"/>
    <w:rsid w:val="00BC71A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Paragraph">
    <w:name w:val="List Paragraph"/>
    <w:basedOn w:val="Normal"/>
    <w:uiPriority w:val="34"/>
    <w:qFormat/>
    <w:rsid w:val="00A776F3"/>
    <w:pPr>
      <w:spacing w:after="200" w:line="276" w:lineRule="auto"/>
      <w:ind w:left="720"/>
      <w:contextualSpacing/>
    </w:pPr>
    <w:rPr>
      <w:rFonts w:ascii="Calibri" w:eastAsia="Calibri" w:hAnsi="Calibri" w:cs="Times New Roman"/>
      <w:szCs w:val="22"/>
      <w:lang w:eastAsia="en-US"/>
    </w:rPr>
  </w:style>
  <w:style w:type="paragraph" w:customStyle="1" w:styleId="Default">
    <w:name w:val="Default"/>
    <w:rsid w:val="002F6616"/>
    <w:pPr>
      <w:autoSpaceDE w:val="0"/>
      <w:autoSpaceDN w:val="0"/>
      <w:adjustRightInd w:val="0"/>
    </w:pPr>
    <w:rPr>
      <w:color w:val="000000"/>
      <w:sz w:val="24"/>
      <w:szCs w:val="24"/>
      <w:lang w:eastAsia="en-US"/>
    </w:rPr>
  </w:style>
  <w:style w:type="character" w:customStyle="1" w:styleId="A4">
    <w:name w:val="A4"/>
    <w:uiPriority w:val="99"/>
    <w:rsid w:val="00774A5F"/>
    <w:rPr>
      <w:rFonts w:cs="APSCI Q+ Akkurat"/>
      <w:color w:val="000000"/>
      <w:sz w:val="17"/>
      <w:szCs w:val="17"/>
    </w:rPr>
  </w:style>
  <w:style w:type="character" w:customStyle="1" w:styleId="A5">
    <w:name w:val="A5"/>
    <w:uiPriority w:val="99"/>
    <w:rsid w:val="00D05FB4"/>
    <w:rPr>
      <w:rFonts w:cs="Frutiger Next Pro"/>
      <w:color w:val="000000"/>
      <w:sz w:val="17"/>
      <w:szCs w:val="17"/>
    </w:rPr>
  </w:style>
  <w:style w:type="character" w:customStyle="1" w:styleId="Heading2Char">
    <w:name w:val="Heading 2 Char"/>
    <w:link w:val="Heading2"/>
    <w:rsid w:val="00B72325"/>
    <w:rPr>
      <w:rFonts w:ascii="Arial" w:eastAsia="Cambria" w:hAnsi="Arial" w:cs="Cambria"/>
      <w:b/>
      <w:bCs/>
      <w:spacing w:val="10"/>
      <w:sz w:val="28"/>
      <w:szCs w:val="26"/>
      <w:lang w:val="en-US" w:eastAsia="ja-JP"/>
    </w:rPr>
  </w:style>
  <w:style w:type="paragraph" w:styleId="BodyText">
    <w:name w:val="Body Text"/>
    <w:basedOn w:val="Normal"/>
    <w:link w:val="BodyTextChar"/>
    <w:semiHidden/>
    <w:rsid w:val="003C64A7"/>
    <w:pPr>
      <w:suppressAutoHyphens/>
      <w:spacing w:after="0" w:line="24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link w:val="BodyText"/>
    <w:semiHidden/>
    <w:rsid w:val="003C64A7"/>
    <w:rPr>
      <w:rFonts w:ascii="Times New Roman" w:eastAsia="Times New Roman" w:hAnsi="Times New Roman" w:cs="Times New Roman"/>
      <w:sz w:val="24"/>
      <w:szCs w:val="24"/>
      <w:lang w:val="en-US" w:eastAsia="ar-SA"/>
    </w:rPr>
  </w:style>
  <w:style w:type="character" w:customStyle="1" w:styleId="Heading4Char">
    <w:name w:val="Heading 4 Char"/>
    <w:link w:val="Heading4"/>
    <w:rsid w:val="0069004B"/>
    <w:rPr>
      <w:rFonts w:ascii="Arial" w:eastAsia="Cambria" w:hAnsi="Arial" w:cs="Cambria"/>
      <w:b/>
      <w:bCs/>
      <w:spacing w:val="8"/>
      <w:sz w:val="24"/>
      <w:szCs w:val="24"/>
    </w:rPr>
  </w:style>
  <w:style w:type="table" w:styleId="LightList-Accent1">
    <w:name w:val="Light List Accent 1"/>
    <w:basedOn w:val="TableNormal"/>
    <w:uiPriority w:val="66"/>
    <w:rsid w:val="00676E6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ibliography">
    <w:name w:val="Bibliography"/>
    <w:basedOn w:val="Normal"/>
    <w:next w:val="Normal"/>
    <w:uiPriority w:val="70"/>
    <w:rsid w:val="002D3C4C"/>
  </w:style>
  <w:style w:type="paragraph" w:styleId="CommentSubject">
    <w:name w:val="annotation subject"/>
    <w:basedOn w:val="CommentText"/>
    <w:next w:val="CommentText"/>
    <w:link w:val="CommentSubjectChar"/>
    <w:uiPriority w:val="99"/>
    <w:semiHidden/>
    <w:unhideWhenUsed/>
    <w:rsid w:val="00893F55"/>
    <w:rPr>
      <w:b/>
      <w:bCs/>
    </w:rPr>
  </w:style>
  <w:style w:type="character" w:customStyle="1" w:styleId="CommentSubjectChar">
    <w:name w:val="Comment Subject Char"/>
    <w:basedOn w:val="CommentTextChar"/>
    <w:link w:val="CommentSubject"/>
    <w:uiPriority w:val="99"/>
    <w:semiHidden/>
    <w:rsid w:val="00893F55"/>
    <w:rPr>
      <w:rFonts w:ascii="Arial" w:eastAsia="Cambria" w:hAnsi="Arial" w:cs="Cambria"/>
      <w:b/>
      <w:bCs/>
      <w:sz w:val="20"/>
    </w:rPr>
  </w:style>
  <w:style w:type="paragraph" w:styleId="TableofFigures">
    <w:name w:val="table of figures"/>
    <w:basedOn w:val="Normal"/>
    <w:next w:val="Normal"/>
    <w:uiPriority w:val="99"/>
    <w:unhideWhenUsed/>
    <w:rsid w:val="004A2087"/>
    <w:pPr>
      <w:spacing w:after="0"/>
    </w:pPr>
  </w:style>
  <w:style w:type="paragraph" w:styleId="Revision">
    <w:name w:val="Revision"/>
    <w:hidden/>
    <w:uiPriority w:val="71"/>
    <w:rsid w:val="00D76CB8"/>
    <w:rPr>
      <w:rFonts w:ascii="Arial" w:eastAsia="Cambria" w:hAnsi="Arial" w:cs="Cambria"/>
      <w:sz w:val="22"/>
    </w:rPr>
  </w:style>
  <w:style w:type="table" w:styleId="LightGrid-Accent1">
    <w:name w:val="Light Grid Accent 1"/>
    <w:basedOn w:val="TableNormal"/>
    <w:uiPriority w:val="67"/>
    <w:rsid w:val="00944F2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6"/>
    <w:rsid w:val="00944F2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7"/>
    <w:rsid w:val="00944F2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5">
    <w:name w:val="Medium Shading 2 Accent 5"/>
    <w:basedOn w:val="TableNormal"/>
    <w:uiPriority w:val="69"/>
    <w:rsid w:val="00944F2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11E1C"/>
    <w:pPr>
      <w:spacing w:after="120" w:line="288" w:lineRule="auto"/>
    </w:pPr>
    <w:rPr>
      <w:rFonts w:ascii="Arial" w:eastAsia="Cambria" w:hAnsi="Arial" w:cs="Cambria"/>
      <w:sz w:val="22"/>
    </w:rPr>
  </w:style>
  <w:style w:type="paragraph" w:styleId="Heading1">
    <w:name w:val="heading 1"/>
    <w:basedOn w:val="Normal"/>
    <w:next w:val="Normal"/>
    <w:link w:val="Heading1Char"/>
    <w:uiPriority w:val="9"/>
    <w:qFormat/>
    <w:rsid w:val="00A06BE7"/>
    <w:pPr>
      <w:keepNext/>
      <w:pageBreakBefore/>
      <w:spacing w:after="600" w:line="240" w:lineRule="auto"/>
      <w:outlineLvl w:val="0"/>
    </w:pPr>
    <w:rPr>
      <w:rFonts w:eastAsia="Times New Roman" w:cs="Times New Roman"/>
      <w:color w:val="6C6C6C"/>
      <w:spacing w:val="16"/>
      <w:kern w:val="32"/>
      <w:sz w:val="52"/>
      <w:szCs w:val="52"/>
      <w:lang w:val="en-US" w:eastAsia="ja-JP"/>
    </w:rPr>
  </w:style>
  <w:style w:type="paragraph" w:styleId="Heading2">
    <w:name w:val="heading 2"/>
    <w:basedOn w:val="Normal"/>
    <w:next w:val="Normal"/>
    <w:link w:val="Heading2Char"/>
    <w:autoRedefine/>
    <w:qFormat/>
    <w:rsid w:val="00B72325"/>
    <w:pPr>
      <w:keepNext/>
      <w:keepLines/>
      <w:spacing w:before="240" w:line="300" w:lineRule="exact"/>
      <w:outlineLvl w:val="1"/>
    </w:pPr>
    <w:rPr>
      <w:b/>
      <w:bCs/>
      <w:spacing w:val="10"/>
      <w:sz w:val="28"/>
      <w:szCs w:val="26"/>
      <w:lang w:val="en-US" w:eastAsia="ja-JP"/>
    </w:rPr>
  </w:style>
  <w:style w:type="paragraph" w:styleId="Heading3">
    <w:name w:val="heading 3"/>
    <w:basedOn w:val="Normal"/>
    <w:next w:val="Normal"/>
    <w:qFormat/>
    <w:rsid w:val="00B11E1C"/>
    <w:pPr>
      <w:keepNext/>
      <w:keepLines/>
      <w:spacing w:before="240" w:after="60"/>
      <w:outlineLvl w:val="2"/>
    </w:pPr>
    <w:rPr>
      <w:bCs/>
      <w:spacing w:val="8"/>
      <w:sz w:val="28"/>
      <w:szCs w:val="28"/>
    </w:rPr>
  </w:style>
  <w:style w:type="paragraph" w:styleId="Heading4">
    <w:name w:val="heading 4"/>
    <w:basedOn w:val="Normal"/>
    <w:next w:val="Normal"/>
    <w:link w:val="Heading4Char"/>
    <w:qFormat/>
    <w:rsid w:val="005950FE"/>
    <w:pPr>
      <w:keepNext/>
      <w:keepLines/>
      <w:spacing w:before="240" w:after="60"/>
      <w:outlineLvl w:val="3"/>
    </w:pPr>
    <w:rPr>
      <w:b/>
      <w:bCs/>
      <w:spacing w:val="8"/>
      <w:sz w:val="24"/>
      <w:szCs w:val="24"/>
    </w:rPr>
  </w:style>
  <w:style w:type="paragraph" w:styleId="Heading5">
    <w:name w:val="heading 5"/>
    <w:basedOn w:val="Normal"/>
    <w:next w:val="Normal"/>
    <w:qFormat/>
    <w:rsid w:val="00C907D6"/>
    <w:pPr>
      <w:keepNext/>
      <w:keepLines/>
      <w:spacing w:before="220" w:after="40"/>
      <w:contextualSpacing/>
      <w:outlineLvl w:val="4"/>
    </w:pPr>
    <w:rPr>
      <w:b/>
    </w:rPr>
  </w:style>
  <w:style w:type="paragraph" w:styleId="Heading6">
    <w:name w:val="heading 6"/>
    <w:basedOn w:val="Normal"/>
    <w:next w:val="Normal"/>
    <w:qFormat/>
    <w:rsid w:val="00C907D6"/>
    <w:pPr>
      <w:keepNext/>
      <w:keepLines/>
      <w:spacing w:before="200" w:after="40"/>
      <w:contextualSpacing/>
      <w:outlineLvl w:val="5"/>
    </w:pPr>
    <w:rPr>
      <w:b/>
      <w:sz w:val="20"/>
    </w:rPr>
  </w:style>
  <w:style w:type="paragraph" w:styleId="Heading7">
    <w:name w:val="heading 7"/>
    <w:basedOn w:val="Normal"/>
    <w:next w:val="Normal"/>
    <w:link w:val="Heading7Char"/>
    <w:uiPriority w:val="9"/>
    <w:qFormat/>
    <w:rsid w:val="005950FE"/>
    <w:pPr>
      <w:spacing w:before="240" w:after="60"/>
      <w:outlineLvl w:val="6"/>
    </w:pPr>
    <w:rPr>
      <w:rFonts w:eastAsia="MS Mincho"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semiHidden/>
    <w:rsid w:val="005950FE"/>
    <w:rPr>
      <w:rFonts w:ascii="News Gothic" w:eastAsia="MS Mincho" w:hAnsi="News Gothic" w:cs="Times New Roman"/>
      <w:sz w:val="24"/>
      <w:szCs w:val="24"/>
      <w:lang w:eastAsia="en-AU"/>
    </w:rPr>
  </w:style>
  <w:style w:type="paragraph" w:styleId="Subtitle">
    <w:name w:val="Subtitle"/>
    <w:basedOn w:val="Normal"/>
    <w:next w:val="Normal"/>
    <w:qFormat/>
    <w:rsid w:val="005950FE"/>
    <w:pPr>
      <w:keepNext/>
      <w:keepLines/>
    </w:pPr>
    <w:rPr>
      <w:i/>
      <w:sz w:val="24"/>
    </w:rPr>
  </w:style>
  <w:style w:type="table" w:customStyle="1" w:styleId="1">
    <w:name w:val="1"/>
    <w:basedOn w:val="TableNormal"/>
    <w:rsid w:val="00C907D6"/>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C907D6"/>
    <w:pPr>
      <w:spacing w:line="240" w:lineRule="auto"/>
    </w:pPr>
    <w:rPr>
      <w:sz w:val="20"/>
    </w:rPr>
  </w:style>
  <w:style w:type="character" w:customStyle="1" w:styleId="CommentTextChar">
    <w:name w:val="Comment Text Char"/>
    <w:link w:val="CommentText"/>
    <w:uiPriority w:val="99"/>
    <w:semiHidden/>
    <w:rsid w:val="00C907D6"/>
    <w:rPr>
      <w:sz w:val="20"/>
    </w:rPr>
  </w:style>
  <w:style w:type="character" w:styleId="CommentReference">
    <w:name w:val="annotation reference"/>
    <w:uiPriority w:val="99"/>
    <w:semiHidden/>
    <w:unhideWhenUsed/>
    <w:rsid w:val="00C907D6"/>
    <w:rPr>
      <w:sz w:val="16"/>
      <w:szCs w:val="16"/>
    </w:rPr>
  </w:style>
  <w:style w:type="paragraph" w:styleId="BalloonText">
    <w:name w:val="Balloon Text"/>
    <w:basedOn w:val="Normal"/>
    <w:link w:val="BalloonTextChar"/>
    <w:uiPriority w:val="99"/>
    <w:semiHidden/>
    <w:unhideWhenUsed/>
    <w:rsid w:val="005D08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0870"/>
    <w:rPr>
      <w:rFonts w:ascii="Tahoma" w:hAnsi="Tahoma" w:cs="Tahoma"/>
      <w:sz w:val="16"/>
      <w:szCs w:val="16"/>
    </w:rPr>
  </w:style>
  <w:style w:type="paragraph" w:customStyle="1" w:styleId="TITLE1">
    <w:name w:val="TITLE 1"/>
    <w:next w:val="TITLE2"/>
    <w:rsid w:val="00A06BE7"/>
    <w:pPr>
      <w:spacing w:after="120" w:line="840" w:lineRule="exact"/>
    </w:pPr>
    <w:rPr>
      <w:rFonts w:ascii="Arial" w:hAnsi="Arial"/>
      <w:noProof/>
      <w:color w:val="000000"/>
      <w:spacing w:val="10"/>
      <w:sz w:val="84"/>
      <w:szCs w:val="84"/>
      <w:lang w:val="en-US" w:eastAsia="en-US"/>
    </w:rPr>
  </w:style>
  <w:style w:type="paragraph" w:styleId="TOC1">
    <w:name w:val="toc 1"/>
    <w:basedOn w:val="Normal"/>
    <w:next w:val="Normal"/>
    <w:autoRedefine/>
    <w:uiPriority w:val="39"/>
    <w:unhideWhenUsed/>
    <w:rsid w:val="00877AD0"/>
    <w:pPr>
      <w:spacing w:after="100"/>
    </w:pPr>
  </w:style>
  <w:style w:type="paragraph" w:styleId="TOC2">
    <w:name w:val="toc 2"/>
    <w:basedOn w:val="Normal"/>
    <w:next w:val="Normal"/>
    <w:autoRedefine/>
    <w:uiPriority w:val="39"/>
    <w:unhideWhenUsed/>
    <w:rsid w:val="00877AD0"/>
    <w:pPr>
      <w:spacing w:after="100"/>
      <w:ind w:left="220"/>
    </w:pPr>
  </w:style>
  <w:style w:type="paragraph" w:styleId="TOC3">
    <w:name w:val="toc 3"/>
    <w:basedOn w:val="Normal"/>
    <w:next w:val="Normal"/>
    <w:autoRedefine/>
    <w:uiPriority w:val="39"/>
    <w:unhideWhenUsed/>
    <w:rsid w:val="00877AD0"/>
    <w:pPr>
      <w:spacing w:after="100"/>
      <w:ind w:left="440"/>
    </w:pPr>
  </w:style>
  <w:style w:type="character" w:styleId="Hyperlink">
    <w:name w:val="Hyperlink"/>
    <w:uiPriority w:val="99"/>
    <w:unhideWhenUsed/>
    <w:qFormat/>
    <w:rsid w:val="00FE0BCA"/>
    <w:rPr>
      <w:color w:val="auto"/>
      <w:u w:val="single"/>
    </w:rPr>
  </w:style>
  <w:style w:type="paragraph" w:styleId="FootnoteText">
    <w:name w:val="footnote text"/>
    <w:basedOn w:val="Normal"/>
    <w:link w:val="FootnoteTextChar"/>
    <w:uiPriority w:val="99"/>
    <w:unhideWhenUsed/>
    <w:rsid w:val="003345DB"/>
    <w:pPr>
      <w:spacing w:after="0" w:line="240" w:lineRule="auto"/>
    </w:pPr>
    <w:rPr>
      <w:sz w:val="20"/>
    </w:rPr>
  </w:style>
  <w:style w:type="character" w:customStyle="1" w:styleId="FootnoteTextChar">
    <w:name w:val="Footnote Text Char"/>
    <w:link w:val="FootnoteText"/>
    <w:uiPriority w:val="99"/>
    <w:rsid w:val="003345DB"/>
    <w:rPr>
      <w:sz w:val="20"/>
    </w:rPr>
  </w:style>
  <w:style w:type="character" w:styleId="FootnoteReference">
    <w:name w:val="footnote reference"/>
    <w:uiPriority w:val="99"/>
    <w:semiHidden/>
    <w:unhideWhenUsed/>
    <w:rsid w:val="003345DB"/>
    <w:rPr>
      <w:vertAlign w:val="superscript"/>
    </w:rPr>
  </w:style>
  <w:style w:type="character" w:customStyle="1" w:styleId="Heading1Char">
    <w:name w:val="Heading 1 Char"/>
    <w:link w:val="Heading1"/>
    <w:uiPriority w:val="9"/>
    <w:rsid w:val="00A06BE7"/>
    <w:rPr>
      <w:rFonts w:ascii="Arial" w:eastAsia="Times New Roman" w:hAnsi="Arial" w:cs="Times New Roman"/>
      <w:color w:val="6C6C6C"/>
      <w:spacing w:val="16"/>
      <w:kern w:val="32"/>
      <w:sz w:val="52"/>
      <w:szCs w:val="52"/>
      <w:lang w:val="en-US" w:eastAsia="ja-JP"/>
    </w:rPr>
  </w:style>
  <w:style w:type="paragraph" w:styleId="Header">
    <w:name w:val="header"/>
    <w:basedOn w:val="Normal"/>
    <w:link w:val="HeaderChar"/>
    <w:uiPriority w:val="99"/>
    <w:unhideWhenUsed/>
    <w:rsid w:val="00536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ED7"/>
  </w:style>
  <w:style w:type="paragraph" w:styleId="Footer">
    <w:name w:val="footer"/>
    <w:basedOn w:val="Normal"/>
    <w:link w:val="FooterChar"/>
    <w:autoRedefine/>
    <w:uiPriority w:val="99"/>
    <w:unhideWhenUsed/>
    <w:qFormat/>
    <w:rsid w:val="00651F8B"/>
    <w:pPr>
      <w:tabs>
        <w:tab w:val="center" w:pos="4513"/>
        <w:tab w:val="right" w:pos="9026"/>
      </w:tabs>
      <w:spacing w:after="0" w:line="240" w:lineRule="auto"/>
      <w:jc w:val="center"/>
    </w:pPr>
    <w:rPr>
      <w:noProof/>
      <w:sz w:val="20"/>
      <w:szCs w:val="24"/>
    </w:rPr>
  </w:style>
  <w:style w:type="character" w:customStyle="1" w:styleId="FooterChar">
    <w:name w:val="Footer Char"/>
    <w:link w:val="Footer"/>
    <w:uiPriority w:val="99"/>
    <w:rsid w:val="00651F8B"/>
    <w:rPr>
      <w:rFonts w:ascii="Arial" w:eastAsia="Cambria" w:hAnsi="Arial" w:cs="Cambria"/>
      <w:noProof/>
      <w:szCs w:val="24"/>
    </w:rPr>
  </w:style>
  <w:style w:type="character" w:styleId="FollowedHyperlink">
    <w:name w:val="FollowedHyperlink"/>
    <w:uiPriority w:val="99"/>
    <w:semiHidden/>
    <w:unhideWhenUsed/>
    <w:rsid w:val="00E37250"/>
    <w:rPr>
      <w:color w:val="59A8D1"/>
      <w:u w:val="single"/>
    </w:rPr>
  </w:style>
  <w:style w:type="paragraph" w:styleId="PlainText">
    <w:name w:val="Plain Text"/>
    <w:basedOn w:val="Normal"/>
    <w:link w:val="PlainTextChar"/>
    <w:uiPriority w:val="99"/>
    <w:unhideWhenUsed/>
    <w:rsid w:val="00AC4245"/>
    <w:pPr>
      <w:spacing w:after="0" w:line="240" w:lineRule="auto"/>
    </w:pPr>
    <w:rPr>
      <w:rFonts w:ascii="Courier" w:eastAsia="MS Gothic" w:hAnsi="Courier" w:cs="Times New Roman"/>
      <w:sz w:val="21"/>
      <w:szCs w:val="21"/>
      <w:lang w:eastAsia="ja-JP"/>
    </w:rPr>
  </w:style>
  <w:style w:type="character" w:customStyle="1" w:styleId="PlainTextChar">
    <w:name w:val="Plain Text Char"/>
    <w:link w:val="PlainText"/>
    <w:uiPriority w:val="99"/>
    <w:rsid w:val="00AC4245"/>
    <w:rPr>
      <w:rFonts w:ascii="Courier" w:eastAsia="MS Gothic" w:hAnsi="Courier" w:cs="Times New Roman"/>
      <w:color w:val="auto"/>
      <w:sz w:val="21"/>
      <w:szCs w:val="21"/>
      <w:lang w:eastAsia="ja-JP"/>
    </w:rPr>
  </w:style>
  <w:style w:type="character" w:styleId="PageNumber">
    <w:name w:val="page number"/>
    <w:uiPriority w:val="99"/>
    <w:semiHidden/>
    <w:unhideWhenUsed/>
    <w:rsid w:val="00B943BF"/>
  </w:style>
  <w:style w:type="paragraph" w:customStyle="1" w:styleId="BullitTEXT">
    <w:name w:val="Bullit TEXT"/>
    <w:basedOn w:val="Normal"/>
    <w:autoRedefine/>
    <w:qFormat/>
    <w:rsid w:val="0077076E"/>
    <w:pPr>
      <w:numPr>
        <w:numId w:val="1"/>
      </w:numPr>
      <w:ind w:left="714" w:hanging="357"/>
      <w:contextualSpacing/>
    </w:pPr>
    <w:rPr>
      <w:lang w:val="en-US" w:eastAsia="ja-JP"/>
    </w:rPr>
  </w:style>
  <w:style w:type="paragraph" w:customStyle="1" w:styleId="TITLE2">
    <w:name w:val="TITLE 2"/>
    <w:basedOn w:val="Normal"/>
    <w:rsid w:val="00A06BE7"/>
    <w:pPr>
      <w:spacing w:after="200" w:line="520" w:lineRule="exact"/>
      <w:ind w:left="-7"/>
      <w:jc w:val="center"/>
    </w:pPr>
    <w:rPr>
      <w:spacing w:val="7"/>
      <w:sz w:val="42"/>
      <w:szCs w:val="42"/>
    </w:rPr>
  </w:style>
  <w:style w:type="paragraph" w:styleId="Caption">
    <w:name w:val="caption"/>
    <w:basedOn w:val="Normal"/>
    <w:next w:val="Normal"/>
    <w:uiPriority w:val="35"/>
    <w:unhideWhenUsed/>
    <w:qFormat/>
    <w:rsid w:val="003118D9"/>
    <w:rPr>
      <w:b/>
      <w:bCs/>
      <w:sz w:val="20"/>
    </w:rPr>
  </w:style>
  <w:style w:type="table" w:styleId="TableGrid">
    <w:name w:val="Table Grid"/>
    <w:basedOn w:val="TableNormal"/>
    <w:uiPriority w:val="59"/>
    <w:rsid w:val="00BC7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0"/>
    <w:rsid w:val="00BC71A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Paragraph">
    <w:name w:val="List Paragraph"/>
    <w:basedOn w:val="Normal"/>
    <w:uiPriority w:val="34"/>
    <w:qFormat/>
    <w:rsid w:val="00A776F3"/>
    <w:pPr>
      <w:spacing w:after="200" w:line="276" w:lineRule="auto"/>
      <w:ind w:left="720"/>
      <w:contextualSpacing/>
    </w:pPr>
    <w:rPr>
      <w:rFonts w:ascii="Calibri" w:eastAsia="Calibri" w:hAnsi="Calibri" w:cs="Times New Roman"/>
      <w:szCs w:val="22"/>
      <w:lang w:eastAsia="en-US"/>
    </w:rPr>
  </w:style>
  <w:style w:type="paragraph" w:customStyle="1" w:styleId="Default">
    <w:name w:val="Default"/>
    <w:rsid w:val="002F6616"/>
    <w:pPr>
      <w:autoSpaceDE w:val="0"/>
      <w:autoSpaceDN w:val="0"/>
      <w:adjustRightInd w:val="0"/>
    </w:pPr>
    <w:rPr>
      <w:color w:val="000000"/>
      <w:sz w:val="24"/>
      <w:szCs w:val="24"/>
      <w:lang w:eastAsia="en-US"/>
    </w:rPr>
  </w:style>
  <w:style w:type="character" w:customStyle="1" w:styleId="A4">
    <w:name w:val="A4"/>
    <w:uiPriority w:val="99"/>
    <w:rsid w:val="00774A5F"/>
    <w:rPr>
      <w:rFonts w:cs="APSCI Q+ Akkurat"/>
      <w:color w:val="000000"/>
      <w:sz w:val="17"/>
      <w:szCs w:val="17"/>
    </w:rPr>
  </w:style>
  <w:style w:type="character" w:customStyle="1" w:styleId="A5">
    <w:name w:val="A5"/>
    <w:uiPriority w:val="99"/>
    <w:rsid w:val="00D05FB4"/>
    <w:rPr>
      <w:rFonts w:cs="Frutiger Next Pro"/>
      <w:color w:val="000000"/>
      <w:sz w:val="17"/>
      <w:szCs w:val="17"/>
    </w:rPr>
  </w:style>
  <w:style w:type="character" w:customStyle="1" w:styleId="Heading2Char">
    <w:name w:val="Heading 2 Char"/>
    <w:link w:val="Heading2"/>
    <w:rsid w:val="00B72325"/>
    <w:rPr>
      <w:rFonts w:ascii="Arial" w:eastAsia="Cambria" w:hAnsi="Arial" w:cs="Cambria"/>
      <w:b/>
      <w:bCs/>
      <w:spacing w:val="10"/>
      <w:sz w:val="28"/>
      <w:szCs w:val="26"/>
      <w:lang w:val="en-US" w:eastAsia="ja-JP"/>
    </w:rPr>
  </w:style>
  <w:style w:type="paragraph" w:styleId="BodyText">
    <w:name w:val="Body Text"/>
    <w:basedOn w:val="Normal"/>
    <w:link w:val="BodyTextChar"/>
    <w:semiHidden/>
    <w:rsid w:val="003C64A7"/>
    <w:pPr>
      <w:suppressAutoHyphens/>
      <w:spacing w:after="0" w:line="24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link w:val="BodyText"/>
    <w:semiHidden/>
    <w:rsid w:val="003C64A7"/>
    <w:rPr>
      <w:rFonts w:ascii="Times New Roman" w:eastAsia="Times New Roman" w:hAnsi="Times New Roman" w:cs="Times New Roman"/>
      <w:sz w:val="24"/>
      <w:szCs w:val="24"/>
      <w:lang w:val="en-US" w:eastAsia="ar-SA"/>
    </w:rPr>
  </w:style>
  <w:style w:type="character" w:customStyle="1" w:styleId="Heading4Char">
    <w:name w:val="Heading 4 Char"/>
    <w:link w:val="Heading4"/>
    <w:rsid w:val="0069004B"/>
    <w:rPr>
      <w:rFonts w:ascii="Arial" w:eastAsia="Cambria" w:hAnsi="Arial" w:cs="Cambria"/>
      <w:b/>
      <w:bCs/>
      <w:spacing w:val="8"/>
      <w:sz w:val="24"/>
      <w:szCs w:val="24"/>
    </w:rPr>
  </w:style>
  <w:style w:type="table" w:styleId="LightList-Accent1">
    <w:name w:val="Light List Accent 1"/>
    <w:basedOn w:val="TableNormal"/>
    <w:uiPriority w:val="66"/>
    <w:rsid w:val="00676E6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ibliography">
    <w:name w:val="Bibliography"/>
    <w:basedOn w:val="Normal"/>
    <w:next w:val="Normal"/>
    <w:uiPriority w:val="70"/>
    <w:rsid w:val="002D3C4C"/>
  </w:style>
  <w:style w:type="paragraph" w:styleId="CommentSubject">
    <w:name w:val="annotation subject"/>
    <w:basedOn w:val="CommentText"/>
    <w:next w:val="CommentText"/>
    <w:link w:val="CommentSubjectChar"/>
    <w:uiPriority w:val="99"/>
    <w:semiHidden/>
    <w:unhideWhenUsed/>
    <w:rsid w:val="00893F55"/>
    <w:rPr>
      <w:b/>
      <w:bCs/>
    </w:rPr>
  </w:style>
  <w:style w:type="character" w:customStyle="1" w:styleId="CommentSubjectChar">
    <w:name w:val="Comment Subject Char"/>
    <w:basedOn w:val="CommentTextChar"/>
    <w:link w:val="CommentSubject"/>
    <w:uiPriority w:val="99"/>
    <w:semiHidden/>
    <w:rsid w:val="00893F55"/>
    <w:rPr>
      <w:rFonts w:ascii="Arial" w:eastAsia="Cambria" w:hAnsi="Arial" w:cs="Cambria"/>
      <w:b/>
      <w:bCs/>
      <w:sz w:val="20"/>
    </w:rPr>
  </w:style>
  <w:style w:type="paragraph" w:styleId="TableofFigures">
    <w:name w:val="table of figures"/>
    <w:basedOn w:val="Normal"/>
    <w:next w:val="Normal"/>
    <w:uiPriority w:val="99"/>
    <w:unhideWhenUsed/>
    <w:rsid w:val="004A2087"/>
    <w:pPr>
      <w:spacing w:after="0"/>
    </w:pPr>
  </w:style>
  <w:style w:type="paragraph" w:styleId="Revision">
    <w:name w:val="Revision"/>
    <w:hidden/>
    <w:uiPriority w:val="71"/>
    <w:rsid w:val="00D76CB8"/>
    <w:rPr>
      <w:rFonts w:ascii="Arial" w:eastAsia="Cambria" w:hAnsi="Arial" w:cs="Cambria"/>
      <w:sz w:val="22"/>
    </w:rPr>
  </w:style>
  <w:style w:type="table" w:styleId="LightGrid-Accent1">
    <w:name w:val="Light Grid Accent 1"/>
    <w:basedOn w:val="TableNormal"/>
    <w:uiPriority w:val="67"/>
    <w:rsid w:val="00944F2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6"/>
    <w:rsid w:val="00944F2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7"/>
    <w:rsid w:val="00944F2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5">
    <w:name w:val="Medium Shading 2 Accent 5"/>
    <w:basedOn w:val="TableNormal"/>
    <w:uiPriority w:val="69"/>
    <w:rsid w:val="00944F2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932">
      <w:bodyDiv w:val="1"/>
      <w:marLeft w:val="0"/>
      <w:marRight w:val="0"/>
      <w:marTop w:val="0"/>
      <w:marBottom w:val="0"/>
      <w:divBdr>
        <w:top w:val="none" w:sz="0" w:space="0" w:color="auto"/>
        <w:left w:val="none" w:sz="0" w:space="0" w:color="auto"/>
        <w:bottom w:val="none" w:sz="0" w:space="0" w:color="auto"/>
        <w:right w:val="none" w:sz="0" w:space="0" w:color="auto"/>
      </w:divBdr>
    </w:div>
    <w:div w:id="41252212">
      <w:bodyDiv w:val="1"/>
      <w:marLeft w:val="0"/>
      <w:marRight w:val="0"/>
      <w:marTop w:val="0"/>
      <w:marBottom w:val="0"/>
      <w:divBdr>
        <w:top w:val="none" w:sz="0" w:space="0" w:color="auto"/>
        <w:left w:val="none" w:sz="0" w:space="0" w:color="auto"/>
        <w:bottom w:val="none" w:sz="0" w:space="0" w:color="auto"/>
        <w:right w:val="none" w:sz="0" w:space="0" w:color="auto"/>
      </w:divBdr>
    </w:div>
    <w:div w:id="50733781">
      <w:bodyDiv w:val="1"/>
      <w:marLeft w:val="0"/>
      <w:marRight w:val="0"/>
      <w:marTop w:val="0"/>
      <w:marBottom w:val="0"/>
      <w:divBdr>
        <w:top w:val="none" w:sz="0" w:space="0" w:color="auto"/>
        <w:left w:val="none" w:sz="0" w:space="0" w:color="auto"/>
        <w:bottom w:val="none" w:sz="0" w:space="0" w:color="auto"/>
        <w:right w:val="none" w:sz="0" w:space="0" w:color="auto"/>
      </w:divBdr>
    </w:div>
    <w:div w:id="52854114">
      <w:bodyDiv w:val="1"/>
      <w:marLeft w:val="0"/>
      <w:marRight w:val="0"/>
      <w:marTop w:val="0"/>
      <w:marBottom w:val="0"/>
      <w:divBdr>
        <w:top w:val="none" w:sz="0" w:space="0" w:color="auto"/>
        <w:left w:val="none" w:sz="0" w:space="0" w:color="auto"/>
        <w:bottom w:val="none" w:sz="0" w:space="0" w:color="auto"/>
        <w:right w:val="none" w:sz="0" w:space="0" w:color="auto"/>
      </w:divBdr>
    </w:div>
    <w:div w:id="64647688">
      <w:bodyDiv w:val="1"/>
      <w:marLeft w:val="0"/>
      <w:marRight w:val="0"/>
      <w:marTop w:val="0"/>
      <w:marBottom w:val="0"/>
      <w:divBdr>
        <w:top w:val="none" w:sz="0" w:space="0" w:color="auto"/>
        <w:left w:val="none" w:sz="0" w:space="0" w:color="auto"/>
        <w:bottom w:val="none" w:sz="0" w:space="0" w:color="auto"/>
        <w:right w:val="none" w:sz="0" w:space="0" w:color="auto"/>
      </w:divBdr>
    </w:div>
    <w:div w:id="103354536">
      <w:bodyDiv w:val="1"/>
      <w:marLeft w:val="0"/>
      <w:marRight w:val="0"/>
      <w:marTop w:val="0"/>
      <w:marBottom w:val="0"/>
      <w:divBdr>
        <w:top w:val="none" w:sz="0" w:space="0" w:color="auto"/>
        <w:left w:val="none" w:sz="0" w:space="0" w:color="auto"/>
        <w:bottom w:val="none" w:sz="0" w:space="0" w:color="auto"/>
        <w:right w:val="none" w:sz="0" w:space="0" w:color="auto"/>
      </w:divBdr>
    </w:div>
    <w:div w:id="107969798">
      <w:bodyDiv w:val="1"/>
      <w:marLeft w:val="0"/>
      <w:marRight w:val="0"/>
      <w:marTop w:val="0"/>
      <w:marBottom w:val="0"/>
      <w:divBdr>
        <w:top w:val="none" w:sz="0" w:space="0" w:color="auto"/>
        <w:left w:val="none" w:sz="0" w:space="0" w:color="auto"/>
        <w:bottom w:val="none" w:sz="0" w:space="0" w:color="auto"/>
        <w:right w:val="none" w:sz="0" w:space="0" w:color="auto"/>
      </w:divBdr>
    </w:div>
    <w:div w:id="111482216">
      <w:bodyDiv w:val="1"/>
      <w:marLeft w:val="0"/>
      <w:marRight w:val="0"/>
      <w:marTop w:val="0"/>
      <w:marBottom w:val="0"/>
      <w:divBdr>
        <w:top w:val="none" w:sz="0" w:space="0" w:color="auto"/>
        <w:left w:val="none" w:sz="0" w:space="0" w:color="auto"/>
        <w:bottom w:val="none" w:sz="0" w:space="0" w:color="auto"/>
        <w:right w:val="none" w:sz="0" w:space="0" w:color="auto"/>
      </w:divBdr>
    </w:div>
    <w:div w:id="134104745">
      <w:bodyDiv w:val="1"/>
      <w:marLeft w:val="0"/>
      <w:marRight w:val="0"/>
      <w:marTop w:val="0"/>
      <w:marBottom w:val="0"/>
      <w:divBdr>
        <w:top w:val="none" w:sz="0" w:space="0" w:color="auto"/>
        <w:left w:val="none" w:sz="0" w:space="0" w:color="auto"/>
        <w:bottom w:val="none" w:sz="0" w:space="0" w:color="auto"/>
        <w:right w:val="none" w:sz="0" w:space="0" w:color="auto"/>
      </w:divBdr>
    </w:div>
    <w:div w:id="162361912">
      <w:bodyDiv w:val="1"/>
      <w:marLeft w:val="0"/>
      <w:marRight w:val="0"/>
      <w:marTop w:val="0"/>
      <w:marBottom w:val="0"/>
      <w:divBdr>
        <w:top w:val="none" w:sz="0" w:space="0" w:color="auto"/>
        <w:left w:val="none" w:sz="0" w:space="0" w:color="auto"/>
        <w:bottom w:val="none" w:sz="0" w:space="0" w:color="auto"/>
        <w:right w:val="none" w:sz="0" w:space="0" w:color="auto"/>
      </w:divBdr>
    </w:div>
    <w:div w:id="162400818">
      <w:bodyDiv w:val="1"/>
      <w:marLeft w:val="0"/>
      <w:marRight w:val="0"/>
      <w:marTop w:val="0"/>
      <w:marBottom w:val="0"/>
      <w:divBdr>
        <w:top w:val="none" w:sz="0" w:space="0" w:color="auto"/>
        <w:left w:val="none" w:sz="0" w:space="0" w:color="auto"/>
        <w:bottom w:val="none" w:sz="0" w:space="0" w:color="auto"/>
        <w:right w:val="none" w:sz="0" w:space="0" w:color="auto"/>
      </w:divBdr>
    </w:div>
    <w:div w:id="177820078">
      <w:bodyDiv w:val="1"/>
      <w:marLeft w:val="0"/>
      <w:marRight w:val="0"/>
      <w:marTop w:val="0"/>
      <w:marBottom w:val="0"/>
      <w:divBdr>
        <w:top w:val="none" w:sz="0" w:space="0" w:color="auto"/>
        <w:left w:val="none" w:sz="0" w:space="0" w:color="auto"/>
        <w:bottom w:val="none" w:sz="0" w:space="0" w:color="auto"/>
        <w:right w:val="none" w:sz="0" w:space="0" w:color="auto"/>
      </w:divBdr>
    </w:div>
    <w:div w:id="179047602">
      <w:bodyDiv w:val="1"/>
      <w:marLeft w:val="0"/>
      <w:marRight w:val="0"/>
      <w:marTop w:val="0"/>
      <w:marBottom w:val="0"/>
      <w:divBdr>
        <w:top w:val="none" w:sz="0" w:space="0" w:color="auto"/>
        <w:left w:val="none" w:sz="0" w:space="0" w:color="auto"/>
        <w:bottom w:val="none" w:sz="0" w:space="0" w:color="auto"/>
        <w:right w:val="none" w:sz="0" w:space="0" w:color="auto"/>
      </w:divBdr>
    </w:div>
    <w:div w:id="185875562">
      <w:bodyDiv w:val="1"/>
      <w:marLeft w:val="0"/>
      <w:marRight w:val="0"/>
      <w:marTop w:val="0"/>
      <w:marBottom w:val="0"/>
      <w:divBdr>
        <w:top w:val="none" w:sz="0" w:space="0" w:color="auto"/>
        <w:left w:val="none" w:sz="0" w:space="0" w:color="auto"/>
        <w:bottom w:val="none" w:sz="0" w:space="0" w:color="auto"/>
        <w:right w:val="none" w:sz="0" w:space="0" w:color="auto"/>
      </w:divBdr>
    </w:div>
    <w:div w:id="186522889">
      <w:bodyDiv w:val="1"/>
      <w:marLeft w:val="0"/>
      <w:marRight w:val="0"/>
      <w:marTop w:val="0"/>
      <w:marBottom w:val="0"/>
      <w:divBdr>
        <w:top w:val="none" w:sz="0" w:space="0" w:color="auto"/>
        <w:left w:val="none" w:sz="0" w:space="0" w:color="auto"/>
        <w:bottom w:val="none" w:sz="0" w:space="0" w:color="auto"/>
        <w:right w:val="none" w:sz="0" w:space="0" w:color="auto"/>
      </w:divBdr>
    </w:div>
    <w:div w:id="204874963">
      <w:bodyDiv w:val="1"/>
      <w:marLeft w:val="0"/>
      <w:marRight w:val="0"/>
      <w:marTop w:val="0"/>
      <w:marBottom w:val="0"/>
      <w:divBdr>
        <w:top w:val="none" w:sz="0" w:space="0" w:color="auto"/>
        <w:left w:val="none" w:sz="0" w:space="0" w:color="auto"/>
        <w:bottom w:val="none" w:sz="0" w:space="0" w:color="auto"/>
        <w:right w:val="none" w:sz="0" w:space="0" w:color="auto"/>
      </w:divBdr>
    </w:div>
    <w:div w:id="211624420">
      <w:bodyDiv w:val="1"/>
      <w:marLeft w:val="0"/>
      <w:marRight w:val="0"/>
      <w:marTop w:val="0"/>
      <w:marBottom w:val="0"/>
      <w:divBdr>
        <w:top w:val="none" w:sz="0" w:space="0" w:color="auto"/>
        <w:left w:val="none" w:sz="0" w:space="0" w:color="auto"/>
        <w:bottom w:val="none" w:sz="0" w:space="0" w:color="auto"/>
        <w:right w:val="none" w:sz="0" w:space="0" w:color="auto"/>
      </w:divBdr>
    </w:div>
    <w:div w:id="238751395">
      <w:bodyDiv w:val="1"/>
      <w:marLeft w:val="0"/>
      <w:marRight w:val="0"/>
      <w:marTop w:val="0"/>
      <w:marBottom w:val="0"/>
      <w:divBdr>
        <w:top w:val="none" w:sz="0" w:space="0" w:color="auto"/>
        <w:left w:val="none" w:sz="0" w:space="0" w:color="auto"/>
        <w:bottom w:val="none" w:sz="0" w:space="0" w:color="auto"/>
        <w:right w:val="none" w:sz="0" w:space="0" w:color="auto"/>
      </w:divBdr>
    </w:div>
    <w:div w:id="240333763">
      <w:bodyDiv w:val="1"/>
      <w:marLeft w:val="0"/>
      <w:marRight w:val="0"/>
      <w:marTop w:val="0"/>
      <w:marBottom w:val="0"/>
      <w:divBdr>
        <w:top w:val="none" w:sz="0" w:space="0" w:color="auto"/>
        <w:left w:val="none" w:sz="0" w:space="0" w:color="auto"/>
        <w:bottom w:val="none" w:sz="0" w:space="0" w:color="auto"/>
        <w:right w:val="none" w:sz="0" w:space="0" w:color="auto"/>
      </w:divBdr>
    </w:div>
    <w:div w:id="268585626">
      <w:bodyDiv w:val="1"/>
      <w:marLeft w:val="0"/>
      <w:marRight w:val="0"/>
      <w:marTop w:val="0"/>
      <w:marBottom w:val="0"/>
      <w:divBdr>
        <w:top w:val="none" w:sz="0" w:space="0" w:color="auto"/>
        <w:left w:val="none" w:sz="0" w:space="0" w:color="auto"/>
        <w:bottom w:val="none" w:sz="0" w:space="0" w:color="auto"/>
        <w:right w:val="none" w:sz="0" w:space="0" w:color="auto"/>
      </w:divBdr>
    </w:div>
    <w:div w:id="273680243">
      <w:bodyDiv w:val="1"/>
      <w:marLeft w:val="0"/>
      <w:marRight w:val="0"/>
      <w:marTop w:val="0"/>
      <w:marBottom w:val="0"/>
      <w:divBdr>
        <w:top w:val="none" w:sz="0" w:space="0" w:color="auto"/>
        <w:left w:val="none" w:sz="0" w:space="0" w:color="auto"/>
        <w:bottom w:val="none" w:sz="0" w:space="0" w:color="auto"/>
        <w:right w:val="none" w:sz="0" w:space="0" w:color="auto"/>
      </w:divBdr>
    </w:div>
    <w:div w:id="275604520">
      <w:bodyDiv w:val="1"/>
      <w:marLeft w:val="0"/>
      <w:marRight w:val="0"/>
      <w:marTop w:val="0"/>
      <w:marBottom w:val="0"/>
      <w:divBdr>
        <w:top w:val="none" w:sz="0" w:space="0" w:color="auto"/>
        <w:left w:val="none" w:sz="0" w:space="0" w:color="auto"/>
        <w:bottom w:val="none" w:sz="0" w:space="0" w:color="auto"/>
        <w:right w:val="none" w:sz="0" w:space="0" w:color="auto"/>
      </w:divBdr>
    </w:div>
    <w:div w:id="304967950">
      <w:bodyDiv w:val="1"/>
      <w:marLeft w:val="0"/>
      <w:marRight w:val="0"/>
      <w:marTop w:val="0"/>
      <w:marBottom w:val="0"/>
      <w:divBdr>
        <w:top w:val="none" w:sz="0" w:space="0" w:color="auto"/>
        <w:left w:val="none" w:sz="0" w:space="0" w:color="auto"/>
        <w:bottom w:val="none" w:sz="0" w:space="0" w:color="auto"/>
        <w:right w:val="none" w:sz="0" w:space="0" w:color="auto"/>
      </w:divBdr>
    </w:div>
    <w:div w:id="311712386">
      <w:bodyDiv w:val="1"/>
      <w:marLeft w:val="0"/>
      <w:marRight w:val="0"/>
      <w:marTop w:val="0"/>
      <w:marBottom w:val="0"/>
      <w:divBdr>
        <w:top w:val="none" w:sz="0" w:space="0" w:color="auto"/>
        <w:left w:val="none" w:sz="0" w:space="0" w:color="auto"/>
        <w:bottom w:val="none" w:sz="0" w:space="0" w:color="auto"/>
        <w:right w:val="none" w:sz="0" w:space="0" w:color="auto"/>
      </w:divBdr>
    </w:div>
    <w:div w:id="315229749">
      <w:bodyDiv w:val="1"/>
      <w:marLeft w:val="0"/>
      <w:marRight w:val="0"/>
      <w:marTop w:val="0"/>
      <w:marBottom w:val="0"/>
      <w:divBdr>
        <w:top w:val="none" w:sz="0" w:space="0" w:color="auto"/>
        <w:left w:val="none" w:sz="0" w:space="0" w:color="auto"/>
        <w:bottom w:val="none" w:sz="0" w:space="0" w:color="auto"/>
        <w:right w:val="none" w:sz="0" w:space="0" w:color="auto"/>
      </w:divBdr>
    </w:div>
    <w:div w:id="315573435">
      <w:bodyDiv w:val="1"/>
      <w:marLeft w:val="0"/>
      <w:marRight w:val="0"/>
      <w:marTop w:val="0"/>
      <w:marBottom w:val="0"/>
      <w:divBdr>
        <w:top w:val="none" w:sz="0" w:space="0" w:color="auto"/>
        <w:left w:val="none" w:sz="0" w:space="0" w:color="auto"/>
        <w:bottom w:val="none" w:sz="0" w:space="0" w:color="auto"/>
        <w:right w:val="none" w:sz="0" w:space="0" w:color="auto"/>
      </w:divBdr>
    </w:div>
    <w:div w:id="357589679">
      <w:bodyDiv w:val="1"/>
      <w:marLeft w:val="0"/>
      <w:marRight w:val="0"/>
      <w:marTop w:val="0"/>
      <w:marBottom w:val="0"/>
      <w:divBdr>
        <w:top w:val="none" w:sz="0" w:space="0" w:color="auto"/>
        <w:left w:val="none" w:sz="0" w:space="0" w:color="auto"/>
        <w:bottom w:val="none" w:sz="0" w:space="0" w:color="auto"/>
        <w:right w:val="none" w:sz="0" w:space="0" w:color="auto"/>
      </w:divBdr>
    </w:div>
    <w:div w:id="404452325">
      <w:bodyDiv w:val="1"/>
      <w:marLeft w:val="0"/>
      <w:marRight w:val="0"/>
      <w:marTop w:val="0"/>
      <w:marBottom w:val="0"/>
      <w:divBdr>
        <w:top w:val="none" w:sz="0" w:space="0" w:color="auto"/>
        <w:left w:val="none" w:sz="0" w:space="0" w:color="auto"/>
        <w:bottom w:val="none" w:sz="0" w:space="0" w:color="auto"/>
        <w:right w:val="none" w:sz="0" w:space="0" w:color="auto"/>
      </w:divBdr>
    </w:div>
    <w:div w:id="405960664">
      <w:bodyDiv w:val="1"/>
      <w:marLeft w:val="0"/>
      <w:marRight w:val="0"/>
      <w:marTop w:val="0"/>
      <w:marBottom w:val="0"/>
      <w:divBdr>
        <w:top w:val="none" w:sz="0" w:space="0" w:color="auto"/>
        <w:left w:val="none" w:sz="0" w:space="0" w:color="auto"/>
        <w:bottom w:val="none" w:sz="0" w:space="0" w:color="auto"/>
        <w:right w:val="none" w:sz="0" w:space="0" w:color="auto"/>
      </w:divBdr>
    </w:div>
    <w:div w:id="407700700">
      <w:bodyDiv w:val="1"/>
      <w:marLeft w:val="0"/>
      <w:marRight w:val="0"/>
      <w:marTop w:val="0"/>
      <w:marBottom w:val="0"/>
      <w:divBdr>
        <w:top w:val="none" w:sz="0" w:space="0" w:color="auto"/>
        <w:left w:val="none" w:sz="0" w:space="0" w:color="auto"/>
        <w:bottom w:val="none" w:sz="0" w:space="0" w:color="auto"/>
        <w:right w:val="none" w:sz="0" w:space="0" w:color="auto"/>
      </w:divBdr>
    </w:div>
    <w:div w:id="419916403">
      <w:bodyDiv w:val="1"/>
      <w:marLeft w:val="0"/>
      <w:marRight w:val="0"/>
      <w:marTop w:val="0"/>
      <w:marBottom w:val="0"/>
      <w:divBdr>
        <w:top w:val="none" w:sz="0" w:space="0" w:color="auto"/>
        <w:left w:val="none" w:sz="0" w:space="0" w:color="auto"/>
        <w:bottom w:val="none" w:sz="0" w:space="0" w:color="auto"/>
        <w:right w:val="none" w:sz="0" w:space="0" w:color="auto"/>
      </w:divBdr>
    </w:div>
    <w:div w:id="437408223">
      <w:bodyDiv w:val="1"/>
      <w:marLeft w:val="0"/>
      <w:marRight w:val="0"/>
      <w:marTop w:val="0"/>
      <w:marBottom w:val="0"/>
      <w:divBdr>
        <w:top w:val="none" w:sz="0" w:space="0" w:color="auto"/>
        <w:left w:val="none" w:sz="0" w:space="0" w:color="auto"/>
        <w:bottom w:val="none" w:sz="0" w:space="0" w:color="auto"/>
        <w:right w:val="none" w:sz="0" w:space="0" w:color="auto"/>
      </w:divBdr>
    </w:div>
    <w:div w:id="465664180">
      <w:bodyDiv w:val="1"/>
      <w:marLeft w:val="0"/>
      <w:marRight w:val="0"/>
      <w:marTop w:val="0"/>
      <w:marBottom w:val="0"/>
      <w:divBdr>
        <w:top w:val="none" w:sz="0" w:space="0" w:color="auto"/>
        <w:left w:val="none" w:sz="0" w:space="0" w:color="auto"/>
        <w:bottom w:val="none" w:sz="0" w:space="0" w:color="auto"/>
        <w:right w:val="none" w:sz="0" w:space="0" w:color="auto"/>
      </w:divBdr>
    </w:div>
    <w:div w:id="481115804">
      <w:bodyDiv w:val="1"/>
      <w:marLeft w:val="0"/>
      <w:marRight w:val="0"/>
      <w:marTop w:val="0"/>
      <w:marBottom w:val="0"/>
      <w:divBdr>
        <w:top w:val="none" w:sz="0" w:space="0" w:color="auto"/>
        <w:left w:val="none" w:sz="0" w:space="0" w:color="auto"/>
        <w:bottom w:val="none" w:sz="0" w:space="0" w:color="auto"/>
        <w:right w:val="none" w:sz="0" w:space="0" w:color="auto"/>
      </w:divBdr>
    </w:div>
    <w:div w:id="485054951">
      <w:bodyDiv w:val="1"/>
      <w:marLeft w:val="0"/>
      <w:marRight w:val="0"/>
      <w:marTop w:val="0"/>
      <w:marBottom w:val="0"/>
      <w:divBdr>
        <w:top w:val="none" w:sz="0" w:space="0" w:color="auto"/>
        <w:left w:val="none" w:sz="0" w:space="0" w:color="auto"/>
        <w:bottom w:val="none" w:sz="0" w:space="0" w:color="auto"/>
        <w:right w:val="none" w:sz="0" w:space="0" w:color="auto"/>
      </w:divBdr>
    </w:div>
    <w:div w:id="519517275">
      <w:bodyDiv w:val="1"/>
      <w:marLeft w:val="0"/>
      <w:marRight w:val="0"/>
      <w:marTop w:val="0"/>
      <w:marBottom w:val="0"/>
      <w:divBdr>
        <w:top w:val="none" w:sz="0" w:space="0" w:color="auto"/>
        <w:left w:val="none" w:sz="0" w:space="0" w:color="auto"/>
        <w:bottom w:val="none" w:sz="0" w:space="0" w:color="auto"/>
        <w:right w:val="none" w:sz="0" w:space="0" w:color="auto"/>
      </w:divBdr>
    </w:div>
    <w:div w:id="529150390">
      <w:bodyDiv w:val="1"/>
      <w:marLeft w:val="0"/>
      <w:marRight w:val="0"/>
      <w:marTop w:val="0"/>
      <w:marBottom w:val="0"/>
      <w:divBdr>
        <w:top w:val="none" w:sz="0" w:space="0" w:color="auto"/>
        <w:left w:val="none" w:sz="0" w:space="0" w:color="auto"/>
        <w:bottom w:val="none" w:sz="0" w:space="0" w:color="auto"/>
        <w:right w:val="none" w:sz="0" w:space="0" w:color="auto"/>
      </w:divBdr>
    </w:div>
    <w:div w:id="535235670">
      <w:bodyDiv w:val="1"/>
      <w:marLeft w:val="0"/>
      <w:marRight w:val="0"/>
      <w:marTop w:val="0"/>
      <w:marBottom w:val="0"/>
      <w:divBdr>
        <w:top w:val="none" w:sz="0" w:space="0" w:color="auto"/>
        <w:left w:val="none" w:sz="0" w:space="0" w:color="auto"/>
        <w:bottom w:val="none" w:sz="0" w:space="0" w:color="auto"/>
        <w:right w:val="none" w:sz="0" w:space="0" w:color="auto"/>
      </w:divBdr>
    </w:div>
    <w:div w:id="572617565">
      <w:bodyDiv w:val="1"/>
      <w:marLeft w:val="0"/>
      <w:marRight w:val="0"/>
      <w:marTop w:val="0"/>
      <w:marBottom w:val="0"/>
      <w:divBdr>
        <w:top w:val="none" w:sz="0" w:space="0" w:color="auto"/>
        <w:left w:val="none" w:sz="0" w:space="0" w:color="auto"/>
        <w:bottom w:val="none" w:sz="0" w:space="0" w:color="auto"/>
        <w:right w:val="none" w:sz="0" w:space="0" w:color="auto"/>
      </w:divBdr>
    </w:div>
    <w:div w:id="615449925">
      <w:bodyDiv w:val="1"/>
      <w:marLeft w:val="0"/>
      <w:marRight w:val="0"/>
      <w:marTop w:val="0"/>
      <w:marBottom w:val="0"/>
      <w:divBdr>
        <w:top w:val="none" w:sz="0" w:space="0" w:color="auto"/>
        <w:left w:val="none" w:sz="0" w:space="0" w:color="auto"/>
        <w:bottom w:val="none" w:sz="0" w:space="0" w:color="auto"/>
        <w:right w:val="none" w:sz="0" w:space="0" w:color="auto"/>
      </w:divBdr>
    </w:div>
    <w:div w:id="620497818">
      <w:bodyDiv w:val="1"/>
      <w:marLeft w:val="0"/>
      <w:marRight w:val="0"/>
      <w:marTop w:val="0"/>
      <w:marBottom w:val="0"/>
      <w:divBdr>
        <w:top w:val="none" w:sz="0" w:space="0" w:color="auto"/>
        <w:left w:val="none" w:sz="0" w:space="0" w:color="auto"/>
        <w:bottom w:val="none" w:sz="0" w:space="0" w:color="auto"/>
        <w:right w:val="none" w:sz="0" w:space="0" w:color="auto"/>
      </w:divBdr>
    </w:div>
    <w:div w:id="627200485">
      <w:bodyDiv w:val="1"/>
      <w:marLeft w:val="0"/>
      <w:marRight w:val="0"/>
      <w:marTop w:val="0"/>
      <w:marBottom w:val="0"/>
      <w:divBdr>
        <w:top w:val="none" w:sz="0" w:space="0" w:color="auto"/>
        <w:left w:val="none" w:sz="0" w:space="0" w:color="auto"/>
        <w:bottom w:val="none" w:sz="0" w:space="0" w:color="auto"/>
        <w:right w:val="none" w:sz="0" w:space="0" w:color="auto"/>
      </w:divBdr>
    </w:div>
    <w:div w:id="640304134">
      <w:bodyDiv w:val="1"/>
      <w:marLeft w:val="0"/>
      <w:marRight w:val="0"/>
      <w:marTop w:val="0"/>
      <w:marBottom w:val="0"/>
      <w:divBdr>
        <w:top w:val="none" w:sz="0" w:space="0" w:color="auto"/>
        <w:left w:val="none" w:sz="0" w:space="0" w:color="auto"/>
        <w:bottom w:val="none" w:sz="0" w:space="0" w:color="auto"/>
        <w:right w:val="none" w:sz="0" w:space="0" w:color="auto"/>
      </w:divBdr>
    </w:div>
    <w:div w:id="655652274">
      <w:bodyDiv w:val="1"/>
      <w:marLeft w:val="0"/>
      <w:marRight w:val="0"/>
      <w:marTop w:val="0"/>
      <w:marBottom w:val="0"/>
      <w:divBdr>
        <w:top w:val="none" w:sz="0" w:space="0" w:color="auto"/>
        <w:left w:val="none" w:sz="0" w:space="0" w:color="auto"/>
        <w:bottom w:val="none" w:sz="0" w:space="0" w:color="auto"/>
        <w:right w:val="none" w:sz="0" w:space="0" w:color="auto"/>
      </w:divBdr>
    </w:div>
    <w:div w:id="669454791">
      <w:bodyDiv w:val="1"/>
      <w:marLeft w:val="0"/>
      <w:marRight w:val="0"/>
      <w:marTop w:val="0"/>
      <w:marBottom w:val="0"/>
      <w:divBdr>
        <w:top w:val="none" w:sz="0" w:space="0" w:color="auto"/>
        <w:left w:val="none" w:sz="0" w:space="0" w:color="auto"/>
        <w:bottom w:val="none" w:sz="0" w:space="0" w:color="auto"/>
        <w:right w:val="none" w:sz="0" w:space="0" w:color="auto"/>
      </w:divBdr>
    </w:div>
    <w:div w:id="673845834">
      <w:bodyDiv w:val="1"/>
      <w:marLeft w:val="0"/>
      <w:marRight w:val="0"/>
      <w:marTop w:val="0"/>
      <w:marBottom w:val="0"/>
      <w:divBdr>
        <w:top w:val="none" w:sz="0" w:space="0" w:color="auto"/>
        <w:left w:val="none" w:sz="0" w:space="0" w:color="auto"/>
        <w:bottom w:val="none" w:sz="0" w:space="0" w:color="auto"/>
        <w:right w:val="none" w:sz="0" w:space="0" w:color="auto"/>
      </w:divBdr>
    </w:div>
    <w:div w:id="686367379">
      <w:bodyDiv w:val="1"/>
      <w:marLeft w:val="0"/>
      <w:marRight w:val="0"/>
      <w:marTop w:val="0"/>
      <w:marBottom w:val="0"/>
      <w:divBdr>
        <w:top w:val="none" w:sz="0" w:space="0" w:color="auto"/>
        <w:left w:val="none" w:sz="0" w:space="0" w:color="auto"/>
        <w:bottom w:val="none" w:sz="0" w:space="0" w:color="auto"/>
        <w:right w:val="none" w:sz="0" w:space="0" w:color="auto"/>
      </w:divBdr>
    </w:div>
    <w:div w:id="695354559">
      <w:bodyDiv w:val="1"/>
      <w:marLeft w:val="0"/>
      <w:marRight w:val="0"/>
      <w:marTop w:val="0"/>
      <w:marBottom w:val="0"/>
      <w:divBdr>
        <w:top w:val="none" w:sz="0" w:space="0" w:color="auto"/>
        <w:left w:val="none" w:sz="0" w:space="0" w:color="auto"/>
        <w:bottom w:val="none" w:sz="0" w:space="0" w:color="auto"/>
        <w:right w:val="none" w:sz="0" w:space="0" w:color="auto"/>
      </w:divBdr>
    </w:div>
    <w:div w:id="761530078">
      <w:bodyDiv w:val="1"/>
      <w:marLeft w:val="0"/>
      <w:marRight w:val="0"/>
      <w:marTop w:val="0"/>
      <w:marBottom w:val="0"/>
      <w:divBdr>
        <w:top w:val="none" w:sz="0" w:space="0" w:color="auto"/>
        <w:left w:val="none" w:sz="0" w:space="0" w:color="auto"/>
        <w:bottom w:val="none" w:sz="0" w:space="0" w:color="auto"/>
        <w:right w:val="none" w:sz="0" w:space="0" w:color="auto"/>
      </w:divBdr>
    </w:div>
    <w:div w:id="766195706">
      <w:bodyDiv w:val="1"/>
      <w:marLeft w:val="0"/>
      <w:marRight w:val="0"/>
      <w:marTop w:val="0"/>
      <w:marBottom w:val="0"/>
      <w:divBdr>
        <w:top w:val="none" w:sz="0" w:space="0" w:color="auto"/>
        <w:left w:val="none" w:sz="0" w:space="0" w:color="auto"/>
        <w:bottom w:val="none" w:sz="0" w:space="0" w:color="auto"/>
        <w:right w:val="none" w:sz="0" w:space="0" w:color="auto"/>
      </w:divBdr>
    </w:div>
    <w:div w:id="769547082">
      <w:bodyDiv w:val="1"/>
      <w:marLeft w:val="0"/>
      <w:marRight w:val="0"/>
      <w:marTop w:val="0"/>
      <w:marBottom w:val="0"/>
      <w:divBdr>
        <w:top w:val="none" w:sz="0" w:space="0" w:color="auto"/>
        <w:left w:val="none" w:sz="0" w:space="0" w:color="auto"/>
        <w:bottom w:val="none" w:sz="0" w:space="0" w:color="auto"/>
        <w:right w:val="none" w:sz="0" w:space="0" w:color="auto"/>
      </w:divBdr>
    </w:div>
    <w:div w:id="769858000">
      <w:bodyDiv w:val="1"/>
      <w:marLeft w:val="0"/>
      <w:marRight w:val="0"/>
      <w:marTop w:val="0"/>
      <w:marBottom w:val="0"/>
      <w:divBdr>
        <w:top w:val="none" w:sz="0" w:space="0" w:color="auto"/>
        <w:left w:val="none" w:sz="0" w:space="0" w:color="auto"/>
        <w:bottom w:val="none" w:sz="0" w:space="0" w:color="auto"/>
        <w:right w:val="none" w:sz="0" w:space="0" w:color="auto"/>
      </w:divBdr>
    </w:div>
    <w:div w:id="791288398">
      <w:bodyDiv w:val="1"/>
      <w:marLeft w:val="0"/>
      <w:marRight w:val="0"/>
      <w:marTop w:val="0"/>
      <w:marBottom w:val="0"/>
      <w:divBdr>
        <w:top w:val="none" w:sz="0" w:space="0" w:color="auto"/>
        <w:left w:val="none" w:sz="0" w:space="0" w:color="auto"/>
        <w:bottom w:val="none" w:sz="0" w:space="0" w:color="auto"/>
        <w:right w:val="none" w:sz="0" w:space="0" w:color="auto"/>
      </w:divBdr>
    </w:div>
    <w:div w:id="798912241">
      <w:bodyDiv w:val="1"/>
      <w:marLeft w:val="0"/>
      <w:marRight w:val="0"/>
      <w:marTop w:val="0"/>
      <w:marBottom w:val="0"/>
      <w:divBdr>
        <w:top w:val="none" w:sz="0" w:space="0" w:color="auto"/>
        <w:left w:val="none" w:sz="0" w:space="0" w:color="auto"/>
        <w:bottom w:val="none" w:sz="0" w:space="0" w:color="auto"/>
        <w:right w:val="none" w:sz="0" w:space="0" w:color="auto"/>
      </w:divBdr>
    </w:div>
    <w:div w:id="811023998">
      <w:bodyDiv w:val="1"/>
      <w:marLeft w:val="0"/>
      <w:marRight w:val="0"/>
      <w:marTop w:val="0"/>
      <w:marBottom w:val="0"/>
      <w:divBdr>
        <w:top w:val="none" w:sz="0" w:space="0" w:color="auto"/>
        <w:left w:val="none" w:sz="0" w:space="0" w:color="auto"/>
        <w:bottom w:val="none" w:sz="0" w:space="0" w:color="auto"/>
        <w:right w:val="none" w:sz="0" w:space="0" w:color="auto"/>
      </w:divBdr>
    </w:div>
    <w:div w:id="843666156">
      <w:bodyDiv w:val="1"/>
      <w:marLeft w:val="0"/>
      <w:marRight w:val="0"/>
      <w:marTop w:val="0"/>
      <w:marBottom w:val="0"/>
      <w:divBdr>
        <w:top w:val="none" w:sz="0" w:space="0" w:color="auto"/>
        <w:left w:val="none" w:sz="0" w:space="0" w:color="auto"/>
        <w:bottom w:val="none" w:sz="0" w:space="0" w:color="auto"/>
        <w:right w:val="none" w:sz="0" w:space="0" w:color="auto"/>
      </w:divBdr>
    </w:div>
    <w:div w:id="865286592">
      <w:bodyDiv w:val="1"/>
      <w:marLeft w:val="0"/>
      <w:marRight w:val="0"/>
      <w:marTop w:val="0"/>
      <w:marBottom w:val="0"/>
      <w:divBdr>
        <w:top w:val="none" w:sz="0" w:space="0" w:color="auto"/>
        <w:left w:val="none" w:sz="0" w:space="0" w:color="auto"/>
        <w:bottom w:val="none" w:sz="0" w:space="0" w:color="auto"/>
        <w:right w:val="none" w:sz="0" w:space="0" w:color="auto"/>
      </w:divBdr>
    </w:div>
    <w:div w:id="869535054">
      <w:bodyDiv w:val="1"/>
      <w:marLeft w:val="0"/>
      <w:marRight w:val="0"/>
      <w:marTop w:val="0"/>
      <w:marBottom w:val="0"/>
      <w:divBdr>
        <w:top w:val="none" w:sz="0" w:space="0" w:color="auto"/>
        <w:left w:val="none" w:sz="0" w:space="0" w:color="auto"/>
        <w:bottom w:val="none" w:sz="0" w:space="0" w:color="auto"/>
        <w:right w:val="none" w:sz="0" w:space="0" w:color="auto"/>
      </w:divBdr>
    </w:div>
    <w:div w:id="873540606">
      <w:bodyDiv w:val="1"/>
      <w:marLeft w:val="0"/>
      <w:marRight w:val="0"/>
      <w:marTop w:val="0"/>
      <w:marBottom w:val="0"/>
      <w:divBdr>
        <w:top w:val="none" w:sz="0" w:space="0" w:color="auto"/>
        <w:left w:val="none" w:sz="0" w:space="0" w:color="auto"/>
        <w:bottom w:val="none" w:sz="0" w:space="0" w:color="auto"/>
        <w:right w:val="none" w:sz="0" w:space="0" w:color="auto"/>
      </w:divBdr>
    </w:div>
    <w:div w:id="904025321">
      <w:bodyDiv w:val="1"/>
      <w:marLeft w:val="0"/>
      <w:marRight w:val="0"/>
      <w:marTop w:val="0"/>
      <w:marBottom w:val="0"/>
      <w:divBdr>
        <w:top w:val="none" w:sz="0" w:space="0" w:color="auto"/>
        <w:left w:val="none" w:sz="0" w:space="0" w:color="auto"/>
        <w:bottom w:val="none" w:sz="0" w:space="0" w:color="auto"/>
        <w:right w:val="none" w:sz="0" w:space="0" w:color="auto"/>
      </w:divBdr>
    </w:div>
    <w:div w:id="924386857">
      <w:bodyDiv w:val="1"/>
      <w:marLeft w:val="0"/>
      <w:marRight w:val="0"/>
      <w:marTop w:val="0"/>
      <w:marBottom w:val="0"/>
      <w:divBdr>
        <w:top w:val="none" w:sz="0" w:space="0" w:color="auto"/>
        <w:left w:val="none" w:sz="0" w:space="0" w:color="auto"/>
        <w:bottom w:val="none" w:sz="0" w:space="0" w:color="auto"/>
        <w:right w:val="none" w:sz="0" w:space="0" w:color="auto"/>
      </w:divBdr>
    </w:div>
    <w:div w:id="936015899">
      <w:bodyDiv w:val="1"/>
      <w:marLeft w:val="0"/>
      <w:marRight w:val="0"/>
      <w:marTop w:val="0"/>
      <w:marBottom w:val="0"/>
      <w:divBdr>
        <w:top w:val="none" w:sz="0" w:space="0" w:color="auto"/>
        <w:left w:val="none" w:sz="0" w:space="0" w:color="auto"/>
        <w:bottom w:val="none" w:sz="0" w:space="0" w:color="auto"/>
        <w:right w:val="none" w:sz="0" w:space="0" w:color="auto"/>
      </w:divBdr>
    </w:div>
    <w:div w:id="938878131">
      <w:bodyDiv w:val="1"/>
      <w:marLeft w:val="0"/>
      <w:marRight w:val="0"/>
      <w:marTop w:val="0"/>
      <w:marBottom w:val="0"/>
      <w:divBdr>
        <w:top w:val="none" w:sz="0" w:space="0" w:color="auto"/>
        <w:left w:val="none" w:sz="0" w:space="0" w:color="auto"/>
        <w:bottom w:val="none" w:sz="0" w:space="0" w:color="auto"/>
        <w:right w:val="none" w:sz="0" w:space="0" w:color="auto"/>
      </w:divBdr>
    </w:div>
    <w:div w:id="954604161">
      <w:bodyDiv w:val="1"/>
      <w:marLeft w:val="0"/>
      <w:marRight w:val="0"/>
      <w:marTop w:val="0"/>
      <w:marBottom w:val="0"/>
      <w:divBdr>
        <w:top w:val="none" w:sz="0" w:space="0" w:color="auto"/>
        <w:left w:val="none" w:sz="0" w:space="0" w:color="auto"/>
        <w:bottom w:val="none" w:sz="0" w:space="0" w:color="auto"/>
        <w:right w:val="none" w:sz="0" w:space="0" w:color="auto"/>
      </w:divBdr>
    </w:div>
    <w:div w:id="963998432">
      <w:bodyDiv w:val="1"/>
      <w:marLeft w:val="0"/>
      <w:marRight w:val="0"/>
      <w:marTop w:val="0"/>
      <w:marBottom w:val="0"/>
      <w:divBdr>
        <w:top w:val="none" w:sz="0" w:space="0" w:color="auto"/>
        <w:left w:val="none" w:sz="0" w:space="0" w:color="auto"/>
        <w:bottom w:val="none" w:sz="0" w:space="0" w:color="auto"/>
        <w:right w:val="none" w:sz="0" w:space="0" w:color="auto"/>
      </w:divBdr>
    </w:div>
    <w:div w:id="980038674">
      <w:bodyDiv w:val="1"/>
      <w:marLeft w:val="0"/>
      <w:marRight w:val="0"/>
      <w:marTop w:val="0"/>
      <w:marBottom w:val="0"/>
      <w:divBdr>
        <w:top w:val="none" w:sz="0" w:space="0" w:color="auto"/>
        <w:left w:val="none" w:sz="0" w:space="0" w:color="auto"/>
        <w:bottom w:val="none" w:sz="0" w:space="0" w:color="auto"/>
        <w:right w:val="none" w:sz="0" w:space="0" w:color="auto"/>
      </w:divBdr>
    </w:div>
    <w:div w:id="1024792114">
      <w:bodyDiv w:val="1"/>
      <w:marLeft w:val="0"/>
      <w:marRight w:val="0"/>
      <w:marTop w:val="0"/>
      <w:marBottom w:val="0"/>
      <w:divBdr>
        <w:top w:val="none" w:sz="0" w:space="0" w:color="auto"/>
        <w:left w:val="none" w:sz="0" w:space="0" w:color="auto"/>
        <w:bottom w:val="none" w:sz="0" w:space="0" w:color="auto"/>
        <w:right w:val="none" w:sz="0" w:space="0" w:color="auto"/>
      </w:divBdr>
    </w:div>
    <w:div w:id="1039164693">
      <w:bodyDiv w:val="1"/>
      <w:marLeft w:val="0"/>
      <w:marRight w:val="0"/>
      <w:marTop w:val="0"/>
      <w:marBottom w:val="0"/>
      <w:divBdr>
        <w:top w:val="none" w:sz="0" w:space="0" w:color="auto"/>
        <w:left w:val="none" w:sz="0" w:space="0" w:color="auto"/>
        <w:bottom w:val="none" w:sz="0" w:space="0" w:color="auto"/>
        <w:right w:val="none" w:sz="0" w:space="0" w:color="auto"/>
      </w:divBdr>
    </w:div>
    <w:div w:id="1043289592">
      <w:bodyDiv w:val="1"/>
      <w:marLeft w:val="0"/>
      <w:marRight w:val="0"/>
      <w:marTop w:val="0"/>
      <w:marBottom w:val="0"/>
      <w:divBdr>
        <w:top w:val="none" w:sz="0" w:space="0" w:color="auto"/>
        <w:left w:val="none" w:sz="0" w:space="0" w:color="auto"/>
        <w:bottom w:val="none" w:sz="0" w:space="0" w:color="auto"/>
        <w:right w:val="none" w:sz="0" w:space="0" w:color="auto"/>
      </w:divBdr>
    </w:div>
    <w:div w:id="1048530152">
      <w:bodyDiv w:val="1"/>
      <w:marLeft w:val="0"/>
      <w:marRight w:val="0"/>
      <w:marTop w:val="0"/>
      <w:marBottom w:val="0"/>
      <w:divBdr>
        <w:top w:val="none" w:sz="0" w:space="0" w:color="auto"/>
        <w:left w:val="none" w:sz="0" w:space="0" w:color="auto"/>
        <w:bottom w:val="none" w:sz="0" w:space="0" w:color="auto"/>
        <w:right w:val="none" w:sz="0" w:space="0" w:color="auto"/>
      </w:divBdr>
    </w:div>
    <w:div w:id="1072502579">
      <w:bodyDiv w:val="1"/>
      <w:marLeft w:val="0"/>
      <w:marRight w:val="0"/>
      <w:marTop w:val="0"/>
      <w:marBottom w:val="0"/>
      <w:divBdr>
        <w:top w:val="none" w:sz="0" w:space="0" w:color="auto"/>
        <w:left w:val="none" w:sz="0" w:space="0" w:color="auto"/>
        <w:bottom w:val="none" w:sz="0" w:space="0" w:color="auto"/>
        <w:right w:val="none" w:sz="0" w:space="0" w:color="auto"/>
      </w:divBdr>
    </w:div>
    <w:div w:id="1072699547">
      <w:bodyDiv w:val="1"/>
      <w:marLeft w:val="0"/>
      <w:marRight w:val="0"/>
      <w:marTop w:val="0"/>
      <w:marBottom w:val="0"/>
      <w:divBdr>
        <w:top w:val="none" w:sz="0" w:space="0" w:color="auto"/>
        <w:left w:val="none" w:sz="0" w:space="0" w:color="auto"/>
        <w:bottom w:val="none" w:sz="0" w:space="0" w:color="auto"/>
        <w:right w:val="none" w:sz="0" w:space="0" w:color="auto"/>
      </w:divBdr>
    </w:div>
    <w:div w:id="1084302624">
      <w:bodyDiv w:val="1"/>
      <w:marLeft w:val="0"/>
      <w:marRight w:val="0"/>
      <w:marTop w:val="0"/>
      <w:marBottom w:val="0"/>
      <w:divBdr>
        <w:top w:val="none" w:sz="0" w:space="0" w:color="auto"/>
        <w:left w:val="none" w:sz="0" w:space="0" w:color="auto"/>
        <w:bottom w:val="none" w:sz="0" w:space="0" w:color="auto"/>
        <w:right w:val="none" w:sz="0" w:space="0" w:color="auto"/>
      </w:divBdr>
    </w:div>
    <w:div w:id="1096632500">
      <w:bodyDiv w:val="1"/>
      <w:marLeft w:val="0"/>
      <w:marRight w:val="0"/>
      <w:marTop w:val="0"/>
      <w:marBottom w:val="0"/>
      <w:divBdr>
        <w:top w:val="none" w:sz="0" w:space="0" w:color="auto"/>
        <w:left w:val="none" w:sz="0" w:space="0" w:color="auto"/>
        <w:bottom w:val="none" w:sz="0" w:space="0" w:color="auto"/>
        <w:right w:val="none" w:sz="0" w:space="0" w:color="auto"/>
      </w:divBdr>
    </w:div>
    <w:div w:id="1098139177">
      <w:bodyDiv w:val="1"/>
      <w:marLeft w:val="0"/>
      <w:marRight w:val="0"/>
      <w:marTop w:val="0"/>
      <w:marBottom w:val="0"/>
      <w:divBdr>
        <w:top w:val="none" w:sz="0" w:space="0" w:color="auto"/>
        <w:left w:val="none" w:sz="0" w:space="0" w:color="auto"/>
        <w:bottom w:val="none" w:sz="0" w:space="0" w:color="auto"/>
        <w:right w:val="none" w:sz="0" w:space="0" w:color="auto"/>
      </w:divBdr>
    </w:div>
    <w:div w:id="1106197917">
      <w:bodyDiv w:val="1"/>
      <w:marLeft w:val="0"/>
      <w:marRight w:val="0"/>
      <w:marTop w:val="0"/>
      <w:marBottom w:val="0"/>
      <w:divBdr>
        <w:top w:val="none" w:sz="0" w:space="0" w:color="auto"/>
        <w:left w:val="none" w:sz="0" w:space="0" w:color="auto"/>
        <w:bottom w:val="none" w:sz="0" w:space="0" w:color="auto"/>
        <w:right w:val="none" w:sz="0" w:space="0" w:color="auto"/>
      </w:divBdr>
    </w:div>
    <w:div w:id="1119643829">
      <w:bodyDiv w:val="1"/>
      <w:marLeft w:val="0"/>
      <w:marRight w:val="0"/>
      <w:marTop w:val="0"/>
      <w:marBottom w:val="0"/>
      <w:divBdr>
        <w:top w:val="none" w:sz="0" w:space="0" w:color="auto"/>
        <w:left w:val="none" w:sz="0" w:space="0" w:color="auto"/>
        <w:bottom w:val="none" w:sz="0" w:space="0" w:color="auto"/>
        <w:right w:val="none" w:sz="0" w:space="0" w:color="auto"/>
      </w:divBdr>
    </w:div>
    <w:div w:id="1124346447">
      <w:bodyDiv w:val="1"/>
      <w:marLeft w:val="0"/>
      <w:marRight w:val="0"/>
      <w:marTop w:val="0"/>
      <w:marBottom w:val="0"/>
      <w:divBdr>
        <w:top w:val="none" w:sz="0" w:space="0" w:color="auto"/>
        <w:left w:val="none" w:sz="0" w:space="0" w:color="auto"/>
        <w:bottom w:val="none" w:sz="0" w:space="0" w:color="auto"/>
        <w:right w:val="none" w:sz="0" w:space="0" w:color="auto"/>
      </w:divBdr>
    </w:div>
    <w:div w:id="1132360933">
      <w:bodyDiv w:val="1"/>
      <w:marLeft w:val="0"/>
      <w:marRight w:val="0"/>
      <w:marTop w:val="0"/>
      <w:marBottom w:val="0"/>
      <w:divBdr>
        <w:top w:val="none" w:sz="0" w:space="0" w:color="auto"/>
        <w:left w:val="none" w:sz="0" w:space="0" w:color="auto"/>
        <w:bottom w:val="none" w:sz="0" w:space="0" w:color="auto"/>
        <w:right w:val="none" w:sz="0" w:space="0" w:color="auto"/>
      </w:divBdr>
    </w:div>
    <w:div w:id="1159687955">
      <w:bodyDiv w:val="1"/>
      <w:marLeft w:val="0"/>
      <w:marRight w:val="0"/>
      <w:marTop w:val="0"/>
      <w:marBottom w:val="0"/>
      <w:divBdr>
        <w:top w:val="none" w:sz="0" w:space="0" w:color="auto"/>
        <w:left w:val="none" w:sz="0" w:space="0" w:color="auto"/>
        <w:bottom w:val="none" w:sz="0" w:space="0" w:color="auto"/>
        <w:right w:val="none" w:sz="0" w:space="0" w:color="auto"/>
      </w:divBdr>
    </w:div>
    <w:div w:id="1161387788">
      <w:bodyDiv w:val="1"/>
      <w:marLeft w:val="0"/>
      <w:marRight w:val="0"/>
      <w:marTop w:val="0"/>
      <w:marBottom w:val="0"/>
      <w:divBdr>
        <w:top w:val="none" w:sz="0" w:space="0" w:color="auto"/>
        <w:left w:val="none" w:sz="0" w:space="0" w:color="auto"/>
        <w:bottom w:val="none" w:sz="0" w:space="0" w:color="auto"/>
        <w:right w:val="none" w:sz="0" w:space="0" w:color="auto"/>
      </w:divBdr>
    </w:div>
    <w:div w:id="1164004596">
      <w:bodyDiv w:val="1"/>
      <w:marLeft w:val="0"/>
      <w:marRight w:val="0"/>
      <w:marTop w:val="0"/>
      <w:marBottom w:val="0"/>
      <w:divBdr>
        <w:top w:val="none" w:sz="0" w:space="0" w:color="auto"/>
        <w:left w:val="none" w:sz="0" w:space="0" w:color="auto"/>
        <w:bottom w:val="none" w:sz="0" w:space="0" w:color="auto"/>
        <w:right w:val="none" w:sz="0" w:space="0" w:color="auto"/>
      </w:divBdr>
    </w:div>
    <w:div w:id="1171145816">
      <w:bodyDiv w:val="1"/>
      <w:marLeft w:val="0"/>
      <w:marRight w:val="0"/>
      <w:marTop w:val="0"/>
      <w:marBottom w:val="0"/>
      <w:divBdr>
        <w:top w:val="none" w:sz="0" w:space="0" w:color="auto"/>
        <w:left w:val="none" w:sz="0" w:space="0" w:color="auto"/>
        <w:bottom w:val="none" w:sz="0" w:space="0" w:color="auto"/>
        <w:right w:val="none" w:sz="0" w:space="0" w:color="auto"/>
      </w:divBdr>
    </w:div>
    <w:div w:id="1202202890">
      <w:bodyDiv w:val="1"/>
      <w:marLeft w:val="0"/>
      <w:marRight w:val="0"/>
      <w:marTop w:val="0"/>
      <w:marBottom w:val="0"/>
      <w:divBdr>
        <w:top w:val="none" w:sz="0" w:space="0" w:color="auto"/>
        <w:left w:val="none" w:sz="0" w:space="0" w:color="auto"/>
        <w:bottom w:val="none" w:sz="0" w:space="0" w:color="auto"/>
        <w:right w:val="none" w:sz="0" w:space="0" w:color="auto"/>
      </w:divBdr>
    </w:div>
    <w:div w:id="1209562304">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282807170">
      <w:bodyDiv w:val="1"/>
      <w:marLeft w:val="0"/>
      <w:marRight w:val="0"/>
      <w:marTop w:val="0"/>
      <w:marBottom w:val="0"/>
      <w:divBdr>
        <w:top w:val="none" w:sz="0" w:space="0" w:color="auto"/>
        <w:left w:val="none" w:sz="0" w:space="0" w:color="auto"/>
        <w:bottom w:val="none" w:sz="0" w:space="0" w:color="auto"/>
        <w:right w:val="none" w:sz="0" w:space="0" w:color="auto"/>
      </w:divBdr>
    </w:div>
    <w:div w:id="1328707876">
      <w:bodyDiv w:val="1"/>
      <w:marLeft w:val="0"/>
      <w:marRight w:val="0"/>
      <w:marTop w:val="0"/>
      <w:marBottom w:val="0"/>
      <w:divBdr>
        <w:top w:val="none" w:sz="0" w:space="0" w:color="auto"/>
        <w:left w:val="none" w:sz="0" w:space="0" w:color="auto"/>
        <w:bottom w:val="none" w:sz="0" w:space="0" w:color="auto"/>
        <w:right w:val="none" w:sz="0" w:space="0" w:color="auto"/>
      </w:divBdr>
    </w:div>
    <w:div w:id="1329407589">
      <w:bodyDiv w:val="1"/>
      <w:marLeft w:val="0"/>
      <w:marRight w:val="0"/>
      <w:marTop w:val="0"/>
      <w:marBottom w:val="0"/>
      <w:divBdr>
        <w:top w:val="none" w:sz="0" w:space="0" w:color="auto"/>
        <w:left w:val="none" w:sz="0" w:space="0" w:color="auto"/>
        <w:bottom w:val="none" w:sz="0" w:space="0" w:color="auto"/>
        <w:right w:val="none" w:sz="0" w:space="0" w:color="auto"/>
      </w:divBdr>
    </w:div>
    <w:div w:id="1356806128">
      <w:bodyDiv w:val="1"/>
      <w:marLeft w:val="0"/>
      <w:marRight w:val="0"/>
      <w:marTop w:val="0"/>
      <w:marBottom w:val="0"/>
      <w:divBdr>
        <w:top w:val="none" w:sz="0" w:space="0" w:color="auto"/>
        <w:left w:val="none" w:sz="0" w:space="0" w:color="auto"/>
        <w:bottom w:val="none" w:sz="0" w:space="0" w:color="auto"/>
        <w:right w:val="none" w:sz="0" w:space="0" w:color="auto"/>
      </w:divBdr>
    </w:div>
    <w:div w:id="1378237511">
      <w:bodyDiv w:val="1"/>
      <w:marLeft w:val="0"/>
      <w:marRight w:val="0"/>
      <w:marTop w:val="0"/>
      <w:marBottom w:val="0"/>
      <w:divBdr>
        <w:top w:val="none" w:sz="0" w:space="0" w:color="auto"/>
        <w:left w:val="none" w:sz="0" w:space="0" w:color="auto"/>
        <w:bottom w:val="none" w:sz="0" w:space="0" w:color="auto"/>
        <w:right w:val="none" w:sz="0" w:space="0" w:color="auto"/>
      </w:divBdr>
    </w:div>
    <w:div w:id="1400785103">
      <w:bodyDiv w:val="1"/>
      <w:marLeft w:val="0"/>
      <w:marRight w:val="0"/>
      <w:marTop w:val="0"/>
      <w:marBottom w:val="0"/>
      <w:divBdr>
        <w:top w:val="none" w:sz="0" w:space="0" w:color="auto"/>
        <w:left w:val="none" w:sz="0" w:space="0" w:color="auto"/>
        <w:bottom w:val="none" w:sz="0" w:space="0" w:color="auto"/>
        <w:right w:val="none" w:sz="0" w:space="0" w:color="auto"/>
      </w:divBdr>
    </w:div>
    <w:div w:id="1407801042">
      <w:bodyDiv w:val="1"/>
      <w:marLeft w:val="0"/>
      <w:marRight w:val="0"/>
      <w:marTop w:val="0"/>
      <w:marBottom w:val="0"/>
      <w:divBdr>
        <w:top w:val="none" w:sz="0" w:space="0" w:color="auto"/>
        <w:left w:val="none" w:sz="0" w:space="0" w:color="auto"/>
        <w:bottom w:val="none" w:sz="0" w:space="0" w:color="auto"/>
        <w:right w:val="none" w:sz="0" w:space="0" w:color="auto"/>
      </w:divBdr>
    </w:div>
    <w:div w:id="1500584009">
      <w:bodyDiv w:val="1"/>
      <w:marLeft w:val="0"/>
      <w:marRight w:val="0"/>
      <w:marTop w:val="0"/>
      <w:marBottom w:val="0"/>
      <w:divBdr>
        <w:top w:val="none" w:sz="0" w:space="0" w:color="auto"/>
        <w:left w:val="none" w:sz="0" w:space="0" w:color="auto"/>
        <w:bottom w:val="none" w:sz="0" w:space="0" w:color="auto"/>
        <w:right w:val="none" w:sz="0" w:space="0" w:color="auto"/>
      </w:divBdr>
    </w:div>
    <w:div w:id="1518882008">
      <w:bodyDiv w:val="1"/>
      <w:marLeft w:val="0"/>
      <w:marRight w:val="0"/>
      <w:marTop w:val="0"/>
      <w:marBottom w:val="0"/>
      <w:divBdr>
        <w:top w:val="none" w:sz="0" w:space="0" w:color="auto"/>
        <w:left w:val="none" w:sz="0" w:space="0" w:color="auto"/>
        <w:bottom w:val="none" w:sz="0" w:space="0" w:color="auto"/>
        <w:right w:val="none" w:sz="0" w:space="0" w:color="auto"/>
      </w:divBdr>
    </w:div>
    <w:div w:id="1534264184">
      <w:bodyDiv w:val="1"/>
      <w:marLeft w:val="0"/>
      <w:marRight w:val="0"/>
      <w:marTop w:val="0"/>
      <w:marBottom w:val="0"/>
      <w:divBdr>
        <w:top w:val="none" w:sz="0" w:space="0" w:color="auto"/>
        <w:left w:val="none" w:sz="0" w:space="0" w:color="auto"/>
        <w:bottom w:val="none" w:sz="0" w:space="0" w:color="auto"/>
        <w:right w:val="none" w:sz="0" w:space="0" w:color="auto"/>
      </w:divBdr>
    </w:div>
    <w:div w:id="1588149012">
      <w:bodyDiv w:val="1"/>
      <w:marLeft w:val="0"/>
      <w:marRight w:val="0"/>
      <w:marTop w:val="0"/>
      <w:marBottom w:val="0"/>
      <w:divBdr>
        <w:top w:val="none" w:sz="0" w:space="0" w:color="auto"/>
        <w:left w:val="none" w:sz="0" w:space="0" w:color="auto"/>
        <w:bottom w:val="none" w:sz="0" w:space="0" w:color="auto"/>
        <w:right w:val="none" w:sz="0" w:space="0" w:color="auto"/>
      </w:divBdr>
    </w:div>
    <w:div w:id="1599408569">
      <w:bodyDiv w:val="1"/>
      <w:marLeft w:val="0"/>
      <w:marRight w:val="0"/>
      <w:marTop w:val="0"/>
      <w:marBottom w:val="0"/>
      <w:divBdr>
        <w:top w:val="none" w:sz="0" w:space="0" w:color="auto"/>
        <w:left w:val="none" w:sz="0" w:space="0" w:color="auto"/>
        <w:bottom w:val="none" w:sz="0" w:space="0" w:color="auto"/>
        <w:right w:val="none" w:sz="0" w:space="0" w:color="auto"/>
      </w:divBdr>
    </w:div>
    <w:div w:id="1607077633">
      <w:bodyDiv w:val="1"/>
      <w:marLeft w:val="0"/>
      <w:marRight w:val="0"/>
      <w:marTop w:val="0"/>
      <w:marBottom w:val="0"/>
      <w:divBdr>
        <w:top w:val="none" w:sz="0" w:space="0" w:color="auto"/>
        <w:left w:val="none" w:sz="0" w:space="0" w:color="auto"/>
        <w:bottom w:val="none" w:sz="0" w:space="0" w:color="auto"/>
        <w:right w:val="none" w:sz="0" w:space="0" w:color="auto"/>
      </w:divBdr>
    </w:div>
    <w:div w:id="1619024084">
      <w:bodyDiv w:val="1"/>
      <w:marLeft w:val="0"/>
      <w:marRight w:val="0"/>
      <w:marTop w:val="0"/>
      <w:marBottom w:val="0"/>
      <w:divBdr>
        <w:top w:val="none" w:sz="0" w:space="0" w:color="auto"/>
        <w:left w:val="none" w:sz="0" w:space="0" w:color="auto"/>
        <w:bottom w:val="none" w:sz="0" w:space="0" w:color="auto"/>
        <w:right w:val="none" w:sz="0" w:space="0" w:color="auto"/>
      </w:divBdr>
      <w:divsChild>
        <w:div w:id="864753278">
          <w:marLeft w:val="0"/>
          <w:marRight w:val="0"/>
          <w:marTop w:val="0"/>
          <w:marBottom w:val="0"/>
          <w:divBdr>
            <w:top w:val="none" w:sz="0" w:space="0" w:color="auto"/>
            <w:left w:val="none" w:sz="0" w:space="0" w:color="auto"/>
            <w:bottom w:val="none" w:sz="0" w:space="0" w:color="auto"/>
            <w:right w:val="none" w:sz="0" w:space="0" w:color="auto"/>
          </w:divBdr>
        </w:div>
      </w:divsChild>
    </w:div>
    <w:div w:id="1632662694">
      <w:bodyDiv w:val="1"/>
      <w:marLeft w:val="0"/>
      <w:marRight w:val="0"/>
      <w:marTop w:val="0"/>
      <w:marBottom w:val="0"/>
      <w:divBdr>
        <w:top w:val="none" w:sz="0" w:space="0" w:color="auto"/>
        <w:left w:val="none" w:sz="0" w:space="0" w:color="auto"/>
        <w:bottom w:val="none" w:sz="0" w:space="0" w:color="auto"/>
        <w:right w:val="none" w:sz="0" w:space="0" w:color="auto"/>
      </w:divBdr>
    </w:div>
    <w:div w:id="1638100625">
      <w:bodyDiv w:val="1"/>
      <w:marLeft w:val="0"/>
      <w:marRight w:val="0"/>
      <w:marTop w:val="0"/>
      <w:marBottom w:val="0"/>
      <w:divBdr>
        <w:top w:val="none" w:sz="0" w:space="0" w:color="auto"/>
        <w:left w:val="none" w:sz="0" w:space="0" w:color="auto"/>
        <w:bottom w:val="none" w:sz="0" w:space="0" w:color="auto"/>
        <w:right w:val="none" w:sz="0" w:space="0" w:color="auto"/>
      </w:divBdr>
    </w:div>
    <w:div w:id="1668242609">
      <w:bodyDiv w:val="1"/>
      <w:marLeft w:val="0"/>
      <w:marRight w:val="0"/>
      <w:marTop w:val="0"/>
      <w:marBottom w:val="0"/>
      <w:divBdr>
        <w:top w:val="none" w:sz="0" w:space="0" w:color="auto"/>
        <w:left w:val="none" w:sz="0" w:space="0" w:color="auto"/>
        <w:bottom w:val="none" w:sz="0" w:space="0" w:color="auto"/>
        <w:right w:val="none" w:sz="0" w:space="0" w:color="auto"/>
      </w:divBdr>
    </w:div>
    <w:div w:id="1677465963">
      <w:bodyDiv w:val="1"/>
      <w:marLeft w:val="0"/>
      <w:marRight w:val="0"/>
      <w:marTop w:val="0"/>
      <w:marBottom w:val="0"/>
      <w:divBdr>
        <w:top w:val="none" w:sz="0" w:space="0" w:color="auto"/>
        <w:left w:val="none" w:sz="0" w:space="0" w:color="auto"/>
        <w:bottom w:val="none" w:sz="0" w:space="0" w:color="auto"/>
        <w:right w:val="none" w:sz="0" w:space="0" w:color="auto"/>
      </w:divBdr>
    </w:div>
    <w:div w:id="1679890372">
      <w:bodyDiv w:val="1"/>
      <w:marLeft w:val="0"/>
      <w:marRight w:val="0"/>
      <w:marTop w:val="0"/>
      <w:marBottom w:val="0"/>
      <w:divBdr>
        <w:top w:val="none" w:sz="0" w:space="0" w:color="auto"/>
        <w:left w:val="none" w:sz="0" w:space="0" w:color="auto"/>
        <w:bottom w:val="none" w:sz="0" w:space="0" w:color="auto"/>
        <w:right w:val="none" w:sz="0" w:space="0" w:color="auto"/>
      </w:divBdr>
    </w:div>
    <w:div w:id="1697344803">
      <w:bodyDiv w:val="1"/>
      <w:marLeft w:val="0"/>
      <w:marRight w:val="0"/>
      <w:marTop w:val="0"/>
      <w:marBottom w:val="0"/>
      <w:divBdr>
        <w:top w:val="none" w:sz="0" w:space="0" w:color="auto"/>
        <w:left w:val="none" w:sz="0" w:space="0" w:color="auto"/>
        <w:bottom w:val="none" w:sz="0" w:space="0" w:color="auto"/>
        <w:right w:val="none" w:sz="0" w:space="0" w:color="auto"/>
      </w:divBdr>
    </w:div>
    <w:div w:id="1738429150">
      <w:bodyDiv w:val="1"/>
      <w:marLeft w:val="0"/>
      <w:marRight w:val="0"/>
      <w:marTop w:val="0"/>
      <w:marBottom w:val="0"/>
      <w:divBdr>
        <w:top w:val="none" w:sz="0" w:space="0" w:color="auto"/>
        <w:left w:val="none" w:sz="0" w:space="0" w:color="auto"/>
        <w:bottom w:val="none" w:sz="0" w:space="0" w:color="auto"/>
        <w:right w:val="none" w:sz="0" w:space="0" w:color="auto"/>
      </w:divBdr>
    </w:div>
    <w:div w:id="1770933079">
      <w:bodyDiv w:val="1"/>
      <w:marLeft w:val="0"/>
      <w:marRight w:val="0"/>
      <w:marTop w:val="0"/>
      <w:marBottom w:val="0"/>
      <w:divBdr>
        <w:top w:val="none" w:sz="0" w:space="0" w:color="auto"/>
        <w:left w:val="none" w:sz="0" w:space="0" w:color="auto"/>
        <w:bottom w:val="none" w:sz="0" w:space="0" w:color="auto"/>
        <w:right w:val="none" w:sz="0" w:space="0" w:color="auto"/>
      </w:divBdr>
    </w:div>
    <w:div w:id="1782990895">
      <w:bodyDiv w:val="1"/>
      <w:marLeft w:val="0"/>
      <w:marRight w:val="0"/>
      <w:marTop w:val="0"/>
      <w:marBottom w:val="0"/>
      <w:divBdr>
        <w:top w:val="none" w:sz="0" w:space="0" w:color="auto"/>
        <w:left w:val="none" w:sz="0" w:space="0" w:color="auto"/>
        <w:bottom w:val="none" w:sz="0" w:space="0" w:color="auto"/>
        <w:right w:val="none" w:sz="0" w:space="0" w:color="auto"/>
      </w:divBdr>
    </w:div>
    <w:div w:id="1850220054">
      <w:bodyDiv w:val="1"/>
      <w:marLeft w:val="0"/>
      <w:marRight w:val="0"/>
      <w:marTop w:val="0"/>
      <w:marBottom w:val="0"/>
      <w:divBdr>
        <w:top w:val="none" w:sz="0" w:space="0" w:color="auto"/>
        <w:left w:val="none" w:sz="0" w:space="0" w:color="auto"/>
        <w:bottom w:val="none" w:sz="0" w:space="0" w:color="auto"/>
        <w:right w:val="none" w:sz="0" w:space="0" w:color="auto"/>
      </w:divBdr>
    </w:div>
    <w:div w:id="1880359171">
      <w:bodyDiv w:val="1"/>
      <w:marLeft w:val="0"/>
      <w:marRight w:val="0"/>
      <w:marTop w:val="0"/>
      <w:marBottom w:val="0"/>
      <w:divBdr>
        <w:top w:val="none" w:sz="0" w:space="0" w:color="auto"/>
        <w:left w:val="none" w:sz="0" w:space="0" w:color="auto"/>
        <w:bottom w:val="none" w:sz="0" w:space="0" w:color="auto"/>
        <w:right w:val="none" w:sz="0" w:space="0" w:color="auto"/>
      </w:divBdr>
    </w:div>
    <w:div w:id="1894465399">
      <w:bodyDiv w:val="1"/>
      <w:marLeft w:val="0"/>
      <w:marRight w:val="0"/>
      <w:marTop w:val="0"/>
      <w:marBottom w:val="0"/>
      <w:divBdr>
        <w:top w:val="none" w:sz="0" w:space="0" w:color="auto"/>
        <w:left w:val="none" w:sz="0" w:space="0" w:color="auto"/>
        <w:bottom w:val="none" w:sz="0" w:space="0" w:color="auto"/>
        <w:right w:val="none" w:sz="0" w:space="0" w:color="auto"/>
      </w:divBdr>
    </w:div>
    <w:div w:id="1922134375">
      <w:bodyDiv w:val="1"/>
      <w:marLeft w:val="0"/>
      <w:marRight w:val="0"/>
      <w:marTop w:val="0"/>
      <w:marBottom w:val="0"/>
      <w:divBdr>
        <w:top w:val="none" w:sz="0" w:space="0" w:color="auto"/>
        <w:left w:val="none" w:sz="0" w:space="0" w:color="auto"/>
        <w:bottom w:val="none" w:sz="0" w:space="0" w:color="auto"/>
        <w:right w:val="none" w:sz="0" w:space="0" w:color="auto"/>
      </w:divBdr>
    </w:div>
    <w:div w:id="1945528358">
      <w:bodyDiv w:val="1"/>
      <w:marLeft w:val="0"/>
      <w:marRight w:val="0"/>
      <w:marTop w:val="0"/>
      <w:marBottom w:val="0"/>
      <w:divBdr>
        <w:top w:val="none" w:sz="0" w:space="0" w:color="auto"/>
        <w:left w:val="none" w:sz="0" w:space="0" w:color="auto"/>
        <w:bottom w:val="none" w:sz="0" w:space="0" w:color="auto"/>
        <w:right w:val="none" w:sz="0" w:space="0" w:color="auto"/>
      </w:divBdr>
    </w:div>
    <w:div w:id="1962687309">
      <w:bodyDiv w:val="1"/>
      <w:marLeft w:val="0"/>
      <w:marRight w:val="0"/>
      <w:marTop w:val="0"/>
      <w:marBottom w:val="0"/>
      <w:divBdr>
        <w:top w:val="none" w:sz="0" w:space="0" w:color="auto"/>
        <w:left w:val="none" w:sz="0" w:space="0" w:color="auto"/>
        <w:bottom w:val="none" w:sz="0" w:space="0" w:color="auto"/>
        <w:right w:val="none" w:sz="0" w:space="0" w:color="auto"/>
      </w:divBdr>
    </w:div>
    <w:div w:id="1962884403">
      <w:bodyDiv w:val="1"/>
      <w:marLeft w:val="0"/>
      <w:marRight w:val="0"/>
      <w:marTop w:val="0"/>
      <w:marBottom w:val="0"/>
      <w:divBdr>
        <w:top w:val="none" w:sz="0" w:space="0" w:color="auto"/>
        <w:left w:val="none" w:sz="0" w:space="0" w:color="auto"/>
        <w:bottom w:val="none" w:sz="0" w:space="0" w:color="auto"/>
        <w:right w:val="none" w:sz="0" w:space="0" w:color="auto"/>
      </w:divBdr>
    </w:div>
    <w:div w:id="1963069105">
      <w:bodyDiv w:val="1"/>
      <w:marLeft w:val="0"/>
      <w:marRight w:val="0"/>
      <w:marTop w:val="0"/>
      <w:marBottom w:val="0"/>
      <w:divBdr>
        <w:top w:val="none" w:sz="0" w:space="0" w:color="auto"/>
        <w:left w:val="none" w:sz="0" w:space="0" w:color="auto"/>
        <w:bottom w:val="none" w:sz="0" w:space="0" w:color="auto"/>
        <w:right w:val="none" w:sz="0" w:space="0" w:color="auto"/>
      </w:divBdr>
    </w:div>
    <w:div w:id="1986352053">
      <w:bodyDiv w:val="1"/>
      <w:marLeft w:val="0"/>
      <w:marRight w:val="0"/>
      <w:marTop w:val="0"/>
      <w:marBottom w:val="0"/>
      <w:divBdr>
        <w:top w:val="none" w:sz="0" w:space="0" w:color="auto"/>
        <w:left w:val="none" w:sz="0" w:space="0" w:color="auto"/>
        <w:bottom w:val="none" w:sz="0" w:space="0" w:color="auto"/>
        <w:right w:val="none" w:sz="0" w:space="0" w:color="auto"/>
      </w:divBdr>
    </w:div>
    <w:div w:id="1997025328">
      <w:bodyDiv w:val="1"/>
      <w:marLeft w:val="0"/>
      <w:marRight w:val="0"/>
      <w:marTop w:val="0"/>
      <w:marBottom w:val="0"/>
      <w:divBdr>
        <w:top w:val="none" w:sz="0" w:space="0" w:color="auto"/>
        <w:left w:val="none" w:sz="0" w:space="0" w:color="auto"/>
        <w:bottom w:val="none" w:sz="0" w:space="0" w:color="auto"/>
        <w:right w:val="none" w:sz="0" w:space="0" w:color="auto"/>
      </w:divBdr>
    </w:div>
    <w:div w:id="2049841236">
      <w:bodyDiv w:val="1"/>
      <w:marLeft w:val="0"/>
      <w:marRight w:val="0"/>
      <w:marTop w:val="0"/>
      <w:marBottom w:val="0"/>
      <w:divBdr>
        <w:top w:val="none" w:sz="0" w:space="0" w:color="auto"/>
        <w:left w:val="none" w:sz="0" w:space="0" w:color="auto"/>
        <w:bottom w:val="none" w:sz="0" w:space="0" w:color="auto"/>
        <w:right w:val="none" w:sz="0" w:space="0" w:color="auto"/>
      </w:divBdr>
    </w:div>
    <w:div w:id="2068257073">
      <w:bodyDiv w:val="1"/>
      <w:marLeft w:val="0"/>
      <w:marRight w:val="0"/>
      <w:marTop w:val="0"/>
      <w:marBottom w:val="0"/>
      <w:divBdr>
        <w:top w:val="none" w:sz="0" w:space="0" w:color="auto"/>
        <w:left w:val="none" w:sz="0" w:space="0" w:color="auto"/>
        <w:bottom w:val="none" w:sz="0" w:space="0" w:color="auto"/>
        <w:right w:val="none" w:sz="0" w:space="0" w:color="auto"/>
      </w:divBdr>
    </w:div>
    <w:div w:id="2078898377">
      <w:bodyDiv w:val="1"/>
      <w:marLeft w:val="0"/>
      <w:marRight w:val="0"/>
      <w:marTop w:val="0"/>
      <w:marBottom w:val="0"/>
      <w:divBdr>
        <w:top w:val="none" w:sz="0" w:space="0" w:color="auto"/>
        <w:left w:val="none" w:sz="0" w:space="0" w:color="auto"/>
        <w:bottom w:val="none" w:sz="0" w:space="0" w:color="auto"/>
        <w:right w:val="none" w:sz="0" w:space="0" w:color="auto"/>
      </w:divBdr>
    </w:div>
    <w:div w:id="2099910696">
      <w:bodyDiv w:val="1"/>
      <w:marLeft w:val="0"/>
      <w:marRight w:val="0"/>
      <w:marTop w:val="0"/>
      <w:marBottom w:val="0"/>
      <w:divBdr>
        <w:top w:val="none" w:sz="0" w:space="0" w:color="auto"/>
        <w:left w:val="none" w:sz="0" w:space="0" w:color="auto"/>
        <w:bottom w:val="none" w:sz="0" w:space="0" w:color="auto"/>
        <w:right w:val="none" w:sz="0" w:space="0" w:color="auto"/>
      </w:divBdr>
    </w:div>
    <w:div w:id="2113546449">
      <w:bodyDiv w:val="1"/>
      <w:marLeft w:val="0"/>
      <w:marRight w:val="0"/>
      <w:marTop w:val="0"/>
      <w:marBottom w:val="0"/>
      <w:divBdr>
        <w:top w:val="none" w:sz="0" w:space="0" w:color="auto"/>
        <w:left w:val="none" w:sz="0" w:space="0" w:color="auto"/>
        <w:bottom w:val="none" w:sz="0" w:space="0" w:color="auto"/>
        <w:right w:val="none" w:sz="0" w:space="0" w:color="auto"/>
      </w:divBdr>
    </w:div>
    <w:div w:id="212684382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accan.org.au/" TargetMode="External"/><Relationship Id="rId18" Type="http://schemas.openxmlformats.org/officeDocument/2006/relationships/footer" Target="footer1.xml"/><Relationship Id="rId26" Type="http://schemas.openxmlformats.org/officeDocument/2006/relationships/image" Target="media/image5.png"/><Relationship Id="rId39" Type="http://schemas.openxmlformats.org/officeDocument/2006/relationships/hyperlink" Target="https://www.humanservices.gov.au/customer/services/centrelink/partner-allowance" TargetMode="External"/><Relationship Id="rId21" Type="http://schemas.openxmlformats.org/officeDocument/2006/relationships/chart" Target="charts/chart2.xml"/><Relationship Id="rId34" Type="http://schemas.openxmlformats.org/officeDocument/2006/relationships/hyperlink" Target="https://www.humanservices.gov.au/customer/services/centrelink/widow-allowance" TargetMode="External"/><Relationship Id="rId42" Type="http://schemas.openxmlformats.org/officeDocument/2006/relationships/hyperlink" Target="https://www.humanservices.gov.au/customer/services/centrelink/sickness-allowance" TargetMode="External"/><Relationship Id="rId47" Type="http://schemas.openxmlformats.org/officeDocument/2006/relationships/header" Target="header2.xml"/><Relationship Id="rId50" Type="http://schemas.openxmlformats.org/officeDocument/2006/relationships/header" Target="header4.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acoss@sacoss.org.au" TargetMode="External"/><Relationship Id="rId17" Type="http://schemas.openxmlformats.org/officeDocument/2006/relationships/hyperlink" Target="http://creativecommons.org/licenses/by/4.0/" TargetMode="External"/><Relationship Id="rId25" Type="http://schemas.openxmlformats.org/officeDocument/2006/relationships/chart" Target="charts/chart6.xml"/><Relationship Id="rId33" Type="http://schemas.openxmlformats.org/officeDocument/2006/relationships/hyperlink" Target="https://www.humanservices.gov.au/customer/services/centrelink/partner-allowance" TargetMode="External"/><Relationship Id="rId38" Type="http://schemas.openxmlformats.org/officeDocument/2006/relationships/hyperlink" Target="https://www.humanservices.gov.au/customer/services/centrelink/youth-allowance"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1.xml"/><Relationship Id="rId29" Type="http://schemas.openxmlformats.org/officeDocument/2006/relationships/hyperlink" Target="https://www.humanservices.gov.au/customer/services/centrelink/parenting-payment" TargetMode="External"/><Relationship Id="rId41" Type="http://schemas.openxmlformats.org/officeDocument/2006/relationships/hyperlink" Target="https://www.humanservices.gov.au/customer/services/centrelink/newstart-allowanc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coss.org.au/" TargetMode="External"/><Relationship Id="rId24" Type="http://schemas.openxmlformats.org/officeDocument/2006/relationships/chart" Target="charts/chart5.xml"/><Relationship Id="rId32" Type="http://schemas.openxmlformats.org/officeDocument/2006/relationships/hyperlink" Target="https://www.humanservices.gov.au/customer/services/centrelink/sickness-allowance" TargetMode="External"/><Relationship Id="rId37" Type="http://schemas.openxmlformats.org/officeDocument/2006/relationships/hyperlink" Target="https://www.humanservices.gov.au/customer/services/centrelink/newstart-allowance" TargetMode="External"/><Relationship Id="rId40" Type="http://schemas.openxmlformats.org/officeDocument/2006/relationships/hyperlink" Target="https://www.humanservices.gov.au/customer/services/centrelink/parenting-payment" TargetMode="External"/><Relationship Id="rId45" Type="http://schemas.openxmlformats.org/officeDocument/2006/relationships/hyperlink" Target="https://www.humanservices.gov.au/customer/services/centrelink/disability-support-pension" TargetMode="External"/><Relationship Id="rId53"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relayservice.gov.au/" TargetMode="External"/><Relationship Id="rId23" Type="http://schemas.openxmlformats.org/officeDocument/2006/relationships/chart" Target="charts/chart4.xml"/><Relationship Id="rId28" Type="http://schemas.openxmlformats.org/officeDocument/2006/relationships/hyperlink" Target="https://www.humanservices.gov.au/customer/services/centrelink/disability-support-pension" TargetMode="External"/><Relationship Id="rId36" Type="http://schemas.openxmlformats.org/officeDocument/2006/relationships/hyperlink" Target="https://www.humanservices.gov.au/customer/services/centrelink/parenting-payment" TargetMode="External"/><Relationship Id="rId49" Type="http://schemas.openxmlformats.org/officeDocument/2006/relationships/header" Target="header3.xml"/><Relationship Id="rId57" Type="http://schemas.microsoft.com/office/2011/relationships/people" Target="people.xml"/><Relationship Id="rId10" Type="http://schemas.openxmlformats.org/officeDocument/2006/relationships/image" Target="media/image2.jpg"/><Relationship Id="rId19" Type="http://schemas.openxmlformats.org/officeDocument/2006/relationships/image" Target="media/image4.png"/><Relationship Id="rId31" Type="http://schemas.openxmlformats.org/officeDocument/2006/relationships/hyperlink" Target="https://www.humanservices.gov.au/customer/services/centrelink/newstart-allowance" TargetMode="External"/><Relationship Id="rId44" Type="http://schemas.openxmlformats.org/officeDocument/2006/relationships/hyperlink" Target="https://www.humanservices.gov.au/customer/services/centrelink/youth-allowance" TargetMode="External"/><Relationship Id="rId52"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grants@accan.org.au" TargetMode="External"/><Relationship Id="rId22" Type="http://schemas.openxmlformats.org/officeDocument/2006/relationships/chart" Target="charts/chart3.xml"/><Relationship Id="rId27" Type="http://schemas.openxmlformats.org/officeDocument/2006/relationships/image" Target="media/image6.png"/><Relationship Id="rId30" Type="http://schemas.openxmlformats.org/officeDocument/2006/relationships/hyperlink" Target="https://www.humanservices.gov.au/customer/services/centrelink/parenting-payment" TargetMode="External"/><Relationship Id="rId35" Type="http://schemas.openxmlformats.org/officeDocument/2006/relationships/hyperlink" Target="https://www.humanservices.gov.au/customer/services/centrelink/special-benefit" TargetMode="External"/><Relationship Id="rId43" Type="http://schemas.openxmlformats.org/officeDocument/2006/relationships/hyperlink" Target="https://www.humanservices.gov.au/customer/services/centrelink/newstart-allowance"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SACOSS.001\AppData\Local\Microsoft\Windows\Temporary%20Internet%20Files\Content.Outlook\HB9G6VMJ\ACCAN%20Research%20Scheme%20report%20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Marianne\Dropbox\Job%20files\Current%20projects%20and%20proposals\SACOSS\Analysis%20&amp;%20reporting\Mel's%20working%20analysis%20for%20final%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Sheet1!$B$1</c:f>
              <c:strCache>
                <c:ptCount val="1"/>
                <c:pt idx="0">
                  <c:v>Upfront</c:v>
                </c:pt>
              </c:strCache>
            </c:strRef>
          </c:tx>
          <c:invertIfNegative val="0"/>
          <c:cat>
            <c:strRef>
              <c:f>Sheet1!$A$2:$A$5</c:f>
              <c:strCache>
                <c:ptCount val="4"/>
                <c:pt idx="0">
                  <c:v>Landline</c:v>
                </c:pt>
                <c:pt idx="1">
                  <c:v>Mobile no data</c:v>
                </c:pt>
                <c:pt idx="2">
                  <c:v>Mobile with data</c:v>
                </c:pt>
                <c:pt idx="3">
                  <c:v>Internet</c:v>
                </c:pt>
              </c:strCache>
            </c:strRef>
          </c:cat>
          <c:val>
            <c:numRef>
              <c:f>Sheet1!$B$2:$B$5</c:f>
              <c:numCache>
                <c:formatCode>General</c:formatCode>
                <c:ptCount val="4"/>
                <c:pt idx="0">
                  <c:v>19</c:v>
                </c:pt>
                <c:pt idx="1">
                  <c:v>12</c:v>
                </c:pt>
                <c:pt idx="2">
                  <c:v>14</c:v>
                </c:pt>
                <c:pt idx="3">
                  <c:v>18</c:v>
                </c:pt>
              </c:numCache>
            </c:numRef>
          </c:val>
        </c:ser>
        <c:ser>
          <c:idx val="1"/>
          <c:order val="1"/>
          <c:tx>
            <c:strRef>
              <c:f>Sheet1!$C$1</c:f>
              <c:strCache>
                <c:ptCount val="1"/>
                <c:pt idx="0">
                  <c:v>Ongoing</c:v>
                </c:pt>
              </c:strCache>
            </c:strRef>
          </c:tx>
          <c:invertIfNegative val="0"/>
          <c:cat>
            <c:strRef>
              <c:f>Sheet1!$A$2:$A$5</c:f>
              <c:strCache>
                <c:ptCount val="4"/>
                <c:pt idx="0">
                  <c:v>Landline</c:v>
                </c:pt>
                <c:pt idx="1">
                  <c:v>Mobile no data</c:v>
                </c:pt>
                <c:pt idx="2">
                  <c:v>Mobile with data</c:v>
                </c:pt>
                <c:pt idx="3">
                  <c:v>Internet</c:v>
                </c:pt>
              </c:strCache>
            </c:strRef>
          </c:cat>
          <c:val>
            <c:numRef>
              <c:f>Sheet1!$C$2:$C$5</c:f>
              <c:numCache>
                <c:formatCode>General</c:formatCode>
                <c:ptCount val="4"/>
                <c:pt idx="0">
                  <c:v>44</c:v>
                </c:pt>
                <c:pt idx="1">
                  <c:v>33</c:v>
                </c:pt>
                <c:pt idx="2">
                  <c:v>49</c:v>
                </c:pt>
                <c:pt idx="3">
                  <c:v>49</c:v>
                </c:pt>
              </c:numCache>
            </c:numRef>
          </c:val>
        </c:ser>
        <c:dLbls>
          <c:showLegendKey val="0"/>
          <c:showVal val="0"/>
          <c:showCatName val="0"/>
          <c:showSerName val="0"/>
          <c:showPercent val="0"/>
          <c:showBubbleSize val="0"/>
        </c:dLbls>
        <c:gapWidth val="150"/>
        <c:axId val="84693760"/>
        <c:axId val="84695296"/>
      </c:barChart>
      <c:catAx>
        <c:axId val="84693760"/>
        <c:scaling>
          <c:orientation val="minMax"/>
        </c:scaling>
        <c:delete val="0"/>
        <c:axPos val="b"/>
        <c:numFmt formatCode="General" sourceLinked="0"/>
        <c:majorTickMark val="out"/>
        <c:minorTickMark val="none"/>
        <c:tickLblPos val="nextTo"/>
        <c:crossAx val="84695296"/>
        <c:crosses val="autoZero"/>
        <c:auto val="1"/>
        <c:lblAlgn val="ctr"/>
        <c:lblOffset val="100"/>
        <c:noMultiLvlLbl val="0"/>
      </c:catAx>
      <c:valAx>
        <c:axId val="84695296"/>
        <c:scaling>
          <c:orientation val="minMax"/>
        </c:scaling>
        <c:delete val="0"/>
        <c:axPos val="l"/>
        <c:majorGridlines/>
        <c:title>
          <c:tx>
            <c:rich>
              <a:bodyPr rot="-5400000" vert="horz"/>
              <a:lstStyle/>
              <a:p>
                <a:pPr>
                  <a:defRPr/>
                </a:pPr>
                <a:r>
                  <a:rPr lang="en-AU"/>
                  <a:t>Percent identifying difficulties</a:t>
                </a:r>
              </a:p>
            </c:rich>
          </c:tx>
          <c:layout/>
          <c:overlay val="0"/>
        </c:title>
        <c:numFmt formatCode="General" sourceLinked="1"/>
        <c:majorTickMark val="out"/>
        <c:minorTickMark val="none"/>
        <c:tickLblPos val="nextTo"/>
        <c:crossAx val="8469376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100"/>
              <a:t>Difficulty</a:t>
            </a:r>
            <a:r>
              <a:rPr lang="en-AU" sz="1100" baseline="0"/>
              <a:t> paying/cutting back/stopping telecommunications for financial reasons in the past 12 months, by payment type</a:t>
            </a:r>
            <a:endParaRPr lang="en-AU" sz="1100"/>
          </a:p>
        </c:rich>
      </c:tx>
      <c:layout/>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Disability SP</c:v>
                </c:pt>
                <c:pt idx="1">
                  <c:v>Newstart</c:v>
                </c:pt>
                <c:pt idx="2">
                  <c:v>Parenting Payment</c:v>
                </c:pt>
                <c:pt idx="3">
                  <c:v>Youth Allowance</c:v>
                </c:pt>
                <c:pt idx="4">
                  <c:v>Age Pension</c:v>
                </c:pt>
                <c:pt idx="5">
                  <c:v>Carer Payment</c:v>
                </c:pt>
              </c:strCache>
            </c:strRef>
          </c:cat>
          <c:val>
            <c:numRef>
              <c:f>Sheet1!$B$2:$B$7</c:f>
              <c:numCache>
                <c:formatCode>General</c:formatCode>
                <c:ptCount val="6"/>
                <c:pt idx="0">
                  <c:v>61</c:v>
                </c:pt>
                <c:pt idx="1">
                  <c:v>73</c:v>
                </c:pt>
                <c:pt idx="2">
                  <c:v>72</c:v>
                </c:pt>
                <c:pt idx="3">
                  <c:v>81</c:v>
                </c:pt>
                <c:pt idx="4">
                  <c:v>31</c:v>
                </c:pt>
                <c:pt idx="5">
                  <c:v>64</c:v>
                </c:pt>
              </c:numCache>
            </c:numRef>
          </c:val>
        </c:ser>
        <c:dLbls>
          <c:showLegendKey val="0"/>
          <c:showVal val="0"/>
          <c:showCatName val="0"/>
          <c:showSerName val="0"/>
          <c:showPercent val="0"/>
          <c:showBubbleSize val="0"/>
        </c:dLbls>
        <c:gapWidth val="150"/>
        <c:axId val="116985856"/>
        <c:axId val="116987392"/>
      </c:barChart>
      <c:catAx>
        <c:axId val="116985856"/>
        <c:scaling>
          <c:orientation val="minMax"/>
        </c:scaling>
        <c:delete val="0"/>
        <c:axPos val="b"/>
        <c:numFmt formatCode="General" sourceLinked="0"/>
        <c:majorTickMark val="out"/>
        <c:minorTickMark val="none"/>
        <c:tickLblPos val="nextTo"/>
        <c:crossAx val="116987392"/>
        <c:crosses val="autoZero"/>
        <c:auto val="1"/>
        <c:lblAlgn val="ctr"/>
        <c:lblOffset val="100"/>
        <c:noMultiLvlLbl val="0"/>
      </c:catAx>
      <c:valAx>
        <c:axId val="116987392"/>
        <c:scaling>
          <c:orientation val="minMax"/>
        </c:scaling>
        <c:delete val="0"/>
        <c:axPos val="l"/>
        <c:majorGridlines/>
        <c:title>
          <c:tx>
            <c:rich>
              <a:bodyPr rot="-5400000" vert="horz"/>
              <a:lstStyle/>
              <a:p>
                <a:pPr>
                  <a:defRPr/>
                </a:pPr>
                <a:r>
                  <a:rPr lang="en-AU"/>
                  <a:t>Percent of respondents</a:t>
                </a:r>
              </a:p>
            </c:rich>
          </c:tx>
          <c:layout/>
          <c:overlay val="0"/>
        </c:title>
        <c:numFmt formatCode="General" sourceLinked="1"/>
        <c:majorTickMark val="out"/>
        <c:minorTickMark val="none"/>
        <c:tickLblPos val="nextTo"/>
        <c:crossAx val="1169858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100" b="1" i="0" u="none" strike="noStrike" baseline="0">
                <a:effectLst/>
              </a:rPr>
              <a:t>Difficulty paying/cutting back/stopping telecommunications for financial reasons in the past 12 months</a:t>
            </a:r>
            <a:endParaRPr lang="en-US" sz="1100"/>
          </a:p>
        </c:rich>
      </c:tx>
      <c:layout/>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Single parent living with children</c:v>
                </c:pt>
                <c:pt idx="1">
                  <c:v>Couple with children</c:v>
                </c:pt>
                <c:pt idx="2">
                  <c:v>Couple - no children</c:v>
                </c:pt>
                <c:pt idx="3">
                  <c:v>Single person household</c:v>
                </c:pt>
                <c:pt idx="4">
                  <c:v>Living with parents</c:v>
                </c:pt>
                <c:pt idx="5">
                  <c:v>Mixed adult household</c:v>
                </c:pt>
              </c:strCache>
            </c:strRef>
          </c:cat>
          <c:val>
            <c:numRef>
              <c:f>Sheet1!$B$2:$B$7</c:f>
              <c:numCache>
                <c:formatCode>General</c:formatCode>
                <c:ptCount val="6"/>
                <c:pt idx="0">
                  <c:v>71</c:v>
                </c:pt>
                <c:pt idx="1">
                  <c:v>69</c:v>
                </c:pt>
                <c:pt idx="2">
                  <c:v>56</c:v>
                </c:pt>
                <c:pt idx="3">
                  <c:v>54</c:v>
                </c:pt>
                <c:pt idx="4">
                  <c:v>61</c:v>
                </c:pt>
                <c:pt idx="5">
                  <c:v>70</c:v>
                </c:pt>
              </c:numCache>
            </c:numRef>
          </c:val>
        </c:ser>
        <c:dLbls>
          <c:showLegendKey val="0"/>
          <c:showVal val="0"/>
          <c:showCatName val="0"/>
          <c:showSerName val="0"/>
          <c:showPercent val="0"/>
          <c:showBubbleSize val="0"/>
        </c:dLbls>
        <c:gapWidth val="150"/>
        <c:axId val="117012352"/>
        <c:axId val="117013888"/>
      </c:barChart>
      <c:catAx>
        <c:axId val="117012352"/>
        <c:scaling>
          <c:orientation val="minMax"/>
        </c:scaling>
        <c:delete val="0"/>
        <c:axPos val="b"/>
        <c:numFmt formatCode="General" sourceLinked="0"/>
        <c:majorTickMark val="out"/>
        <c:minorTickMark val="none"/>
        <c:tickLblPos val="nextTo"/>
        <c:crossAx val="117013888"/>
        <c:crosses val="autoZero"/>
        <c:auto val="1"/>
        <c:lblAlgn val="ctr"/>
        <c:lblOffset val="100"/>
        <c:noMultiLvlLbl val="0"/>
      </c:catAx>
      <c:valAx>
        <c:axId val="117013888"/>
        <c:scaling>
          <c:orientation val="minMax"/>
        </c:scaling>
        <c:delete val="0"/>
        <c:axPos val="l"/>
        <c:majorGridlines/>
        <c:title>
          <c:tx>
            <c:rich>
              <a:bodyPr rot="-5400000" vert="horz"/>
              <a:lstStyle/>
              <a:p>
                <a:pPr>
                  <a:defRPr/>
                </a:pPr>
                <a:r>
                  <a:rPr lang="en-AU"/>
                  <a:t>Percent of respondents</a:t>
                </a:r>
              </a:p>
            </c:rich>
          </c:tx>
          <c:layout/>
          <c:overlay val="0"/>
        </c:title>
        <c:numFmt formatCode="General" sourceLinked="1"/>
        <c:majorTickMark val="out"/>
        <c:minorTickMark val="none"/>
        <c:tickLblPos val="nextTo"/>
        <c:crossAx val="11701235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dPt>
            <c:idx val="0"/>
            <c:invertIfNegative val="0"/>
            <c:bubble3D val="0"/>
            <c:spPr>
              <a:solidFill>
                <a:schemeClr val="accent2"/>
              </a:solidFill>
            </c:spPr>
          </c:dPt>
          <c:cat>
            <c:strRef>
              <c:f>Sheet1!$A$2:$A$8</c:f>
              <c:strCache>
                <c:ptCount val="7"/>
                <c:pt idx="0">
                  <c:v>Overall</c:v>
                </c:pt>
                <c:pt idx="1">
                  <c:v>No CTA</c:v>
                </c:pt>
                <c:pt idx="2">
                  <c:v>Direct CTA</c:v>
                </c:pt>
                <c:pt idx="3">
                  <c:v>Aged Pension</c:v>
                </c:pt>
                <c:pt idx="4">
                  <c:v>DSP</c:v>
                </c:pt>
                <c:pt idx="5">
                  <c:v>Carer Payment</c:v>
                </c:pt>
                <c:pt idx="6">
                  <c:v>Total CTA</c:v>
                </c:pt>
              </c:strCache>
            </c:strRef>
          </c:cat>
          <c:val>
            <c:numRef>
              <c:f>Sheet1!$B$2:$B$8</c:f>
              <c:numCache>
                <c:formatCode>General</c:formatCode>
                <c:ptCount val="7"/>
                <c:pt idx="0">
                  <c:v>62</c:v>
                </c:pt>
                <c:pt idx="1">
                  <c:v>69</c:v>
                </c:pt>
                <c:pt idx="2">
                  <c:v>74</c:v>
                </c:pt>
                <c:pt idx="3">
                  <c:v>31</c:v>
                </c:pt>
                <c:pt idx="4">
                  <c:v>61</c:v>
                </c:pt>
                <c:pt idx="5">
                  <c:v>64</c:v>
                </c:pt>
                <c:pt idx="6">
                  <c:v>58</c:v>
                </c:pt>
              </c:numCache>
            </c:numRef>
          </c:val>
        </c:ser>
        <c:dLbls>
          <c:showLegendKey val="0"/>
          <c:showVal val="0"/>
          <c:showCatName val="0"/>
          <c:showSerName val="0"/>
          <c:showPercent val="0"/>
          <c:showBubbleSize val="0"/>
        </c:dLbls>
        <c:gapWidth val="150"/>
        <c:axId val="117098752"/>
        <c:axId val="117100544"/>
      </c:barChart>
      <c:catAx>
        <c:axId val="117098752"/>
        <c:scaling>
          <c:orientation val="minMax"/>
        </c:scaling>
        <c:delete val="0"/>
        <c:axPos val="b"/>
        <c:numFmt formatCode="General" sourceLinked="0"/>
        <c:majorTickMark val="out"/>
        <c:minorTickMark val="none"/>
        <c:tickLblPos val="nextTo"/>
        <c:crossAx val="117100544"/>
        <c:crosses val="autoZero"/>
        <c:auto val="1"/>
        <c:lblAlgn val="ctr"/>
        <c:lblOffset val="100"/>
        <c:noMultiLvlLbl val="0"/>
      </c:catAx>
      <c:valAx>
        <c:axId val="117100544"/>
        <c:scaling>
          <c:orientation val="minMax"/>
        </c:scaling>
        <c:delete val="0"/>
        <c:axPos val="l"/>
        <c:majorGridlines/>
        <c:title>
          <c:tx>
            <c:rich>
              <a:bodyPr rot="-5400000" vert="horz"/>
              <a:lstStyle/>
              <a:p>
                <a:pPr>
                  <a:defRPr/>
                </a:pPr>
                <a:r>
                  <a:rPr lang="en-AU"/>
                  <a:t>Percent of Respondents</a:t>
                </a:r>
              </a:p>
            </c:rich>
          </c:tx>
          <c:layout/>
          <c:overlay val="0"/>
        </c:title>
        <c:numFmt formatCode="General" sourceLinked="1"/>
        <c:majorTickMark val="out"/>
        <c:minorTickMark val="none"/>
        <c:tickLblPos val="nextTo"/>
        <c:crossAx val="11709875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en-AU" sz="1000"/>
              <a:t>Blue: Respondents who</a:t>
            </a:r>
            <a:r>
              <a:rPr lang="en-AU" sz="1000" baseline="0"/>
              <a:t> believed they got CTA</a:t>
            </a:r>
            <a:br>
              <a:rPr lang="en-AU" sz="1000" baseline="0"/>
            </a:br>
            <a:r>
              <a:rPr lang="en-AU" sz="1000" baseline="0"/>
              <a:t>Red: Respondents who were not sure if they got CTA</a:t>
            </a:r>
            <a:endParaRPr lang="en-AU" sz="1000"/>
          </a:p>
        </c:rich>
      </c:tx>
      <c:layout/>
      <c:overlay val="0"/>
    </c:title>
    <c:autoTitleDeleted val="0"/>
    <c:plotArea>
      <c:layout/>
      <c:barChart>
        <c:barDir val="col"/>
        <c:grouping val="percentStacked"/>
        <c:varyColors val="0"/>
        <c:ser>
          <c:idx val="0"/>
          <c:order val="0"/>
          <c:tx>
            <c:strRef>
              <c:f>Sheet1!$B$1</c:f>
              <c:strCache>
                <c:ptCount val="1"/>
                <c:pt idx="0">
                  <c:v>A large difference</c:v>
                </c:pt>
              </c:strCache>
            </c:strRef>
          </c:tx>
          <c:invertIfNegative val="0"/>
          <c:dPt>
            <c:idx val="3"/>
            <c:invertIfNegative val="0"/>
            <c:bubble3D val="0"/>
            <c:spPr>
              <a:solidFill>
                <a:schemeClr val="accent2"/>
              </a:solidFill>
            </c:spPr>
          </c:dPt>
          <c:dPt>
            <c:idx val="4"/>
            <c:invertIfNegative val="0"/>
            <c:bubble3D val="0"/>
            <c:spPr>
              <a:solidFill>
                <a:schemeClr val="accent2"/>
              </a:solidFill>
            </c:spPr>
          </c:dPt>
          <c:dPt>
            <c:idx val="5"/>
            <c:invertIfNegative val="0"/>
            <c:bubble3D val="0"/>
            <c:spPr>
              <a:solidFill>
                <a:schemeClr val="accent2"/>
              </a:solidFill>
            </c:spPr>
          </c:dPt>
          <c:dLbls>
            <c:dLbl>
              <c:idx val="0"/>
              <c:numFmt formatCode="General" sourceLinked="0"/>
              <c:spPr/>
              <c:txPr>
                <a:bodyPr/>
                <a:lstStyle/>
                <a:p>
                  <a:pPr>
                    <a:defRPr sz="1050"/>
                  </a:pPr>
                  <a:endParaRPr lang="en-US"/>
                </a:p>
              </c:txPr>
              <c:showLegendKey val="0"/>
              <c:showVal val="1"/>
              <c:showCatName val="0"/>
              <c:showSerName val="0"/>
              <c:showPercent val="0"/>
              <c:showBubbleSize val="0"/>
            </c:dLbl>
            <c:spPr>
              <a:noFill/>
              <a:ln>
                <a:noFill/>
              </a:ln>
              <a:effectLst/>
            </c:spPr>
            <c:txPr>
              <a:bodyPr/>
              <a:lstStyle/>
              <a:p>
                <a:pPr>
                  <a:defRPr sz="105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Sheet1!$A$2:$A$7</c:f>
              <c:numCache>
                <c:formatCode>"$"#,##0_);[Red]\("$"#,##0\)</c:formatCode>
                <c:ptCount val="6"/>
                <c:pt idx="0">
                  <c:v>60</c:v>
                </c:pt>
                <c:pt idx="1">
                  <c:v>90</c:v>
                </c:pt>
                <c:pt idx="2">
                  <c:v>120</c:v>
                </c:pt>
                <c:pt idx="3">
                  <c:v>60</c:v>
                </c:pt>
                <c:pt idx="4">
                  <c:v>90</c:v>
                </c:pt>
                <c:pt idx="5">
                  <c:v>120</c:v>
                </c:pt>
              </c:numCache>
            </c:numRef>
          </c:cat>
          <c:val>
            <c:numRef>
              <c:f>Sheet1!$B$2:$B$7</c:f>
              <c:numCache>
                <c:formatCode>General</c:formatCode>
                <c:ptCount val="6"/>
                <c:pt idx="0">
                  <c:v>72</c:v>
                </c:pt>
                <c:pt idx="1">
                  <c:v>81</c:v>
                </c:pt>
                <c:pt idx="2">
                  <c:v>89</c:v>
                </c:pt>
                <c:pt idx="3">
                  <c:v>63</c:v>
                </c:pt>
                <c:pt idx="4">
                  <c:v>78</c:v>
                </c:pt>
                <c:pt idx="5">
                  <c:v>83</c:v>
                </c:pt>
              </c:numCache>
            </c:numRef>
          </c:val>
        </c:ser>
        <c:ser>
          <c:idx val="1"/>
          <c:order val="1"/>
          <c:tx>
            <c:strRef>
              <c:f>Sheet1!$C$1</c:f>
              <c:strCache>
                <c:ptCount val="1"/>
                <c:pt idx="0">
                  <c:v>Some difference</c:v>
                </c:pt>
              </c:strCache>
            </c:strRef>
          </c:tx>
          <c:invertIfNegative val="0"/>
          <c:dPt>
            <c:idx val="3"/>
            <c:invertIfNegative val="0"/>
            <c:bubble3D val="0"/>
            <c:spPr>
              <a:solidFill>
                <a:schemeClr val="accent2">
                  <a:lumMod val="60000"/>
                  <a:lumOff val="40000"/>
                </a:schemeClr>
              </a:solidFill>
            </c:spPr>
          </c:dPt>
          <c:dPt>
            <c:idx val="4"/>
            <c:invertIfNegative val="0"/>
            <c:bubble3D val="0"/>
            <c:spPr>
              <a:solidFill>
                <a:schemeClr val="accent2">
                  <a:lumMod val="60000"/>
                  <a:lumOff val="40000"/>
                </a:schemeClr>
              </a:solidFill>
            </c:spPr>
          </c:dPt>
          <c:dPt>
            <c:idx val="5"/>
            <c:invertIfNegative val="0"/>
            <c:bubble3D val="0"/>
            <c:spPr>
              <a:solidFill>
                <a:schemeClr val="accent2">
                  <a:lumMod val="60000"/>
                  <a:lumOff val="40000"/>
                </a:schemeClr>
              </a:solidFill>
            </c:spPr>
          </c:dPt>
          <c:dLbls>
            <c:spPr>
              <a:noFill/>
              <a:ln>
                <a:noFill/>
              </a:ln>
              <a:effectLst/>
            </c:spPr>
            <c:txPr>
              <a:bodyPr/>
              <a:lstStyle/>
              <a:p>
                <a:pPr>
                  <a:defRPr sz="105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Sheet1!$A$2:$A$7</c:f>
              <c:numCache>
                <c:formatCode>"$"#,##0_);[Red]\("$"#,##0\)</c:formatCode>
                <c:ptCount val="6"/>
                <c:pt idx="0">
                  <c:v>60</c:v>
                </c:pt>
                <c:pt idx="1">
                  <c:v>90</c:v>
                </c:pt>
                <c:pt idx="2">
                  <c:v>120</c:v>
                </c:pt>
                <c:pt idx="3">
                  <c:v>60</c:v>
                </c:pt>
                <c:pt idx="4">
                  <c:v>90</c:v>
                </c:pt>
                <c:pt idx="5">
                  <c:v>120</c:v>
                </c:pt>
              </c:numCache>
            </c:numRef>
          </c:cat>
          <c:val>
            <c:numRef>
              <c:f>Sheet1!$C$2:$C$7</c:f>
              <c:numCache>
                <c:formatCode>General</c:formatCode>
                <c:ptCount val="6"/>
                <c:pt idx="0">
                  <c:v>21</c:v>
                </c:pt>
                <c:pt idx="1">
                  <c:v>15</c:v>
                </c:pt>
                <c:pt idx="2">
                  <c:v>7</c:v>
                </c:pt>
                <c:pt idx="3">
                  <c:v>25</c:v>
                </c:pt>
                <c:pt idx="4">
                  <c:v>16</c:v>
                </c:pt>
                <c:pt idx="5">
                  <c:v>11</c:v>
                </c:pt>
              </c:numCache>
            </c:numRef>
          </c:val>
        </c:ser>
        <c:ser>
          <c:idx val="2"/>
          <c:order val="2"/>
          <c:tx>
            <c:strRef>
              <c:f>Sheet1!$D$1</c:f>
              <c:strCache>
                <c:ptCount val="1"/>
                <c:pt idx="0">
                  <c:v>Little to no difference</c:v>
                </c:pt>
              </c:strCache>
            </c:strRef>
          </c:tx>
          <c:invertIfNegative val="0"/>
          <c:dPt>
            <c:idx val="3"/>
            <c:invertIfNegative val="0"/>
            <c:bubble3D val="0"/>
            <c:spPr>
              <a:solidFill>
                <a:schemeClr val="accent2">
                  <a:lumMod val="40000"/>
                  <a:lumOff val="60000"/>
                </a:schemeClr>
              </a:solidFill>
            </c:spPr>
          </c:dPt>
          <c:dPt>
            <c:idx val="4"/>
            <c:invertIfNegative val="0"/>
            <c:bubble3D val="0"/>
            <c:spPr>
              <a:solidFill>
                <a:schemeClr val="accent2">
                  <a:lumMod val="40000"/>
                  <a:lumOff val="60000"/>
                </a:schemeClr>
              </a:solidFill>
            </c:spPr>
          </c:dPt>
          <c:dPt>
            <c:idx val="5"/>
            <c:invertIfNegative val="0"/>
            <c:bubble3D val="0"/>
            <c:spPr>
              <a:solidFill>
                <a:schemeClr val="accent2">
                  <a:lumMod val="40000"/>
                  <a:lumOff val="60000"/>
                </a:schemeClr>
              </a:solidFill>
            </c:spPr>
          </c:dPt>
          <c:dLbls>
            <c:dLbl>
              <c:idx val="1"/>
              <c:layout>
                <c:manualLayout>
                  <c:x val="2.6270102575442255E-3"/>
                  <c:y val="-1.1042155795096072E-2"/>
                </c:manualLayout>
              </c:layout>
              <c:dLblPos val="ctr"/>
              <c:showLegendKey val="0"/>
              <c:showVal val="1"/>
              <c:showCatName val="0"/>
              <c:showSerName val="0"/>
              <c:showPercent val="0"/>
              <c:showBubbleSize val="0"/>
            </c:dLbl>
            <c:dLbl>
              <c:idx val="2"/>
              <c:layout>
                <c:manualLayout>
                  <c:x val="0"/>
                  <c:y val="-1.1040706883431563E-2"/>
                </c:manualLayout>
              </c:layout>
              <c:dLblPos val="ctr"/>
              <c:showLegendKey val="0"/>
              <c:showVal val="1"/>
              <c:showCatName val="0"/>
              <c:showSerName val="0"/>
              <c:showPercent val="0"/>
              <c:showBubbleSize val="0"/>
            </c:dLbl>
            <c:spPr>
              <a:noFill/>
              <a:ln>
                <a:noFill/>
              </a:ln>
              <a:effectLst/>
            </c:spPr>
            <c:txPr>
              <a:bodyPr/>
              <a:lstStyle/>
              <a:p>
                <a:pPr>
                  <a:defRPr sz="105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Sheet1!$A$2:$A$7</c:f>
              <c:numCache>
                <c:formatCode>"$"#,##0_);[Red]\("$"#,##0\)</c:formatCode>
                <c:ptCount val="6"/>
                <c:pt idx="0">
                  <c:v>60</c:v>
                </c:pt>
                <c:pt idx="1">
                  <c:v>90</c:v>
                </c:pt>
                <c:pt idx="2">
                  <c:v>120</c:v>
                </c:pt>
                <c:pt idx="3">
                  <c:v>60</c:v>
                </c:pt>
                <c:pt idx="4">
                  <c:v>90</c:v>
                </c:pt>
                <c:pt idx="5">
                  <c:v>120</c:v>
                </c:pt>
              </c:numCache>
            </c:numRef>
          </c:cat>
          <c:val>
            <c:numRef>
              <c:f>Sheet1!$D$2:$D$7</c:f>
              <c:numCache>
                <c:formatCode>General</c:formatCode>
                <c:ptCount val="6"/>
                <c:pt idx="0">
                  <c:v>7</c:v>
                </c:pt>
                <c:pt idx="1">
                  <c:v>3</c:v>
                </c:pt>
                <c:pt idx="2">
                  <c:v>3</c:v>
                </c:pt>
                <c:pt idx="3">
                  <c:v>12</c:v>
                </c:pt>
                <c:pt idx="4">
                  <c:v>7</c:v>
                </c:pt>
                <c:pt idx="5">
                  <c:v>5</c:v>
                </c:pt>
              </c:numCache>
            </c:numRef>
          </c:val>
        </c:ser>
        <c:dLbls>
          <c:showLegendKey val="0"/>
          <c:showVal val="0"/>
          <c:showCatName val="0"/>
          <c:showSerName val="0"/>
          <c:showPercent val="0"/>
          <c:showBubbleSize val="0"/>
        </c:dLbls>
        <c:gapWidth val="150"/>
        <c:overlap val="100"/>
        <c:axId val="117489664"/>
        <c:axId val="117491584"/>
      </c:barChart>
      <c:catAx>
        <c:axId val="117489664"/>
        <c:scaling>
          <c:orientation val="minMax"/>
        </c:scaling>
        <c:delete val="0"/>
        <c:axPos val="b"/>
        <c:title>
          <c:tx>
            <c:rich>
              <a:bodyPr/>
              <a:lstStyle/>
              <a:p>
                <a:pPr>
                  <a:defRPr/>
                </a:pPr>
                <a:r>
                  <a:rPr lang="en-AU" sz="1000"/>
                  <a:t>Suggested</a:t>
                </a:r>
                <a:r>
                  <a:rPr lang="en-AU" sz="1000" baseline="0"/>
                  <a:t> rate of CTA per quarter</a:t>
                </a:r>
                <a:endParaRPr lang="en-AU" sz="1000"/>
              </a:p>
            </c:rich>
          </c:tx>
          <c:layout/>
          <c:overlay val="0"/>
        </c:title>
        <c:numFmt formatCode="&quot;$&quot;#,##0_);[Red]\(&quot;$&quot;#,##0\)" sourceLinked="1"/>
        <c:majorTickMark val="none"/>
        <c:minorTickMark val="none"/>
        <c:tickLblPos val="nextTo"/>
        <c:txPr>
          <a:bodyPr/>
          <a:lstStyle/>
          <a:p>
            <a:pPr>
              <a:defRPr sz="1000"/>
            </a:pPr>
            <a:endParaRPr lang="en-US"/>
          </a:p>
        </c:txPr>
        <c:crossAx val="117491584"/>
        <c:crosses val="autoZero"/>
        <c:auto val="1"/>
        <c:lblAlgn val="ctr"/>
        <c:lblOffset val="100"/>
        <c:noMultiLvlLbl val="0"/>
      </c:catAx>
      <c:valAx>
        <c:axId val="117491584"/>
        <c:scaling>
          <c:orientation val="minMax"/>
        </c:scaling>
        <c:delete val="1"/>
        <c:axPos val="l"/>
        <c:title>
          <c:tx>
            <c:rich>
              <a:bodyPr rot="-5400000" vert="horz"/>
              <a:lstStyle/>
              <a:p>
                <a:pPr>
                  <a:defRPr/>
                </a:pPr>
                <a:r>
                  <a:rPr lang="en-AU" sz="1000"/>
                  <a:t>Percent</a:t>
                </a:r>
                <a:r>
                  <a:rPr lang="en-AU" sz="1000" baseline="0"/>
                  <a:t> of Respondents</a:t>
                </a:r>
                <a:endParaRPr lang="en-AU" sz="1000"/>
              </a:p>
            </c:rich>
          </c:tx>
          <c:layout/>
          <c:overlay val="0"/>
        </c:title>
        <c:numFmt formatCode="0%" sourceLinked="1"/>
        <c:majorTickMark val="out"/>
        <c:minorTickMark val="none"/>
        <c:tickLblPos val="none"/>
        <c:crossAx val="117489664"/>
        <c:crosses val="autoZero"/>
        <c:crossBetween val="between"/>
      </c:valAx>
    </c:plotArea>
    <c:legend>
      <c:legendPos val="b"/>
      <c:layout/>
      <c:overlay val="0"/>
      <c:txPr>
        <a:bodyPr/>
        <a:lstStyle/>
        <a:p>
          <a:pPr>
            <a:defRPr sz="1000"/>
          </a:pPr>
          <a:endParaRPr lang="en-US"/>
        </a:p>
      </c:txPr>
    </c:legend>
    <c:plotVisOnly val="1"/>
    <c:dispBlanksAs val="gap"/>
    <c:showDLblsOverMax val="0"/>
  </c:chart>
  <c:txPr>
    <a:bodyPr/>
    <a:lstStyle/>
    <a:p>
      <a:pPr>
        <a:defRPr sz="1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0018413626542002E-2"/>
          <c:y val="5.1592631671080559E-2"/>
          <c:w val="0.91996317274691586"/>
          <c:h val="0.44754262855040955"/>
        </c:manualLayout>
      </c:layout>
      <c:barChart>
        <c:barDir val="bar"/>
        <c:grouping val="percentStacked"/>
        <c:varyColors val="0"/>
        <c:ser>
          <c:idx val="0"/>
          <c:order val="0"/>
          <c:tx>
            <c:strRef>
              <c:f>'Q37'!$A$3</c:f>
              <c:strCache>
                <c:ptCount val="1"/>
                <c:pt idx="0">
                  <c:v>Regular set amount (e.g. $X dollars per month)</c:v>
                </c:pt>
              </c:strCache>
            </c:strRef>
          </c:tx>
          <c:spPr>
            <a:solidFill>
              <a:srgbClr val="64C8C8"/>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'Q37'!$B$2</c:f>
              <c:strCache>
                <c:ptCount val="1"/>
                <c:pt idx="0">
                  <c:v>%</c:v>
                </c:pt>
              </c:strCache>
            </c:strRef>
          </c:cat>
          <c:val>
            <c:numRef>
              <c:f>'Q37'!$B$3</c:f>
              <c:numCache>
                <c:formatCode>0%</c:formatCode>
                <c:ptCount val="1"/>
                <c:pt idx="0">
                  <c:v>0.67304015296370046</c:v>
                </c:pt>
              </c:numCache>
            </c:numRef>
          </c:val>
          <c:extLst xmlns:c16r2="http://schemas.microsoft.com/office/drawing/2015/06/chart">
            <c:ext xmlns:c16="http://schemas.microsoft.com/office/drawing/2014/chart" uri="{C3380CC4-5D6E-409C-BE32-E72D297353CC}">
              <c16:uniqueId val="{00000000-BDF1-4384-8E21-F5462E304E40}"/>
            </c:ext>
          </c:extLst>
        </c:ser>
        <c:ser>
          <c:idx val="1"/>
          <c:order val="1"/>
          <c:tx>
            <c:strRef>
              <c:f>'Q37'!$A$4</c:f>
              <c:strCache>
                <c:ptCount val="1"/>
                <c:pt idx="0">
                  <c:v>A set percentage of regular bill (for example X% of your bill each month)</c:v>
                </c:pt>
              </c:strCache>
            </c:strRef>
          </c:tx>
          <c:spPr>
            <a:solidFill>
              <a:srgbClr val="A8E1E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'Q37'!$B$2</c:f>
              <c:strCache>
                <c:ptCount val="1"/>
                <c:pt idx="0">
                  <c:v>%</c:v>
                </c:pt>
              </c:strCache>
            </c:strRef>
          </c:cat>
          <c:val>
            <c:numRef>
              <c:f>'Q37'!$B$4</c:f>
              <c:numCache>
                <c:formatCode>0%</c:formatCode>
                <c:ptCount val="1"/>
                <c:pt idx="0">
                  <c:v>0.17017208413000001</c:v>
                </c:pt>
              </c:numCache>
            </c:numRef>
          </c:val>
          <c:extLst xmlns:c16r2="http://schemas.microsoft.com/office/drawing/2015/06/chart">
            <c:ext xmlns:c16="http://schemas.microsoft.com/office/drawing/2014/chart" uri="{C3380CC4-5D6E-409C-BE32-E72D297353CC}">
              <c16:uniqueId val="{00000001-BDF1-4384-8E21-F5462E304E40}"/>
            </c:ext>
          </c:extLst>
        </c:ser>
        <c:ser>
          <c:idx val="2"/>
          <c:order val="2"/>
          <c:tx>
            <c:strRef>
              <c:f>'Q37'!$A$5</c:f>
              <c:strCache>
                <c:ptCount val="1"/>
                <c:pt idx="0">
                  <c:v>Lump payment for up-front or disconnection costs</c:v>
                </c:pt>
              </c:strCache>
            </c:strRef>
          </c:tx>
          <c:spPr>
            <a:solidFill>
              <a:srgbClr val="F0FAFA"/>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'Q37'!$B$2</c:f>
              <c:strCache>
                <c:ptCount val="1"/>
                <c:pt idx="0">
                  <c:v>%</c:v>
                </c:pt>
              </c:strCache>
            </c:strRef>
          </c:cat>
          <c:val>
            <c:numRef>
              <c:f>'Q37'!$B$5</c:f>
              <c:numCache>
                <c:formatCode>0%</c:formatCode>
                <c:ptCount val="1"/>
                <c:pt idx="0">
                  <c:v>5.927342256214E-2</c:v>
                </c:pt>
              </c:numCache>
            </c:numRef>
          </c:val>
          <c:extLst xmlns:c16r2="http://schemas.microsoft.com/office/drawing/2015/06/chart">
            <c:ext xmlns:c16="http://schemas.microsoft.com/office/drawing/2014/chart" uri="{C3380CC4-5D6E-409C-BE32-E72D297353CC}">
              <c16:uniqueId val="{00000002-BDF1-4384-8E21-F5462E304E40}"/>
            </c:ext>
          </c:extLst>
        </c:ser>
        <c:ser>
          <c:idx val="3"/>
          <c:order val="3"/>
          <c:tx>
            <c:strRef>
              <c:f>'Q37'!$A$6</c:f>
              <c:strCache>
                <c:ptCount val="1"/>
                <c:pt idx="0">
                  <c:v>Lump payment for bill debt relief</c:v>
                </c:pt>
              </c:strCache>
            </c:strRef>
          </c:tx>
          <c:spPr>
            <a:solidFill>
              <a:srgbClr val="F1ADBC"/>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'Q37'!$B$2</c:f>
              <c:strCache>
                <c:ptCount val="1"/>
                <c:pt idx="0">
                  <c:v>%</c:v>
                </c:pt>
              </c:strCache>
            </c:strRef>
          </c:cat>
          <c:val>
            <c:numRef>
              <c:f>'Q37'!$B$6</c:f>
              <c:numCache>
                <c:formatCode>0%</c:formatCode>
                <c:ptCount val="1"/>
                <c:pt idx="0">
                  <c:v>7.6481835564049985E-2</c:v>
                </c:pt>
              </c:numCache>
            </c:numRef>
          </c:val>
          <c:extLst xmlns:c16r2="http://schemas.microsoft.com/office/drawing/2015/06/chart">
            <c:ext xmlns:c16="http://schemas.microsoft.com/office/drawing/2014/chart" uri="{C3380CC4-5D6E-409C-BE32-E72D297353CC}">
              <c16:uniqueId val="{00000003-BDF1-4384-8E21-F5462E304E40}"/>
            </c:ext>
          </c:extLst>
        </c:ser>
        <c:dLbls>
          <c:showLegendKey val="0"/>
          <c:showVal val="0"/>
          <c:showCatName val="0"/>
          <c:showSerName val="0"/>
          <c:showPercent val="0"/>
          <c:showBubbleSize val="0"/>
        </c:dLbls>
        <c:gapWidth val="50"/>
        <c:overlap val="100"/>
        <c:axId val="117788672"/>
        <c:axId val="117790208"/>
      </c:barChart>
      <c:catAx>
        <c:axId val="117788672"/>
        <c:scaling>
          <c:orientation val="minMax"/>
        </c:scaling>
        <c:delete val="1"/>
        <c:axPos val="l"/>
        <c:numFmt formatCode="General" sourceLinked="1"/>
        <c:majorTickMark val="none"/>
        <c:minorTickMark val="none"/>
        <c:tickLblPos val="none"/>
        <c:crossAx val="117790208"/>
        <c:crosses val="autoZero"/>
        <c:auto val="1"/>
        <c:lblAlgn val="ctr"/>
        <c:lblOffset val="100"/>
        <c:noMultiLvlLbl val="0"/>
      </c:catAx>
      <c:valAx>
        <c:axId val="117790208"/>
        <c:scaling>
          <c:orientation val="minMax"/>
        </c:scaling>
        <c:delete val="1"/>
        <c:axPos val="b"/>
        <c:numFmt formatCode="0%" sourceLinked="1"/>
        <c:majorTickMark val="none"/>
        <c:minorTickMark val="none"/>
        <c:tickLblPos val="none"/>
        <c:crossAx val="117788672"/>
        <c:crosses val="autoZero"/>
        <c:crossBetween val="between"/>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3175" cap="flat" cmpd="sng" algn="ctr">
      <a:solidFill>
        <a:schemeClr val="tx1"/>
      </a:solidFill>
      <a:round/>
    </a:ln>
    <a:effectLst/>
  </c:spPr>
  <c:txPr>
    <a:bodyPr/>
    <a:lstStyle/>
    <a:p>
      <a:pPr>
        <a:defRPr sz="900">
          <a:solidFill>
            <a:schemeClr val="tx1">
              <a:lumMod val="65000"/>
              <a:lumOff val="35000"/>
            </a:schemeClr>
          </a:solidFill>
          <a:latin typeface="Century Gothic" panose="020B0502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2008">
  <b:Source>
    <b:Tag>ACC15</b:Tag>
    <b:SourceType>Report</b:SourceType>
    <b:Guid>{21382225-5466-40F6-AF48-7B5C0454603E}</b:Guid>
    <b:Author>
      <b:Author>
        <b:Corporate>ACCAN</b:Corporate>
      </b:Author>
    </b:Author>
    <b:Title>Universal Service Consultation Paper</b:Title>
    <b:Year>2015</b:Year>
    <b:Publisher>Australian Communications Consumer Action Network</b:Publisher>
    <b:City>Sydney</b:City>
    <b:RefOrder>13</b:RefOrder>
  </b:Source>
  <b:Source>
    <b:Tag>Sau12</b:Tag>
    <b:SourceType>Report</b:SourceType>
    <b:Guid>{5DD136C1-9297-48B6-8155-116736895401}</b:Guid>
    <b:Title>Promoting Inclusion and Combating Deprivation: Recent Changes in Social Disadvantage in Australia</b:Title>
    <b:Year>2012</b:Year>
    <b:Publisher>Social Policy Research Centre, University of New South Wales</b:Publisher>
    <b:City>Sydney</b:City>
    <b:Author>
      <b:Author>
        <b:NameList>
          <b:Person>
            <b:Last>Saunders</b:Last>
            <b:First>p</b:First>
          </b:Person>
          <b:Person>
            <b:Last>Wong</b:Last>
            <b:First>M</b:First>
          </b:Person>
        </b:NameList>
      </b:Author>
    </b:Author>
    <b:RefOrder>9</b:RefOrder>
  </b:Source>
  <b:Source>
    <b:Tag>ACC16</b:Tag>
    <b:SourceType>Report</b:SourceType>
    <b:Guid>{3D3FEADB-6FF6-4C52-84EB-9E531A69E379}</b:Guid>
    <b:Author>
      <b:Author>
        <b:Corporate>ACCC</b:Corporate>
      </b:Author>
    </b:Author>
    <b:Title>Competition in the Australian telecommunications secto: Report to the Minister for Communications</b:Title>
    <b:Year>2016</b:Year>
    <b:Publisher>Australian Competition and Consumer Commission</b:Publisher>
    <b:City>Canberra</b:City>
    <b:RefOrder>5</b:RefOrder>
  </b:Source>
  <b:Source>
    <b:Tag>Reg15</b:Tag>
    <b:SourceType>Report</b:SourceType>
    <b:Guid>{91DA4631-9B87-4ED1-BFF7-150703FBE8D2}</b:Guid>
    <b:Author>
      <b:Author>
        <b:Corporate>Regional Telecommunications Independent Review Committee</b:Corporate>
      </b:Author>
    </b:Author>
    <b:Title>Regional Telecommunications Review</b:Title>
    <b:Year>2015</b:Year>
    <b:Publisher>Commonwealth of Australia</b:Publisher>
    <b:City>Canberra</b:City>
    <b:RefOrder>11</b:RefOrder>
  </b:Source>
  <b:Source>
    <b:Tag>Hum14</b:Tag>
    <b:SourceType>Report</b:SourceType>
    <b:Guid>{6F13182A-91BE-42F0-AB29-DB9E36F76756}</b:Guid>
    <b:Title>Homeless and Connected: Mobile phones and the Internet in the lives of homeless Australians</b:Title>
    <b:Year>2014</b:Year>
    <b:Publisher>Australian Communications Consumer Action Network</b:Publisher>
    <b:City>Sydney</b:City>
    <b:Author>
      <b:Author>
        <b:NameList>
          <b:Person>
            <b:Last>Humphry</b:Last>
            <b:First>Justine</b:First>
          </b:Person>
        </b:NameList>
      </b:Author>
    </b:Author>
    <b:RefOrder>12</b:RefOrder>
  </b:Source>
  <b:Source>
    <b:Tag>Wis13</b:Tag>
    <b:SourceType>Report</b:SourceType>
    <b:Guid>{AEC1D095-4C2C-448B-9B30-E29C75ADA876}</b:Guid>
    <b:Title>Trying to connect Telecommunications access and affordability among people experiencing financial hardship</b:Title>
    <b:Year>2013</b:Year>
    <b:Publisher>Australian Communications Consumer Action Network</b:Publisher>
    <b:City>Sydney</b:City>
    <b:Author>
      <b:Author>
        <b:NameList>
          <b:Person>
            <b:Last>Wise</b:Last>
            <b:First>Sarah</b:First>
          </b:Person>
        </b:NameList>
      </b:Author>
    </b:Author>
    <b:RefOrder>21</b:RefOrder>
  </b:Source>
  <b:Source>
    <b:Tag>ABS152</b:Tag>
    <b:SourceType>Report</b:SourceType>
    <b:Guid>{84E4BEC7-C291-4F89-84C1-D84AE771E695}</b:Guid>
    <b:Author>
      <b:Author>
        <b:Corporate>ABS</b:Corporate>
      </b:Author>
    </b:Author>
    <b:Title>8146.0 Household Use of Information Technology, Australia, 2014-15</b:Title>
    <b:Year>2015</b:Year>
    <b:Publisher>Australian Bureau of Statistics</b:Publisher>
    <b:City>Canberra</b:City>
    <b:RefOrder>6</b:RefOrder>
  </b:Source>
  <b:Source>
    <b:Tag>Min15</b:Tag>
    <b:SourceType>DocumentFromInternetSite</b:SourceType>
    <b:Guid>{C8007059-2B09-43DF-BAB8-2EFAF06B7B07}</b:Guid>
    <b:Title>Investing in digital transformation</b:Title>
    <b:City>Canberra</b:City>
    <b:Author>
      <b:Author>
        <b:Corporate>Minister for Communications</b:Corporate>
      </b:Author>
    </b:Author>
    <b:YearAccessed>2015</b:YearAccessed>
    <b:MonthAccessed>May</b:MonthAccessed>
    <b:DayAccessed>11</b:DayAccessed>
    <b:URL>http://www.malcolmturnbull.com.au/media/release-investing-in-digital-transformation</b:URL>
    <b:Year>2015</b:Year>
    <b:RefOrder>8</b:RefOrder>
  </b:Source>
  <b:Source>
    <b:Tag>Wal13</b:Tag>
    <b:SourceType>JournalArticle</b:SourceType>
    <b:Guid>{F4BA3978-387D-48E7-A7AD-98D663424564}</b:Guid>
    <b:Title>A digital inclusion: Empowering all Australians</b:Title>
    <b:Year>2013</b:Year>
    <b:Author>
      <b:Author>
        <b:NameList>
          <b:Person>
            <b:Last>Walton</b:Last>
            <b:First>A</b:First>
          </b:Person>
          <b:Person>
            <b:Last>Kop</b:Last>
            <b:First>T</b:First>
          </b:Person>
          <b:Person>
            <b:Last>Spriggs</b:Last>
            <b:First>D</b:First>
          </b:Person>
          <b:Person>
            <b:Last>Fitzgerald</b:Last>
            <b:First>B</b:First>
          </b:Person>
        </b:NameList>
      </b:Author>
    </b:Author>
    <b:JournalName>Australian Journal of Telecommunications and the Digital Economy</b:JournalName>
    <b:Volume>1</b:Volume>
    <b:Issue>1</b:Issue>
    <b:RefOrder>10</b:RefOrder>
  </b:Source>
  <b:Source>
    <b:Tag>ACM14</b:Tag>
    <b:SourceType>DocumentFromInternetSite</b:SourceType>
    <b:Guid>{05B5DC70-8855-4922-9B0A-1FCF5A612ABA}</b:Guid>
    <b:Title>Older Australians resist cutting the cord</b:Title>
    <b:Year>2014</b:Year>
    <b:Author>
      <b:Author>
        <b:Corporate>ACMA</b:Corporate>
      </b:Author>
    </b:Author>
    <b:Month>July</b:Month>
    <b:Day>21</b:Day>
    <b:YearAccessed>2016</b:YearAccessed>
    <b:MonthAccessed>June</b:MonthAccessed>
    <b:DayAccessed>9</b:DayAccessed>
    <b:URL>http://www.acma.gov.au/theACMA/engage-blogs/engage-blogs/Research-snapshots/Older-Australians-resist-cutting-the-cord</b:URL>
    <b:RefOrder>4</b:RefOrder>
  </b:Source>
  <b:Source>
    <b:Tag>Mor12</b:Tag>
    <b:SourceType>JournalArticle</b:SourceType>
    <b:Guid>{F6240BF2-AB70-4481-A818-F325E5A38CBB}</b:Guid>
    <b:Title>Affordable Broadband for All Australians</b:Title>
    <b:Year>2012</b:Year>
    <b:JournalName>Telecommunications Journal of Australia</b:JournalName>
    <b:Volume>62</b:Volume>
    <b:Issue>5</b:Issue>
    <b:Author>
      <b:Author>
        <b:NameList>
          <b:Person>
            <b:Last>Morsillo</b:Last>
            <b:First>R</b:First>
          </b:Person>
        </b:NameList>
      </b:Author>
    </b:Author>
    <b:RefOrder>20</b:RefOrder>
  </b:Source>
  <b:Source>
    <b:Tag>Gog14</b:Tag>
    <b:SourceType>JournalArticle</b:SourceType>
    <b:Guid>{8D9BF334-183A-4E6D-954C-42616A99F806}</b:Guid>
    <b:Title>New Ideas for digital affordability: Is a paradigm shift possible?</b:Title>
    <b:JournalName>Australian Journal of Telecommunications and the Digital Economy</b:JournalName>
    <b:Year>2014</b:Year>
    <b:Volume>2</b:Volume>
    <b:Issue>2</b:Issue>
    <b:Author>
      <b:Author>
        <b:NameList>
          <b:Person>
            <b:Last>Goggin</b:Last>
            <b:First>G</b:First>
          </b:Person>
        </b:NameList>
      </b:Author>
    </b:Author>
    <b:RefOrder>25</b:RefOrder>
  </b:Source>
  <b:Source>
    <b:Tag>SAC15</b:Tag>
    <b:SourceType>Report</b:SourceType>
    <b:Guid>{05180C4E-1060-4CB1-8D4E-5A5653376446}</b:Guid>
    <b:Title>Cost of Living Update No.22 </b:Title>
    <b:Year>2015</b:Year>
    <b:Author>
      <b:Author>
        <b:Corporate>SACOSS</b:Corporate>
      </b:Author>
    </b:Author>
    <b:Publisher>South Australian Council of Social Service</b:Publisher>
    <b:City>Adelaide</b:City>
    <b:RefOrder>14</b:RefOrder>
  </b:Source>
  <b:Source>
    <b:Tag>Pav15</b:Tag>
    <b:SourceType>JournalArticle</b:SourceType>
    <b:Guid>{D7C93DB8-A93C-456B-A6B1-5992243F1084}</b:Guid>
    <b:Title>Affordability and 21st century telecommunications services</b:Title>
    <b:Year>2015</b:Year>
    <b:JournalName>Australian Journal of Telecommunications and the Digital Economy</b:JournalName>
    <b:Volume>3</b:Volume>
    <b:Issue>2</b:Issue>
    <b:Author>
      <b:Author>
        <b:NameList>
          <b:Person>
            <b:Last>Pavlidis</b:Last>
            <b:First>K</b:First>
          </b:Person>
          <b:Person>
            <b:Last>Hawkins</b:Last>
            <b:First>W</b:First>
          </b:Person>
        </b:NameList>
      </b:Author>
    </b:Author>
    <b:RefOrder>16</b:RefOrder>
  </b:Source>
  <b:Source>
    <b:Tag>Swi15</b:Tag>
    <b:SourceType>Report</b:SourceType>
    <b:Guid>{A73DDF4D-B1EE-452D-ADCD-1565B02CB188}</b:Guid>
    <b:Title>Australian Digital Inclusion Index: Discussion Paper</b:Title>
    <b:Year>2015</b:Year>
    <b:Author>
      <b:Author>
        <b:Corporate>Swinburne Institute for Social Research, Centre for Social Impact, Telstra Corporation Ltd</b:Corporate>
      </b:Author>
    </b:Author>
    <b:City>Melbourne</b:City>
    <b:RefOrder>15</b:RefOrder>
  </b:Source>
  <b:Source>
    <b:Tag>Ofc14</b:Tag>
    <b:SourceType>Report</b:SourceType>
    <b:Guid>{05AF9C7B-744A-4AC9-9985-8A7596E04336}</b:Guid>
    <b:Author>
      <b:Author>
        <b:Corporate>Ofcom</b:Corporate>
      </b:Author>
    </b:Author>
    <b:Title>Results of research into consumer views on the importance of communications services and their affordability</b:Title>
    <b:Year>2014</b:Year>
    <b:Publisher>Ofcom</b:Publisher>
    <b:City>London</b:City>
    <b:RefOrder>17</b:RefOrder>
  </b:Source>
  <b:Source>
    <b:Tag>Wis131</b:Tag>
    <b:SourceType>Report</b:SourceType>
    <b:Guid>{83375144-9966-41DA-87AE-89E5FAA119FD}</b:Guid>
    <b:Title>Trying to connect: Telecommunications access and affordability among people experiencing financial hardship</b:Title>
    <b:Year>2013</b:Year>
    <b:Publisher>Anglicare</b:Publisher>
    <b:City>Melbourne</b:City>
    <b:Author>
      <b:Author>
        <b:NameList>
          <b:Person>
            <b:Last>Wise</b:Last>
            <b:First>Sarah</b:First>
          </b:Person>
        </b:NameList>
      </b:Author>
    </b:Author>
    <b:RefOrder>18</b:RefOrder>
  </b:Source>
  <b:Source>
    <b:Tag>ACO14</b:Tag>
    <b:SourceType>Report</b:SourceType>
    <b:Guid>{C114FC30-66CC-45B9-8772-BEEED135ED0D}</b:Guid>
    <b:Author>
      <b:Author>
        <b:Corporate>ACOSS</b:Corporate>
      </b:Author>
    </b:Author>
    <b:Title>Poverty in Australia 2014</b:Title>
    <b:Year>2014</b:Year>
    <b:Publisher>Australian Council of Social Service</b:Publisher>
    <b:City>Sydney</b:City>
    <b:RefOrder>19</b:RefOrder>
  </b:Source>
  <b:Source>
    <b:Tag>DHS16</b:Tag>
    <b:SourceType>InternetSite</b:SourceType>
    <b:Guid>{BC6431DA-B064-4AA4-BE2E-4486FF75DB74}</b:Guid>
    <b:Title>Centrelink</b:Title>
    <b:Year>2016</b:Year>
    <b:Author>
      <b:Author>
        <b:Corporate>DHS</b:Corporate>
      </b:Author>
    </b:Author>
    <b:YearAccessed>2016</b:YearAccessed>
    <b:MonthAccessed>July</b:MonthAccessed>
    <b:DayAccessed>27</b:DayAccessed>
    <b:URL>https://www.humanservices.gov.au/customer/dhs/centrelink</b:URL>
    <b:RefOrder>30</b:RefOrder>
  </b:Source>
  <b:Source>
    <b:Tag>The16</b:Tag>
    <b:SourceType>DocumentFromInternetSite</b:SourceType>
    <b:Guid>{58805D87-D1AE-48AA-83C7-1AE35FE16902}</b:Guid>
    <b:Author>
      <b:Author>
        <b:Corporate>The Conversation</b:Corporate>
      </b:Author>
    </b:Author>
    <b:Title>Australia’s digital divide is narrowing but getting deeper</b:Title>
    <b:Year>2016</b:Year>
    <b:Month>February</b:Month>
    <b:Day>25</b:Day>
    <b:YearAccessed>2016</b:YearAccessed>
    <b:MonthAccessed>May</b:MonthAccessed>
    <b:DayAccessed>9</b:DayAccessed>
    <b:URL>https://theconversation.com/australias-digital-divide-is-narrowing-but-getting-deeper-55232</b:URL>
    <b:RefOrder>7</b:RefOrder>
  </b:Source>
  <b:Source>
    <b:Tag>Tur15</b:Tag>
    <b:SourceType>DocumentFromInternetSite</b:SourceType>
    <b:Guid>{13C2229A-3468-466A-9551-6CF289D315BA}</b:Guid>
    <b:Title>Transcript: Vote on the Liberal Party Leadership</b:Title>
    <b:Year>2015</b:Year>
    <b:Author>
      <b:Author>
        <b:NameList>
          <b:Person>
            <b:Last>Turnbull</b:Last>
            <b:First>Malcolm</b:First>
          </b:Person>
        </b:NameList>
      </b:Author>
    </b:Author>
    <b:Month>September</b:Month>
    <b:Day>15</b:Day>
    <b:YearAccessed>2016</b:YearAccessed>
    <b:MonthAccessed>07</b:MonthAccessed>
    <b:DayAccessed>29</b:DayAccessed>
    <b:URL>http://www.malcolmturnbull.com.au/media/transcript-vote-on-the-liberal-party-leadership</b:URL>
    <b:RefOrder>22</b:RefOrder>
  </b:Source>
  <b:Source>
    <b:Tag>Del15</b:Tag>
    <b:SourceType>Report</b:SourceType>
    <b:Guid>{4D73D783-033D-4228-A02C-B0E09137BB4D}</b:Guid>
    <b:Title>Australia’s Digital Pulse: Key challenges for our nation – digital skills, jobs and education</b:Title>
    <b:Year>2015</b:Year>
    <b:Author>
      <b:Author>
        <b:Corporate>Deloitte</b:Corporate>
      </b:Author>
    </b:Author>
    <b:Publisher>Deloitte Access Economics</b:Publisher>
    <b:RefOrder>23</b:RefOrder>
  </b:Source>
  <b:Source>
    <b:Tag>All10</b:Tag>
    <b:SourceType>Report</b:SourceType>
    <b:Guid>{7A6CB448-1FB3-411E-9664-59BF9D552440}</b:Guid>
    <b:Author>
      <b:Author>
        <b:Corporate>Allen Consulting</b:Corporate>
      </b:Author>
    </b:Author>
    <b:Title>Quantifying the Possible Economic Gains of Getting More Australian Households Online</b:Title>
    <b:Year>2010</b:Year>
    <b:Publisher>Department of Broadband, Communications and the Digital Economy</b:Publisher>
    <b:City>Canberra</b:City>
    <b:RefOrder>24</b:RefOrder>
  </b:Source>
  <b:Source>
    <b:Tag>Mus16</b:Tag>
    <b:SourceType>Report</b:SourceType>
    <b:Guid>{2630B745-31D2-4DCE-9678-77F5A2BCA0BF}</b:Guid>
    <b:Title>Analogue Concessions in a Digital Age: Preliminary Data Briefing on Why the Centrelink Telephone Allowance Neews an Upgrade</b:Title>
    <b:Year>2016</b:Year>
    <b:City>Sydney</b:City>
    <b:Publisher>Australian Communications Consumer Action Network</b:Publisher>
    <b:Author>
      <b:Author>
        <b:NameList>
          <b:Person>
            <b:Last>Musolino</b:Last>
            <b:First>V</b:First>
          </b:Person>
          <b:Person>
            <b:Last>Ogle</b:Last>
            <b:First>G</b:First>
          </b:Person>
        </b:NameList>
      </b:Author>
    </b:Author>
    <b:RefOrder>3</b:RefOrder>
  </b:Source>
  <b:Source>
    <b:Tag>Cen16</b:Tag>
    <b:SourceType>Report</b:SourceType>
    <b:Guid>{48BDF2DF-F118-4CAF-A408-1F8B0396A06C}</b:Guid>
    <b:Author>
      <b:Author>
        <b:Corporate>Centrelink</b:Corporate>
      </b:Author>
    </b:Author>
    <b:Title>A Guide to Australian Government Payments</b:Title>
    <b:Year>2016</b:Year>
    <b:Publisher>Department of Human Services</b:Publisher>
    <b:RefOrder>26</b:RefOrder>
  </b:Source>
  <b:Source>
    <b:Tag>SAC16</b:Tag>
    <b:SourceType>Report</b:SourceType>
    <b:Guid>{416FF846-BBBD-451D-9F4D-C2D867C9B4F4}</b:Guid>
    <b:Author>
      <b:Author>
        <b:Corporate>SACOSS</b:Corporate>
      </b:Author>
    </b:Author>
    <b:Title>Cost of Living Update No.27</b:Title>
    <b:Year>2016</b:Year>
    <b:Publisher>South Australian Council of Social Service</b:Publisher>
    <b:City>Adelaide</b:City>
    <b:RefOrder>27</b:RefOrder>
  </b:Source>
  <b:Source>
    <b:Tag>Com16</b:Tag>
    <b:SourceType>Report</b:SourceType>
    <b:Guid>{CC4125DF-4D16-40E8-A9A4-CB6D1529562B}</b:Guid>
    <b:Title>Telecommunications Consumer Protections Code C628_2015</b:Title>
    <b:Year>2016</b:Year>
    <b:Author>
      <b:Author>
        <b:Corporate>Communications Alliance</b:Corporate>
      </b:Author>
    </b:Author>
    <b:RefOrder>29</b:RefOrder>
  </b:Source>
  <b:Source>
    <b:Tag>ACO16b</b:Tag>
    <b:SourceType>Report</b:SourceType>
    <b:Guid>{92030FCB-CFC7-48F6-9179-5FD383CBF4D3}</b:Guid>
    <b:Author>
      <b:Author>
        <b:NameList>
          <b:Person>
            <b:Last>ACOSS</b:Last>
          </b:Person>
        </b:NameList>
      </b:Author>
    </b:Author>
    <b:Title>Budget Priorities Statement, 2016-17</b:Title>
    <b:Year>2016</b:Year>
    <b:Publisher>Australian Council of Social Services</b:Publisher>
    <b:City>Sydney</b:City>
    <b:RefOrder>28</b:RefOrder>
  </b:Source>
  <b:Source>
    <b:Tag>Tho16</b:Tag>
    <b:SourceType>Report</b:SourceType>
    <b:Guid>{792B3A3D-E662-4033-AC30-87D14F835331}</b:Guid>
    <b:Author>
      <b:Author>
        <b:NameList>
          <b:Person>
            <b:Last>Thomas</b:Last>
            <b:First>J</b:First>
          </b:Person>
          <b:Person>
            <b:Last>Barraket</b:Last>
            <b:First>J</b:First>
          </b:Person>
          <b:Person>
            <b:Last>Ewing</b:Last>
            <b:First>S</b:First>
          </b:Person>
          <b:Person>
            <b:Last>MacDonald</b:Last>
            <b:First>T</b:First>
          </b:Person>
          <b:Person>
            <b:Last>Mundell</b:Last>
            <b:First>M</b:First>
          </b:Person>
          <b:Person>
            <b:Last>Tucker</b:Last>
            <b:First>J</b:First>
          </b:Person>
        </b:NameList>
      </b:Author>
    </b:Author>
    <b:Title>Measuring Australia's Digital Divide: The Australian Digital Inclusion Index</b:Title>
    <b:Year>2016</b:Year>
    <b:City>Melbourne</b:City>
    <b:Publisher>Swineburne University of Technology, for Telstra</b:Publisher>
    <b:RefOrder>1</b:RefOrder>
  </b:Source>
  <b:Source>
    <b:Tag>Aus15</b:Tag>
    <b:SourceType>Misc</b:SourceType>
    <b:Guid>{BC86B604-F081-44EA-94F2-F27E1B49E1E2}</b:Guid>
    <b:Author>
      <b:Author>
        <b:Corporate>Australian Government</b:Corporate>
      </b:Author>
    </b:Author>
    <b:Title>Carrier Licence Conditions (Telstra Corporation Limited) Declaration 1997</b:Title>
    <b:Year>2015</b:Year>
    <b:Publisher>Australian Government Federal Register of Legislation</b:Publisher>
    <b:RefOrder>2</b:RefOrder>
  </b:Source>
</b:Sources>
</file>

<file path=customXml/itemProps1.xml><?xml version="1.0" encoding="utf-8"?>
<ds:datastoreItem xmlns:ds="http://schemas.openxmlformats.org/officeDocument/2006/customXml" ds:itemID="{62B67F96-D8F5-49E3-A3DB-0A06F0A6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ACCAN Research Scheme report template.dot</Template>
  <TotalTime>1060</TotalTime>
  <Pages>69</Pages>
  <Words>20059</Words>
  <Characters>114341</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134132</CharactersWithSpaces>
  <SharedDoc>false</SharedDoc>
  <HyperlinkBase/>
  <HLinks>
    <vt:vector size="144" baseType="variant">
      <vt:variant>
        <vt:i4>1376310</vt:i4>
      </vt:variant>
      <vt:variant>
        <vt:i4>137</vt:i4>
      </vt:variant>
      <vt:variant>
        <vt:i4>0</vt:i4>
      </vt:variant>
      <vt:variant>
        <vt:i4>5</vt:i4>
      </vt:variant>
      <vt:variant>
        <vt:lpwstr/>
      </vt:variant>
      <vt:variant>
        <vt:lpwstr>_Toc445818665</vt:lpwstr>
      </vt:variant>
      <vt:variant>
        <vt:i4>1376310</vt:i4>
      </vt:variant>
      <vt:variant>
        <vt:i4>131</vt:i4>
      </vt:variant>
      <vt:variant>
        <vt:i4>0</vt:i4>
      </vt:variant>
      <vt:variant>
        <vt:i4>5</vt:i4>
      </vt:variant>
      <vt:variant>
        <vt:lpwstr/>
      </vt:variant>
      <vt:variant>
        <vt:lpwstr>_Toc445818664</vt:lpwstr>
      </vt:variant>
      <vt:variant>
        <vt:i4>1376310</vt:i4>
      </vt:variant>
      <vt:variant>
        <vt:i4>125</vt:i4>
      </vt:variant>
      <vt:variant>
        <vt:i4>0</vt:i4>
      </vt:variant>
      <vt:variant>
        <vt:i4>5</vt:i4>
      </vt:variant>
      <vt:variant>
        <vt:lpwstr/>
      </vt:variant>
      <vt:variant>
        <vt:lpwstr>_Toc445818663</vt:lpwstr>
      </vt:variant>
      <vt:variant>
        <vt:i4>1376310</vt:i4>
      </vt:variant>
      <vt:variant>
        <vt:i4>119</vt:i4>
      </vt:variant>
      <vt:variant>
        <vt:i4>0</vt:i4>
      </vt:variant>
      <vt:variant>
        <vt:i4>5</vt:i4>
      </vt:variant>
      <vt:variant>
        <vt:lpwstr/>
      </vt:variant>
      <vt:variant>
        <vt:lpwstr>_Toc445818662</vt:lpwstr>
      </vt:variant>
      <vt:variant>
        <vt:i4>1376310</vt:i4>
      </vt:variant>
      <vt:variant>
        <vt:i4>113</vt:i4>
      </vt:variant>
      <vt:variant>
        <vt:i4>0</vt:i4>
      </vt:variant>
      <vt:variant>
        <vt:i4>5</vt:i4>
      </vt:variant>
      <vt:variant>
        <vt:lpwstr/>
      </vt:variant>
      <vt:variant>
        <vt:lpwstr>_Toc445818661</vt:lpwstr>
      </vt:variant>
      <vt:variant>
        <vt:i4>1376310</vt:i4>
      </vt:variant>
      <vt:variant>
        <vt:i4>107</vt:i4>
      </vt:variant>
      <vt:variant>
        <vt:i4>0</vt:i4>
      </vt:variant>
      <vt:variant>
        <vt:i4>5</vt:i4>
      </vt:variant>
      <vt:variant>
        <vt:lpwstr/>
      </vt:variant>
      <vt:variant>
        <vt:lpwstr>_Toc445818660</vt:lpwstr>
      </vt:variant>
      <vt:variant>
        <vt:i4>1441846</vt:i4>
      </vt:variant>
      <vt:variant>
        <vt:i4>101</vt:i4>
      </vt:variant>
      <vt:variant>
        <vt:i4>0</vt:i4>
      </vt:variant>
      <vt:variant>
        <vt:i4>5</vt:i4>
      </vt:variant>
      <vt:variant>
        <vt:lpwstr/>
      </vt:variant>
      <vt:variant>
        <vt:lpwstr>_Toc445818659</vt:lpwstr>
      </vt:variant>
      <vt:variant>
        <vt:i4>1441846</vt:i4>
      </vt:variant>
      <vt:variant>
        <vt:i4>95</vt:i4>
      </vt:variant>
      <vt:variant>
        <vt:i4>0</vt:i4>
      </vt:variant>
      <vt:variant>
        <vt:i4>5</vt:i4>
      </vt:variant>
      <vt:variant>
        <vt:lpwstr/>
      </vt:variant>
      <vt:variant>
        <vt:lpwstr>_Toc445818658</vt:lpwstr>
      </vt:variant>
      <vt:variant>
        <vt:i4>1441846</vt:i4>
      </vt:variant>
      <vt:variant>
        <vt:i4>89</vt:i4>
      </vt:variant>
      <vt:variant>
        <vt:i4>0</vt:i4>
      </vt:variant>
      <vt:variant>
        <vt:i4>5</vt:i4>
      </vt:variant>
      <vt:variant>
        <vt:lpwstr/>
      </vt:variant>
      <vt:variant>
        <vt:lpwstr>_Toc445818657</vt:lpwstr>
      </vt:variant>
      <vt:variant>
        <vt:i4>1441846</vt:i4>
      </vt:variant>
      <vt:variant>
        <vt:i4>83</vt:i4>
      </vt:variant>
      <vt:variant>
        <vt:i4>0</vt:i4>
      </vt:variant>
      <vt:variant>
        <vt:i4>5</vt:i4>
      </vt:variant>
      <vt:variant>
        <vt:lpwstr/>
      </vt:variant>
      <vt:variant>
        <vt:lpwstr>_Toc445818656</vt:lpwstr>
      </vt:variant>
      <vt:variant>
        <vt:i4>1441846</vt:i4>
      </vt:variant>
      <vt:variant>
        <vt:i4>77</vt:i4>
      </vt:variant>
      <vt:variant>
        <vt:i4>0</vt:i4>
      </vt:variant>
      <vt:variant>
        <vt:i4>5</vt:i4>
      </vt:variant>
      <vt:variant>
        <vt:lpwstr/>
      </vt:variant>
      <vt:variant>
        <vt:lpwstr>_Toc445818655</vt:lpwstr>
      </vt:variant>
      <vt:variant>
        <vt:i4>1441846</vt:i4>
      </vt:variant>
      <vt:variant>
        <vt:i4>71</vt:i4>
      </vt:variant>
      <vt:variant>
        <vt:i4>0</vt:i4>
      </vt:variant>
      <vt:variant>
        <vt:i4>5</vt:i4>
      </vt:variant>
      <vt:variant>
        <vt:lpwstr/>
      </vt:variant>
      <vt:variant>
        <vt:lpwstr>_Toc445818654</vt:lpwstr>
      </vt:variant>
      <vt:variant>
        <vt:i4>1441846</vt:i4>
      </vt:variant>
      <vt:variant>
        <vt:i4>65</vt:i4>
      </vt:variant>
      <vt:variant>
        <vt:i4>0</vt:i4>
      </vt:variant>
      <vt:variant>
        <vt:i4>5</vt:i4>
      </vt:variant>
      <vt:variant>
        <vt:lpwstr/>
      </vt:variant>
      <vt:variant>
        <vt:lpwstr>_Toc445818653</vt:lpwstr>
      </vt:variant>
      <vt:variant>
        <vt:i4>1441846</vt:i4>
      </vt:variant>
      <vt:variant>
        <vt:i4>59</vt:i4>
      </vt:variant>
      <vt:variant>
        <vt:i4>0</vt:i4>
      </vt:variant>
      <vt:variant>
        <vt:i4>5</vt:i4>
      </vt:variant>
      <vt:variant>
        <vt:lpwstr/>
      </vt:variant>
      <vt:variant>
        <vt:lpwstr>_Toc445818652</vt:lpwstr>
      </vt:variant>
      <vt:variant>
        <vt:i4>1441846</vt:i4>
      </vt:variant>
      <vt:variant>
        <vt:i4>53</vt:i4>
      </vt:variant>
      <vt:variant>
        <vt:i4>0</vt:i4>
      </vt:variant>
      <vt:variant>
        <vt:i4>5</vt:i4>
      </vt:variant>
      <vt:variant>
        <vt:lpwstr/>
      </vt:variant>
      <vt:variant>
        <vt:lpwstr>_Toc445818651</vt:lpwstr>
      </vt:variant>
      <vt:variant>
        <vt:i4>1441846</vt:i4>
      </vt:variant>
      <vt:variant>
        <vt:i4>47</vt:i4>
      </vt:variant>
      <vt:variant>
        <vt:i4>0</vt:i4>
      </vt:variant>
      <vt:variant>
        <vt:i4>5</vt:i4>
      </vt:variant>
      <vt:variant>
        <vt:lpwstr/>
      </vt:variant>
      <vt:variant>
        <vt:lpwstr>_Toc445818650</vt:lpwstr>
      </vt:variant>
      <vt:variant>
        <vt:i4>1507382</vt:i4>
      </vt:variant>
      <vt:variant>
        <vt:i4>41</vt:i4>
      </vt:variant>
      <vt:variant>
        <vt:i4>0</vt:i4>
      </vt:variant>
      <vt:variant>
        <vt:i4>5</vt:i4>
      </vt:variant>
      <vt:variant>
        <vt:lpwstr/>
      </vt:variant>
      <vt:variant>
        <vt:lpwstr>_Toc445818649</vt:lpwstr>
      </vt:variant>
      <vt:variant>
        <vt:i4>1507382</vt:i4>
      </vt:variant>
      <vt:variant>
        <vt:i4>35</vt:i4>
      </vt:variant>
      <vt:variant>
        <vt:i4>0</vt:i4>
      </vt:variant>
      <vt:variant>
        <vt:i4>5</vt:i4>
      </vt:variant>
      <vt:variant>
        <vt:lpwstr/>
      </vt:variant>
      <vt:variant>
        <vt:lpwstr>_Toc445818648</vt:lpwstr>
      </vt:variant>
      <vt:variant>
        <vt:i4>1507382</vt:i4>
      </vt:variant>
      <vt:variant>
        <vt:i4>29</vt:i4>
      </vt:variant>
      <vt:variant>
        <vt:i4>0</vt:i4>
      </vt:variant>
      <vt:variant>
        <vt:i4>5</vt:i4>
      </vt:variant>
      <vt:variant>
        <vt:lpwstr/>
      </vt:variant>
      <vt:variant>
        <vt:lpwstr>_Toc445818647</vt:lpwstr>
      </vt:variant>
      <vt:variant>
        <vt:i4>1507382</vt:i4>
      </vt:variant>
      <vt:variant>
        <vt:i4>23</vt:i4>
      </vt:variant>
      <vt:variant>
        <vt:i4>0</vt:i4>
      </vt:variant>
      <vt:variant>
        <vt:i4>5</vt:i4>
      </vt:variant>
      <vt:variant>
        <vt:lpwstr/>
      </vt:variant>
      <vt:variant>
        <vt:lpwstr>_Toc445818646</vt:lpwstr>
      </vt:variant>
      <vt:variant>
        <vt:i4>1507382</vt:i4>
      </vt:variant>
      <vt:variant>
        <vt:i4>17</vt:i4>
      </vt:variant>
      <vt:variant>
        <vt:i4>0</vt:i4>
      </vt:variant>
      <vt:variant>
        <vt:i4>5</vt:i4>
      </vt:variant>
      <vt:variant>
        <vt:lpwstr/>
      </vt:variant>
      <vt:variant>
        <vt:lpwstr>_Toc445818645</vt:lpwstr>
      </vt:variant>
      <vt:variant>
        <vt:i4>1507382</vt:i4>
      </vt:variant>
      <vt:variant>
        <vt:i4>11</vt:i4>
      </vt:variant>
      <vt:variant>
        <vt:i4>0</vt:i4>
      </vt:variant>
      <vt:variant>
        <vt:i4>5</vt:i4>
      </vt:variant>
      <vt:variant>
        <vt:lpwstr/>
      </vt:variant>
      <vt:variant>
        <vt:lpwstr>_Toc445818644</vt:lpwstr>
      </vt:variant>
      <vt:variant>
        <vt:i4>1507382</vt:i4>
      </vt:variant>
      <vt:variant>
        <vt:i4>5</vt:i4>
      </vt:variant>
      <vt:variant>
        <vt:i4>0</vt:i4>
      </vt:variant>
      <vt:variant>
        <vt:i4>5</vt:i4>
      </vt:variant>
      <vt:variant>
        <vt:lpwstr/>
      </vt:variant>
      <vt:variant>
        <vt:lpwstr>_Toc445818643</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Musolino</dc:creator>
  <cp:lastModifiedBy>Tanya Karliychuk</cp:lastModifiedBy>
  <cp:revision>83</cp:revision>
  <cp:lastPrinted>2016-10-25T03:05:00Z</cp:lastPrinted>
  <dcterms:created xsi:type="dcterms:W3CDTF">2016-10-11T03:00:00Z</dcterms:created>
  <dcterms:modified xsi:type="dcterms:W3CDTF">2016-10-25T03:53:00Z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