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965"/>
        <w:gridCol w:w="3883"/>
      </w:tblGrid>
      <w:tr w:rsidR="005D1141" w:rsidRPr="005D1141" w:rsidTr="00AE0D18">
        <w:tc>
          <w:tcPr>
            <w:tcW w:w="5965" w:type="dxa"/>
          </w:tcPr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Cs w:val="24"/>
              </w:rPr>
            </w:pPr>
          </w:p>
          <w:p w:rsidR="005D1141" w:rsidRPr="005014EB" w:rsidRDefault="008C4C94" w:rsidP="005D114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</w:pPr>
            <w:r w:rsidRPr="005014EB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 xml:space="preserve">Senior </w:t>
            </w:r>
            <w:r w:rsidR="005D1141" w:rsidRPr="005014EB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 xml:space="preserve">Policy </w:t>
            </w:r>
            <w:r w:rsidRPr="005014EB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>A</w:t>
            </w:r>
            <w:r w:rsidR="005014EB" w:rsidRPr="005014EB">
              <w:rPr>
                <w:rFonts w:ascii="Arial" w:eastAsia="Times New Roman" w:hAnsi="Arial" w:cs="Times New Roman"/>
                <w:b/>
                <w:color w:val="0066FF"/>
                <w:sz w:val="52"/>
                <w:szCs w:val="24"/>
                <w:lang w:val="en-US"/>
              </w:rPr>
              <w:t>n</w:t>
            </w:r>
            <w:r w:rsidRPr="005014EB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>alyst</w:t>
            </w:r>
            <w:r w:rsidR="005D1141" w:rsidRPr="005014EB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 xml:space="preserve"> </w:t>
            </w:r>
          </w:p>
          <w:p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color w:val="3366FF"/>
                <w:sz w:val="32"/>
                <w:szCs w:val="24"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Position Descri</w:t>
            </w:r>
            <w:r w:rsidRPr="005014EB">
              <w:rPr>
                <w:rFonts w:ascii="Arial" w:eastAsia="Times New Roman" w:hAnsi="Arial" w:cs="Times New Roman"/>
                <w:b/>
                <w:color w:val="0066FF"/>
                <w:sz w:val="52"/>
                <w:szCs w:val="24"/>
                <w:lang w:val="en-US"/>
              </w:rPr>
              <w:t>pt</w:t>
            </w:r>
            <w:r w:rsidRPr="005D1141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ion</w:t>
            </w:r>
          </w:p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 w:val="20"/>
                <w:szCs w:val="20"/>
                <w:lang w:val="en-US"/>
              </w:rPr>
            </w:pPr>
          </w:p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883" w:type="dxa"/>
          </w:tcPr>
          <w:p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0E47B8B8" wp14:editId="70863326">
                  <wp:extent cx="2228850" cy="1019175"/>
                  <wp:effectExtent l="0" t="0" r="0" b="9525"/>
                  <wp:docPr id="1" name="Pictur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3" t="5495" r="6154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141" w:rsidRPr="005D1141" w:rsidRDefault="005D1141" w:rsidP="005D1141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About ACCAN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 xml:space="preserve">Australian Communications Consumer Action Network, ACCAN, is Australia’s peak body representing the interests of all consumers in communications issues. ACCAN is an important </w:t>
      </w:r>
      <w:r>
        <w:rPr>
          <w:rFonts w:ascii="Arial" w:hAnsi="Arial" w:cs="Arial"/>
        </w:rPr>
        <w:t xml:space="preserve">and independent consumer </w:t>
      </w:r>
      <w:r w:rsidRPr="00753F7F">
        <w:rPr>
          <w:rFonts w:ascii="Arial" w:hAnsi="Arial" w:cs="Arial"/>
        </w:rPr>
        <w:t xml:space="preserve">voice promoting </w:t>
      </w: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>accessibility, quality of service, affordability and availability of communications services for al</w:t>
      </w:r>
      <w:r>
        <w:rPr>
          <w:rFonts w:ascii="Arial" w:hAnsi="Arial" w:cs="Arial"/>
        </w:rPr>
        <w:t>l Australian consumers with particular concern for vulnerable consumers whose needs are underrepres</w:t>
      </w:r>
      <w:bookmarkStart w:id="0" w:name="_GoBack"/>
      <w:bookmarkEnd w:id="0"/>
      <w:r>
        <w:rPr>
          <w:rFonts w:ascii="Arial" w:hAnsi="Arial" w:cs="Arial"/>
        </w:rPr>
        <w:t xml:space="preserve">ented. 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ACCAN’s role is to: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promote the consumer objectives of accessibility, affordability and availability to all consumers;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develop a strong, coordinated voice for consumers</w:t>
      </w:r>
      <w:r w:rsidR="001A2CD9">
        <w:rPr>
          <w:rFonts w:ascii="Arial" w:hAnsi="Arial" w:cs="Arial"/>
        </w:rPr>
        <w:t>,</w:t>
      </w:r>
      <w:r w:rsidRPr="0010784F">
        <w:rPr>
          <w:rFonts w:ascii="Arial" w:hAnsi="Arial" w:cs="Arial"/>
        </w:rPr>
        <w:t xml:space="preserve"> and to represent and advocate on behalf of consumers to Government, regulators and the telecommunications/communications industry;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undertake research, policy development and education;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facilitate access to and dissemination of information to consumers, consumer representatives and consumer organisations;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advocate on behalf of consumers on telecommunications laws affecting consumers, law reform, policy development and in relation to industry practices;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participate in regulatory and co-regulatory activities; and to contribute to the development of Government policy in teleco</w:t>
      </w:r>
      <w:r>
        <w:rPr>
          <w:rFonts w:ascii="Arial" w:hAnsi="Arial" w:cs="Arial"/>
        </w:rPr>
        <w:t>mmunications and communications,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mak</w:t>
      </w:r>
      <w:r w:rsidR="001A2CD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markets work well for consumers,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</w:t>
      </w:r>
      <w:r w:rsidR="001A2CD9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 difference for consumers with disabilities</w:t>
      </w:r>
      <w:r w:rsidR="00EA561B">
        <w:rPr>
          <w:rFonts w:ascii="Arial" w:hAnsi="Arial" w:cs="Arial"/>
        </w:rPr>
        <w:t xml:space="preserve"> and vulnerable consumers</w:t>
      </w:r>
      <w:r>
        <w:rPr>
          <w:rFonts w:ascii="Arial" w:hAnsi="Arial" w:cs="Arial"/>
        </w:rPr>
        <w:t>.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manage</w:t>
      </w:r>
      <w:proofErr w:type="gramEnd"/>
      <w:r>
        <w:rPr>
          <w:rFonts w:ascii="Arial" w:hAnsi="Arial" w:cs="Arial"/>
        </w:rPr>
        <w:t xml:space="preserve"> a community grants program.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ind w:left="421"/>
        <w:rPr>
          <w:rFonts w:ascii="Arial" w:hAnsi="Arial" w:cs="Arial"/>
        </w:rPr>
      </w:pPr>
    </w:p>
    <w:p w:rsidR="000C1296" w:rsidRPr="0010784F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ACCAN is a not-for-profit company.</w:t>
      </w:r>
    </w:p>
    <w:p w:rsidR="005D1141" w:rsidRPr="005D1141" w:rsidRDefault="005D1141" w:rsidP="005D1141">
      <w:pPr>
        <w:tabs>
          <w:tab w:val="left" w:pos="3440"/>
        </w:tabs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Job Summary</w:t>
      </w:r>
    </w:p>
    <w:p w:rsidR="005D1141" w:rsidRPr="0078029D" w:rsidRDefault="005D1141" w:rsidP="005D1141">
      <w:pPr>
        <w:spacing w:after="0" w:line="240" w:lineRule="auto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The purpose of the </w:t>
      </w:r>
      <w:r w:rsidR="008C4C94" w:rsidRPr="00785836">
        <w:rPr>
          <w:rFonts w:ascii="Arial" w:eastAsia="Cambria" w:hAnsi="Arial" w:cs="Arial"/>
          <w:lang w:val="en-US"/>
        </w:rPr>
        <w:t>Senior Policy Analyst</w:t>
      </w:r>
      <w:r w:rsidRPr="00785836">
        <w:rPr>
          <w:rFonts w:ascii="Arial" w:eastAsia="Cambria" w:hAnsi="Arial" w:cs="Arial"/>
          <w:lang w:val="en-US"/>
        </w:rPr>
        <w:t xml:space="preserve"> </w:t>
      </w:r>
      <w:r w:rsidR="00B038FE">
        <w:rPr>
          <w:rFonts w:ascii="Arial" w:eastAsia="Cambria" w:hAnsi="Arial" w:cs="Arial"/>
          <w:lang w:val="en-US"/>
        </w:rPr>
        <w:t>position</w:t>
      </w:r>
      <w:r w:rsidRPr="0078029D">
        <w:rPr>
          <w:rFonts w:ascii="Arial" w:eastAsia="Cambria" w:hAnsi="Arial" w:cs="Arial"/>
          <w:lang w:val="en-US"/>
        </w:rPr>
        <w:t xml:space="preserve"> is to</w:t>
      </w:r>
    </w:p>
    <w:p w:rsidR="005D1141" w:rsidRPr="0078029D" w:rsidRDefault="005D1141" w:rsidP="005D1141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5D1141" w:rsidRPr="0078029D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contribute to the achievement of the goals and objectives set out in the  Strategic Plan and the Annual Work Plan; </w:t>
      </w:r>
    </w:p>
    <w:p w:rsidR="005D1141" w:rsidRPr="0078029D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research, develop and publish policy positions on communications issues that affect consumers</w:t>
      </w:r>
      <w:r w:rsidR="001A2CD9">
        <w:rPr>
          <w:rFonts w:ascii="Arial" w:eastAsia="Cambria" w:hAnsi="Arial" w:cs="Arial"/>
          <w:lang w:val="en-US"/>
        </w:rPr>
        <w:t xml:space="preserve">, with a focus on </w:t>
      </w:r>
      <w:r w:rsidR="00EA561B">
        <w:rPr>
          <w:rFonts w:ascii="Arial" w:eastAsia="Cambria" w:hAnsi="Arial" w:cs="Arial"/>
          <w:lang w:val="en-US"/>
        </w:rPr>
        <w:t>broadband services</w:t>
      </w:r>
      <w:r w:rsidRPr="0078029D">
        <w:rPr>
          <w:rFonts w:ascii="Arial" w:eastAsia="Cambria" w:hAnsi="Arial" w:cs="Arial"/>
          <w:lang w:val="en-US"/>
        </w:rPr>
        <w:t xml:space="preserve">; and </w:t>
      </w:r>
    </w:p>
    <w:p w:rsidR="005D1141" w:rsidRPr="0078029D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advocate on behalf of communications consumers </w:t>
      </w:r>
      <w:r w:rsidR="001A2CD9">
        <w:rPr>
          <w:rFonts w:ascii="Arial" w:eastAsia="Cambria" w:hAnsi="Arial" w:cs="Arial"/>
          <w:lang w:val="en-US"/>
        </w:rPr>
        <w:t xml:space="preserve">generally, </w:t>
      </w:r>
      <w:r w:rsidRPr="0078029D">
        <w:rPr>
          <w:rFonts w:ascii="Arial" w:eastAsia="Cambria" w:hAnsi="Arial" w:cs="Arial"/>
          <w:lang w:val="en-US"/>
        </w:rPr>
        <w:t>and work with industry, government and consumer stakeholders to improve outcomes for communication consumers</w:t>
      </w:r>
    </w:p>
    <w:p w:rsidR="005D1141" w:rsidRPr="005D1141" w:rsidRDefault="005D1141" w:rsidP="003A3073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Qualifications</w:t>
      </w:r>
    </w:p>
    <w:p w:rsidR="005D1141" w:rsidRPr="003A3073" w:rsidRDefault="005D1141" w:rsidP="003A3073">
      <w:pPr>
        <w:spacing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proofErr w:type="gramStart"/>
      <w:r w:rsidRPr="0078029D">
        <w:rPr>
          <w:rFonts w:ascii="Arial" w:eastAsia="Cambria" w:hAnsi="Arial" w:cs="Arial"/>
        </w:rPr>
        <w:t xml:space="preserve">Relevant tertiary qualifications </w:t>
      </w:r>
      <w:r w:rsidR="00337611">
        <w:rPr>
          <w:rFonts w:ascii="Arial" w:eastAsia="Cambria" w:hAnsi="Arial" w:cs="Arial"/>
        </w:rPr>
        <w:t xml:space="preserve">in economics or competition law </w:t>
      </w:r>
      <w:r w:rsidRPr="0078029D">
        <w:rPr>
          <w:rFonts w:ascii="Arial" w:eastAsia="Cambria" w:hAnsi="Arial" w:cs="Arial"/>
        </w:rPr>
        <w:t xml:space="preserve">or equivalent experience in a policy </w:t>
      </w:r>
      <w:r w:rsidR="00C03CBC">
        <w:rPr>
          <w:rFonts w:ascii="Arial" w:eastAsia="Cambria" w:hAnsi="Arial" w:cs="Arial"/>
        </w:rPr>
        <w:t xml:space="preserve">or analyst </w:t>
      </w:r>
      <w:r w:rsidRPr="0078029D">
        <w:rPr>
          <w:rFonts w:ascii="Arial" w:eastAsia="Cambria" w:hAnsi="Arial" w:cs="Arial"/>
        </w:rPr>
        <w:t>role.</w:t>
      </w:r>
      <w:proofErr w:type="gramEnd"/>
      <w:r w:rsidRPr="0078029D">
        <w:rPr>
          <w:rFonts w:ascii="Arial" w:eastAsia="Cambria" w:hAnsi="Arial" w:cs="Arial"/>
        </w:rPr>
        <w:t xml:space="preserve"> </w:t>
      </w:r>
    </w:p>
    <w:p w:rsidR="005D1141" w:rsidRPr="005D1141" w:rsidRDefault="005D1141" w:rsidP="003A3073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lastRenderedPageBreak/>
        <w:t>Duties</w:t>
      </w: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 xml:space="preserve">Policy Development and Research </w:t>
      </w:r>
    </w:p>
    <w:p w:rsidR="005D1141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Prepare and publish policy positions, discussion papers and submissions, where possible based on direct community consultations</w:t>
      </w:r>
    </w:p>
    <w:p w:rsidR="00C03CBC" w:rsidRPr="00785836" w:rsidRDefault="002B3619" w:rsidP="0078583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 xml:space="preserve">Develop unique data sets by analyzing multiple </w:t>
      </w:r>
      <w:r w:rsidR="00C03CBC">
        <w:rPr>
          <w:rFonts w:ascii="Arial" w:eastAsia="Cambria" w:hAnsi="Arial" w:cs="Arial"/>
          <w:lang w:val="en-US"/>
        </w:rPr>
        <w:t xml:space="preserve">sources of data </w:t>
      </w:r>
      <w:r>
        <w:rPr>
          <w:rFonts w:ascii="Arial" w:eastAsia="Cambria" w:hAnsi="Arial" w:cs="Arial"/>
          <w:lang w:val="en-US"/>
        </w:rPr>
        <w:t xml:space="preserve"> to</w:t>
      </w:r>
      <w:r w:rsidR="00C03CBC">
        <w:rPr>
          <w:rFonts w:ascii="Arial" w:eastAsia="Cambria" w:hAnsi="Arial" w:cs="Arial"/>
          <w:lang w:val="en-US"/>
        </w:rPr>
        <w:t xml:space="preserve"> assess trends and consumer impacts of policy and regulatory decisions</w:t>
      </w:r>
      <w:r>
        <w:rPr>
          <w:rFonts w:ascii="Arial" w:eastAsia="Cambria" w:hAnsi="Arial" w:cs="Arial"/>
          <w:lang w:val="en-US"/>
        </w:rPr>
        <w:t>,</w:t>
      </w:r>
      <w:r w:rsidR="00C03CBC">
        <w:rPr>
          <w:rFonts w:ascii="Arial" w:eastAsia="Cambria" w:hAnsi="Arial" w:cs="Arial"/>
          <w:lang w:val="en-US"/>
        </w:rPr>
        <w:t xml:space="preserve"> as well as industry pricing 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Collect  data, information and case studies to support ACCAN campaigns and policy work</w:t>
      </w:r>
    </w:p>
    <w:p w:rsidR="005D1141" w:rsidRPr="005D1141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Communications Policy Issues Management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proofErr w:type="spellStart"/>
      <w:r w:rsidRPr="0078029D">
        <w:rPr>
          <w:rFonts w:ascii="Arial" w:eastAsia="Cambria" w:hAnsi="Arial" w:cs="Arial"/>
          <w:lang w:val="en-US"/>
        </w:rPr>
        <w:t>Analyse</w:t>
      </w:r>
      <w:proofErr w:type="spellEnd"/>
      <w:r w:rsidRPr="0078029D">
        <w:rPr>
          <w:rFonts w:ascii="Arial" w:eastAsia="Cambria" w:hAnsi="Arial" w:cs="Arial"/>
          <w:lang w:val="en-US"/>
        </w:rPr>
        <w:t xml:space="preserve"> and monitor developments relevant to communications</w:t>
      </w:r>
      <w:r w:rsidR="00C03CBC">
        <w:rPr>
          <w:rFonts w:ascii="Arial" w:eastAsia="Cambria" w:hAnsi="Arial" w:cs="Arial"/>
          <w:lang w:val="en-US"/>
        </w:rPr>
        <w:t xml:space="preserve"> and competition</w:t>
      </w:r>
      <w:r w:rsidRPr="0078029D">
        <w:rPr>
          <w:rFonts w:ascii="Arial" w:eastAsia="Cambria" w:hAnsi="Arial" w:cs="Arial"/>
          <w:lang w:val="en-US"/>
        </w:rPr>
        <w:t xml:space="preserve"> regulation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Identify  potential areas for ACCAN research and policy development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Ensure ACCAN staff are informed and understand priority policy issues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Liaise with regulatory agencies and Government on legislation and subsidiary regulatory instruments.</w:t>
      </w:r>
    </w:p>
    <w:p w:rsidR="005D1141" w:rsidRPr="003A3073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tabs>
          <w:tab w:val="center" w:pos="4320"/>
          <w:tab w:val="right" w:pos="8640"/>
        </w:tabs>
        <w:spacing w:after="0" w:line="24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5D1141">
        <w:rPr>
          <w:rFonts w:ascii="Arial" w:eastAsia="Cambria" w:hAnsi="Arial" w:cs="Arial"/>
          <w:b/>
          <w:bCs/>
          <w:sz w:val="24"/>
          <w:szCs w:val="24"/>
          <w:lang w:val="en-US"/>
        </w:rPr>
        <w:t xml:space="preserve">Stakeholders and Consumer Representation 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Assist with ACCAN’s </w:t>
      </w:r>
      <w:r w:rsidR="00EA561B">
        <w:rPr>
          <w:rFonts w:ascii="Arial" w:eastAsia="Cambria" w:hAnsi="Arial" w:cs="Arial"/>
          <w:lang w:val="en-US"/>
        </w:rPr>
        <w:t xml:space="preserve"> consumer </w:t>
      </w:r>
      <w:r w:rsidRPr="0078029D">
        <w:rPr>
          <w:rFonts w:ascii="Arial" w:eastAsia="Cambria" w:hAnsi="Arial" w:cs="Arial"/>
          <w:lang w:val="en-US"/>
        </w:rPr>
        <w:t xml:space="preserve">advisory </w:t>
      </w:r>
      <w:r w:rsidR="00EA561B">
        <w:rPr>
          <w:rFonts w:ascii="Arial" w:eastAsia="Cambria" w:hAnsi="Arial" w:cs="Arial"/>
          <w:lang w:val="en-US"/>
        </w:rPr>
        <w:t xml:space="preserve">forums 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Consult ACCAN members</w:t>
      </w:r>
      <w:r w:rsidR="00EA561B">
        <w:rPr>
          <w:rFonts w:ascii="Arial" w:eastAsia="Cambria" w:hAnsi="Arial" w:cs="Arial"/>
          <w:lang w:val="en-US"/>
        </w:rPr>
        <w:t xml:space="preserve">, </w:t>
      </w:r>
      <w:r w:rsidRPr="0078029D">
        <w:rPr>
          <w:rFonts w:ascii="Arial" w:eastAsia="Cambria" w:hAnsi="Arial" w:cs="Arial"/>
          <w:lang w:val="en-US"/>
        </w:rPr>
        <w:t xml:space="preserve"> and </w:t>
      </w:r>
      <w:r w:rsidR="00EA561B">
        <w:rPr>
          <w:rFonts w:ascii="Arial" w:eastAsia="Cambria" w:hAnsi="Arial" w:cs="Arial"/>
          <w:lang w:val="en-US"/>
        </w:rPr>
        <w:t xml:space="preserve">advisory forums </w:t>
      </w:r>
      <w:r w:rsidRPr="0078029D">
        <w:rPr>
          <w:rFonts w:ascii="Arial" w:eastAsia="Cambria" w:hAnsi="Arial" w:cs="Arial"/>
          <w:lang w:val="en-US"/>
        </w:rPr>
        <w:t xml:space="preserve"> to ensure effective representation of their views on communications matters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Represent ACCAN in public forums, on committees and working groups as required </w:t>
      </w:r>
    </w:p>
    <w:p w:rsidR="005D1141" w:rsidRPr="003A3073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Consumer Awareness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Develop material to inform members and the community about </w:t>
      </w:r>
      <w:r w:rsidR="00EA561B">
        <w:rPr>
          <w:rFonts w:ascii="Arial" w:eastAsia="Cambria" w:hAnsi="Arial" w:cs="Arial"/>
          <w:lang w:val="en-US"/>
        </w:rPr>
        <w:t xml:space="preserve">useful consumer information </w:t>
      </w:r>
      <w:r w:rsidRPr="0078029D">
        <w:rPr>
          <w:rFonts w:ascii="Arial" w:eastAsia="Cambria" w:hAnsi="Arial" w:cs="Arial"/>
          <w:lang w:val="en-US"/>
        </w:rPr>
        <w:t>and key policy issues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 with meetings, seminars and outreach activities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 with the organisation, promotion and support for ACCAN conferences and events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 part of a team, ensure members are regularly informed of ACCAN activities</w:t>
      </w:r>
    </w:p>
    <w:p w:rsidR="005D1141" w:rsidRPr="003A3073" w:rsidRDefault="005D1141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5D1141">
        <w:rPr>
          <w:rFonts w:ascii="Arial" w:eastAsia="Times New Roman" w:hAnsi="Arial" w:cs="Arial"/>
          <w:b/>
          <w:bCs/>
          <w:sz w:val="24"/>
          <w:szCs w:val="20"/>
        </w:rPr>
        <w:t>ACCAN Resources</w:t>
      </w:r>
    </w:p>
    <w:p w:rsidR="005D1141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Contribute to and assist with ACCAN publications and website content</w:t>
      </w:r>
    </w:p>
    <w:p w:rsidR="000C1296" w:rsidRPr="003A3073" w:rsidRDefault="000C1296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Other Duties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Assist with consumer </w:t>
      </w:r>
      <w:r w:rsidR="00EA561B">
        <w:rPr>
          <w:rFonts w:ascii="Arial" w:eastAsia="Cambria" w:hAnsi="Arial" w:cs="Arial"/>
          <w:lang w:val="en-US"/>
        </w:rPr>
        <w:t xml:space="preserve">contacts </w:t>
      </w:r>
      <w:r w:rsidRPr="0078029D">
        <w:rPr>
          <w:rFonts w:ascii="Arial" w:eastAsia="Cambria" w:hAnsi="Arial" w:cs="Arial"/>
          <w:lang w:val="en-US"/>
        </w:rPr>
        <w:t xml:space="preserve"> </w:t>
      </w:r>
      <w:r w:rsidR="00467F27">
        <w:rPr>
          <w:rFonts w:ascii="Arial" w:eastAsia="Cambria" w:hAnsi="Arial" w:cs="Arial"/>
          <w:lang w:val="en-US"/>
        </w:rPr>
        <w:t>and</w:t>
      </w:r>
      <w:r w:rsidRPr="0078029D">
        <w:rPr>
          <w:rFonts w:ascii="Arial" w:eastAsia="Cambria" w:hAnsi="Arial" w:cs="Arial"/>
          <w:lang w:val="en-US"/>
        </w:rPr>
        <w:t xml:space="preserve"> enquiries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 with general administrative tasks including filing and mail outs</w:t>
      </w:r>
    </w:p>
    <w:p w:rsidR="005D1141" w:rsidRPr="0078029D" w:rsidRDefault="005D1141" w:rsidP="005D1141">
      <w:pPr>
        <w:numPr>
          <w:ilvl w:val="0"/>
          <w:numId w:val="4"/>
        </w:numPr>
        <w:spacing w:after="0" w:line="240" w:lineRule="auto"/>
        <w:ind w:left="714" w:hanging="354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Other duties as ass</w:t>
      </w:r>
      <w:r w:rsidR="00AE0D18">
        <w:rPr>
          <w:rFonts w:ascii="Arial" w:eastAsia="Cambria" w:hAnsi="Arial" w:cs="Arial"/>
          <w:lang w:val="en-US"/>
        </w:rPr>
        <w:t>igned by the Director of Policy</w:t>
      </w:r>
    </w:p>
    <w:p w:rsidR="005D1141" w:rsidRPr="003A3073" w:rsidRDefault="005D1141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85C92" w:rsidRPr="00CD2789" w:rsidRDefault="00CD2789" w:rsidP="005D1141">
      <w:pPr>
        <w:keepNext/>
        <w:spacing w:after="0" w:line="240" w:lineRule="auto"/>
        <w:outlineLvl w:val="2"/>
        <w:rPr>
          <w:rFonts w:ascii="Arial Black" w:eastAsia="Times New Roman" w:hAnsi="Arial Black" w:cs="Arial Black"/>
          <w:b/>
          <w:bCs/>
          <w:color w:val="3333FF"/>
          <w:spacing w:val="30"/>
          <w:sz w:val="28"/>
          <w:szCs w:val="28"/>
        </w:rPr>
      </w:pPr>
      <w:r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Selection criteria</w:t>
      </w:r>
    </w:p>
    <w:p w:rsidR="005D1141" w:rsidRPr="00A85C92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85C92">
        <w:rPr>
          <w:rFonts w:ascii="Arial" w:eastAsia="Times New Roman" w:hAnsi="Arial" w:cs="Arial"/>
          <w:b/>
          <w:bCs/>
          <w:spacing w:val="30"/>
          <w:sz w:val="24"/>
          <w:szCs w:val="24"/>
        </w:rPr>
        <w:t>Essential Skills for position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An understanding of c</w:t>
      </w:r>
      <w:r w:rsidR="00337611">
        <w:rPr>
          <w:rFonts w:ascii="Arial" w:eastAsia="Cambria" w:hAnsi="Arial" w:cs="Arial"/>
          <w:lang w:val="en-US"/>
        </w:rPr>
        <w:t>onsumer</w:t>
      </w:r>
      <w:r w:rsidRPr="0078029D">
        <w:rPr>
          <w:rFonts w:ascii="Arial" w:eastAsia="Cambria" w:hAnsi="Arial" w:cs="Arial"/>
          <w:lang w:val="en-US"/>
        </w:rPr>
        <w:t xml:space="preserve"> policy issues generally and </w:t>
      </w:r>
      <w:r w:rsidR="00AE0D18">
        <w:rPr>
          <w:rFonts w:ascii="Arial" w:eastAsia="Cambria" w:hAnsi="Arial" w:cs="Arial"/>
          <w:lang w:val="en-US"/>
        </w:rPr>
        <w:t xml:space="preserve">broadband </w:t>
      </w:r>
      <w:r w:rsidR="00AD1F4C" w:rsidRPr="0078029D">
        <w:rPr>
          <w:rFonts w:ascii="Arial" w:eastAsia="Cambria" w:hAnsi="Arial" w:cs="Arial"/>
          <w:lang w:val="en-US"/>
        </w:rPr>
        <w:t xml:space="preserve">issues </w:t>
      </w:r>
      <w:r w:rsidRPr="0078029D">
        <w:rPr>
          <w:rFonts w:ascii="Arial" w:eastAsia="Cambria" w:hAnsi="Arial" w:cs="Arial"/>
          <w:lang w:val="en-US"/>
        </w:rPr>
        <w:t xml:space="preserve">specifically, or the capacity to quickly acquire this knowledge </w:t>
      </w:r>
    </w:p>
    <w:p w:rsidR="00DE0987" w:rsidRDefault="00DE0987" w:rsidP="00DE0987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An academic background in economics</w:t>
      </w:r>
      <w:r w:rsidR="00337611">
        <w:rPr>
          <w:rFonts w:ascii="Arial" w:eastAsia="Cambria" w:hAnsi="Arial" w:cs="Arial"/>
          <w:lang w:val="en-US"/>
        </w:rPr>
        <w:t xml:space="preserve"> and/or competition law</w:t>
      </w:r>
    </w:p>
    <w:p w:rsidR="00DE0987" w:rsidRPr="0078029D" w:rsidRDefault="00DE0987" w:rsidP="00DE0987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Knowledge of public policy processes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 commitment to the effective representation of consumers </w:t>
      </w:r>
    </w:p>
    <w:p w:rsidR="005D1141" w:rsidRPr="0078029D" w:rsidRDefault="0033761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Excellent</w:t>
      </w:r>
      <w:r w:rsidR="00785836">
        <w:rPr>
          <w:rFonts w:ascii="Arial" w:eastAsia="Cambria" w:hAnsi="Arial" w:cs="Arial"/>
          <w:lang w:val="en-US"/>
        </w:rPr>
        <w:t xml:space="preserve"> </w:t>
      </w:r>
      <w:r w:rsidR="005D1141" w:rsidRPr="0078029D">
        <w:rPr>
          <w:rFonts w:ascii="Arial" w:eastAsia="Cambria" w:hAnsi="Arial" w:cs="Arial"/>
          <w:lang w:val="en-US"/>
        </w:rPr>
        <w:t xml:space="preserve">oral and written communication skills </w:t>
      </w:r>
      <w:r>
        <w:rPr>
          <w:rFonts w:ascii="Arial" w:eastAsia="Cambria" w:hAnsi="Arial" w:cs="Arial"/>
          <w:lang w:val="en-US"/>
        </w:rPr>
        <w:t>including the ability to draft submissions</w:t>
      </w:r>
    </w:p>
    <w:p w:rsidR="00785836" w:rsidRDefault="00337611" w:rsidP="0033761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337611">
        <w:rPr>
          <w:rFonts w:ascii="Arial" w:eastAsia="Cambria" w:hAnsi="Arial" w:cs="Arial"/>
          <w:lang w:val="en-US"/>
        </w:rPr>
        <w:t xml:space="preserve">The ability to undertake research, analyze data and identify </w:t>
      </w:r>
      <w:r>
        <w:rPr>
          <w:rFonts w:ascii="Arial" w:eastAsia="Cambria" w:hAnsi="Arial" w:cs="Arial"/>
          <w:lang w:val="en-US"/>
        </w:rPr>
        <w:t>trends and consumer impacts</w:t>
      </w:r>
    </w:p>
    <w:p w:rsidR="005D1141" w:rsidRPr="00337611" w:rsidRDefault="005D1141" w:rsidP="0033761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337611">
        <w:rPr>
          <w:rFonts w:ascii="Arial" w:eastAsia="Cambria" w:hAnsi="Arial" w:cs="Arial"/>
          <w:lang w:val="en-US"/>
        </w:rPr>
        <w:t>Proficiency in information and communications technology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Ability to work collaboratively as part of a team 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Capacity to work independently with minimal supervision</w:t>
      </w:r>
    </w:p>
    <w:p w:rsidR="005D1141" w:rsidRPr="00A85C92" w:rsidRDefault="005D1141" w:rsidP="0021251B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spacing w:val="30"/>
          <w:sz w:val="24"/>
          <w:szCs w:val="24"/>
        </w:rPr>
      </w:pPr>
      <w:r w:rsidRPr="00A85C92">
        <w:rPr>
          <w:rFonts w:ascii="Arial Black" w:eastAsia="Cambria" w:hAnsi="Arial Black" w:cs="Arial Black"/>
          <w:b/>
          <w:bCs/>
          <w:spacing w:val="30"/>
          <w:sz w:val="24"/>
          <w:szCs w:val="24"/>
        </w:rPr>
        <w:t>Desired Skills for position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Understanding of the needs of people with disabilities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Knowledge of and experience of working in the community sector</w:t>
      </w:r>
    </w:p>
    <w:p w:rsidR="005D1141" w:rsidRPr="005D1141" w:rsidRDefault="005D1141" w:rsidP="005D1141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ACCAN is an EEO employer: Aboriginal and Torres Strait Islander peoples, persons with disabilities, and people from </w:t>
      </w:r>
      <w:r w:rsidR="0021251B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diverse </w:t>
      </w:r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>cultural, linguistic and religious backgrounds are encouraged to apply</w:t>
      </w:r>
    </w:p>
    <w:sectPr w:rsidR="005D1141" w:rsidRPr="005D1141" w:rsidSect="003A3073">
      <w:footerReference w:type="default" r:id="rId10"/>
      <w:pgSz w:w="11900" w:h="16840"/>
      <w:pgMar w:top="851" w:right="1134" w:bottom="851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35" w:rsidRDefault="00935635">
      <w:pPr>
        <w:spacing w:after="0" w:line="240" w:lineRule="auto"/>
      </w:pPr>
      <w:r>
        <w:separator/>
      </w:r>
    </w:p>
  </w:endnote>
  <w:endnote w:type="continuationSeparator" w:id="0">
    <w:p w:rsidR="00935635" w:rsidRDefault="0093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0C" w:rsidRPr="00D16263" w:rsidRDefault="00647A0C" w:rsidP="00457A9D">
    <w:pPr>
      <w:pStyle w:val="Footer"/>
      <w:pBdr>
        <w:top w:val="single" w:sz="4" w:space="1" w:color="auto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ACCAN PO – Position Description - </w:t>
    </w:r>
    <w:r w:rsidRPr="00D16263">
      <w:rPr>
        <w:rFonts w:ascii="Arial" w:hAnsi="Arial"/>
        <w:sz w:val="16"/>
      </w:rPr>
      <w:fldChar w:fldCharType="begin"/>
    </w:r>
    <w:r w:rsidRPr="00D16263">
      <w:rPr>
        <w:rFonts w:ascii="Arial" w:hAnsi="Arial"/>
        <w:sz w:val="16"/>
      </w:rPr>
      <w:instrText xml:space="preserve"> TIME \@ "d MMMM yyyy" </w:instrText>
    </w:r>
    <w:r w:rsidRPr="00D16263">
      <w:rPr>
        <w:rFonts w:ascii="Arial" w:hAnsi="Arial"/>
        <w:sz w:val="16"/>
      </w:rPr>
      <w:fldChar w:fldCharType="separate"/>
    </w:r>
    <w:r w:rsidR="00101183">
      <w:rPr>
        <w:rFonts w:ascii="Arial" w:hAnsi="Arial"/>
        <w:noProof/>
        <w:sz w:val="16"/>
      </w:rPr>
      <w:t>9 March 2018</w:t>
    </w:r>
    <w:r w:rsidRPr="00D16263">
      <w:rPr>
        <w:rFonts w:ascii="Arial" w:hAnsi="Arial"/>
        <w:sz w:val="16"/>
      </w:rPr>
      <w:fldChar w:fldCharType="end"/>
    </w:r>
  </w:p>
  <w:p w:rsidR="00647A0C" w:rsidRDefault="00647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35" w:rsidRDefault="00935635">
      <w:pPr>
        <w:spacing w:after="0" w:line="240" w:lineRule="auto"/>
      </w:pPr>
      <w:r>
        <w:separator/>
      </w:r>
    </w:p>
  </w:footnote>
  <w:footnote w:type="continuationSeparator" w:id="0">
    <w:p w:rsidR="00935635" w:rsidRDefault="0093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105"/>
    <w:multiLevelType w:val="hybridMultilevel"/>
    <w:tmpl w:val="A8065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41066"/>
    <w:multiLevelType w:val="hybridMultilevel"/>
    <w:tmpl w:val="3F8EA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45CD2"/>
    <w:multiLevelType w:val="hybridMultilevel"/>
    <w:tmpl w:val="5BECEF7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>
    <w:nsid w:val="457E3C62"/>
    <w:multiLevelType w:val="hybridMultilevel"/>
    <w:tmpl w:val="135C1A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">
    <w:nsid w:val="504D66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AD28F3"/>
    <w:multiLevelType w:val="hybridMultilevel"/>
    <w:tmpl w:val="4E9E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D2169"/>
    <w:multiLevelType w:val="hybridMultilevel"/>
    <w:tmpl w:val="C28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B1657"/>
    <w:multiLevelType w:val="hybridMultilevel"/>
    <w:tmpl w:val="507406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41"/>
    <w:rsid w:val="000C1296"/>
    <w:rsid w:val="000C1648"/>
    <w:rsid w:val="00101183"/>
    <w:rsid w:val="001A2CD9"/>
    <w:rsid w:val="0021251B"/>
    <w:rsid w:val="002624E9"/>
    <w:rsid w:val="002B2C90"/>
    <w:rsid w:val="002B3619"/>
    <w:rsid w:val="002E5FA8"/>
    <w:rsid w:val="00306D5A"/>
    <w:rsid w:val="00337611"/>
    <w:rsid w:val="003A3073"/>
    <w:rsid w:val="003D364F"/>
    <w:rsid w:val="00457A9D"/>
    <w:rsid w:val="00467F27"/>
    <w:rsid w:val="005014EB"/>
    <w:rsid w:val="00583B3F"/>
    <w:rsid w:val="005D1141"/>
    <w:rsid w:val="005D57D6"/>
    <w:rsid w:val="00647A0C"/>
    <w:rsid w:val="0069140F"/>
    <w:rsid w:val="0078029D"/>
    <w:rsid w:val="00785836"/>
    <w:rsid w:val="008A2C56"/>
    <w:rsid w:val="008C4C94"/>
    <w:rsid w:val="008E77D5"/>
    <w:rsid w:val="008F6D3D"/>
    <w:rsid w:val="00910E4E"/>
    <w:rsid w:val="009216EE"/>
    <w:rsid w:val="00935635"/>
    <w:rsid w:val="00954444"/>
    <w:rsid w:val="009D243E"/>
    <w:rsid w:val="00A85C92"/>
    <w:rsid w:val="00AD1F4C"/>
    <w:rsid w:val="00AE0D18"/>
    <w:rsid w:val="00B038FE"/>
    <w:rsid w:val="00B422C2"/>
    <w:rsid w:val="00BC1A1D"/>
    <w:rsid w:val="00C03CBC"/>
    <w:rsid w:val="00C26317"/>
    <w:rsid w:val="00C82E44"/>
    <w:rsid w:val="00CD2789"/>
    <w:rsid w:val="00DE0987"/>
    <w:rsid w:val="00DF1704"/>
    <w:rsid w:val="00EA2FA7"/>
    <w:rsid w:val="00EA561B"/>
    <w:rsid w:val="00F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41"/>
  </w:style>
  <w:style w:type="paragraph" w:styleId="BalloonText">
    <w:name w:val="Balloon Text"/>
    <w:basedOn w:val="Normal"/>
    <w:link w:val="BalloonTextChar"/>
    <w:uiPriority w:val="99"/>
    <w:semiHidden/>
    <w:unhideWhenUsed/>
    <w:rsid w:val="005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41"/>
  </w:style>
  <w:style w:type="paragraph" w:styleId="BalloonText">
    <w:name w:val="Balloon Text"/>
    <w:basedOn w:val="Normal"/>
    <w:link w:val="BalloonTextChar"/>
    <w:uiPriority w:val="99"/>
    <w:semiHidden/>
    <w:unhideWhenUsed/>
    <w:rsid w:val="005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520A-45BA-4FAB-921A-87E1488B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Lawrence</dc:creator>
  <cp:lastModifiedBy>Yuriko Hoshi</cp:lastModifiedBy>
  <cp:revision>7</cp:revision>
  <cp:lastPrinted>2018-01-19T03:07:00Z</cp:lastPrinted>
  <dcterms:created xsi:type="dcterms:W3CDTF">2018-03-08T06:38:00Z</dcterms:created>
  <dcterms:modified xsi:type="dcterms:W3CDTF">2018-03-08T23:28:00Z</dcterms:modified>
</cp:coreProperties>
</file>