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95" w:rsidRPr="00163F3A" w:rsidRDefault="00994C2C" w:rsidP="002F654D">
      <w:pPr>
        <w:pStyle w:val="ReportHeading1"/>
      </w:pPr>
      <w:r>
        <w:t xml:space="preserve">Quarter </w:t>
      </w:r>
      <w:r w:rsidR="00026E5C">
        <w:t>2</w:t>
      </w:r>
      <w:r w:rsidR="00D970E5">
        <w:t>, FY18-19</w:t>
      </w:r>
    </w:p>
    <w:p w:rsidR="002F654D" w:rsidRPr="00550B4F" w:rsidRDefault="002F654D" w:rsidP="002F654D">
      <w:pPr>
        <w:rPr>
          <w:rStyle w:val="Emphasis"/>
          <w:rFonts w:cstheme="minorHAnsi"/>
          <w:i w:val="0"/>
          <w:szCs w:val="22"/>
        </w:rPr>
      </w:pPr>
      <w:r w:rsidRPr="00550B4F">
        <w:rPr>
          <w:rStyle w:val="Emphasis"/>
          <w:rFonts w:cstheme="minorHAnsi"/>
          <w:i w:val="0"/>
          <w:szCs w:val="22"/>
        </w:rPr>
        <w:t xml:space="preserve">The summary below outlines ACCAN's activities from </w:t>
      </w:r>
      <w:r w:rsidR="002E275A" w:rsidRPr="002E275A">
        <w:rPr>
          <w:rStyle w:val="Emphasis"/>
          <w:rFonts w:cstheme="minorHAnsi"/>
          <w:i w:val="0"/>
          <w:szCs w:val="22"/>
        </w:rPr>
        <w:t>1 September – 30 November 2018</w:t>
      </w:r>
      <w:bookmarkStart w:id="0" w:name="_GoBack"/>
      <w:bookmarkEnd w:id="0"/>
      <w:r w:rsidRPr="00550B4F">
        <w:rPr>
          <w:rStyle w:val="Emphasis"/>
          <w:rFonts w:cstheme="minorHAnsi"/>
          <w:i w:val="0"/>
          <w:szCs w:val="22"/>
        </w:rPr>
        <w:t>.</w:t>
      </w:r>
    </w:p>
    <w:p w:rsidR="00026E5C" w:rsidRPr="00043571" w:rsidRDefault="00026E5C" w:rsidP="00026E5C">
      <w:pPr>
        <w:keepNext/>
        <w:rPr>
          <w:szCs w:val="22"/>
        </w:rPr>
      </w:pPr>
      <w:proofErr w:type="gramStart"/>
      <w:r w:rsidRPr="00043571">
        <w:rPr>
          <w:szCs w:val="22"/>
        </w:rPr>
        <w:t>ACCAN  met</w:t>
      </w:r>
      <w:proofErr w:type="gramEnd"/>
      <w:r w:rsidRPr="00043571">
        <w:rPr>
          <w:szCs w:val="22"/>
        </w:rPr>
        <w:t xml:space="preserve"> with industry through the  formal quarterly meeting framework as well supplementary meetings as required During this quarter several meetings involved high level liaison with Telstra CEO and Vodafone CEO. ACCAN was also invited to participate in the COAG Consumer Affairs Australia New Zealand meeting in Sydney this quarter. ACCAN representation on committees continues to be extensive and during this period we were actively working 19 </w:t>
      </w:r>
      <w:proofErr w:type="gramStart"/>
      <w:r w:rsidRPr="00043571">
        <w:rPr>
          <w:szCs w:val="22"/>
        </w:rPr>
        <w:t>committees .</w:t>
      </w:r>
      <w:proofErr w:type="gramEnd"/>
      <w:r w:rsidRPr="00043571">
        <w:rPr>
          <w:szCs w:val="22"/>
        </w:rPr>
        <w:t xml:space="preserve"> ACCAN engaged on 44 different occasions with our members and consumers groups and participated in member </w:t>
      </w:r>
      <w:proofErr w:type="gramStart"/>
      <w:r w:rsidRPr="00043571">
        <w:rPr>
          <w:szCs w:val="22"/>
        </w:rPr>
        <w:t>events .</w:t>
      </w:r>
      <w:proofErr w:type="gramEnd"/>
      <w:r w:rsidRPr="00043571">
        <w:rPr>
          <w:szCs w:val="22"/>
        </w:rPr>
        <w:t xml:space="preserve"> We represented consumer issues to regulators and government bodies and t</w:t>
      </w:r>
      <w:r>
        <w:rPr>
          <w:szCs w:val="22"/>
        </w:rPr>
        <w:t xml:space="preserve">he ombudsman on at 26 meetings. </w:t>
      </w:r>
      <w:r w:rsidRPr="00043571">
        <w:rPr>
          <w:szCs w:val="22"/>
        </w:rPr>
        <w:t xml:space="preserve"> Several presentations were prepared and delivered by the CEO including at the </w:t>
      </w:r>
      <w:proofErr w:type="spellStart"/>
      <w:r w:rsidRPr="00043571">
        <w:rPr>
          <w:szCs w:val="22"/>
        </w:rPr>
        <w:t>Commsday</w:t>
      </w:r>
      <w:proofErr w:type="spellEnd"/>
      <w:r w:rsidRPr="00043571">
        <w:rPr>
          <w:szCs w:val="22"/>
        </w:rPr>
        <w:t xml:space="preserve"> Congress and Perth Consumer Affairs Committee.</w:t>
      </w:r>
    </w:p>
    <w:p w:rsidR="00026E5C" w:rsidRPr="00043571" w:rsidRDefault="00026E5C" w:rsidP="00026E5C">
      <w:pPr>
        <w:pStyle w:val="ListParagraph"/>
        <w:ind w:left="0"/>
        <w:rPr>
          <w:szCs w:val="22"/>
        </w:rPr>
      </w:pPr>
      <w:r w:rsidRPr="00043571">
        <w:rPr>
          <w:szCs w:val="22"/>
        </w:rPr>
        <w:t xml:space="preserve">ACCAN has submitted to 14 consultations in the three months from September to November, nearly all of which involved substantial contributions. We have engaged with Treasury and the ACCC on the developing consumer data right regime; submitted to two ACCC access pricing inquiries (MTAS and fixed line services) as well as the ACCC review of the Facilities Access Code and inquiry into the Vodafone/TPG merger; engaged with two Parliamentary inquiries (on encryption legislation and broadcasting/audio description). We have also continued our engagement with Communications Alliance with a focus on the TCP Code review, and worked with consumer groups on joint input into the industry guideline on family and domestic violence. Our other advocacy to ensure we are representing the needs of consumers has included engaging with disability organisations involved in the Audio Description Coalition on the introduction of audio description, and our ongoing engagement with the TCP Code process.  </w:t>
      </w:r>
    </w:p>
    <w:p w:rsidR="00026E5C" w:rsidRPr="00043571" w:rsidRDefault="00026E5C" w:rsidP="00026E5C">
      <w:pPr>
        <w:pStyle w:val="ListParagraph"/>
        <w:spacing w:after="0"/>
        <w:ind w:left="0"/>
        <w:rPr>
          <w:szCs w:val="22"/>
        </w:rPr>
      </w:pPr>
    </w:p>
    <w:p w:rsidR="00026E5C" w:rsidRPr="00043571" w:rsidRDefault="00026E5C" w:rsidP="00026E5C">
      <w:pPr>
        <w:rPr>
          <w:szCs w:val="22"/>
        </w:rPr>
      </w:pPr>
      <w:r w:rsidRPr="00043571">
        <w:rPr>
          <w:szCs w:val="22"/>
        </w:rPr>
        <w:t xml:space="preserve">Our achievements this quarter have been considerable. </w:t>
      </w:r>
      <w:proofErr w:type="spellStart"/>
      <w:r w:rsidRPr="00043571">
        <w:rPr>
          <w:szCs w:val="22"/>
        </w:rPr>
        <w:t>Nbn</w:t>
      </w:r>
      <w:proofErr w:type="spellEnd"/>
      <w:r w:rsidRPr="00043571">
        <w:rPr>
          <w:szCs w:val="22"/>
        </w:rPr>
        <w:t xml:space="preserve"> </w:t>
      </w:r>
      <w:proofErr w:type="spellStart"/>
      <w:r w:rsidRPr="00043571">
        <w:rPr>
          <w:szCs w:val="22"/>
        </w:rPr>
        <w:t>Co’s</w:t>
      </w:r>
      <w:proofErr w:type="spellEnd"/>
      <w:r w:rsidRPr="00043571">
        <w:rPr>
          <w:szCs w:val="22"/>
        </w:rPr>
        <w:t xml:space="preserve"> decision to support consumers with non-monitored medical alarms in the NBN switchover has been an issue we have been advocating for several years; the influence of our work on the </w:t>
      </w:r>
      <w:proofErr w:type="spellStart"/>
      <w:r w:rsidRPr="00043571">
        <w:rPr>
          <w:szCs w:val="22"/>
        </w:rPr>
        <w:t>nbn</w:t>
      </w:r>
      <w:proofErr w:type="spellEnd"/>
      <w:r w:rsidRPr="00043571">
        <w:rPr>
          <w:szCs w:val="22"/>
        </w:rPr>
        <w:t xml:space="preserve"> Special Access Undertaking Variation was evident in the ACCC’s reasoning in refusing the variation; the ACCC’s work on the NBN Wholesale Service Standards Inquiry and the Department’s Consumer Safeguards Review Part B (Reliability) consultation paper closely reflect ACCAN’s policy positions. Our input into the Joint Parliamentary Committee’s inquiry into the NBN Rollout in Rural and Regional Areas shows ACCAN’s influence, with a significant number of our recommendations adopted, and </w:t>
      </w:r>
      <w:proofErr w:type="spellStart"/>
      <w:r w:rsidRPr="00043571">
        <w:rPr>
          <w:szCs w:val="22"/>
        </w:rPr>
        <w:t>nbn</w:t>
      </w:r>
      <w:proofErr w:type="spellEnd"/>
      <w:r w:rsidRPr="00043571">
        <w:rPr>
          <w:szCs w:val="22"/>
        </w:rPr>
        <w:t xml:space="preserve"> </w:t>
      </w:r>
      <w:proofErr w:type="spellStart"/>
      <w:r w:rsidRPr="00043571">
        <w:rPr>
          <w:szCs w:val="22"/>
        </w:rPr>
        <w:t>Co’s</w:t>
      </w:r>
      <w:proofErr w:type="spellEnd"/>
      <w:r w:rsidRPr="00043571">
        <w:rPr>
          <w:szCs w:val="22"/>
        </w:rPr>
        <w:t xml:space="preserve"> decision to offer a </w:t>
      </w:r>
      <w:proofErr w:type="spellStart"/>
      <w:r w:rsidRPr="00043571">
        <w:rPr>
          <w:szCs w:val="22"/>
        </w:rPr>
        <w:t>SkyMuster</w:t>
      </w:r>
      <w:proofErr w:type="spellEnd"/>
      <w:r w:rsidRPr="00043571">
        <w:rPr>
          <w:szCs w:val="22"/>
        </w:rPr>
        <w:t xml:space="preserve"> service with some unmetered data usage is a big win for regional Australian consumers and the direct result of the advocacy of the Regional Rural and Remote Communications Coalition.  </w:t>
      </w:r>
    </w:p>
    <w:p w:rsidR="00026E5C" w:rsidRPr="00043571" w:rsidRDefault="00026E5C" w:rsidP="00026E5C">
      <w:pPr>
        <w:rPr>
          <w:szCs w:val="22"/>
        </w:rPr>
      </w:pPr>
      <w:r w:rsidRPr="00043571">
        <w:rPr>
          <w:szCs w:val="22"/>
        </w:rPr>
        <w:t xml:space="preserve">All grants projects continue, with one, Hutt St, complete and ready for acquittal. Further progress has been made in preparing for the 2019 round opening. </w:t>
      </w:r>
      <w:proofErr w:type="spellStart"/>
      <w:r w:rsidRPr="00043571">
        <w:rPr>
          <w:szCs w:val="22"/>
        </w:rPr>
        <w:t>Guidlelines</w:t>
      </w:r>
      <w:proofErr w:type="spellEnd"/>
      <w:r w:rsidRPr="00043571">
        <w:rPr>
          <w:szCs w:val="22"/>
        </w:rPr>
        <w:t xml:space="preserve"> are in their final stages of drafting and all forecasted information has been updated on the ACCAN website. Promotion has begun through all ACCAN channels. ACCAN’s research plan for 2018/19 also continues to be executed with a new project, </w:t>
      </w:r>
      <w:r w:rsidRPr="00043571">
        <w:rPr>
          <w:i/>
          <w:szCs w:val="22"/>
        </w:rPr>
        <w:t>Incentives &amp; sales practices</w:t>
      </w:r>
      <w:r w:rsidRPr="00043571">
        <w:rPr>
          <w:szCs w:val="22"/>
        </w:rPr>
        <w:t xml:space="preserve">, agreed and in the field this quarter with </w:t>
      </w:r>
      <w:proofErr w:type="spellStart"/>
      <w:r w:rsidRPr="00043571">
        <w:rPr>
          <w:szCs w:val="22"/>
        </w:rPr>
        <w:t>Lonergan</w:t>
      </w:r>
      <w:proofErr w:type="spellEnd"/>
      <w:r w:rsidRPr="00043571">
        <w:rPr>
          <w:szCs w:val="22"/>
        </w:rPr>
        <w:t xml:space="preserve"> Research.</w:t>
      </w:r>
    </w:p>
    <w:p w:rsidR="00026E5C" w:rsidRPr="00043571" w:rsidRDefault="00026E5C" w:rsidP="00026E5C">
      <w:pPr>
        <w:rPr>
          <w:rFonts w:cs="Calibri"/>
          <w:color w:val="2C2C2C"/>
          <w:szCs w:val="22"/>
          <w:shd w:val="clear" w:color="auto" w:fill="FFFFFF"/>
        </w:rPr>
      </w:pPr>
      <w:r w:rsidRPr="00043571">
        <w:rPr>
          <w:rFonts w:cs="Calibri"/>
          <w:szCs w:val="22"/>
        </w:rPr>
        <w:t>From 1</w:t>
      </w:r>
      <w:r w:rsidRPr="00043571">
        <w:rPr>
          <w:rFonts w:cs="Calibri"/>
          <w:szCs w:val="22"/>
          <w:vertAlign w:val="superscript"/>
        </w:rPr>
        <w:t>st</w:t>
      </w:r>
      <w:r w:rsidRPr="00043571">
        <w:rPr>
          <w:rFonts w:cs="Calibri"/>
          <w:szCs w:val="22"/>
        </w:rPr>
        <w:t xml:space="preserve"> September – 30</w:t>
      </w:r>
      <w:r w:rsidRPr="00043571">
        <w:rPr>
          <w:rFonts w:cs="Calibri"/>
          <w:szCs w:val="22"/>
          <w:vertAlign w:val="superscript"/>
        </w:rPr>
        <w:t>th</w:t>
      </w:r>
      <w:r w:rsidRPr="00043571">
        <w:rPr>
          <w:rFonts w:cs="Calibri"/>
          <w:szCs w:val="22"/>
        </w:rPr>
        <w:t xml:space="preserve"> November, 2018, ACCAN published four news stories. ‘ACCAN also produced a blog that broke down </w:t>
      </w:r>
      <w:hyperlink r:id="rId12" w:history="1">
        <w:r w:rsidRPr="00043571">
          <w:rPr>
            <w:rStyle w:val="Hyperlink"/>
            <w:rFonts w:cs="Calibri"/>
            <w:szCs w:val="22"/>
          </w:rPr>
          <w:t>what the NBN’s fixed wireless pricing changes mean for consumers</w:t>
        </w:r>
      </w:hyperlink>
      <w:r w:rsidRPr="00043571">
        <w:rPr>
          <w:rFonts w:cs="Calibri"/>
          <w:szCs w:val="22"/>
        </w:rPr>
        <w:t>.</w:t>
      </w:r>
      <w:r w:rsidRPr="00043571">
        <w:rPr>
          <w:szCs w:val="22"/>
        </w:rPr>
        <w:t xml:space="preserve"> It outlined ACCAN’s concerns that the proposed changes to pricing for fixed wireless would particularly disadvantage </w:t>
      </w:r>
      <w:r w:rsidRPr="00043571">
        <w:rPr>
          <w:rFonts w:cs="Calibri"/>
          <w:szCs w:val="22"/>
        </w:rPr>
        <w:t xml:space="preserve">consumers on low incomes that live in regional areas where </w:t>
      </w:r>
      <w:proofErr w:type="spellStart"/>
      <w:r w:rsidRPr="00043571">
        <w:rPr>
          <w:rFonts w:cs="Calibri"/>
          <w:szCs w:val="22"/>
        </w:rPr>
        <w:t>nbn</w:t>
      </w:r>
      <w:proofErr w:type="spellEnd"/>
      <w:r w:rsidRPr="00043571">
        <w:rPr>
          <w:rFonts w:cs="Calibri"/>
          <w:szCs w:val="22"/>
        </w:rPr>
        <w:t xml:space="preserve"> services are provided by fixed wireless towers. </w:t>
      </w:r>
    </w:p>
    <w:p w:rsidR="00026E5C" w:rsidRPr="00043571" w:rsidRDefault="00026E5C" w:rsidP="00026E5C">
      <w:pPr>
        <w:rPr>
          <w:szCs w:val="22"/>
        </w:rPr>
      </w:pPr>
      <w:r w:rsidRPr="00043571">
        <w:rPr>
          <w:rFonts w:cs="Calibri"/>
          <w:szCs w:val="22"/>
        </w:rPr>
        <w:t xml:space="preserve">During this period, we created a simplified consumer guide to the upcoming </w:t>
      </w:r>
      <w:hyperlink r:id="rId13" w:history="1">
        <w:r w:rsidRPr="00043571">
          <w:rPr>
            <w:rStyle w:val="Hyperlink"/>
            <w:rFonts w:cs="Calibri"/>
            <w:szCs w:val="22"/>
          </w:rPr>
          <w:t>Consumer Data Right</w:t>
        </w:r>
      </w:hyperlink>
      <w:r w:rsidRPr="00043571">
        <w:rPr>
          <w:rFonts w:cs="Calibri"/>
          <w:szCs w:val="22"/>
        </w:rPr>
        <w:t xml:space="preserve">. This aimed to educate consumers on what the Consumer Data Right is and how it will impact </w:t>
      </w:r>
      <w:r w:rsidRPr="00043571">
        <w:rPr>
          <w:rFonts w:cs="Calibri"/>
          <w:szCs w:val="22"/>
        </w:rPr>
        <w:lastRenderedPageBreak/>
        <w:t xml:space="preserve">telecommunications consumers moving forward. It also highlighted the need to protect consumer data and information within the legislation.  </w:t>
      </w:r>
    </w:p>
    <w:p w:rsidR="00026E5C" w:rsidRPr="00043571" w:rsidRDefault="00026E5C" w:rsidP="00026E5C">
      <w:pPr>
        <w:ind w:right="240"/>
        <w:rPr>
          <w:szCs w:val="22"/>
        </w:rPr>
      </w:pPr>
      <w:r w:rsidRPr="00043571">
        <w:rPr>
          <w:rFonts w:cs="Calibri"/>
          <w:szCs w:val="22"/>
        </w:rPr>
        <w:t>In November</w:t>
      </w:r>
      <w:proofErr w:type="gramStart"/>
      <w:r w:rsidRPr="00043571">
        <w:rPr>
          <w:rFonts w:cs="Calibri"/>
          <w:szCs w:val="22"/>
        </w:rPr>
        <w:t>,  we</w:t>
      </w:r>
      <w:proofErr w:type="gramEnd"/>
      <w:r w:rsidRPr="00043571">
        <w:rPr>
          <w:rFonts w:cs="Calibri"/>
          <w:szCs w:val="22"/>
        </w:rPr>
        <w:t xml:space="preserve"> designed and published an updated booklet which advised consumers on </w:t>
      </w:r>
      <w:hyperlink r:id="rId14" w:history="1">
        <w:r w:rsidRPr="00043571">
          <w:rPr>
            <w:rStyle w:val="Hyperlink"/>
            <w:rFonts w:cs="Calibri"/>
            <w:szCs w:val="22"/>
          </w:rPr>
          <w:t>how to prepare a digital legacy</w:t>
        </w:r>
      </w:hyperlink>
      <w:r w:rsidRPr="00043571">
        <w:rPr>
          <w:rFonts w:cs="Calibri"/>
          <w:szCs w:val="22"/>
        </w:rPr>
        <w:t>, and the importance of doing so. This is an important piece of consumer education material as it condensed the comprehensive content provided by the source material (University of Melbourne's report - "Death and the Internet") into a more easily read and understand format.</w:t>
      </w:r>
    </w:p>
    <w:p w:rsidR="00026E5C" w:rsidRPr="00043571" w:rsidRDefault="00026E5C" w:rsidP="00026E5C">
      <w:pPr>
        <w:rPr>
          <w:szCs w:val="22"/>
        </w:rPr>
      </w:pPr>
      <w:r w:rsidRPr="00043571">
        <w:rPr>
          <w:szCs w:val="22"/>
        </w:rPr>
        <w:t>ACCAN total membership is 212. Organisational Membership is now at 109 organisations and 103 indivi</w:t>
      </w:r>
      <w:r>
        <w:rPr>
          <w:szCs w:val="22"/>
        </w:rPr>
        <w:t>duals. This reflects a slight de</w:t>
      </w:r>
      <w:r w:rsidRPr="00043571">
        <w:rPr>
          <w:szCs w:val="22"/>
        </w:rPr>
        <w:t>crease. A listing of organisational members is included as an appendix. ACCAN is continually working towards being representative of Australian communications consumers and the organisations that represent their interests.  The membership base forms only one part of the methodology ACCAN uses to ensure it remains representative of the interests of communications consumers.</w:t>
      </w:r>
    </w:p>
    <w:p w:rsidR="00026E5C" w:rsidRPr="00043571" w:rsidRDefault="00026E5C" w:rsidP="00026E5C">
      <w:pPr>
        <w:rPr>
          <w:color w:val="1F497D"/>
          <w:szCs w:val="22"/>
        </w:rPr>
      </w:pPr>
      <w:proofErr w:type="spellStart"/>
      <w:r w:rsidRPr="00043571">
        <w:rPr>
          <w:i/>
          <w:szCs w:val="22"/>
        </w:rPr>
        <w:t>ACCANect</w:t>
      </w:r>
      <w:proofErr w:type="spellEnd"/>
      <w:r w:rsidRPr="00043571">
        <w:rPr>
          <w:i/>
          <w:szCs w:val="22"/>
        </w:rPr>
        <w:t xml:space="preserve"> 2018 – Confidence in the Connected World</w:t>
      </w:r>
      <w:r w:rsidRPr="00043571">
        <w:rPr>
          <w:szCs w:val="22"/>
        </w:rPr>
        <w:t xml:space="preserve"> held in Sydney on 12-13 September attracted 196 attendees, over 40 speakers and 8 industry sponsors. ACCAN received very positive feedback after the event. All presentations and some videos and </w:t>
      </w:r>
      <w:proofErr w:type="spellStart"/>
      <w:r w:rsidRPr="00043571">
        <w:rPr>
          <w:szCs w:val="22"/>
        </w:rPr>
        <w:t>transcipts</w:t>
      </w:r>
      <w:proofErr w:type="spellEnd"/>
      <w:r w:rsidRPr="00043571">
        <w:rPr>
          <w:szCs w:val="22"/>
        </w:rPr>
        <w:t xml:space="preserve"> are available on the ACCAN website. </w:t>
      </w:r>
    </w:p>
    <w:p w:rsidR="00026E5C" w:rsidRPr="00043571" w:rsidRDefault="00026E5C" w:rsidP="00026E5C">
      <w:pPr>
        <w:keepNext/>
        <w:rPr>
          <w:szCs w:val="22"/>
        </w:rPr>
      </w:pPr>
      <w:proofErr w:type="gramStart"/>
      <w:r w:rsidRPr="00043571">
        <w:rPr>
          <w:szCs w:val="22"/>
        </w:rPr>
        <w:t>ACCAN  met</w:t>
      </w:r>
      <w:proofErr w:type="gramEnd"/>
      <w:r w:rsidRPr="00043571">
        <w:rPr>
          <w:szCs w:val="22"/>
        </w:rPr>
        <w:t xml:space="preserve"> with industry through the  formal quarterly meeting framework as well supplementary meetings as required During this quarter several meetings involved high level liaison with Telstra CEO and Vodafone CEO. ACCAN was also invited to participate in the COAG Consumer Affairs Australia New Zealand meeting in Sydney this quarter. ACCAN representation on committees continues to be extensive and during this period we were actively working 19 </w:t>
      </w:r>
      <w:proofErr w:type="gramStart"/>
      <w:r w:rsidRPr="00043571">
        <w:rPr>
          <w:szCs w:val="22"/>
        </w:rPr>
        <w:t>committees .</w:t>
      </w:r>
      <w:proofErr w:type="gramEnd"/>
      <w:r w:rsidRPr="00043571">
        <w:rPr>
          <w:szCs w:val="22"/>
        </w:rPr>
        <w:t xml:space="preserve"> ACCAN engaged on 44 different occasions with our members and consumers groups and participated in member </w:t>
      </w:r>
      <w:proofErr w:type="gramStart"/>
      <w:r w:rsidRPr="00043571">
        <w:rPr>
          <w:szCs w:val="22"/>
        </w:rPr>
        <w:t>events .</w:t>
      </w:r>
      <w:proofErr w:type="gramEnd"/>
      <w:r w:rsidRPr="00043571">
        <w:rPr>
          <w:szCs w:val="22"/>
        </w:rPr>
        <w:t xml:space="preserve"> We represented consumer issues to regulators and government bodies and the ombudsman on at 26 meetings</w:t>
      </w:r>
      <w:r>
        <w:rPr>
          <w:szCs w:val="22"/>
        </w:rPr>
        <w:t xml:space="preserve"> and with the industry 18 different meetings and events</w:t>
      </w:r>
      <w:r w:rsidRPr="00043571">
        <w:rPr>
          <w:szCs w:val="22"/>
        </w:rPr>
        <w:t xml:space="preserve">. Several presentations were prepared and delivered by the CEO including at the </w:t>
      </w:r>
      <w:proofErr w:type="spellStart"/>
      <w:r w:rsidRPr="00043571">
        <w:rPr>
          <w:szCs w:val="22"/>
        </w:rPr>
        <w:t>Commsday</w:t>
      </w:r>
      <w:proofErr w:type="spellEnd"/>
      <w:r w:rsidRPr="00043571">
        <w:rPr>
          <w:szCs w:val="22"/>
        </w:rPr>
        <w:t xml:space="preserve"> Congress and Perth Consumer Affairs Committee.</w:t>
      </w:r>
    </w:p>
    <w:p w:rsidR="00026E5C" w:rsidRPr="00043571" w:rsidRDefault="00026E5C" w:rsidP="00026E5C">
      <w:pPr>
        <w:rPr>
          <w:szCs w:val="22"/>
        </w:rPr>
      </w:pPr>
      <w:r w:rsidRPr="00043571">
        <w:rPr>
          <w:szCs w:val="22"/>
        </w:rPr>
        <w:t>The ACCAN AGM was held on 13 September. The Board met on 31 October and 1</w:t>
      </w:r>
      <w:r w:rsidRPr="00043571">
        <w:rPr>
          <w:szCs w:val="22"/>
          <w:vertAlign w:val="superscript"/>
        </w:rPr>
        <w:t>st</w:t>
      </w:r>
      <w:r w:rsidRPr="00043571">
        <w:rPr>
          <w:szCs w:val="22"/>
        </w:rPr>
        <w:t xml:space="preserve"> November with </w:t>
      </w:r>
      <w:proofErr w:type="spellStart"/>
      <w:r w:rsidRPr="00043571">
        <w:rPr>
          <w:szCs w:val="22"/>
        </w:rPr>
        <w:t>a</w:t>
      </w:r>
      <w:proofErr w:type="spellEnd"/>
      <w:r w:rsidRPr="00043571">
        <w:rPr>
          <w:szCs w:val="22"/>
        </w:rPr>
        <w:t xml:space="preserve"> induction and training held on </w:t>
      </w:r>
      <w:proofErr w:type="gramStart"/>
      <w:r w:rsidRPr="00043571">
        <w:rPr>
          <w:szCs w:val="22"/>
        </w:rPr>
        <w:t>31  October</w:t>
      </w:r>
      <w:proofErr w:type="gramEnd"/>
      <w:r w:rsidRPr="00043571">
        <w:rPr>
          <w:szCs w:val="22"/>
        </w:rPr>
        <w:t xml:space="preserve">. Deirdre O’Donnell, ACCAN Chairperson and Chris </w:t>
      </w:r>
      <w:proofErr w:type="spellStart"/>
      <w:r w:rsidRPr="00043571">
        <w:rPr>
          <w:szCs w:val="22"/>
        </w:rPr>
        <w:t>Dodds</w:t>
      </w:r>
      <w:proofErr w:type="spellEnd"/>
      <w:r w:rsidRPr="00043571">
        <w:rPr>
          <w:szCs w:val="22"/>
        </w:rPr>
        <w:t xml:space="preserve"> ACCAN Deputy Chairperson were endorsed for another year in their roles. </w:t>
      </w:r>
    </w:p>
    <w:p w:rsidR="00026E5C" w:rsidRPr="00043571" w:rsidRDefault="00026E5C" w:rsidP="00026E5C">
      <w:pPr>
        <w:rPr>
          <w:szCs w:val="22"/>
        </w:rPr>
      </w:pPr>
      <w:r w:rsidRPr="00043571">
        <w:rPr>
          <w:szCs w:val="22"/>
        </w:rPr>
        <w:t>ACCAN commenced work on i</w:t>
      </w:r>
      <w:r>
        <w:rPr>
          <w:szCs w:val="22"/>
        </w:rPr>
        <w:t>ts project with the NDIA to del</w:t>
      </w:r>
      <w:r w:rsidRPr="00043571">
        <w:rPr>
          <w:szCs w:val="22"/>
        </w:rPr>
        <w:t xml:space="preserve">iver a National Disability Telecommunications </w:t>
      </w:r>
      <w:proofErr w:type="spellStart"/>
      <w:r w:rsidRPr="00043571">
        <w:rPr>
          <w:szCs w:val="22"/>
        </w:rPr>
        <w:t>Informationand</w:t>
      </w:r>
      <w:proofErr w:type="spellEnd"/>
      <w:r w:rsidRPr="00043571">
        <w:rPr>
          <w:szCs w:val="22"/>
        </w:rPr>
        <w:t xml:space="preserve"> Referral Service (</w:t>
      </w:r>
      <w:proofErr w:type="spellStart"/>
      <w:r w:rsidRPr="00043571">
        <w:rPr>
          <w:szCs w:val="22"/>
        </w:rPr>
        <w:t>Acessible</w:t>
      </w:r>
      <w:proofErr w:type="spellEnd"/>
      <w:r w:rsidRPr="00043571">
        <w:rPr>
          <w:szCs w:val="22"/>
        </w:rPr>
        <w:t xml:space="preserve"> te</w:t>
      </w:r>
      <w:r>
        <w:rPr>
          <w:szCs w:val="22"/>
        </w:rPr>
        <w:t>le</w:t>
      </w:r>
      <w:r w:rsidRPr="00043571">
        <w:rPr>
          <w:szCs w:val="22"/>
        </w:rPr>
        <w:t>c</w:t>
      </w:r>
      <w:r>
        <w:rPr>
          <w:szCs w:val="22"/>
        </w:rPr>
        <w:t xml:space="preserve">oms [AT]) </w:t>
      </w:r>
      <w:r w:rsidRPr="00043571">
        <w:rPr>
          <w:szCs w:val="22"/>
        </w:rPr>
        <w:t xml:space="preserve">with IDEAS.  Several new staff joined the team. </w:t>
      </w:r>
    </w:p>
    <w:p w:rsidR="00026E5C" w:rsidRPr="00043571" w:rsidRDefault="00026E5C" w:rsidP="00026E5C">
      <w:pPr>
        <w:spacing w:line="224" w:lineRule="auto"/>
        <w:jc w:val="both"/>
        <w:rPr>
          <w:szCs w:val="22"/>
        </w:rPr>
      </w:pPr>
      <w:r w:rsidRPr="00043571">
        <w:rPr>
          <w:szCs w:val="22"/>
        </w:rPr>
        <w:t>Between 1</w:t>
      </w:r>
      <w:r w:rsidRPr="00043571">
        <w:rPr>
          <w:szCs w:val="22"/>
          <w:vertAlign w:val="superscript"/>
        </w:rPr>
        <w:t>st</w:t>
      </w:r>
      <w:r w:rsidRPr="00043571">
        <w:rPr>
          <w:szCs w:val="22"/>
        </w:rPr>
        <w:t xml:space="preserve"> September 2018 and 30</w:t>
      </w:r>
      <w:r w:rsidRPr="00043571">
        <w:rPr>
          <w:szCs w:val="22"/>
          <w:vertAlign w:val="superscript"/>
        </w:rPr>
        <w:t>th</w:t>
      </w:r>
      <w:r w:rsidRPr="00043571">
        <w:rPr>
          <w:szCs w:val="22"/>
        </w:rPr>
        <w:t xml:space="preserve"> November 2018, ACCAN generated 449 media mentions across national print, online, TV and radio. This is an average of 150 items per month. The majority of coverage secured during this quarter was as a result of ACCAN’s response to the TIO’s annual report. This coverage accounted for over 50% of media mentions. The majority of media mentions from September – November appeared on TV. These were followed by radio coverage, online articles, and finally print articles. In addition to the TIO’s annual report, other major issues covered in media included billing issues, the ACCC’s crackdown on telco's using 'unlimited' in ads, the TCP Review, and Parts A and B of the Consumer Safeguards Review.</w:t>
      </w:r>
    </w:p>
    <w:p w:rsidR="005E2BA0" w:rsidRPr="00F53EC3" w:rsidRDefault="00D970E5" w:rsidP="00D970E5">
      <w:pPr>
        <w:rPr>
          <w:highlight w:val="yellow"/>
        </w:rPr>
      </w:pPr>
      <w:r>
        <w:rPr>
          <w:szCs w:val="22"/>
        </w:rPr>
        <w:tab/>
      </w:r>
    </w:p>
    <w:sectPr w:rsidR="005E2BA0" w:rsidRPr="00F53EC3" w:rsidSect="002F654D">
      <w:type w:val="continuous"/>
      <w:pgSz w:w="11906" w:h="16838" w:code="9"/>
      <w:pgMar w:top="1440" w:right="1440" w:bottom="1440" w:left="1440" w:header="567" w:footer="50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66E" w:rsidRDefault="0044566E" w:rsidP="00C021B6">
      <w:r>
        <w:separator/>
      </w:r>
    </w:p>
  </w:endnote>
  <w:endnote w:type="continuationSeparator" w:id="0">
    <w:p w:rsidR="0044566E" w:rsidRDefault="0044566E" w:rsidP="00C021B6">
      <w:r>
        <w:continuationSeparator/>
      </w:r>
    </w:p>
  </w:endnote>
  <w:endnote w:type="continuationNotice" w:id="1">
    <w:p w:rsidR="0044566E" w:rsidRDefault="004456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66E" w:rsidRDefault="0044566E" w:rsidP="00C021B6">
      <w:r>
        <w:separator/>
      </w:r>
    </w:p>
  </w:footnote>
  <w:footnote w:type="continuationSeparator" w:id="0">
    <w:p w:rsidR="0044566E" w:rsidRDefault="0044566E" w:rsidP="00C021B6">
      <w:r>
        <w:continuationSeparator/>
      </w:r>
    </w:p>
  </w:footnote>
  <w:footnote w:type="continuationNotice" w:id="1">
    <w:p w:rsidR="0044566E" w:rsidRDefault="0044566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B97"/>
    <w:multiLevelType w:val="hybridMultilevel"/>
    <w:tmpl w:val="07B8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365818"/>
    <w:multiLevelType w:val="hybridMultilevel"/>
    <w:tmpl w:val="2090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11C75"/>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F3C2B68"/>
    <w:multiLevelType w:val="hybridMultilevel"/>
    <w:tmpl w:val="F95CC374"/>
    <w:lvl w:ilvl="0" w:tplc="A7A88918">
      <w:start w:val="1"/>
      <w:numFmt w:val="decimal"/>
      <w:lvlText w:val="%1."/>
      <w:lvlJc w:val="left"/>
      <w:pPr>
        <w:ind w:left="660" w:hanging="360"/>
      </w:pPr>
      <w:rPr>
        <w:rFonts w:hint="default"/>
      </w:rPr>
    </w:lvl>
    <w:lvl w:ilvl="1" w:tplc="0C090019" w:tentative="1">
      <w:start w:val="1"/>
      <w:numFmt w:val="lowerLetter"/>
      <w:lvlText w:val="%2."/>
      <w:lvlJc w:val="left"/>
      <w:pPr>
        <w:ind w:left="1020" w:hanging="360"/>
      </w:pPr>
    </w:lvl>
    <w:lvl w:ilvl="2" w:tplc="0C09001B" w:tentative="1">
      <w:start w:val="1"/>
      <w:numFmt w:val="lowerRoman"/>
      <w:lvlText w:val="%3."/>
      <w:lvlJc w:val="right"/>
      <w:pPr>
        <w:ind w:left="1740" w:hanging="180"/>
      </w:pPr>
    </w:lvl>
    <w:lvl w:ilvl="3" w:tplc="0C09000F" w:tentative="1">
      <w:start w:val="1"/>
      <w:numFmt w:val="decimal"/>
      <w:lvlText w:val="%4."/>
      <w:lvlJc w:val="left"/>
      <w:pPr>
        <w:ind w:left="2460" w:hanging="360"/>
      </w:pPr>
    </w:lvl>
    <w:lvl w:ilvl="4" w:tplc="0C090019" w:tentative="1">
      <w:start w:val="1"/>
      <w:numFmt w:val="lowerLetter"/>
      <w:lvlText w:val="%5."/>
      <w:lvlJc w:val="left"/>
      <w:pPr>
        <w:ind w:left="3180" w:hanging="360"/>
      </w:pPr>
    </w:lvl>
    <w:lvl w:ilvl="5" w:tplc="0C09001B" w:tentative="1">
      <w:start w:val="1"/>
      <w:numFmt w:val="lowerRoman"/>
      <w:lvlText w:val="%6."/>
      <w:lvlJc w:val="right"/>
      <w:pPr>
        <w:ind w:left="3900" w:hanging="180"/>
      </w:pPr>
    </w:lvl>
    <w:lvl w:ilvl="6" w:tplc="0C09000F" w:tentative="1">
      <w:start w:val="1"/>
      <w:numFmt w:val="decimal"/>
      <w:lvlText w:val="%7."/>
      <w:lvlJc w:val="left"/>
      <w:pPr>
        <w:ind w:left="4620" w:hanging="360"/>
      </w:pPr>
    </w:lvl>
    <w:lvl w:ilvl="7" w:tplc="0C090019" w:tentative="1">
      <w:start w:val="1"/>
      <w:numFmt w:val="lowerLetter"/>
      <w:lvlText w:val="%8."/>
      <w:lvlJc w:val="left"/>
      <w:pPr>
        <w:ind w:left="5340" w:hanging="360"/>
      </w:pPr>
    </w:lvl>
    <w:lvl w:ilvl="8" w:tplc="0C09001B" w:tentative="1">
      <w:start w:val="1"/>
      <w:numFmt w:val="lowerRoman"/>
      <w:lvlText w:val="%9."/>
      <w:lvlJc w:val="right"/>
      <w:pPr>
        <w:ind w:left="6060" w:hanging="180"/>
      </w:pPr>
    </w:lvl>
  </w:abstractNum>
  <w:abstractNum w:abstractNumId="4">
    <w:nsid w:val="179E4D77"/>
    <w:multiLevelType w:val="hybridMultilevel"/>
    <w:tmpl w:val="2102A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6F5AC2"/>
    <w:multiLevelType w:val="hybridMultilevel"/>
    <w:tmpl w:val="2F68EF84"/>
    <w:lvl w:ilvl="0" w:tplc="3666589C">
      <w:start w:val="1"/>
      <w:numFmt w:val="decimal"/>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BE76C9F"/>
    <w:multiLevelType w:val="hybridMultilevel"/>
    <w:tmpl w:val="C41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766AD"/>
    <w:multiLevelType w:val="hybridMultilevel"/>
    <w:tmpl w:val="8C2E3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7F301C"/>
    <w:multiLevelType w:val="hybridMultilevel"/>
    <w:tmpl w:val="C30C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B64E38"/>
    <w:multiLevelType w:val="hybridMultilevel"/>
    <w:tmpl w:val="F3FA5E50"/>
    <w:lvl w:ilvl="0" w:tplc="366658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E37164C"/>
    <w:multiLevelType w:val="hybridMultilevel"/>
    <w:tmpl w:val="2090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E02E2"/>
    <w:multiLevelType w:val="hybridMultilevel"/>
    <w:tmpl w:val="82ACA1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89A7FC7"/>
    <w:multiLevelType w:val="hybridMultilevel"/>
    <w:tmpl w:val="7078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A7F9E"/>
    <w:multiLevelType w:val="hybridMultilevel"/>
    <w:tmpl w:val="5AB8BA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D3363A9"/>
    <w:multiLevelType w:val="hybridMultilevel"/>
    <w:tmpl w:val="B868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976768"/>
    <w:multiLevelType w:val="hybridMultilevel"/>
    <w:tmpl w:val="9FF2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54C01"/>
    <w:multiLevelType w:val="hybridMultilevel"/>
    <w:tmpl w:val="0F80EE02"/>
    <w:lvl w:ilvl="0" w:tplc="3666589C">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27220E8"/>
    <w:multiLevelType w:val="hybridMultilevel"/>
    <w:tmpl w:val="4DCA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EE0139"/>
    <w:multiLevelType w:val="hybridMultilevel"/>
    <w:tmpl w:val="80DE6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62D72A0B"/>
    <w:multiLevelType w:val="hybridMultilevel"/>
    <w:tmpl w:val="60AA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D307E0"/>
    <w:multiLevelType w:val="hybridMultilevel"/>
    <w:tmpl w:val="90D6DCC2"/>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
  </w:num>
  <w:num w:numId="2">
    <w:abstractNumId w:val="17"/>
  </w:num>
  <w:num w:numId="3">
    <w:abstractNumId w:val="18"/>
  </w:num>
  <w:num w:numId="4">
    <w:abstractNumId w:val="14"/>
  </w:num>
  <w:num w:numId="5">
    <w:abstractNumId w:val="1"/>
  </w:num>
  <w:num w:numId="6">
    <w:abstractNumId w:val="15"/>
  </w:num>
  <w:num w:numId="7">
    <w:abstractNumId w:val="19"/>
  </w:num>
  <w:num w:numId="8">
    <w:abstractNumId w:val="7"/>
  </w:num>
  <w:num w:numId="9">
    <w:abstractNumId w:val="10"/>
  </w:num>
  <w:num w:numId="10">
    <w:abstractNumId w:val="12"/>
  </w:num>
  <w:num w:numId="11">
    <w:abstractNumId w:val="6"/>
  </w:num>
  <w:num w:numId="12">
    <w:abstractNumId w:val="8"/>
  </w:num>
  <w:num w:numId="13">
    <w:abstractNumId w:val="13"/>
  </w:num>
  <w:num w:numId="14">
    <w:abstractNumId w:val="11"/>
  </w:num>
  <w:num w:numId="15">
    <w:abstractNumId w:val="0"/>
  </w:num>
  <w:num w:numId="16">
    <w:abstractNumId w:val="4"/>
  </w:num>
  <w:num w:numId="17">
    <w:abstractNumId w:val="9"/>
  </w:num>
  <w:num w:numId="18">
    <w:abstractNumId w:val="16"/>
  </w:num>
  <w:num w:numId="19">
    <w:abstractNumId w:val="5"/>
  </w:num>
  <w:num w:numId="20">
    <w:abstractNumId w:val="20"/>
  </w:num>
  <w:num w:numId="2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95"/>
    <w:rsid w:val="000004E9"/>
    <w:rsid w:val="0000063A"/>
    <w:rsid w:val="00001CAC"/>
    <w:rsid w:val="000045E2"/>
    <w:rsid w:val="000047E9"/>
    <w:rsid w:val="000047FE"/>
    <w:rsid w:val="00004C5C"/>
    <w:rsid w:val="00005DAF"/>
    <w:rsid w:val="00020A70"/>
    <w:rsid w:val="00021967"/>
    <w:rsid w:val="00024DAF"/>
    <w:rsid w:val="00026A08"/>
    <w:rsid w:val="00026E5C"/>
    <w:rsid w:val="000279DE"/>
    <w:rsid w:val="000340F0"/>
    <w:rsid w:val="000367B8"/>
    <w:rsid w:val="00041EAE"/>
    <w:rsid w:val="00042467"/>
    <w:rsid w:val="00045AF1"/>
    <w:rsid w:val="00046196"/>
    <w:rsid w:val="00046500"/>
    <w:rsid w:val="0004728C"/>
    <w:rsid w:val="00050A68"/>
    <w:rsid w:val="00050DEA"/>
    <w:rsid w:val="00054C6C"/>
    <w:rsid w:val="000557DD"/>
    <w:rsid w:val="000600C4"/>
    <w:rsid w:val="000604D3"/>
    <w:rsid w:val="000654A0"/>
    <w:rsid w:val="00073F8D"/>
    <w:rsid w:val="00082ACE"/>
    <w:rsid w:val="00085E97"/>
    <w:rsid w:val="0009060D"/>
    <w:rsid w:val="00093615"/>
    <w:rsid w:val="00094C60"/>
    <w:rsid w:val="00097B65"/>
    <w:rsid w:val="000A1C07"/>
    <w:rsid w:val="000B0D3D"/>
    <w:rsid w:val="000B3AFC"/>
    <w:rsid w:val="000B50E3"/>
    <w:rsid w:val="000C266A"/>
    <w:rsid w:val="000C4D9A"/>
    <w:rsid w:val="000C6DAC"/>
    <w:rsid w:val="000D4C40"/>
    <w:rsid w:val="000D5730"/>
    <w:rsid w:val="000E15AD"/>
    <w:rsid w:val="000F5F2B"/>
    <w:rsid w:val="000F73BD"/>
    <w:rsid w:val="001020AA"/>
    <w:rsid w:val="001025D2"/>
    <w:rsid w:val="001070A2"/>
    <w:rsid w:val="00126D7B"/>
    <w:rsid w:val="00127771"/>
    <w:rsid w:val="00127A01"/>
    <w:rsid w:val="001304D9"/>
    <w:rsid w:val="00131D6E"/>
    <w:rsid w:val="0013346B"/>
    <w:rsid w:val="00135B54"/>
    <w:rsid w:val="00141FA9"/>
    <w:rsid w:val="001434BD"/>
    <w:rsid w:val="00144B96"/>
    <w:rsid w:val="001452D1"/>
    <w:rsid w:val="00145BCA"/>
    <w:rsid w:val="0015130A"/>
    <w:rsid w:val="0015235E"/>
    <w:rsid w:val="00155593"/>
    <w:rsid w:val="00156A6D"/>
    <w:rsid w:val="0015721A"/>
    <w:rsid w:val="00160521"/>
    <w:rsid w:val="0016182B"/>
    <w:rsid w:val="001623D4"/>
    <w:rsid w:val="001636C8"/>
    <w:rsid w:val="00163B88"/>
    <w:rsid w:val="00163F3A"/>
    <w:rsid w:val="00167A0A"/>
    <w:rsid w:val="0017039D"/>
    <w:rsid w:val="001725D9"/>
    <w:rsid w:val="00172D76"/>
    <w:rsid w:val="00172E82"/>
    <w:rsid w:val="00174449"/>
    <w:rsid w:val="00183753"/>
    <w:rsid w:val="0018628A"/>
    <w:rsid w:val="00190DBC"/>
    <w:rsid w:val="001A1E78"/>
    <w:rsid w:val="001A227F"/>
    <w:rsid w:val="001A2859"/>
    <w:rsid w:val="001A3CFB"/>
    <w:rsid w:val="001A5545"/>
    <w:rsid w:val="001B1DAA"/>
    <w:rsid w:val="001B2E75"/>
    <w:rsid w:val="001B3CDD"/>
    <w:rsid w:val="001B71CD"/>
    <w:rsid w:val="001C00D0"/>
    <w:rsid w:val="001C1F91"/>
    <w:rsid w:val="001C29BD"/>
    <w:rsid w:val="001C645A"/>
    <w:rsid w:val="001D201E"/>
    <w:rsid w:val="001D25AF"/>
    <w:rsid w:val="001D294F"/>
    <w:rsid w:val="001D472C"/>
    <w:rsid w:val="001D60E2"/>
    <w:rsid w:val="001E1512"/>
    <w:rsid w:val="001E210A"/>
    <w:rsid w:val="001E4746"/>
    <w:rsid w:val="001F27AE"/>
    <w:rsid w:val="001F2BEB"/>
    <w:rsid w:val="001F3121"/>
    <w:rsid w:val="001F40CC"/>
    <w:rsid w:val="001F5FA6"/>
    <w:rsid w:val="00200B00"/>
    <w:rsid w:val="00201FF1"/>
    <w:rsid w:val="002038B5"/>
    <w:rsid w:val="00206F19"/>
    <w:rsid w:val="002116DD"/>
    <w:rsid w:val="002131EF"/>
    <w:rsid w:val="00215191"/>
    <w:rsid w:val="00216695"/>
    <w:rsid w:val="002221C5"/>
    <w:rsid w:val="00230FB9"/>
    <w:rsid w:val="00231B13"/>
    <w:rsid w:val="00231F11"/>
    <w:rsid w:val="00231F20"/>
    <w:rsid w:val="0023408F"/>
    <w:rsid w:val="00235ADE"/>
    <w:rsid w:val="00236472"/>
    <w:rsid w:val="00241DDB"/>
    <w:rsid w:val="0024330F"/>
    <w:rsid w:val="00245BE6"/>
    <w:rsid w:val="00247453"/>
    <w:rsid w:val="00250A45"/>
    <w:rsid w:val="00255A71"/>
    <w:rsid w:val="0025754D"/>
    <w:rsid w:val="00260978"/>
    <w:rsid w:val="002620B3"/>
    <w:rsid w:val="00264409"/>
    <w:rsid w:val="002650BC"/>
    <w:rsid w:val="00273A18"/>
    <w:rsid w:val="00274BBC"/>
    <w:rsid w:val="002754B2"/>
    <w:rsid w:val="00282E49"/>
    <w:rsid w:val="00283839"/>
    <w:rsid w:val="00296357"/>
    <w:rsid w:val="00296DED"/>
    <w:rsid w:val="00297D8B"/>
    <w:rsid w:val="002A0092"/>
    <w:rsid w:val="002A1804"/>
    <w:rsid w:val="002B34AC"/>
    <w:rsid w:val="002B4959"/>
    <w:rsid w:val="002B512B"/>
    <w:rsid w:val="002B7B02"/>
    <w:rsid w:val="002C1902"/>
    <w:rsid w:val="002C544F"/>
    <w:rsid w:val="002C61BA"/>
    <w:rsid w:val="002C7073"/>
    <w:rsid w:val="002D1058"/>
    <w:rsid w:val="002D49F2"/>
    <w:rsid w:val="002D70F2"/>
    <w:rsid w:val="002D76E6"/>
    <w:rsid w:val="002E17CD"/>
    <w:rsid w:val="002E275A"/>
    <w:rsid w:val="002E2F69"/>
    <w:rsid w:val="002E3049"/>
    <w:rsid w:val="002E4762"/>
    <w:rsid w:val="002E6811"/>
    <w:rsid w:val="002F3BE9"/>
    <w:rsid w:val="002F51B4"/>
    <w:rsid w:val="002F654D"/>
    <w:rsid w:val="00307E40"/>
    <w:rsid w:val="0031034C"/>
    <w:rsid w:val="00315605"/>
    <w:rsid w:val="00316CB7"/>
    <w:rsid w:val="0031773E"/>
    <w:rsid w:val="00322AF2"/>
    <w:rsid w:val="003253AC"/>
    <w:rsid w:val="00327309"/>
    <w:rsid w:val="0033257E"/>
    <w:rsid w:val="00337B9B"/>
    <w:rsid w:val="0035500C"/>
    <w:rsid w:val="003564E6"/>
    <w:rsid w:val="003567E6"/>
    <w:rsid w:val="00361295"/>
    <w:rsid w:val="003643CF"/>
    <w:rsid w:val="00365F62"/>
    <w:rsid w:val="003732BB"/>
    <w:rsid w:val="0037368F"/>
    <w:rsid w:val="003754C7"/>
    <w:rsid w:val="003771BB"/>
    <w:rsid w:val="00385F9E"/>
    <w:rsid w:val="003921A6"/>
    <w:rsid w:val="00396503"/>
    <w:rsid w:val="00396BD8"/>
    <w:rsid w:val="00397DAF"/>
    <w:rsid w:val="00397E2E"/>
    <w:rsid w:val="003A268F"/>
    <w:rsid w:val="003A7053"/>
    <w:rsid w:val="003B3F23"/>
    <w:rsid w:val="003B6216"/>
    <w:rsid w:val="003C0FE3"/>
    <w:rsid w:val="003C26C4"/>
    <w:rsid w:val="003C370F"/>
    <w:rsid w:val="003C7E5A"/>
    <w:rsid w:val="003D05C1"/>
    <w:rsid w:val="003E4629"/>
    <w:rsid w:val="003F0E16"/>
    <w:rsid w:val="003F1346"/>
    <w:rsid w:val="0040027C"/>
    <w:rsid w:val="004015C4"/>
    <w:rsid w:val="00402BFD"/>
    <w:rsid w:val="00405959"/>
    <w:rsid w:val="004073F3"/>
    <w:rsid w:val="0042324D"/>
    <w:rsid w:val="0042577D"/>
    <w:rsid w:val="00426764"/>
    <w:rsid w:val="004327AE"/>
    <w:rsid w:val="004418EF"/>
    <w:rsid w:val="00443BA7"/>
    <w:rsid w:val="00443E74"/>
    <w:rsid w:val="00444822"/>
    <w:rsid w:val="0044566E"/>
    <w:rsid w:val="00447D2B"/>
    <w:rsid w:val="00457666"/>
    <w:rsid w:val="00460992"/>
    <w:rsid w:val="00462DF2"/>
    <w:rsid w:val="004644A6"/>
    <w:rsid w:val="00465EB7"/>
    <w:rsid w:val="00471AF6"/>
    <w:rsid w:val="00471B9F"/>
    <w:rsid w:val="0047313F"/>
    <w:rsid w:val="00474027"/>
    <w:rsid w:val="00482184"/>
    <w:rsid w:val="004840E1"/>
    <w:rsid w:val="00486828"/>
    <w:rsid w:val="00491D77"/>
    <w:rsid w:val="00494003"/>
    <w:rsid w:val="0049607E"/>
    <w:rsid w:val="00496B6E"/>
    <w:rsid w:val="00497D8D"/>
    <w:rsid w:val="004A244D"/>
    <w:rsid w:val="004A39E7"/>
    <w:rsid w:val="004A53EB"/>
    <w:rsid w:val="004B0206"/>
    <w:rsid w:val="004B0F83"/>
    <w:rsid w:val="004B43FA"/>
    <w:rsid w:val="004B5052"/>
    <w:rsid w:val="004C1E84"/>
    <w:rsid w:val="004C2161"/>
    <w:rsid w:val="004C503F"/>
    <w:rsid w:val="004D4C07"/>
    <w:rsid w:val="004E0C98"/>
    <w:rsid w:val="004E64E1"/>
    <w:rsid w:val="004F1951"/>
    <w:rsid w:val="004F1D3D"/>
    <w:rsid w:val="004F2636"/>
    <w:rsid w:val="004F2C83"/>
    <w:rsid w:val="004F3B40"/>
    <w:rsid w:val="004F4205"/>
    <w:rsid w:val="004F49DD"/>
    <w:rsid w:val="004F5E9A"/>
    <w:rsid w:val="00501B6C"/>
    <w:rsid w:val="005046A1"/>
    <w:rsid w:val="00512DBA"/>
    <w:rsid w:val="005132F7"/>
    <w:rsid w:val="005200E8"/>
    <w:rsid w:val="00520C70"/>
    <w:rsid w:val="005224B0"/>
    <w:rsid w:val="00522891"/>
    <w:rsid w:val="00524729"/>
    <w:rsid w:val="00525EF9"/>
    <w:rsid w:val="0052701B"/>
    <w:rsid w:val="0052723C"/>
    <w:rsid w:val="00534011"/>
    <w:rsid w:val="00534DFB"/>
    <w:rsid w:val="005367A9"/>
    <w:rsid w:val="00536D2F"/>
    <w:rsid w:val="005403F3"/>
    <w:rsid w:val="0054065F"/>
    <w:rsid w:val="0054072F"/>
    <w:rsid w:val="00542FB1"/>
    <w:rsid w:val="005431C3"/>
    <w:rsid w:val="00544684"/>
    <w:rsid w:val="00544AC8"/>
    <w:rsid w:val="00545381"/>
    <w:rsid w:val="0054583E"/>
    <w:rsid w:val="0054778B"/>
    <w:rsid w:val="00550A9D"/>
    <w:rsid w:val="00550B4F"/>
    <w:rsid w:val="00551920"/>
    <w:rsid w:val="00553193"/>
    <w:rsid w:val="00556BC9"/>
    <w:rsid w:val="00562263"/>
    <w:rsid w:val="0056595C"/>
    <w:rsid w:val="00565D7B"/>
    <w:rsid w:val="005677B0"/>
    <w:rsid w:val="005814B3"/>
    <w:rsid w:val="00583583"/>
    <w:rsid w:val="00585C04"/>
    <w:rsid w:val="0058723C"/>
    <w:rsid w:val="00590425"/>
    <w:rsid w:val="00593B67"/>
    <w:rsid w:val="005970CE"/>
    <w:rsid w:val="0059760D"/>
    <w:rsid w:val="005A02D7"/>
    <w:rsid w:val="005B02AB"/>
    <w:rsid w:val="005B18BC"/>
    <w:rsid w:val="005C06F3"/>
    <w:rsid w:val="005C31C9"/>
    <w:rsid w:val="005C387B"/>
    <w:rsid w:val="005C53CC"/>
    <w:rsid w:val="005C62D3"/>
    <w:rsid w:val="005C7C42"/>
    <w:rsid w:val="005D676E"/>
    <w:rsid w:val="005D7C07"/>
    <w:rsid w:val="005E02D9"/>
    <w:rsid w:val="005E0DD3"/>
    <w:rsid w:val="005E28CD"/>
    <w:rsid w:val="005E2BA0"/>
    <w:rsid w:val="005E3977"/>
    <w:rsid w:val="005F12C9"/>
    <w:rsid w:val="005F1749"/>
    <w:rsid w:val="005F23E0"/>
    <w:rsid w:val="005F786F"/>
    <w:rsid w:val="00601A3F"/>
    <w:rsid w:val="0060366B"/>
    <w:rsid w:val="00604D98"/>
    <w:rsid w:val="006112EE"/>
    <w:rsid w:val="00613253"/>
    <w:rsid w:val="0061377F"/>
    <w:rsid w:val="00622F30"/>
    <w:rsid w:val="00623044"/>
    <w:rsid w:val="006238D0"/>
    <w:rsid w:val="00624618"/>
    <w:rsid w:val="00624B12"/>
    <w:rsid w:val="00630679"/>
    <w:rsid w:val="00631737"/>
    <w:rsid w:val="0063194B"/>
    <w:rsid w:val="00635CC7"/>
    <w:rsid w:val="0064222D"/>
    <w:rsid w:val="0064743C"/>
    <w:rsid w:val="006503BC"/>
    <w:rsid w:val="00650F9D"/>
    <w:rsid w:val="0065344F"/>
    <w:rsid w:val="006536C9"/>
    <w:rsid w:val="00654547"/>
    <w:rsid w:val="00656361"/>
    <w:rsid w:val="00657BE6"/>
    <w:rsid w:val="00661B56"/>
    <w:rsid w:val="00666448"/>
    <w:rsid w:val="00667805"/>
    <w:rsid w:val="006700DB"/>
    <w:rsid w:val="00677B6F"/>
    <w:rsid w:val="00680983"/>
    <w:rsid w:val="00686C8D"/>
    <w:rsid w:val="00690028"/>
    <w:rsid w:val="0069140C"/>
    <w:rsid w:val="00696B28"/>
    <w:rsid w:val="00697D76"/>
    <w:rsid w:val="006A02D5"/>
    <w:rsid w:val="006A1A0B"/>
    <w:rsid w:val="006A7D8E"/>
    <w:rsid w:val="006B05A2"/>
    <w:rsid w:val="006B329E"/>
    <w:rsid w:val="006B3FFD"/>
    <w:rsid w:val="006B5163"/>
    <w:rsid w:val="006B5D17"/>
    <w:rsid w:val="006B6CB4"/>
    <w:rsid w:val="006B7EBF"/>
    <w:rsid w:val="006C048B"/>
    <w:rsid w:val="006C2A60"/>
    <w:rsid w:val="006D4BDF"/>
    <w:rsid w:val="006E0623"/>
    <w:rsid w:val="006E2689"/>
    <w:rsid w:val="006E366C"/>
    <w:rsid w:val="006E56C1"/>
    <w:rsid w:val="006E69F3"/>
    <w:rsid w:val="006F2AC1"/>
    <w:rsid w:val="006F31D9"/>
    <w:rsid w:val="006F3DD0"/>
    <w:rsid w:val="006F57A3"/>
    <w:rsid w:val="006F6303"/>
    <w:rsid w:val="00701942"/>
    <w:rsid w:val="00705880"/>
    <w:rsid w:val="00707252"/>
    <w:rsid w:val="00713D6A"/>
    <w:rsid w:val="00715B1B"/>
    <w:rsid w:val="00721BF5"/>
    <w:rsid w:val="0072496C"/>
    <w:rsid w:val="00724ED6"/>
    <w:rsid w:val="00726B63"/>
    <w:rsid w:val="00731325"/>
    <w:rsid w:val="00731D98"/>
    <w:rsid w:val="0073387F"/>
    <w:rsid w:val="00734309"/>
    <w:rsid w:val="007345B1"/>
    <w:rsid w:val="00734F2D"/>
    <w:rsid w:val="00735D26"/>
    <w:rsid w:val="00751230"/>
    <w:rsid w:val="0076035F"/>
    <w:rsid w:val="007614B9"/>
    <w:rsid w:val="00763D8A"/>
    <w:rsid w:val="007648BA"/>
    <w:rsid w:val="00764A95"/>
    <w:rsid w:val="0076599B"/>
    <w:rsid w:val="00766CD3"/>
    <w:rsid w:val="0077051A"/>
    <w:rsid w:val="00770FC9"/>
    <w:rsid w:val="00773516"/>
    <w:rsid w:val="00773FE2"/>
    <w:rsid w:val="007776FA"/>
    <w:rsid w:val="00777EAC"/>
    <w:rsid w:val="00781D21"/>
    <w:rsid w:val="00784FED"/>
    <w:rsid w:val="007851BD"/>
    <w:rsid w:val="00785CA6"/>
    <w:rsid w:val="0078611B"/>
    <w:rsid w:val="007864F8"/>
    <w:rsid w:val="0078653A"/>
    <w:rsid w:val="00787E28"/>
    <w:rsid w:val="00791E1C"/>
    <w:rsid w:val="00795796"/>
    <w:rsid w:val="00796053"/>
    <w:rsid w:val="00796B35"/>
    <w:rsid w:val="00797C8B"/>
    <w:rsid w:val="007A2FEF"/>
    <w:rsid w:val="007A3ED4"/>
    <w:rsid w:val="007A4D3B"/>
    <w:rsid w:val="007A51D6"/>
    <w:rsid w:val="007A5EB6"/>
    <w:rsid w:val="007A6724"/>
    <w:rsid w:val="007A6B25"/>
    <w:rsid w:val="007B1F67"/>
    <w:rsid w:val="007B5542"/>
    <w:rsid w:val="007B58B2"/>
    <w:rsid w:val="007C5FEF"/>
    <w:rsid w:val="007C628F"/>
    <w:rsid w:val="007D1384"/>
    <w:rsid w:val="007E27C9"/>
    <w:rsid w:val="007E3DF8"/>
    <w:rsid w:val="007E5222"/>
    <w:rsid w:val="007E68C6"/>
    <w:rsid w:val="007E7C5A"/>
    <w:rsid w:val="007F0E56"/>
    <w:rsid w:val="007F1262"/>
    <w:rsid w:val="007F4557"/>
    <w:rsid w:val="007F57A6"/>
    <w:rsid w:val="007F6CC1"/>
    <w:rsid w:val="007F738E"/>
    <w:rsid w:val="007F7CAD"/>
    <w:rsid w:val="008022A6"/>
    <w:rsid w:val="0080473D"/>
    <w:rsid w:val="008055F2"/>
    <w:rsid w:val="008105E7"/>
    <w:rsid w:val="00810E11"/>
    <w:rsid w:val="00811A42"/>
    <w:rsid w:val="00816877"/>
    <w:rsid w:val="0082032B"/>
    <w:rsid w:val="00820D7E"/>
    <w:rsid w:val="00822B3D"/>
    <w:rsid w:val="00823C1F"/>
    <w:rsid w:val="008255B3"/>
    <w:rsid w:val="008415C6"/>
    <w:rsid w:val="00842706"/>
    <w:rsid w:val="00845B5E"/>
    <w:rsid w:val="008515AC"/>
    <w:rsid w:val="00851F96"/>
    <w:rsid w:val="00852337"/>
    <w:rsid w:val="00854DB0"/>
    <w:rsid w:val="00856A3F"/>
    <w:rsid w:val="00857D65"/>
    <w:rsid w:val="00863916"/>
    <w:rsid w:val="00863AF3"/>
    <w:rsid w:val="00863EFD"/>
    <w:rsid w:val="00871509"/>
    <w:rsid w:val="00871655"/>
    <w:rsid w:val="00875819"/>
    <w:rsid w:val="008758B2"/>
    <w:rsid w:val="008802A2"/>
    <w:rsid w:val="0089061C"/>
    <w:rsid w:val="00890904"/>
    <w:rsid w:val="00895400"/>
    <w:rsid w:val="00897DFB"/>
    <w:rsid w:val="008A09CD"/>
    <w:rsid w:val="008A0C2F"/>
    <w:rsid w:val="008A4CB0"/>
    <w:rsid w:val="008B2915"/>
    <w:rsid w:val="008B397E"/>
    <w:rsid w:val="008B6AAA"/>
    <w:rsid w:val="008B6B9F"/>
    <w:rsid w:val="008C38B9"/>
    <w:rsid w:val="008C7283"/>
    <w:rsid w:val="008D51DB"/>
    <w:rsid w:val="008E301E"/>
    <w:rsid w:val="008E3B6F"/>
    <w:rsid w:val="008E44DC"/>
    <w:rsid w:val="008E5FD5"/>
    <w:rsid w:val="008E60F8"/>
    <w:rsid w:val="008F199E"/>
    <w:rsid w:val="008F45A0"/>
    <w:rsid w:val="008F6F6B"/>
    <w:rsid w:val="008F76E0"/>
    <w:rsid w:val="00904441"/>
    <w:rsid w:val="00904870"/>
    <w:rsid w:val="00905A58"/>
    <w:rsid w:val="00914477"/>
    <w:rsid w:val="009214A4"/>
    <w:rsid w:val="00921880"/>
    <w:rsid w:val="0092223C"/>
    <w:rsid w:val="00922415"/>
    <w:rsid w:val="009251FE"/>
    <w:rsid w:val="009276A2"/>
    <w:rsid w:val="00930297"/>
    <w:rsid w:val="00930D7B"/>
    <w:rsid w:val="009337BD"/>
    <w:rsid w:val="009375E9"/>
    <w:rsid w:val="009465F7"/>
    <w:rsid w:val="00946B52"/>
    <w:rsid w:val="00946C59"/>
    <w:rsid w:val="00955599"/>
    <w:rsid w:val="00955BB0"/>
    <w:rsid w:val="00956295"/>
    <w:rsid w:val="009608B4"/>
    <w:rsid w:val="00962FB2"/>
    <w:rsid w:val="00963544"/>
    <w:rsid w:val="00971DF7"/>
    <w:rsid w:val="00973B6F"/>
    <w:rsid w:val="009741AB"/>
    <w:rsid w:val="009749BD"/>
    <w:rsid w:val="009761D4"/>
    <w:rsid w:val="009762A9"/>
    <w:rsid w:val="009769B4"/>
    <w:rsid w:val="00984C25"/>
    <w:rsid w:val="00984E58"/>
    <w:rsid w:val="00985990"/>
    <w:rsid w:val="00994C2C"/>
    <w:rsid w:val="009951DF"/>
    <w:rsid w:val="00997FBC"/>
    <w:rsid w:val="009A1044"/>
    <w:rsid w:val="009A2A51"/>
    <w:rsid w:val="009A3FB5"/>
    <w:rsid w:val="009A6535"/>
    <w:rsid w:val="009A74CA"/>
    <w:rsid w:val="009B2759"/>
    <w:rsid w:val="009B5FDF"/>
    <w:rsid w:val="009B650B"/>
    <w:rsid w:val="009C0A09"/>
    <w:rsid w:val="009C1734"/>
    <w:rsid w:val="009C42FC"/>
    <w:rsid w:val="009C5E48"/>
    <w:rsid w:val="009C784D"/>
    <w:rsid w:val="009C7FB6"/>
    <w:rsid w:val="009D1693"/>
    <w:rsid w:val="009D3ADC"/>
    <w:rsid w:val="009D3FF6"/>
    <w:rsid w:val="009D49FF"/>
    <w:rsid w:val="009D5D73"/>
    <w:rsid w:val="009D6860"/>
    <w:rsid w:val="009D6AF0"/>
    <w:rsid w:val="009E1B47"/>
    <w:rsid w:val="009E4CD9"/>
    <w:rsid w:val="009F15A7"/>
    <w:rsid w:val="009F5507"/>
    <w:rsid w:val="009F77DA"/>
    <w:rsid w:val="009F7EAB"/>
    <w:rsid w:val="00A00BCB"/>
    <w:rsid w:val="00A04F56"/>
    <w:rsid w:val="00A05080"/>
    <w:rsid w:val="00A0605F"/>
    <w:rsid w:val="00A07467"/>
    <w:rsid w:val="00A1244F"/>
    <w:rsid w:val="00A13508"/>
    <w:rsid w:val="00A13D75"/>
    <w:rsid w:val="00A15E67"/>
    <w:rsid w:val="00A17EB0"/>
    <w:rsid w:val="00A2027D"/>
    <w:rsid w:val="00A21D99"/>
    <w:rsid w:val="00A2693E"/>
    <w:rsid w:val="00A31644"/>
    <w:rsid w:val="00A37111"/>
    <w:rsid w:val="00A40DE9"/>
    <w:rsid w:val="00A44165"/>
    <w:rsid w:val="00A45277"/>
    <w:rsid w:val="00A455F3"/>
    <w:rsid w:val="00A4667F"/>
    <w:rsid w:val="00A46C9B"/>
    <w:rsid w:val="00A46EC5"/>
    <w:rsid w:val="00A47F55"/>
    <w:rsid w:val="00A500DD"/>
    <w:rsid w:val="00A50CD1"/>
    <w:rsid w:val="00A5154C"/>
    <w:rsid w:val="00A525E1"/>
    <w:rsid w:val="00A536EF"/>
    <w:rsid w:val="00A53D41"/>
    <w:rsid w:val="00A54F61"/>
    <w:rsid w:val="00A57305"/>
    <w:rsid w:val="00A60C6D"/>
    <w:rsid w:val="00A65B10"/>
    <w:rsid w:val="00A7088E"/>
    <w:rsid w:val="00A712A2"/>
    <w:rsid w:val="00A72596"/>
    <w:rsid w:val="00A84B72"/>
    <w:rsid w:val="00A90836"/>
    <w:rsid w:val="00A90D5A"/>
    <w:rsid w:val="00A948F1"/>
    <w:rsid w:val="00A9533B"/>
    <w:rsid w:val="00A974EC"/>
    <w:rsid w:val="00AA2232"/>
    <w:rsid w:val="00AA31DA"/>
    <w:rsid w:val="00AB3C32"/>
    <w:rsid w:val="00AB58EA"/>
    <w:rsid w:val="00AB7766"/>
    <w:rsid w:val="00AC0890"/>
    <w:rsid w:val="00AC0ABC"/>
    <w:rsid w:val="00AC0E95"/>
    <w:rsid w:val="00AC2344"/>
    <w:rsid w:val="00AC2CD9"/>
    <w:rsid w:val="00AC3256"/>
    <w:rsid w:val="00AC39F4"/>
    <w:rsid w:val="00AC4FB8"/>
    <w:rsid w:val="00AC6551"/>
    <w:rsid w:val="00AD2ACC"/>
    <w:rsid w:val="00AE25DD"/>
    <w:rsid w:val="00AE6219"/>
    <w:rsid w:val="00AF0C58"/>
    <w:rsid w:val="00AF18DF"/>
    <w:rsid w:val="00AF22CA"/>
    <w:rsid w:val="00AF30CC"/>
    <w:rsid w:val="00B040A0"/>
    <w:rsid w:val="00B0598F"/>
    <w:rsid w:val="00B14E2D"/>
    <w:rsid w:val="00B21E26"/>
    <w:rsid w:val="00B265BC"/>
    <w:rsid w:val="00B26911"/>
    <w:rsid w:val="00B30863"/>
    <w:rsid w:val="00B32448"/>
    <w:rsid w:val="00B3269D"/>
    <w:rsid w:val="00B32B78"/>
    <w:rsid w:val="00B3794C"/>
    <w:rsid w:val="00B4058F"/>
    <w:rsid w:val="00B40F03"/>
    <w:rsid w:val="00B4142E"/>
    <w:rsid w:val="00B426DE"/>
    <w:rsid w:val="00B454FE"/>
    <w:rsid w:val="00B460C9"/>
    <w:rsid w:val="00B5051E"/>
    <w:rsid w:val="00B50B81"/>
    <w:rsid w:val="00B50EE2"/>
    <w:rsid w:val="00B52D3E"/>
    <w:rsid w:val="00B53DC1"/>
    <w:rsid w:val="00B53FD1"/>
    <w:rsid w:val="00B55720"/>
    <w:rsid w:val="00B6010C"/>
    <w:rsid w:val="00B60EE2"/>
    <w:rsid w:val="00B63096"/>
    <w:rsid w:val="00B64938"/>
    <w:rsid w:val="00B71122"/>
    <w:rsid w:val="00B7349C"/>
    <w:rsid w:val="00B742CB"/>
    <w:rsid w:val="00B80069"/>
    <w:rsid w:val="00B80B72"/>
    <w:rsid w:val="00B82698"/>
    <w:rsid w:val="00B828A8"/>
    <w:rsid w:val="00B83575"/>
    <w:rsid w:val="00B84EB4"/>
    <w:rsid w:val="00B861C7"/>
    <w:rsid w:val="00B904BB"/>
    <w:rsid w:val="00B920E7"/>
    <w:rsid w:val="00B92777"/>
    <w:rsid w:val="00B92E97"/>
    <w:rsid w:val="00B965CB"/>
    <w:rsid w:val="00BA4269"/>
    <w:rsid w:val="00BA51E3"/>
    <w:rsid w:val="00BB06C0"/>
    <w:rsid w:val="00BB15DF"/>
    <w:rsid w:val="00BB29E0"/>
    <w:rsid w:val="00BB3DE2"/>
    <w:rsid w:val="00BB731A"/>
    <w:rsid w:val="00BC07E5"/>
    <w:rsid w:val="00BC08CC"/>
    <w:rsid w:val="00BC24BB"/>
    <w:rsid w:val="00BC2663"/>
    <w:rsid w:val="00BC2D88"/>
    <w:rsid w:val="00BC51D0"/>
    <w:rsid w:val="00BD3A9A"/>
    <w:rsid w:val="00BD6453"/>
    <w:rsid w:val="00BD7407"/>
    <w:rsid w:val="00BD7CC1"/>
    <w:rsid w:val="00BE4183"/>
    <w:rsid w:val="00BE500D"/>
    <w:rsid w:val="00BF1E7F"/>
    <w:rsid w:val="00BF1F87"/>
    <w:rsid w:val="00BF6234"/>
    <w:rsid w:val="00C0156E"/>
    <w:rsid w:val="00C021B6"/>
    <w:rsid w:val="00C04413"/>
    <w:rsid w:val="00C126F0"/>
    <w:rsid w:val="00C23AB1"/>
    <w:rsid w:val="00C27E5E"/>
    <w:rsid w:val="00C31D57"/>
    <w:rsid w:val="00C31FB3"/>
    <w:rsid w:val="00C32857"/>
    <w:rsid w:val="00C36EA4"/>
    <w:rsid w:val="00C3731B"/>
    <w:rsid w:val="00C37A37"/>
    <w:rsid w:val="00C40FD5"/>
    <w:rsid w:val="00C478D3"/>
    <w:rsid w:val="00C51EE3"/>
    <w:rsid w:val="00C51F0D"/>
    <w:rsid w:val="00C53DB8"/>
    <w:rsid w:val="00C604FD"/>
    <w:rsid w:val="00C629EC"/>
    <w:rsid w:val="00C66D2D"/>
    <w:rsid w:val="00C7039D"/>
    <w:rsid w:val="00C7395C"/>
    <w:rsid w:val="00C75F8D"/>
    <w:rsid w:val="00C76B9D"/>
    <w:rsid w:val="00C84C41"/>
    <w:rsid w:val="00C91995"/>
    <w:rsid w:val="00C929F9"/>
    <w:rsid w:val="00C94087"/>
    <w:rsid w:val="00C94FDB"/>
    <w:rsid w:val="00C95786"/>
    <w:rsid w:val="00C96368"/>
    <w:rsid w:val="00C96660"/>
    <w:rsid w:val="00CA1201"/>
    <w:rsid w:val="00CA5EFE"/>
    <w:rsid w:val="00CA7B2B"/>
    <w:rsid w:val="00CB0C09"/>
    <w:rsid w:val="00CB2225"/>
    <w:rsid w:val="00CB4AD1"/>
    <w:rsid w:val="00CC2FED"/>
    <w:rsid w:val="00CC3887"/>
    <w:rsid w:val="00CC5994"/>
    <w:rsid w:val="00CD0610"/>
    <w:rsid w:val="00CD7B7B"/>
    <w:rsid w:val="00CE10A6"/>
    <w:rsid w:val="00CE3D00"/>
    <w:rsid w:val="00CF13B4"/>
    <w:rsid w:val="00CF17E5"/>
    <w:rsid w:val="00CF2C92"/>
    <w:rsid w:val="00D045BD"/>
    <w:rsid w:val="00D109FB"/>
    <w:rsid w:val="00D12A09"/>
    <w:rsid w:val="00D14A95"/>
    <w:rsid w:val="00D173A2"/>
    <w:rsid w:val="00D201FE"/>
    <w:rsid w:val="00D20CD4"/>
    <w:rsid w:val="00D219D1"/>
    <w:rsid w:val="00D23421"/>
    <w:rsid w:val="00D27260"/>
    <w:rsid w:val="00D30FEC"/>
    <w:rsid w:val="00D3101E"/>
    <w:rsid w:val="00D3120D"/>
    <w:rsid w:val="00D36A01"/>
    <w:rsid w:val="00D406FC"/>
    <w:rsid w:val="00D42E10"/>
    <w:rsid w:val="00D468CB"/>
    <w:rsid w:val="00D46913"/>
    <w:rsid w:val="00D46B54"/>
    <w:rsid w:val="00D5228A"/>
    <w:rsid w:val="00D57E9F"/>
    <w:rsid w:val="00D62719"/>
    <w:rsid w:val="00D62BAB"/>
    <w:rsid w:val="00D6571F"/>
    <w:rsid w:val="00D70458"/>
    <w:rsid w:val="00D76151"/>
    <w:rsid w:val="00D76282"/>
    <w:rsid w:val="00D76AD1"/>
    <w:rsid w:val="00D839DE"/>
    <w:rsid w:val="00D90EC8"/>
    <w:rsid w:val="00D90FED"/>
    <w:rsid w:val="00D91F79"/>
    <w:rsid w:val="00D923C9"/>
    <w:rsid w:val="00D93442"/>
    <w:rsid w:val="00D93AFB"/>
    <w:rsid w:val="00D93C09"/>
    <w:rsid w:val="00D94F6B"/>
    <w:rsid w:val="00D957A9"/>
    <w:rsid w:val="00D95D5A"/>
    <w:rsid w:val="00D96916"/>
    <w:rsid w:val="00D970E5"/>
    <w:rsid w:val="00D975D2"/>
    <w:rsid w:val="00DA0E0C"/>
    <w:rsid w:val="00DA50F7"/>
    <w:rsid w:val="00DA7589"/>
    <w:rsid w:val="00DB0A1A"/>
    <w:rsid w:val="00DB0B9B"/>
    <w:rsid w:val="00DB44D4"/>
    <w:rsid w:val="00DB5E40"/>
    <w:rsid w:val="00DB6988"/>
    <w:rsid w:val="00DC2A26"/>
    <w:rsid w:val="00DC3303"/>
    <w:rsid w:val="00DC4823"/>
    <w:rsid w:val="00DC57AC"/>
    <w:rsid w:val="00DC6CF4"/>
    <w:rsid w:val="00DD0936"/>
    <w:rsid w:val="00DD1A27"/>
    <w:rsid w:val="00DD2A91"/>
    <w:rsid w:val="00DD5C96"/>
    <w:rsid w:val="00DD64F6"/>
    <w:rsid w:val="00DE1E26"/>
    <w:rsid w:val="00DE779E"/>
    <w:rsid w:val="00DF05DB"/>
    <w:rsid w:val="00DF1905"/>
    <w:rsid w:val="00DF1EC5"/>
    <w:rsid w:val="00DF3602"/>
    <w:rsid w:val="00DF4258"/>
    <w:rsid w:val="00E012ED"/>
    <w:rsid w:val="00E01368"/>
    <w:rsid w:val="00E01410"/>
    <w:rsid w:val="00E049E7"/>
    <w:rsid w:val="00E06760"/>
    <w:rsid w:val="00E1108C"/>
    <w:rsid w:val="00E1176F"/>
    <w:rsid w:val="00E1216B"/>
    <w:rsid w:val="00E13E67"/>
    <w:rsid w:val="00E2018B"/>
    <w:rsid w:val="00E22E96"/>
    <w:rsid w:val="00E257BE"/>
    <w:rsid w:val="00E300DA"/>
    <w:rsid w:val="00E31367"/>
    <w:rsid w:val="00E33125"/>
    <w:rsid w:val="00E40ABB"/>
    <w:rsid w:val="00E40E7B"/>
    <w:rsid w:val="00E41D2F"/>
    <w:rsid w:val="00E44A27"/>
    <w:rsid w:val="00E45394"/>
    <w:rsid w:val="00E45516"/>
    <w:rsid w:val="00E45E32"/>
    <w:rsid w:val="00E50378"/>
    <w:rsid w:val="00E536F8"/>
    <w:rsid w:val="00E5382A"/>
    <w:rsid w:val="00E5547D"/>
    <w:rsid w:val="00E60686"/>
    <w:rsid w:val="00E64B9D"/>
    <w:rsid w:val="00E6724E"/>
    <w:rsid w:val="00E67F58"/>
    <w:rsid w:val="00E7256E"/>
    <w:rsid w:val="00E745A0"/>
    <w:rsid w:val="00E75061"/>
    <w:rsid w:val="00E75AA5"/>
    <w:rsid w:val="00E80055"/>
    <w:rsid w:val="00E84DB7"/>
    <w:rsid w:val="00E85CF7"/>
    <w:rsid w:val="00E878B2"/>
    <w:rsid w:val="00E87CA0"/>
    <w:rsid w:val="00E901B8"/>
    <w:rsid w:val="00E916C8"/>
    <w:rsid w:val="00E92656"/>
    <w:rsid w:val="00E93AF3"/>
    <w:rsid w:val="00E96058"/>
    <w:rsid w:val="00EA3A77"/>
    <w:rsid w:val="00EB2DFA"/>
    <w:rsid w:val="00EB3152"/>
    <w:rsid w:val="00EB52A3"/>
    <w:rsid w:val="00EB5570"/>
    <w:rsid w:val="00EC1561"/>
    <w:rsid w:val="00EC15A1"/>
    <w:rsid w:val="00EC170C"/>
    <w:rsid w:val="00EC6AFE"/>
    <w:rsid w:val="00ED0DDE"/>
    <w:rsid w:val="00ED21A7"/>
    <w:rsid w:val="00ED6B56"/>
    <w:rsid w:val="00EE0F46"/>
    <w:rsid w:val="00EE3D0C"/>
    <w:rsid w:val="00EE4578"/>
    <w:rsid w:val="00EF0B8F"/>
    <w:rsid w:val="00EF12E3"/>
    <w:rsid w:val="00EF231F"/>
    <w:rsid w:val="00EF301D"/>
    <w:rsid w:val="00EF6AA3"/>
    <w:rsid w:val="00F00044"/>
    <w:rsid w:val="00F00D84"/>
    <w:rsid w:val="00F01DAA"/>
    <w:rsid w:val="00F0270C"/>
    <w:rsid w:val="00F07143"/>
    <w:rsid w:val="00F10C58"/>
    <w:rsid w:val="00F125A7"/>
    <w:rsid w:val="00F21880"/>
    <w:rsid w:val="00F26DF7"/>
    <w:rsid w:val="00F308A1"/>
    <w:rsid w:val="00F30B9E"/>
    <w:rsid w:val="00F3136F"/>
    <w:rsid w:val="00F34BFA"/>
    <w:rsid w:val="00F35A86"/>
    <w:rsid w:val="00F40C58"/>
    <w:rsid w:val="00F41854"/>
    <w:rsid w:val="00F423FA"/>
    <w:rsid w:val="00F433D7"/>
    <w:rsid w:val="00F50CC7"/>
    <w:rsid w:val="00F53EC3"/>
    <w:rsid w:val="00F56F65"/>
    <w:rsid w:val="00F6008D"/>
    <w:rsid w:val="00F6028C"/>
    <w:rsid w:val="00F611CF"/>
    <w:rsid w:val="00F702F2"/>
    <w:rsid w:val="00F70943"/>
    <w:rsid w:val="00F737A0"/>
    <w:rsid w:val="00F74139"/>
    <w:rsid w:val="00F773BF"/>
    <w:rsid w:val="00F818E2"/>
    <w:rsid w:val="00F83D61"/>
    <w:rsid w:val="00F85984"/>
    <w:rsid w:val="00F91140"/>
    <w:rsid w:val="00F97F0C"/>
    <w:rsid w:val="00FA1436"/>
    <w:rsid w:val="00FA2433"/>
    <w:rsid w:val="00FA3813"/>
    <w:rsid w:val="00FA59E0"/>
    <w:rsid w:val="00FB0838"/>
    <w:rsid w:val="00FB193D"/>
    <w:rsid w:val="00FC245C"/>
    <w:rsid w:val="00FC4976"/>
    <w:rsid w:val="00FC5472"/>
    <w:rsid w:val="00FE2A08"/>
    <w:rsid w:val="00FE5B2E"/>
    <w:rsid w:val="00FF4AE4"/>
    <w:rsid w:val="00FF502D"/>
    <w:rsid w:val="00FF69AF"/>
    <w:rsid w:val="00FF7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48"/>
    <w:pPr>
      <w:spacing w:after="120"/>
    </w:pPr>
    <w:rPr>
      <w:rFonts w:asciiTheme="minorHAnsi" w:hAnsiTheme="minorHAnsi"/>
      <w:sz w:val="22"/>
      <w:szCs w:val="24"/>
    </w:rPr>
  </w:style>
  <w:style w:type="paragraph" w:styleId="Heading1">
    <w:name w:val="heading 1"/>
    <w:basedOn w:val="Normal"/>
    <w:next w:val="Normal"/>
    <w:link w:val="Heading1Char"/>
    <w:uiPriority w:val="9"/>
    <w:qFormat/>
    <w:rsid w:val="00AC0E95"/>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0E9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0E95"/>
    <w:pPr>
      <w:keepNext/>
      <w:keepLines/>
      <w:numPr>
        <w:ilvl w:val="2"/>
        <w:numId w:val="1"/>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AC0E95"/>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0E95"/>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0E95"/>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0E95"/>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0E9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0E9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0E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E9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0E9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C0E95"/>
    <w:pPr>
      <w:ind w:left="720"/>
      <w:contextualSpacing/>
    </w:pPr>
  </w:style>
  <w:style w:type="character" w:customStyle="1" w:styleId="Heading2Char">
    <w:name w:val="Heading 2 Char"/>
    <w:basedOn w:val="DefaultParagraphFont"/>
    <w:link w:val="Heading2"/>
    <w:uiPriority w:val="9"/>
    <w:rsid w:val="00AC0E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C0E9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C0E95"/>
    <w:rPr>
      <w:rFonts w:asciiTheme="majorHAnsi" w:eastAsiaTheme="majorEastAsia" w:hAnsiTheme="majorHAnsi" w:cstheme="majorBidi"/>
      <w:i/>
      <w:iCs/>
      <w:color w:val="2E74B5" w:themeColor="accent1" w:themeShade="BF"/>
      <w:sz w:val="22"/>
      <w:szCs w:val="24"/>
    </w:rPr>
  </w:style>
  <w:style w:type="character" w:customStyle="1" w:styleId="Heading5Char">
    <w:name w:val="Heading 5 Char"/>
    <w:basedOn w:val="DefaultParagraphFont"/>
    <w:link w:val="Heading5"/>
    <w:uiPriority w:val="9"/>
    <w:semiHidden/>
    <w:rsid w:val="00AC0E95"/>
    <w:rPr>
      <w:rFonts w:asciiTheme="majorHAnsi" w:eastAsiaTheme="majorEastAsia" w:hAnsiTheme="majorHAnsi" w:cstheme="majorBidi"/>
      <w:color w:val="2E74B5" w:themeColor="accent1" w:themeShade="BF"/>
      <w:sz w:val="22"/>
      <w:szCs w:val="24"/>
    </w:rPr>
  </w:style>
  <w:style w:type="character" w:customStyle="1" w:styleId="Heading6Char">
    <w:name w:val="Heading 6 Char"/>
    <w:basedOn w:val="DefaultParagraphFont"/>
    <w:link w:val="Heading6"/>
    <w:uiPriority w:val="9"/>
    <w:semiHidden/>
    <w:rsid w:val="00AC0E95"/>
    <w:rPr>
      <w:rFonts w:asciiTheme="majorHAnsi" w:eastAsiaTheme="majorEastAsia" w:hAnsiTheme="majorHAnsi" w:cstheme="majorBidi"/>
      <w:color w:val="1F4D78" w:themeColor="accent1" w:themeShade="7F"/>
      <w:sz w:val="22"/>
      <w:szCs w:val="24"/>
    </w:rPr>
  </w:style>
  <w:style w:type="character" w:customStyle="1" w:styleId="Heading7Char">
    <w:name w:val="Heading 7 Char"/>
    <w:basedOn w:val="DefaultParagraphFont"/>
    <w:link w:val="Heading7"/>
    <w:uiPriority w:val="9"/>
    <w:semiHidden/>
    <w:rsid w:val="00AC0E95"/>
    <w:rPr>
      <w:rFonts w:asciiTheme="majorHAnsi" w:eastAsiaTheme="majorEastAsia" w:hAnsiTheme="majorHAnsi" w:cstheme="majorBidi"/>
      <w:i/>
      <w:iCs/>
      <w:color w:val="1F4D78" w:themeColor="accent1" w:themeShade="7F"/>
      <w:sz w:val="22"/>
      <w:szCs w:val="24"/>
    </w:rPr>
  </w:style>
  <w:style w:type="character" w:customStyle="1" w:styleId="Heading8Char">
    <w:name w:val="Heading 8 Char"/>
    <w:basedOn w:val="DefaultParagraphFont"/>
    <w:link w:val="Heading8"/>
    <w:uiPriority w:val="9"/>
    <w:semiHidden/>
    <w:rsid w:val="00AC0E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0E9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16182B"/>
    <w:rPr>
      <w:sz w:val="16"/>
      <w:szCs w:val="16"/>
    </w:rPr>
  </w:style>
  <w:style w:type="paragraph" w:styleId="CommentText">
    <w:name w:val="annotation text"/>
    <w:basedOn w:val="Normal"/>
    <w:link w:val="CommentTextChar"/>
    <w:uiPriority w:val="99"/>
    <w:unhideWhenUsed/>
    <w:rsid w:val="0016182B"/>
  </w:style>
  <w:style w:type="character" w:customStyle="1" w:styleId="CommentTextChar">
    <w:name w:val="Comment Text Char"/>
    <w:basedOn w:val="DefaultParagraphFont"/>
    <w:link w:val="CommentText"/>
    <w:uiPriority w:val="99"/>
    <w:rsid w:val="0016182B"/>
  </w:style>
  <w:style w:type="paragraph" w:styleId="CommentSubject">
    <w:name w:val="annotation subject"/>
    <w:basedOn w:val="CommentText"/>
    <w:next w:val="CommentText"/>
    <w:link w:val="CommentSubjectChar"/>
    <w:uiPriority w:val="99"/>
    <w:semiHidden/>
    <w:unhideWhenUsed/>
    <w:rsid w:val="0016182B"/>
    <w:rPr>
      <w:b/>
      <w:bCs/>
    </w:rPr>
  </w:style>
  <w:style w:type="character" w:customStyle="1" w:styleId="CommentSubjectChar">
    <w:name w:val="Comment Subject Char"/>
    <w:basedOn w:val="CommentTextChar"/>
    <w:link w:val="CommentSubject"/>
    <w:uiPriority w:val="99"/>
    <w:semiHidden/>
    <w:rsid w:val="0016182B"/>
    <w:rPr>
      <w:b/>
      <w:bCs/>
    </w:rPr>
  </w:style>
  <w:style w:type="paragraph" w:styleId="BalloonText">
    <w:name w:val="Balloon Text"/>
    <w:basedOn w:val="Normal"/>
    <w:link w:val="BalloonTextChar"/>
    <w:uiPriority w:val="99"/>
    <w:semiHidden/>
    <w:unhideWhenUsed/>
    <w:rsid w:val="00161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2B"/>
    <w:rPr>
      <w:rFonts w:ascii="Segoe UI" w:hAnsi="Segoe UI" w:cs="Segoe UI"/>
      <w:sz w:val="18"/>
      <w:szCs w:val="18"/>
    </w:rPr>
  </w:style>
  <w:style w:type="table" w:customStyle="1" w:styleId="TableGrid2">
    <w:name w:val="Table Grid2"/>
    <w:basedOn w:val="TableNormal"/>
    <w:next w:val="TableGrid"/>
    <w:uiPriority w:val="39"/>
    <w:rsid w:val="00FA59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A5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59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9A2A51"/>
  </w:style>
  <w:style w:type="character" w:customStyle="1" w:styleId="FootnoteTextChar">
    <w:name w:val="Footnote Text Char"/>
    <w:basedOn w:val="DefaultParagraphFont"/>
    <w:link w:val="FootnoteText"/>
    <w:uiPriority w:val="99"/>
    <w:semiHidden/>
    <w:rsid w:val="009A2A51"/>
  </w:style>
  <w:style w:type="table" w:customStyle="1" w:styleId="TableGrid1">
    <w:name w:val="Table Grid1"/>
    <w:basedOn w:val="TableNormal"/>
    <w:next w:val="TableGrid"/>
    <w:uiPriority w:val="39"/>
    <w:rsid w:val="009A2A5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rsid w:val="009A2A51"/>
    <w:rPr>
      <w:vertAlign w:val="superscript"/>
    </w:rPr>
  </w:style>
  <w:style w:type="paragraph" w:customStyle="1" w:styleId="NRStablebold">
    <w:name w:val="NRS table bold"/>
    <w:basedOn w:val="Normal"/>
    <w:link w:val="NRStableboldChar"/>
    <w:uiPriority w:val="99"/>
    <w:qFormat/>
    <w:rsid w:val="00260978"/>
    <w:pPr>
      <w:spacing w:before="40" w:after="20"/>
      <w:ind w:left="57"/>
    </w:pPr>
    <w:rPr>
      <w:rFonts w:ascii="Calibri" w:eastAsia="Calibri" w:hAnsi="Calibri"/>
      <w:b/>
      <w:szCs w:val="22"/>
      <w:lang w:eastAsia="en-US"/>
    </w:rPr>
  </w:style>
  <w:style w:type="character" w:customStyle="1" w:styleId="NRStableboldChar">
    <w:name w:val="NRS table bold Char"/>
    <w:basedOn w:val="DefaultParagraphFont"/>
    <w:link w:val="NRStablebold"/>
    <w:uiPriority w:val="99"/>
    <w:rsid w:val="00260978"/>
    <w:rPr>
      <w:rFonts w:ascii="Calibri" w:eastAsia="Calibri" w:hAnsi="Calibri"/>
      <w:b/>
      <w:szCs w:val="22"/>
      <w:lang w:eastAsia="en-US"/>
    </w:rPr>
  </w:style>
  <w:style w:type="paragraph" w:customStyle="1" w:styleId="NRStableboldcentered">
    <w:name w:val="NRS table bold centered"/>
    <w:basedOn w:val="NRStablebold"/>
    <w:qFormat/>
    <w:rsid w:val="00041EAE"/>
    <w:pPr>
      <w:jc w:val="center"/>
    </w:pPr>
  </w:style>
  <w:style w:type="paragraph" w:styleId="Header">
    <w:name w:val="header"/>
    <w:basedOn w:val="Normal"/>
    <w:link w:val="HeaderChar"/>
    <w:uiPriority w:val="99"/>
    <w:unhideWhenUsed/>
    <w:rsid w:val="00715B1B"/>
    <w:pPr>
      <w:tabs>
        <w:tab w:val="center" w:pos="4513"/>
        <w:tab w:val="right" w:pos="9026"/>
      </w:tabs>
    </w:pPr>
  </w:style>
  <w:style w:type="character" w:customStyle="1" w:styleId="HeaderChar">
    <w:name w:val="Header Char"/>
    <w:basedOn w:val="DefaultParagraphFont"/>
    <w:link w:val="Header"/>
    <w:uiPriority w:val="99"/>
    <w:rsid w:val="00715B1B"/>
  </w:style>
  <w:style w:type="paragraph" w:styleId="Footer">
    <w:name w:val="footer"/>
    <w:basedOn w:val="Normal"/>
    <w:link w:val="FooterChar"/>
    <w:uiPriority w:val="99"/>
    <w:unhideWhenUsed/>
    <w:rsid w:val="00715B1B"/>
    <w:pPr>
      <w:tabs>
        <w:tab w:val="center" w:pos="4513"/>
        <w:tab w:val="right" w:pos="9026"/>
      </w:tabs>
    </w:pPr>
  </w:style>
  <w:style w:type="character" w:customStyle="1" w:styleId="FooterChar">
    <w:name w:val="Footer Char"/>
    <w:basedOn w:val="DefaultParagraphFont"/>
    <w:link w:val="Footer"/>
    <w:uiPriority w:val="99"/>
    <w:rsid w:val="00715B1B"/>
  </w:style>
  <w:style w:type="paragraph" w:customStyle="1" w:styleId="footnote">
    <w:name w:val="footnote"/>
    <w:basedOn w:val="FootnoteText"/>
    <w:link w:val="footnoteChar"/>
    <w:qFormat/>
    <w:rsid w:val="00E06760"/>
    <w:rPr>
      <w:i/>
    </w:rPr>
  </w:style>
  <w:style w:type="character" w:customStyle="1" w:styleId="footnoteChar">
    <w:name w:val="footnote Char"/>
    <w:basedOn w:val="FootnoteTextChar"/>
    <w:link w:val="footnote"/>
    <w:rsid w:val="00E06760"/>
    <w:rPr>
      <w:rFonts w:asciiTheme="minorHAnsi" w:hAnsiTheme="minorHAnsi"/>
      <w:i/>
    </w:rPr>
  </w:style>
  <w:style w:type="character" w:styleId="Hyperlink">
    <w:name w:val="Hyperlink"/>
    <w:basedOn w:val="DefaultParagraphFont"/>
    <w:uiPriority w:val="99"/>
    <w:unhideWhenUsed/>
    <w:rsid w:val="004A244D"/>
    <w:rPr>
      <w:color w:val="0563C1" w:themeColor="hyperlink"/>
      <w:u w:val="single"/>
    </w:rPr>
  </w:style>
  <w:style w:type="paragraph" w:styleId="Subtitle">
    <w:name w:val="Subtitle"/>
    <w:basedOn w:val="Normal"/>
    <w:link w:val="SubtitleChar"/>
    <w:qFormat/>
    <w:rsid w:val="00163F3A"/>
    <w:rPr>
      <w:b/>
      <w:sz w:val="32"/>
      <w:u w:val="single"/>
      <w:lang w:eastAsia="en-US"/>
    </w:rPr>
  </w:style>
  <w:style w:type="character" w:customStyle="1" w:styleId="SubtitleChar">
    <w:name w:val="Subtitle Char"/>
    <w:basedOn w:val="DefaultParagraphFont"/>
    <w:link w:val="Subtitle"/>
    <w:rsid w:val="00163F3A"/>
    <w:rPr>
      <w:rFonts w:asciiTheme="minorHAnsi" w:hAnsiTheme="minorHAnsi"/>
      <w:b/>
      <w:sz w:val="32"/>
      <w:u w:val="single"/>
      <w:lang w:eastAsia="en-US"/>
    </w:rPr>
  </w:style>
  <w:style w:type="character" w:styleId="FollowedHyperlink">
    <w:name w:val="FollowedHyperlink"/>
    <w:basedOn w:val="DefaultParagraphFont"/>
    <w:uiPriority w:val="99"/>
    <w:semiHidden/>
    <w:unhideWhenUsed/>
    <w:rsid w:val="00F07143"/>
    <w:rPr>
      <w:color w:val="954F72" w:themeColor="followedHyperlink"/>
      <w:u w:val="single"/>
    </w:rPr>
  </w:style>
  <w:style w:type="character" w:styleId="Emphasis">
    <w:name w:val="Emphasis"/>
    <w:basedOn w:val="DefaultParagraphFont"/>
    <w:uiPriority w:val="20"/>
    <w:qFormat/>
    <w:rsid w:val="0000063A"/>
    <w:rPr>
      <w:i/>
      <w:iCs/>
    </w:rPr>
  </w:style>
  <w:style w:type="paragraph" w:customStyle="1" w:styleId="Tableentry">
    <w:name w:val="Table_entry"/>
    <w:basedOn w:val="Normal"/>
    <w:link w:val="TableentryChar"/>
    <w:qFormat/>
    <w:rsid w:val="00962FB2"/>
    <w:pPr>
      <w:spacing w:after="0"/>
    </w:pPr>
    <w:rPr>
      <w:rFonts w:ascii="Calibri" w:hAnsi="Calibri" w:cs="Calibri"/>
      <w:sz w:val="20"/>
      <w:szCs w:val="20"/>
    </w:rPr>
  </w:style>
  <w:style w:type="character" w:customStyle="1" w:styleId="TableentryChar">
    <w:name w:val="Table_entry Char"/>
    <w:link w:val="Tableentry"/>
    <w:rsid w:val="00962FB2"/>
    <w:rPr>
      <w:rFonts w:ascii="Calibri" w:hAnsi="Calibri" w:cs="Calibri"/>
    </w:rPr>
  </w:style>
  <w:style w:type="paragraph" w:styleId="Caption">
    <w:name w:val="caption"/>
    <w:basedOn w:val="Normal"/>
    <w:next w:val="Normal"/>
    <w:uiPriority w:val="35"/>
    <w:unhideWhenUsed/>
    <w:qFormat/>
    <w:rsid w:val="00B64938"/>
    <w:pPr>
      <w:spacing w:after="200" w:line="276" w:lineRule="auto"/>
    </w:pPr>
    <w:rPr>
      <w:rFonts w:ascii="Calibri" w:eastAsia="SimSun" w:hAnsi="Calibri"/>
      <w:b/>
      <w:bCs/>
      <w:sz w:val="20"/>
      <w:szCs w:val="20"/>
      <w:lang w:eastAsia="zh-CN"/>
    </w:rPr>
  </w:style>
  <w:style w:type="paragraph" w:customStyle="1" w:styleId="ReportHeading1">
    <w:name w:val="Report Heading 1"/>
    <w:basedOn w:val="Title"/>
    <w:link w:val="ReportHeading1Char"/>
    <w:qFormat/>
    <w:rsid w:val="00F702F2"/>
    <w:pPr>
      <w:pBdr>
        <w:bottom w:val="single" w:sz="4" w:space="4" w:color="44C8F5"/>
      </w:pBdr>
      <w:spacing w:after="300"/>
    </w:pPr>
    <w:rPr>
      <w:rFonts w:ascii="Cambria" w:eastAsia="Times New Roman" w:hAnsi="Cambria" w:cs="Times New Roman"/>
      <w:spacing w:val="5"/>
      <w:sz w:val="52"/>
      <w:szCs w:val="52"/>
      <w:lang w:eastAsia="en-US"/>
    </w:rPr>
  </w:style>
  <w:style w:type="character" w:customStyle="1" w:styleId="ReportHeading1Char">
    <w:name w:val="Report Heading 1 Char"/>
    <w:link w:val="ReportHeading1"/>
    <w:rsid w:val="00F702F2"/>
    <w:rPr>
      <w:rFonts w:ascii="Cambria" w:hAnsi="Cambria"/>
      <w:spacing w:val="5"/>
      <w:kern w:val="28"/>
      <w:sz w:val="52"/>
      <w:szCs w:val="52"/>
      <w:lang w:eastAsia="en-US"/>
    </w:rPr>
  </w:style>
  <w:style w:type="paragraph" w:customStyle="1" w:styleId="ReportHeading4">
    <w:name w:val="Report Heading 4"/>
    <w:basedOn w:val="Heading5"/>
    <w:link w:val="ReportHeading4Char"/>
    <w:qFormat/>
    <w:rsid w:val="00F702F2"/>
    <w:pPr>
      <w:numPr>
        <w:ilvl w:val="0"/>
        <w:numId w:val="0"/>
      </w:numPr>
      <w:spacing w:before="200" w:after="0" w:line="276" w:lineRule="auto"/>
    </w:pPr>
    <w:rPr>
      <w:rFonts w:ascii="Cambria" w:eastAsia="Times New Roman" w:hAnsi="Cambria" w:cs="Times New Roman"/>
      <w:b/>
      <w:color w:val="44C8F5"/>
      <w:sz w:val="24"/>
      <w:lang w:eastAsia="en-US"/>
    </w:rPr>
  </w:style>
  <w:style w:type="character" w:customStyle="1" w:styleId="ReportHeading4Char">
    <w:name w:val="Report Heading 4 Char"/>
    <w:link w:val="ReportHeading4"/>
    <w:rsid w:val="00F702F2"/>
    <w:rPr>
      <w:rFonts w:ascii="Cambria" w:hAnsi="Cambria"/>
      <w:b/>
      <w:color w:val="44C8F5"/>
      <w:sz w:val="24"/>
      <w:szCs w:val="24"/>
      <w:lang w:eastAsia="en-US"/>
    </w:rPr>
  </w:style>
  <w:style w:type="paragraph" w:customStyle="1" w:styleId="ReportHeading5">
    <w:name w:val="Report Heading 5"/>
    <w:basedOn w:val="Normal"/>
    <w:link w:val="ReportHeading5Char"/>
    <w:qFormat/>
    <w:rsid w:val="00822B3D"/>
    <w:pPr>
      <w:keepNext/>
      <w:spacing w:after="0" w:line="276" w:lineRule="auto"/>
    </w:pPr>
    <w:rPr>
      <w:rFonts w:ascii="Calibri" w:eastAsia="Calibri" w:hAnsi="Calibri"/>
      <w:b/>
      <w:szCs w:val="22"/>
      <w:lang w:eastAsia="en-US"/>
    </w:rPr>
  </w:style>
  <w:style w:type="character" w:customStyle="1" w:styleId="ReportHeading5Char">
    <w:name w:val="Report Heading 5 Char"/>
    <w:link w:val="ReportHeading5"/>
    <w:rsid w:val="00822B3D"/>
    <w:rPr>
      <w:rFonts w:ascii="Calibri" w:eastAsia="Calibri" w:hAnsi="Calibri"/>
      <w:b/>
      <w:sz w:val="22"/>
      <w:szCs w:val="22"/>
      <w:lang w:eastAsia="en-US"/>
    </w:rPr>
  </w:style>
  <w:style w:type="paragraph" w:styleId="Revision">
    <w:name w:val="Revision"/>
    <w:hidden/>
    <w:uiPriority w:val="99"/>
    <w:semiHidden/>
    <w:rsid w:val="008E44DC"/>
    <w:rPr>
      <w:rFonts w:asciiTheme="minorHAnsi" w:hAnsiTheme="minorHAnsi"/>
      <w:sz w:val="22"/>
      <w:szCs w:val="24"/>
    </w:rPr>
  </w:style>
  <w:style w:type="paragraph" w:styleId="NormalWeb">
    <w:name w:val="Normal (Web)"/>
    <w:basedOn w:val="Normal"/>
    <w:uiPriority w:val="99"/>
    <w:semiHidden/>
    <w:unhideWhenUsed/>
    <w:rsid w:val="003921A6"/>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48"/>
    <w:pPr>
      <w:spacing w:after="120"/>
    </w:pPr>
    <w:rPr>
      <w:rFonts w:asciiTheme="minorHAnsi" w:hAnsiTheme="minorHAnsi"/>
      <w:sz w:val="22"/>
      <w:szCs w:val="24"/>
    </w:rPr>
  </w:style>
  <w:style w:type="paragraph" w:styleId="Heading1">
    <w:name w:val="heading 1"/>
    <w:basedOn w:val="Normal"/>
    <w:next w:val="Normal"/>
    <w:link w:val="Heading1Char"/>
    <w:uiPriority w:val="9"/>
    <w:qFormat/>
    <w:rsid w:val="00AC0E95"/>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0E9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0E95"/>
    <w:pPr>
      <w:keepNext/>
      <w:keepLines/>
      <w:numPr>
        <w:ilvl w:val="2"/>
        <w:numId w:val="1"/>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AC0E95"/>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0E95"/>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0E95"/>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0E95"/>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0E9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0E9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0E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E9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0E9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C0E95"/>
    <w:pPr>
      <w:ind w:left="720"/>
      <w:contextualSpacing/>
    </w:pPr>
  </w:style>
  <w:style w:type="character" w:customStyle="1" w:styleId="Heading2Char">
    <w:name w:val="Heading 2 Char"/>
    <w:basedOn w:val="DefaultParagraphFont"/>
    <w:link w:val="Heading2"/>
    <w:uiPriority w:val="9"/>
    <w:rsid w:val="00AC0E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C0E9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C0E95"/>
    <w:rPr>
      <w:rFonts w:asciiTheme="majorHAnsi" w:eastAsiaTheme="majorEastAsia" w:hAnsiTheme="majorHAnsi" w:cstheme="majorBidi"/>
      <w:i/>
      <w:iCs/>
      <w:color w:val="2E74B5" w:themeColor="accent1" w:themeShade="BF"/>
      <w:sz w:val="22"/>
      <w:szCs w:val="24"/>
    </w:rPr>
  </w:style>
  <w:style w:type="character" w:customStyle="1" w:styleId="Heading5Char">
    <w:name w:val="Heading 5 Char"/>
    <w:basedOn w:val="DefaultParagraphFont"/>
    <w:link w:val="Heading5"/>
    <w:uiPriority w:val="9"/>
    <w:semiHidden/>
    <w:rsid w:val="00AC0E95"/>
    <w:rPr>
      <w:rFonts w:asciiTheme="majorHAnsi" w:eastAsiaTheme="majorEastAsia" w:hAnsiTheme="majorHAnsi" w:cstheme="majorBidi"/>
      <w:color w:val="2E74B5" w:themeColor="accent1" w:themeShade="BF"/>
      <w:sz w:val="22"/>
      <w:szCs w:val="24"/>
    </w:rPr>
  </w:style>
  <w:style w:type="character" w:customStyle="1" w:styleId="Heading6Char">
    <w:name w:val="Heading 6 Char"/>
    <w:basedOn w:val="DefaultParagraphFont"/>
    <w:link w:val="Heading6"/>
    <w:uiPriority w:val="9"/>
    <w:semiHidden/>
    <w:rsid w:val="00AC0E95"/>
    <w:rPr>
      <w:rFonts w:asciiTheme="majorHAnsi" w:eastAsiaTheme="majorEastAsia" w:hAnsiTheme="majorHAnsi" w:cstheme="majorBidi"/>
      <w:color w:val="1F4D78" w:themeColor="accent1" w:themeShade="7F"/>
      <w:sz w:val="22"/>
      <w:szCs w:val="24"/>
    </w:rPr>
  </w:style>
  <w:style w:type="character" w:customStyle="1" w:styleId="Heading7Char">
    <w:name w:val="Heading 7 Char"/>
    <w:basedOn w:val="DefaultParagraphFont"/>
    <w:link w:val="Heading7"/>
    <w:uiPriority w:val="9"/>
    <w:semiHidden/>
    <w:rsid w:val="00AC0E95"/>
    <w:rPr>
      <w:rFonts w:asciiTheme="majorHAnsi" w:eastAsiaTheme="majorEastAsia" w:hAnsiTheme="majorHAnsi" w:cstheme="majorBidi"/>
      <w:i/>
      <w:iCs/>
      <w:color w:val="1F4D78" w:themeColor="accent1" w:themeShade="7F"/>
      <w:sz w:val="22"/>
      <w:szCs w:val="24"/>
    </w:rPr>
  </w:style>
  <w:style w:type="character" w:customStyle="1" w:styleId="Heading8Char">
    <w:name w:val="Heading 8 Char"/>
    <w:basedOn w:val="DefaultParagraphFont"/>
    <w:link w:val="Heading8"/>
    <w:uiPriority w:val="9"/>
    <w:semiHidden/>
    <w:rsid w:val="00AC0E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0E9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16182B"/>
    <w:rPr>
      <w:sz w:val="16"/>
      <w:szCs w:val="16"/>
    </w:rPr>
  </w:style>
  <w:style w:type="paragraph" w:styleId="CommentText">
    <w:name w:val="annotation text"/>
    <w:basedOn w:val="Normal"/>
    <w:link w:val="CommentTextChar"/>
    <w:uiPriority w:val="99"/>
    <w:unhideWhenUsed/>
    <w:rsid w:val="0016182B"/>
  </w:style>
  <w:style w:type="character" w:customStyle="1" w:styleId="CommentTextChar">
    <w:name w:val="Comment Text Char"/>
    <w:basedOn w:val="DefaultParagraphFont"/>
    <w:link w:val="CommentText"/>
    <w:uiPriority w:val="99"/>
    <w:rsid w:val="0016182B"/>
  </w:style>
  <w:style w:type="paragraph" w:styleId="CommentSubject">
    <w:name w:val="annotation subject"/>
    <w:basedOn w:val="CommentText"/>
    <w:next w:val="CommentText"/>
    <w:link w:val="CommentSubjectChar"/>
    <w:uiPriority w:val="99"/>
    <w:semiHidden/>
    <w:unhideWhenUsed/>
    <w:rsid w:val="0016182B"/>
    <w:rPr>
      <w:b/>
      <w:bCs/>
    </w:rPr>
  </w:style>
  <w:style w:type="character" w:customStyle="1" w:styleId="CommentSubjectChar">
    <w:name w:val="Comment Subject Char"/>
    <w:basedOn w:val="CommentTextChar"/>
    <w:link w:val="CommentSubject"/>
    <w:uiPriority w:val="99"/>
    <w:semiHidden/>
    <w:rsid w:val="0016182B"/>
    <w:rPr>
      <w:b/>
      <w:bCs/>
    </w:rPr>
  </w:style>
  <w:style w:type="paragraph" w:styleId="BalloonText">
    <w:name w:val="Balloon Text"/>
    <w:basedOn w:val="Normal"/>
    <w:link w:val="BalloonTextChar"/>
    <w:uiPriority w:val="99"/>
    <w:semiHidden/>
    <w:unhideWhenUsed/>
    <w:rsid w:val="00161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2B"/>
    <w:rPr>
      <w:rFonts w:ascii="Segoe UI" w:hAnsi="Segoe UI" w:cs="Segoe UI"/>
      <w:sz w:val="18"/>
      <w:szCs w:val="18"/>
    </w:rPr>
  </w:style>
  <w:style w:type="table" w:customStyle="1" w:styleId="TableGrid2">
    <w:name w:val="Table Grid2"/>
    <w:basedOn w:val="TableNormal"/>
    <w:next w:val="TableGrid"/>
    <w:uiPriority w:val="39"/>
    <w:rsid w:val="00FA59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A5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59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9A2A51"/>
  </w:style>
  <w:style w:type="character" w:customStyle="1" w:styleId="FootnoteTextChar">
    <w:name w:val="Footnote Text Char"/>
    <w:basedOn w:val="DefaultParagraphFont"/>
    <w:link w:val="FootnoteText"/>
    <w:uiPriority w:val="99"/>
    <w:semiHidden/>
    <w:rsid w:val="009A2A51"/>
  </w:style>
  <w:style w:type="table" w:customStyle="1" w:styleId="TableGrid1">
    <w:name w:val="Table Grid1"/>
    <w:basedOn w:val="TableNormal"/>
    <w:next w:val="TableGrid"/>
    <w:uiPriority w:val="39"/>
    <w:rsid w:val="009A2A5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rsid w:val="009A2A51"/>
    <w:rPr>
      <w:vertAlign w:val="superscript"/>
    </w:rPr>
  </w:style>
  <w:style w:type="paragraph" w:customStyle="1" w:styleId="NRStablebold">
    <w:name w:val="NRS table bold"/>
    <w:basedOn w:val="Normal"/>
    <w:link w:val="NRStableboldChar"/>
    <w:uiPriority w:val="99"/>
    <w:qFormat/>
    <w:rsid w:val="00260978"/>
    <w:pPr>
      <w:spacing w:before="40" w:after="20"/>
      <w:ind w:left="57"/>
    </w:pPr>
    <w:rPr>
      <w:rFonts w:ascii="Calibri" w:eastAsia="Calibri" w:hAnsi="Calibri"/>
      <w:b/>
      <w:szCs w:val="22"/>
      <w:lang w:eastAsia="en-US"/>
    </w:rPr>
  </w:style>
  <w:style w:type="character" w:customStyle="1" w:styleId="NRStableboldChar">
    <w:name w:val="NRS table bold Char"/>
    <w:basedOn w:val="DefaultParagraphFont"/>
    <w:link w:val="NRStablebold"/>
    <w:uiPriority w:val="99"/>
    <w:rsid w:val="00260978"/>
    <w:rPr>
      <w:rFonts w:ascii="Calibri" w:eastAsia="Calibri" w:hAnsi="Calibri"/>
      <w:b/>
      <w:szCs w:val="22"/>
      <w:lang w:eastAsia="en-US"/>
    </w:rPr>
  </w:style>
  <w:style w:type="paragraph" w:customStyle="1" w:styleId="NRStableboldcentered">
    <w:name w:val="NRS table bold centered"/>
    <w:basedOn w:val="NRStablebold"/>
    <w:qFormat/>
    <w:rsid w:val="00041EAE"/>
    <w:pPr>
      <w:jc w:val="center"/>
    </w:pPr>
  </w:style>
  <w:style w:type="paragraph" w:styleId="Header">
    <w:name w:val="header"/>
    <w:basedOn w:val="Normal"/>
    <w:link w:val="HeaderChar"/>
    <w:uiPriority w:val="99"/>
    <w:unhideWhenUsed/>
    <w:rsid w:val="00715B1B"/>
    <w:pPr>
      <w:tabs>
        <w:tab w:val="center" w:pos="4513"/>
        <w:tab w:val="right" w:pos="9026"/>
      </w:tabs>
    </w:pPr>
  </w:style>
  <w:style w:type="character" w:customStyle="1" w:styleId="HeaderChar">
    <w:name w:val="Header Char"/>
    <w:basedOn w:val="DefaultParagraphFont"/>
    <w:link w:val="Header"/>
    <w:uiPriority w:val="99"/>
    <w:rsid w:val="00715B1B"/>
  </w:style>
  <w:style w:type="paragraph" w:styleId="Footer">
    <w:name w:val="footer"/>
    <w:basedOn w:val="Normal"/>
    <w:link w:val="FooterChar"/>
    <w:uiPriority w:val="99"/>
    <w:unhideWhenUsed/>
    <w:rsid w:val="00715B1B"/>
    <w:pPr>
      <w:tabs>
        <w:tab w:val="center" w:pos="4513"/>
        <w:tab w:val="right" w:pos="9026"/>
      </w:tabs>
    </w:pPr>
  </w:style>
  <w:style w:type="character" w:customStyle="1" w:styleId="FooterChar">
    <w:name w:val="Footer Char"/>
    <w:basedOn w:val="DefaultParagraphFont"/>
    <w:link w:val="Footer"/>
    <w:uiPriority w:val="99"/>
    <w:rsid w:val="00715B1B"/>
  </w:style>
  <w:style w:type="paragraph" w:customStyle="1" w:styleId="footnote">
    <w:name w:val="footnote"/>
    <w:basedOn w:val="FootnoteText"/>
    <w:link w:val="footnoteChar"/>
    <w:qFormat/>
    <w:rsid w:val="00E06760"/>
    <w:rPr>
      <w:i/>
    </w:rPr>
  </w:style>
  <w:style w:type="character" w:customStyle="1" w:styleId="footnoteChar">
    <w:name w:val="footnote Char"/>
    <w:basedOn w:val="FootnoteTextChar"/>
    <w:link w:val="footnote"/>
    <w:rsid w:val="00E06760"/>
    <w:rPr>
      <w:rFonts w:asciiTheme="minorHAnsi" w:hAnsiTheme="minorHAnsi"/>
      <w:i/>
    </w:rPr>
  </w:style>
  <w:style w:type="character" w:styleId="Hyperlink">
    <w:name w:val="Hyperlink"/>
    <w:basedOn w:val="DefaultParagraphFont"/>
    <w:uiPriority w:val="99"/>
    <w:unhideWhenUsed/>
    <w:rsid w:val="004A244D"/>
    <w:rPr>
      <w:color w:val="0563C1" w:themeColor="hyperlink"/>
      <w:u w:val="single"/>
    </w:rPr>
  </w:style>
  <w:style w:type="paragraph" w:styleId="Subtitle">
    <w:name w:val="Subtitle"/>
    <w:basedOn w:val="Normal"/>
    <w:link w:val="SubtitleChar"/>
    <w:qFormat/>
    <w:rsid w:val="00163F3A"/>
    <w:rPr>
      <w:b/>
      <w:sz w:val="32"/>
      <w:u w:val="single"/>
      <w:lang w:eastAsia="en-US"/>
    </w:rPr>
  </w:style>
  <w:style w:type="character" w:customStyle="1" w:styleId="SubtitleChar">
    <w:name w:val="Subtitle Char"/>
    <w:basedOn w:val="DefaultParagraphFont"/>
    <w:link w:val="Subtitle"/>
    <w:rsid w:val="00163F3A"/>
    <w:rPr>
      <w:rFonts w:asciiTheme="minorHAnsi" w:hAnsiTheme="minorHAnsi"/>
      <w:b/>
      <w:sz w:val="32"/>
      <w:u w:val="single"/>
      <w:lang w:eastAsia="en-US"/>
    </w:rPr>
  </w:style>
  <w:style w:type="character" w:styleId="FollowedHyperlink">
    <w:name w:val="FollowedHyperlink"/>
    <w:basedOn w:val="DefaultParagraphFont"/>
    <w:uiPriority w:val="99"/>
    <w:semiHidden/>
    <w:unhideWhenUsed/>
    <w:rsid w:val="00F07143"/>
    <w:rPr>
      <w:color w:val="954F72" w:themeColor="followedHyperlink"/>
      <w:u w:val="single"/>
    </w:rPr>
  </w:style>
  <w:style w:type="character" w:styleId="Emphasis">
    <w:name w:val="Emphasis"/>
    <w:basedOn w:val="DefaultParagraphFont"/>
    <w:uiPriority w:val="20"/>
    <w:qFormat/>
    <w:rsid w:val="0000063A"/>
    <w:rPr>
      <w:i/>
      <w:iCs/>
    </w:rPr>
  </w:style>
  <w:style w:type="paragraph" w:customStyle="1" w:styleId="Tableentry">
    <w:name w:val="Table_entry"/>
    <w:basedOn w:val="Normal"/>
    <w:link w:val="TableentryChar"/>
    <w:qFormat/>
    <w:rsid w:val="00962FB2"/>
    <w:pPr>
      <w:spacing w:after="0"/>
    </w:pPr>
    <w:rPr>
      <w:rFonts w:ascii="Calibri" w:hAnsi="Calibri" w:cs="Calibri"/>
      <w:sz w:val="20"/>
      <w:szCs w:val="20"/>
    </w:rPr>
  </w:style>
  <w:style w:type="character" w:customStyle="1" w:styleId="TableentryChar">
    <w:name w:val="Table_entry Char"/>
    <w:link w:val="Tableentry"/>
    <w:rsid w:val="00962FB2"/>
    <w:rPr>
      <w:rFonts w:ascii="Calibri" w:hAnsi="Calibri" w:cs="Calibri"/>
    </w:rPr>
  </w:style>
  <w:style w:type="paragraph" w:styleId="Caption">
    <w:name w:val="caption"/>
    <w:basedOn w:val="Normal"/>
    <w:next w:val="Normal"/>
    <w:uiPriority w:val="35"/>
    <w:unhideWhenUsed/>
    <w:qFormat/>
    <w:rsid w:val="00B64938"/>
    <w:pPr>
      <w:spacing w:after="200" w:line="276" w:lineRule="auto"/>
    </w:pPr>
    <w:rPr>
      <w:rFonts w:ascii="Calibri" w:eastAsia="SimSun" w:hAnsi="Calibri"/>
      <w:b/>
      <w:bCs/>
      <w:sz w:val="20"/>
      <w:szCs w:val="20"/>
      <w:lang w:eastAsia="zh-CN"/>
    </w:rPr>
  </w:style>
  <w:style w:type="paragraph" w:customStyle="1" w:styleId="ReportHeading1">
    <w:name w:val="Report Heading 1"/>
    <w:basedOn w:val="Title"/>
    <w:link w:val="ReportHeading1Char"/>
    <w:qFormat/>
    <w:rsid w:val="00F702F2"/>
    <w:pPr>
      <w:pBdr>
        <w:bottom w:val="single" w:sz="4" w:space="4" w:color="44C8F5"/>
      </w:pBdr>
      <w:spacing w:after="300"/>
    </w:pPr>
    <w:rPr>
      <w:rFonts w:ascii="Cambria" w:eastAsia="Times New Roman" w:hAnsi="Cambria" w:cs="Times New Roman"/>
      <w:spacing w:val="5"/>
      <w:sz w:val="52"/>
      <w:szCs w:val="52"/>
      <w:lang w:eastAsia="en-US"/>
    </w:rPr>
  </w:style>
  <w:style w:type="character" w:customStyle="1" w:styleId="ReportHeading1Char">
    <w:name w:val="Report Heading 1 Char"/>
    <w:link w:val="ReportHeading1"/>
    <w:rsid w:val="00F702F2"/>
    <w:rPr>
      <w:rFonts w:ascii="Cambria" w:hAnsi="Cambria"/>
      <w:spacing w:val="5"/>
      <w:kern w:val="28"/>
      <w:sz w:val="52"/>
      <w:szCs w:val="52"/>
      <w:lang w:eastAsia="en-US"/>
    </w:rPr>
  </w:style>
  <w:style w:type="paragraph" w:customStyle="1" w:styleId="ReportHeading4">
    <w:name w:val="Report Heading 4"/>
    <w:basedOn w:val="Heading5"/>
    <w:link w:val="ReportHeading4Char"/>
    <w:qFormat/>
    <w:rsid w:val="00F702F2"/>
    <w:pPr>
      <w:numPr>
        <w:ilvl w:val="0"/>
        <w:numId w:val="0"/>
      </w:numPr>
      <w:spacing w:before="200" w:after="0" w:line="276" w:lineRule="auto"/>
    </w:pPr>
    <w:rPr>
      <w:rFonts w:ascii="Cambria" w:eastAsia="Times New Roman" w:hAnsi="Cambria" w:cs="Times New Roman"/>
      <w:b/>
      <w:color w:val="44C8F5"/>
      <w:sz w:val="24"/>
      <w:lang w:eastAsia="en-US"/>
    </w:rPr>
  </w:style>
  <w:style w:type="character" w:customStyle="1" w:styleId="ReportHeading4Char">
    <w:name w:val="Report Heading 4 Char"/>
    <w:link w:val="ReportHeading4"/>
    <w:rsid w:val="00F702F2"/>
    <w:rPr>
      <w:rFonts w:ascii="Cambria" w:hAnsi="Cambria"/>
      <w:b/>
      <w:color w:val="44C8F5"/>
      <w:sz w:val="24"/>
      <w:szCs w:val="24"/>
      <w:lang w:eastAsia="en-US"/>
    </w:rPr>
  </w:style>
  <w:style w:type="paragraph" w:customStyle="1" w:styleId="ReportHeading5">
    <w:name w:val="Report Heading 5"/>
    <w:basedOn w:val="Normal"/>
    <w:link w:val="ReportHeading5Char"/>
    <w:qFormat/>
    <w:rsid w:val="00822B3D"/>
    <w:pPr>
      <w:keepNext/>
      <w:spacing w:after="0" w:line="276" w:lineRule="auto"/>
    </w:pPr>
    <w:rPr>
      <w:rFonts w:ascii="Calibri" w:eastAsia="Calibri" w:hAnsi="Calibri"/>
      <w:b/>
      <w:szCs w:val="22"/>
      <w:lang w:eastAsia="en-US"/>
    </w:rPr>
  </w:style>
  <w:style w:type="character" w:customStyle="1" w:styleId="ReportHeading5Char">
    <w:name w:val="Report Heading 5 Char"/>
    <w:link w:val="ReportHeading5"/>
    <w:rsid w:val="00822B3D"/>
    <w:rPr>
      <w:rFonts w:ascii="Calibri" w:eastAsia="Calibri" w:hAnsi="Calibri"/>
      <w:b/>
      <w:sz w:val="22"/>
      <w:szCs w:val="22"/>
      <w:lang w:eastAsia="en-US"/>
    </w:rPr>
  </w:style>
  <w:style w:type="paragraph" w:styleId="Revision">
    <w:name w:val="Revision"/>
    <w:hidden/>
    <w:uiPriority w:val="99"/>
    <w:semiHidden/>
    <w:rsid w:val="008E44DC"/>
    <w:rPr>
      <w:rFonts w:asciiTheme="minorHAnsi" w:hAnsiTheme="minorHAnsi"/>
      <w:sz w:val="22"/>
      <w:szCs w:val="24"/>
    </w:rPr>
  </w:style>
  <w:style w:type="paragraph" w:styleId="NormalWeb">
    <w:name w:val="Normal (Web)"/>
    <w:basedOn w:val="Normal"/>
    <w:uiPriority w:val="99"/>
    <w:semiHidden/>
    <w:unhideWhenUsed/>
    <w:rsid w:val="003921A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965">
      <w:bodyDiv w:val="1"/>
      <w:marLeft w:val="0"/>
      <w:marRight w:val="0"/>
      <w:marTop w:val="0"/>
      <w:marBottom w:val="0"/>
      <w:divBdr>
        <w:top w:val="none" w:sz="0" w:space="0" w:color="auto"/>
        <w:left w:val="none" w:sz="0" w:space="0" w:color="auto"/>
        <w:bottom w:val="none" w:sz="0" w:space="0" w:color="auto"/>
        <w:right w:val="none" w:sz="0" w:space="0" w:color="auto"/>
      </w:divBdr>
    </w:div>
    <w:div w:id="104278058">
      <w:bodyDiv w:val="1"/>
      <w:marLeft w:val="0"/>
      <w:marRight w:val="0"/>
      <w:marTop w:val="0"/>
      <w:marBottom w:val="0"/>
      <w:divBdr>
        <w:top w:val="none" w:sz="0" w:space="0" w:color="auto"/>
        <w:left w:val="none" w:sz="0" w:space="0" w:color="auto"/>
        <w:bottom w:val="none" w:sz="0" w:space="0" w:color="auto"/>
        <w:right w:val="none" w:sz="0" w:space="0" w:color="auto"/>
      </w:divBdr>
    </w:div>
    <w:div w:id="111944563">
      <w:bodyDiv w:val="1"/>
      <w:marLeft w:val="0"/>
      <w:marRight w:val="0"/>
      <w:marTop w:val="0"/>
      <w:marBottom w:val="0"/>
      <w:divBdr>
        <w:top w:val="none" w:sz="0" w:space="0" w:color="auto"/>
        <w:left w:val="none" w:sz="0" w:space="0" w:color="auto"/>
        <w:bottom w:val="none" w:sz="0" w:space="0" w:color="auto"/>
        <w:right w:val="none" w:sz="0" w:space="0" w:color="auto"/>
      </w:divBdr>
    </w:div>
    <w:div w:id="139079507">
      <w:bodyDiv w:val="1"/>
      <w:marLeft w:val="0"/>
      <w:marRight w:val="0"/>
      <w:marTop w:val="0"/>
      <w:marBottom w:val="0"/>
      <w:divBdr>
        <w:top w:val="none" w:sz="0" w:space="0" w:color="auto"/>
        <w:left w:val="none" w:sz="0" w:space="0" w:color="auto"/>
        <w:bottom w:val="none" w:sz="0" w:space="0" w:color="auto"/>
        <w:right w:val="none" w:sz="0" w:space="0" w:color="auto"/>
      </w:divBdr>
    </w:div>
    <w:div w:id="159347847">
      <w:bodyDiv w:val="1"/>
      <w:marLeft w:val="0"/>
      <w:marRight w:val="0"/>
      <w:marTop w:val="0"/>
      <w:marBottom w:val="0"/>
      <w:divBdr>
        <w:top w:val="none" w:sz="0" w:space="0" w:color="auto"/>
        <w:left w:val="none" w:sz="0" w:space="0" w:color="auto"/>
        <w:bottom w:val="none" w:sz="0" w:space="0" w:color="auto"/>
        <w:right w:val="none" w:sz="0" w:space="0" w:color="auto"/>
      </w:divBdr>
    </w:div>
    <w:div w:id="211962851">
      <w:bodyDiv w:val="1"/>
      <w:marLeft w:val="0"/>
      <w:marRight w:val="0"/>
      <w:marTop w:val="0"/>
      <w:marBottom w:val="0"/>
      <w:divBdr>
        <w:top w:val="none" w:sz="0" w:space="0" w:color="auto"/>
        <w:left w:val="none" w:sz="0" w:space="0" w:color="auto"/>
        <w:bottom w:val="none" w:sz="0" w:space="0" w:color="auto"/>
        <w:right w:val="none" w:sz="0" w:space="0" w:color="auto"/>
      </w:divBdr>
    </w:div>
    <w:div w:id="273902862">
      <w:bodyDiv w:val="1"/>
      <w:marLeft w:val="0"/>
      <w:marRight w:val="0"/>
      <w:marTop w:val="0"/>
      <w:marBottom w:val="0"/>
      <w:divBdr>
        <w:top w:val="none" w:sz="0" w:space="0" w:color="auto"/>
        <w:left w:val="none" w:sz="0" w:space="0" w:color="auto"/>
        <w:bottom w:val="none" w:sz="0" w:space="0" w:color="auto"/>
        <w:right w:val="none" w:sz="0" w:space="0" w:color="auto"/>
      </w:divBdr>
    </w:div>
    <w:div w:id="411969213">
      <w:bodyDiv w:val="1"/>
      <w:marLeft w:val="0"/>
      <w:marRight w:val="0"/>
      <w:marTop w:val="0"/>
      <w:marBottom w:val="0"/>
      <w:divBdr>
        <w:top w:val="none" w:sz="0" w:space="0" w:color="auto"/>
        <w:left w:val="none" w:sz="0" w:space="0" w:color="auto"/>
        <w:bottom w:val="none" w:sz="0" w:space="0" w:color="auto"/>
        <w:right w:val="none" w:sz="0" w:space="0" w:color="auto"/>
      </w:divBdr>
    </w:div>
    <w:div w:id="452792905">
      <w:bodyDiv w:val="1"/>
      <w:marLeft w:val="0"/>
      <w:marRight w:val="0"/>
      <w:marTop w:val="0"/>
      <w:marBottom w:val="0"/>
      <w:divBdr>
        <w:top w:val="none" w:sz="0" w:space="0" w:color="auto"/>
        <w:left w:val="none" w:sz="0" w:space="0" w:color="auto"/>
        <w:bottom w:val="none" w:sz="0" w:space="0" w:color="auto"/>
        <w:right w:val="none" w:sz="0" w:space="0" w:color="auto"/>
      </w:divBdr>
    </w:div>
    <w:div w:id="458299154">
      <w:bodyDiv w:val="1"/>
      <w:marLeft w:val="0"/>
      <w:marRight w:val="0"/>
      <w:marTop w:val="0"/>
      <w:marBottom w:val="0"/>
      <w:divBdr>
        <w:top w:val="none" w:sz="0" w:space="0" w:color="auto"/>
        <w:left w:val="none" w:sz="0" w:space="0" w:color="auto"/>
        <w:bottom w:val="none" w:sz="0" w:space="0" w:color="auto"/>
        <w:right w:val="none" w:sz="0" w:space="0" w:color="auto"/>
      </w:divBdr>
    </w:div>
    <w:div w:id="470827472">
      <w:bodyDiv w:val="1"/>
      <w:marLeft w:val="0"/>
      <w:marRight w:val="0"/>
      <w:marTop w:val="0"/>
      <w:marBottom w:val="0"/>
      <w:divBdr>
        <w:top w:val="none" w:sz="0" w:space="0" w:color="auto"/>
        <w:left w:val="none" w:sz="0" w:space="0" w:color="auto"/>
        <w:bottom w:val="none" w:sz="0" w:space="0" w:color="auto"/>
        <w:right w:val="none" w:sz="0" w:space="0" w:color="auto"/>
      </w:divBdr>
    </w:div>
    <w:div w:id="519785872">
      <w:bodyDiv w:val="1"/>
      <w:marLeft w:val="0"/>
      <w:marRight w:val="0"/>
      <w:marTop w:val="0"/>
      <w:marBottom w:val="0"/>
      <w:divBdr>
        <w:top w:val="none" w:sz="0" w:space="0" w:color="auto"/>
        <w:left w:val="none" w:sz="0" w:space="0" w:color="auto"/>
        <w:bottom w:val="none" w:sz="0" w:space="0" w:color="auto"/>
        <w:right w:val="none" w:sz="0" w:space="0" w:color="auto"/>
      </w:divBdr>
    </w:div>
    <w:div w:id="572475509">
      <w:bodyDiv w:val="1"/>
      <w:marLeft w:val="0"/>
      <w:marRight w:val="0"/>
      <w:marTop w:val="0"/>
      <w:marBottom w:val="0"/>
      <w:divBdr>
        <w:top w:val="none" w:sz="0" w:space="0" w:color="auto"/>
        <w:left w:val="none" w:sz="0" w:space="0" w:color="auto"/>
        <w:bottom w:val="none" w:sz="0" w:space="0" w:color="auto"/>
        <w:right w:val="none" w:sz="0" w:space="0" w:color="auto"/>
      </w:divBdr>
    </w:div>
    <w:div w:id="578560178">
      <w:bodyDiv w:val="1"/>
      <w:marLeft w:val="0"/>
      <w:marRight w:val="0"/>
      <w:marTop w:val="0"/>
      <w:marBottom w:val="0"/>
      <w:divBdr>
        <w:top w:val="none" w:sz="0" w:space="0" w:color="auto"/>
        <w:left w:val="none" w:sz="0" w:space="0" w:color="auto"/>
        <w:bottom w:val="none" w:sz="0" w:space="0" w:color="auto"/>
        <w:right w:val="none" w:sz="0" w:space="0" w:color="auto"/>
      </w:divBdr>
    </w:div>
    <w:div w:id="654726878">
      <w:bodyDiv w:val="1"/>
      <w:marLeft w:val="0"/>
      <w:marRight w:val="0"/>
      <w:marTop w:val="0"/>
      <w:marBottom w:val="0"/>
      <w:divBdr>
        <w:top w:val="none" w:sz="0" w:space="0" w:color="auto"/>
        <w:left w:val="none" w:sz="0" w:space="0" w:color="auto"/>
        <w:bottom w:val="none" w:sz="0" w:space="0" w:color="auto"/>
        <w:right w:val="none" w:sz="0" w:space="0" w:color="auto"/>
      </w:divBdr>
    </w:div>
    <w:div w:id="688681439">
      <w:bodyDiv w:val="1"/>
      <w:marLeft w:val="0"/>
      <w:marRight w:val="0"/>
      <w:marTop w:val="0"/>
      <w:marBottom w:val="0"/>
      <w:divBdr>
        <w:top w:val="none" w:sz="0" w:space="0" w:color="auto"/>
        <w:left w:val="none" w:sz="0" w:space="0" w:color="auto"/>
        <w:bottom w:val="none" w:sz="0" w:space="0" w:color="auto"/>
        <w:right w:val="none" w:sz="0" w:space="0" w:color="auto"/>
      </w:divBdr>
    </w:div>
    <w:div w:id="760950417">
      <w:bodyDiv w:val="1"/>
      <w:marLeft w:val="0"/>
      <w:marRight w:val="0"/>
      <w:marTop w:val="0"/>
      <w:marBottom w:val="0"/>
      <w:divBdr>
        <w:top w:val="none" w:sz="0" w:space="0" w:color="auto"/>
        <w:left w:val="none" w:sz="0" w:space="0" w:color="auto"/>
        <w:bottom w:val="none" w:sz="0" w:space="0" w:color="auto"/>
        <w:right w:val="none" w:sz="0" w:space="0" w:color="auto"/>
      </w:divBdr>
    </w:div>
    <w:div w:id="828249955">
      <w:bodyDiv w:val="1"/>
      <w:marLeft w:val="0"/>
      <w:marRight w:val="0"/>
      <w:marTop w:val="0"/>
      <w:marBottom w:val="0"/>
      <w:divBdr>
        <w:top w:val="none" w:sz="0" w:space="0" w:color="auto"/>
        <w:left w:val="none" w:sz="0" w:space="0" w:color="auto"/>
        <w:bottom w:val="none" w:sz="0" w:space="0" w:color="auto"/>
        <w:right w:val="none" w:sz="0" w:space="0" w:color="auto"/>
      </w:divBdr>
    </w:div>
    <w:div w:id="843478801">
      <w:bodyDiv w:val="1"/>
      <w:marLeft w:val="0"/>
      <w:marRight w:val="0"/>
      <w:marTop w:val="0"/>
      <w:marBottom w:val="0"/>
      <w:divBdr>
        <w:top w:val="none" w:sz="0" w:space="0" w:color="auto"/>
        <w:left w:val="none" w:sz="0" w:space="0" w:color="auto"/>
        <w:bottom w:val="none" w:sz="0" w:space="0" w:color="auto"/>
        <w:right w:val="none" w:sz="0" w:space="0" w:color="auto"/>
      </w:divBdr>
    </w:div>
    <w:div w:id="871453333">
      <w:bodyDiv w:val="1"/>
      <w:marLeft w:val="0"/>
      <w:marRight w:val="0"/>
      <w:marTop w:val="0"/>
      <w:marBottom w:val="0"/>
      <w:divBdr>
        <w:top w:val="none" w:sz="0" w:space="0" w:color="auto"/>
        <w:left w:val="none" w:sz="0" w:space="0" w:color="auto"/>
        <w:bottom w:val="none" w:sz="0" w:space="0" w:color="auto"/>
        <w:right w:val="none" w:sz="0" w:space="0" w:color="auto"/>
      </w:divBdr>
    </w:div>
    <w:div w:id="923421101">
      <w:bodyDiv w:val="1"/>
      <w:marLeft w:val="0"/>
      <w:marRight w:val="0"/>
      <w:marTop w:val="0"/>
      <w:marBottom w:val="0"/>
      <w:divBdr>
        <w:top w:val="none" w:sz="0" w:space="0" w:color="auto"/>
        <w:left w:val="none" w:sz="0" w:space="0" w:color="auto"/>
        <w:bottom w:val="none" w:sz="0" w:space="0" w:color="auto"/>
        <w:right w:val="none" w:sz="0" w:space="0" w:color="auto"/>
      </w:divBdr>
    </w:div>
    <w:div w:id="989867305">
      <w:bodyDiv w:val="1"/>
      <w:marLeft w:val="0"/>
      <w:marRight w:val="0"/>
      <w:marTop w:val="0"/>
      <w:marBottom w:val="0"/>
      <w:divBdr>
        <w:top w:val="none" w:sz="0" w:space="0" w:color="auto"/>
        <w:left w:val="none" w:sz="0" w:space="0" w:color="auto"/>
        <w:bottom w:val="none" w:sz="0" w:space="0" w:color="auto"/>
        <w:right w:val="none" w:sz="0" w:space="0" w:color="auto"/>
      </w:divBdr>
    </w:div>
    <w:div w:id="1004864424">
      <w:bodyDiv w:val="1"/>
      <w:marLeft w:val="0"/>
      <w:marRight w:val="0"/>
      <w:marTop w:val="0"/>
      <w:marBottom w:val="0"/>
      <w:divBdr>
        <w:top w:val="none" w:sz="0" w:space="0" w:color="auto"/>
        <w:left w:val="none" w:sz="0" w:space="0" w:color="auto"/>
        <w:bottom w:val="none" w:sz="0" w:space="0" w:color="auto"/>
        <w:right w:val="none" w:sz="0" w:space="0" w:color="auto"/>
      </w:divBdr>
    </w:div>
    <w:div w:id="1099831435">
      <w:bodyDiv w:val="1"/>
      <w:marLeft w:val="0"/>
      <w:marRight w:val="0"/>
      <w:marTop w:val="0"/>
      <w:marBottom w:val="0"/>
      <w:divBdr>
        <w:top w:val="none" w:sz="0" w:space="0" w:color="auto"/>
        <w:left w:val="none" w:sz="0" w:space="0" w:color="auto"/>
        <w:bottom w:val="none" w:sz="0" w:space="0" w:color="auto"/>
        <w:right w:val="none" w:sz="0" w:space="0" w:color="auto"/>
      </w:divBdr>
    </w:div>
    <w:div w:id="1148672271">
      <w:bodyDiv w:val="1"/>
      <w:marLeft w:val="0"/>
      <w:marRight w:val="0"/>
      <w:marTop w:val="0"/>
      <w:marBottom w:val="0"/>
      <w:divBdr>
        <w:top w:val="none" w:sz="0" w:space="0" w:color="auto"/>
        <w:left w:val="none" w:sz="0" w:space="0" w:color="auto"/>
        <w:bottom w:val="none" w:sz="0" w:space="0" w:color="auto"/>
        <w:right w:val="none" w:sz="0" w:space="0" w:color="auto"/>
      </w:divBdr>
    </w:div>
    <w:div w:id="1337879329">
      <w:bodyDiv w:val="1"/>
      <w:marLeft w:val="0"/>
      <w:marRight w:val="0"/>
      <w:marTop w:val="0"/>
      <w:marBottom w:val="0"/>
      <w:divBdr>
        <w:top w:val="none" w:sz="0" w:space="0" w:color="auto"/>
        <w:left w:val="none" w:sz="0" w:space="0" w:color="auto"/>
        <w:bottom w:val="none" w:sz="0" w:space="0" w:color="auto"/>
        <w:right w:val="none" w:sz="0" w:space="0" w:color="auto"/>
      </w:divBdr>
    </w:div>
    <w:div w:id="1372153245">
      <w:bodyDiv w:val="1"/>
      <w:marLeft w:val="0"/>
      <w:marRight w:val="0"/>
      <w:marTop w:val="0"/>
      <w:marBottom w:val="0"/>
      <w:divBdr>
        <w:top w:val="none" w:sz="0" w:space="0" w:color="auto"/>
        <w:left w:val="none" w:sz="0" w:space="0" w:color="auto"/>
        <w:bottom w:val="none" w:sz="0" w:space="0" w:color="auto"/>
        <w:right w:val="none" w:sz="0" w:space="0" w:color="auto"/>
      </w:divBdr>
    </w:div>
    <w:div w:id="1503352533">
      <w:bodyDiv w:val="1"/>
      <w:marLeft w:val="0"/>
      <w:marRight w:val="0"/>
      <w:marTop w:val="0"/>
      <w:marBottom w:val="0"/>
      <w:divBdr>
        <w:top w:val="none" w:sz="0" w:space="0" w:color="auto"/>
        <w:left w:val="none" w:sz="0" w:space="0" w:color="auto"/>
        <w:bottom w:val="none" w:sz="0" w:space="0" w:color="auto"/>
        <w:right w:val="none" w:sz="0" w:space="0" w:color="auto"/>
      </w:divBdr>
    </w:div>
    <w:div w:id="1511405539">
      <w:bodyDiv w:val="1"/>
      <w:marLeft w:val="0"/>
      <w:marRight w:val="0"/>
      <w:marTop w:val="0"/>
      <w:marBottom w:val="0"/>
      <w:divBdr>
        <w:top w:val="none" w:sz="0" w:space="0" w:color="auto"/>
        <w:left w:val="none" w:sz="0" w:space="0" w:color="auto"/>
        <w:bottom w:val="none" w:sz="0" w:space="0" w:color="auto"/>
        <w:right w:val="none" w:sz="0" w:space="0" w:color="auto"/>
      </w:divBdr>
    </w:div>
    <w:div w:id="1559364481">
      <w:bodyDiv w:val="1"/>
      <w:marLeft w:val="0"/>
      <w:marRight w:val="0"/>
      <w:marTop w:val="0"/>
      <w:marBottom w:val="0"/>
      <w:divBdr>
        <w:top w:val="none" w:sz="0" w:space="0" w:color="auto"/>
        <w:left w:val="none" w:sz="0" w:space="0" w:color="auto"/>
        <w:bottom w:val="none" w:sz="0" w:space="0" w:color="auto"/>
        <w:right w:val="none" w:sz="0" w:space="0" w:color="auto"/>
      </w:divBdr>
    </w:div>
    <w:div w:id="1568415998">
      <w:bodyDiv w:val="1"/>
      <w:marLeft w:val="0"/>
      <w:marRight w:val="0"/>
      <w:marTop w:val="0"/>
      <w:marBottom w:val="0"/>
      <w:divBdr>
        <w:top w:val="none" w:sz="0" w:space="0" w:color="auto"/>
        <w:left w:val="none" w:sz="0" w:space="0" w:color="auto"/>
        <w:bottom w:val="none" w:sz="0" w:space="0" w:color="auto"/>
        <w:right w:val="none" w:sz="0" w:space="0" w:color="auto"/>
      </w:divBdr>
    </w:div>
    <w:div w:id="1610358140">
      <w:bodyDiv w:val="1"/>
      <w:marLeft w:val="0"/>
      <w:marRight w:val="0"/>
      <w:marTop w:val="0"/>
      <w:marBottom w:val="0"/>
      <w:divBdr>
        <w:top w:val="none" w:sz="0" w:space="0" w:color="auto"/>
        <w:left w:val="none" w:sz="0" w:space="0" w:color="auto"/>
        <w:bottom w:val="none" w:sz="0" w:space="0" w:color="auto"/>
        <w:right w:val="none" w:sz="0" w:space="0" w:color="auto"/>
      </w:divBdr>
    </w:div>
    <w:div w:id="1649632529">
      <w:bodyDiv w:val="1"/>
      <w:marLeft w:val="0"/>
      <w:marRight w:val="0"/>
      <w:marTop w:val="0"/>
      <w:marBottom w:val="0"/>
      <w:divBdr>
        <w:top w:val="none" w:sz="0" w:space="0" w:color="auto"/>
        <w:left w:val="none" w:sz="0" w:space="0" w:color="auto"/>
        <w:bottom w:val="none" w:sz="0" w:space="0" w:color="auto"/>
        <w:right w:val="none" w:sz="0" w:space="0" w:color="auto"/>
      </w:divBdr>
    </w:div>
    <w:div w:id="1654794187">
      <w:bodyDiv w:val="1"/>
      <w:marLeft w:val="0"/>
      <w:marRight w:val="0"/>
      <w:marTop w:val="0"/>
      <w:marBottom w:val="0"/>
      <w:divBdr>
        <w:top w:val="none" w:sz="0" w:space="0" w:color="auto"/>
        <w:left w:val="none" w:sz="0" w:space="0" w:color="auto"/>
        <w:bottom w:val="none" w:sz="0" w:space="0" w:color="auto"/>
        <w:right w:val="none" w:sz="0" w:space="0" w:color="auto"/>
      </w:divBdr>
    </w:div>
    <w:div w:id="1700739544">
      <w:bodyDiv w:val="1"/>
      <w:marLeft w:val="0"/>
      <w:marRight w:val="0"/>
      <w:marTop w:val="0"/>
      <w:marBottom w:val="0"/>
      <w:divBdr>
        <w:top w:val="none" w:sz="0" w:space="0" w:color="auto"/>
        <w:left w:val="none" w:sz="0" w:space="0" w:color="auto"/>
        <w:bottom w:val="none" w:sz="0" w:space="0" w:color="auto"/>
        <w:right w:val="none" w:sz="0" w:space="0" w:color="auto"/>
      </w:divBdr>
    </w:div>
    <w:div w:id="1833838870">
      <w:bodyDiv w:val="1"/>
      <w:marLeft w:val="0"/>
      <w:marRight w:val="0"/>
      <w:marTop w:val="0"/>
      <w:marBottom w:val="0"/>
      <w:divBdr>
        <w:top w:val="none" w:sz="0" w:space="0" w:color="auto"/>
        <w:left w:val="none" w:sz="0" w:space="0" w:color="auto"/>
        <w:bottom w:val="none" w:sz="0" w:space="0" w:color="auto"/>
        <w:right w:val="none" w:sz="0" w:space="0" w:color="auto"/>
      </w:divBdr>
    </w:div>
    <w:div w:id="1874800571">
      <w:bodyDiv w:val="1"/>
      <w:marLeft w:val="0"/>
      <w:marRight w:val="0"/>
      <w:marTop w:val="0"/>
      <w:marBottom w:val="0"/>
      <w:divBdr>
        <w:top w:val="none" w:sz="0" w:space="0" w:color="auto"/>
        <w:left w:val="none" w:sz="0" w:space="0" w:color="auto"/>
        <w:bottom w:val="none" w:sz="0" w:space="0" w:color="auto"/>
        <w:right w:val="none" w:sz="0" w:space="0" w:color="auto"/>
      </w:divBdr>
    </w:div>
    <w:div w:id="1913351025">
      <w:bodyDiv w:val="1"/>
      <w:marLeft w:val="0"/>
      <w:marRight w:val="0"/>
      <w:marTop w:val="0"/>
      <w:marBottom w:val="0"/>
      <w:divBdr>
        <w:top w:val="none" w:sz="0" w:space="0" w:color="auto"/>
        <w:left w:val="none" w:sz="0" w:space="0" w:color="auto"/>
        <w:bottom w:val="none" w:sz="0" w:space="0" w:color="auto"/>
        <w:right w:val="none" w:sz="0" w:space="0" w:color="auto"/>
      </w:divBdr>
    </w:div>
    <w:div w:id="2020891215">
      <w:bodyDiv w:val="1"/>
      <w:marLeft w:val="0"/>
      <w:marRight w:val="0"/>
      <w:marTop w:val="0"/>
      <w:marBottom w:val="0"/>
      <w:divBdr>
        <w:top w:val="none" w:sz="0" w:space="0" w:color="auto"/>
        <w:left w:val="none" w:sz="0" w:space="0" w:color="auto"/>
        <w:bottom w:val="none" w:sz="0" w:space="0" w:color="auto"/>
        <w:right w:val="none" w:sz="0" w:space="0" w:color="auto"/>
      </w:divBdr>
    </w:div>
    <w:div w:id="2088258251">
      <w:bodyDiv w:val="1"/>
      <w:marLeft w:val="0"/>
      <w:marRight w:val="0"/>
      <w:marTop w:val="0"/>
      <w:marBottom w:val="0"/>
      <w:divBdr>
        <w:top w:val="none" w:sz="0" w:space="0" w:color="auto"/>
        <w:left w:val="none" w:sz="0" w:space="0" w:color="auto"/>
        <w:bottom w:val="none" w:sz="0" w:space="0" w:color="auto"/>
        <w:right w:val="none" w:sz="0" w:space="0" w:color="auto"/>
      </w:divBdr>
      <w:divsChild>
        <w:div w:id="1281843411">
          <w:marLeft w:val="0"/>
          <w:marRight w:val="0"/>
          <w:marTop w:val="0"/>
          <w:marBottom w:val="0"/>
          <w:divBdr>
            <w:top w:val="none" w:sz="0" w:space="0" w:color="auto"/>
            <w:left w:val="none" w:sz="0" w:space="0" w:color="auto"/>
            <w:bottom w:val="none" w:sz="0" w:space="0" w:color="auto"/>
            <w:right w:val="none" w:sz="0" w:space="0" w:color="auto"/>
          </w:divBdr>
        </w:div>
        <w:div w:id="660818720">
          <w:marLeft w:val="0"/>
          <w:marRight w:val="0"/>
          <w:marTop w:val="0"/>
          <w:marBottom w:val="0"/>
          <w:divBdr>
            <w:top w:val="none" w:sz="0" w:space="0" w:color="auto"/>
            <w:left w:val="none" w:sz="0" w:space="0" w:color="auto"/>
            <w:bottom w:val="none" w:sz="0" w:space="0" w:color="auto"/>
            <w:right w:val="none" w:sz="0" w:space="0" w:color="auto"/>
          </w:divBdr>
        </w:div>
        <w:div w:id="845560493">
          <w:marLeft w:val="0"/>
          <w:marRight w:val="0"/>
          <w:marTop w:val="0"/>
          <w:marBottom w:val="0"/>
          <w:divBdr>
            <w:top w:val="none" w:sz="0" w:space="0" w:color="auto"/>
            <w:left w:val="none" w:sz="0" w:space="0" w:color="auto"/>
            <w:bottom w:val="none" w:sz="0" w:space="0" w:color="auto"/>
            <w:right w:val="none" w:sz="0" w:space="0" w:color="auto"/>
          </w:divBdr>
        </w:div>
        <w:div w:id="299922918">
          <w:marLeft w:val="0"/>
          <w:marRight w:val="0"/>
          <w:marTop w:val="0"/>
          <w:marBottom w:val="0"/>
          <w:divBdr>
            <w:top w:val="none" w:sz="0" w:space="0" w:color="auto"/>
            <w:left w:val="none" w:sz="0" w:space="0" w:color="auto"/>
            <w:bottom w:val="none" w:sz="0" w:space="0" w:color="auto"/>
            <w:right w:val="none" w:sz="0" w:space="0" w:color="auto"/>
          </w:divBdr>
        </w:div>
        <w:div w:id="345793212">
          <w:marLeft w:val="0"/>
          <w:marRight w:val="0"/>
          <w:marTop w:val="0"/>
          <w:marBottom w:val="0"/>
          <w:divBdr>
            <w:top w:val="none" w:sz="0" w:space="0" w:color="auto"/>
            <w:left w:val="none" w:sz="0" w:space="0" w:color="auto"/>
            <w:bottom w:val="none" w:sz="0" w:space="0" w:color="auto"/>
            <w:right w:val="none" w:sz="0" w:space="0" w:color="auto"/>
          </w:divBdr>
        </w:div>
      </w:divsChild>
    </w:div>
    <w:div w:id="210082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ccan.org.au/hot-issues/1538-consumer-data-right-what-is-it-and-what-does-it-mean-for-consumer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accan.org.au/hot-issues/1535-what-do-the-nbn-s-fixed-wireless-pricing-changes-mean-for-consum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ccan.org.au/tip-sheets/1554-how-to-prepare-your-digital-leg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1C53E2CA3584A96F3702853571A0B" ma:contentTypeVersion="0" ma:contentTypeDescription="Create a new document." ma:contentTypeScope="" ma:versionID="c9b7e7e0a6d822a8d3878278d9df19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0D2F0-0DA8-4C08-86D7-D3DF17137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07A192-A563-478F-AC82-A39D1914CA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72FC96-D56E-4DC2-B2DA-4ABA32525E17}">
  <ds:schemaRefs>
    <ds:schemaRef ds:uri="http://schemas.microsoft.com/sharepoint/v3/contenttype/forms"/>
  </ds:schemaRefs>
</ds:datastoreItem>
</file>

<file path=customXml/itemProps4.xml><?xml version="1.0" encoding="utf-8"?>
<ds:datastoreItem xmlns:ds="http://schemas.openxmlformats.org/officeDocument/2006/customXml" ds:itemID="{0AED0F70-C127-4AD1-B8BC-3BDD9BAF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Quarterly report template with tables.DOCX</vt:lpstr>
    </vt:vector>
  </TitlesOfParts>
  <Company>Department of Communications</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template with tables.DOCX</dc:title>
  <dc:creator>narelle.clark@accan.org.au</dc:creator>
  <cp:lastModifiedBy>Melyssa Troy</cp:lastModifiedBy>
  <cp:revision>3</cp:revision>
  <cp:lastPrinted>2018-06-11T14:12:00Z</cp:lastPrinted>
  <dcterms:created xsi:type="dcterms:W3CDTF">2019-01-30T03:15:00Z</dcterms:created>
  <dcterms:modified xsi:type="dcterms:W3CDTF">2019-01-30T03:15:00Z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0x0101007461C53E2CA3584A96F3702853571A0B</vt:lpwstr>
  </property>
  <property fmtid="{D5CDD505-2E9C-101B-9397-08002B2CF9AE}" pid="3" name="TrimRevisionNumber">
    <vt:i4>30</vt:i4>
  </property>
</Properties>
</file>