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A9" w:rsidRPr="006A72D5" w:rsidRDefault="00023B72" w:rsidP="00DE51A9">
      <w:pPr>
        <w:pStyle w:val="ReportHeading1"/>
      </w:pPr>
      <w:r>
        <w:t xml:space="preserve">Quarter </w:t>
      </w:r>
      <w:r w:rsidR="00DC5AAB">
        <w:t>1, FY14-15</w:t>
      </w:r>
      <w:bookmarkStart w:id="0" w:name="_GoBack"/>
      <w:bookmarkEnd w:id="0"/>
    </w:p>
    <w:p w:rsidR="00DE51A9" w:rsidRPr="00DE51A9" w:rsidRDefault="009032E1" w:rsidP="00DE51A9">
      <w:proofErr w:type="gramStart"/>
      <w:r>
        <w:t>Summary of</w:t>
      </w:r>
      <w:r w:rsidR="006E5FB3">
        <w:t xml:space="preserve"> ACCAN’s activities from </w:t>
      </w:r>
      <w:r w:rsidR="00DE51A9" w:rsidRPr="00DE51A9">
        <w:t xml:space="preserve">1 June </w:t>
      </w:r>
      <w:r w:rsidR="006E5FB3">
        <w:t>to</w:t>
      </w:r>
      <w:r w:rsidR="00DE51A9" w:rsidRPr="00DE51A9">
        <w:t xml:space="preserve"> 31 August 2014</w:t>
      </w:r>
      <w:r w:rsidR="006E5FB3">
        <w:t>.</w:t>
      </w:r>
      <w:proofErr w:type="gramEnd"/>
    </w:p>
    <w:p w:rsidR="00DE51A9" w:rsidRPr="00DE51A9" w:rsidRDefault="00DE51A9" w:rsidP="000D2F41">
      <w:pPr>
        <w:pStyle w:val="Heading1"/>
        <w:spacing w:before="0"/>
        <w:rPr>
          <w:rFonts w:asciiTheme="minorHAnsi" w:hAnsiTheme="minorHAnsi" w:cstheme="minorHAnsi"/>
          <w:sz w:val="22"/>
          <w:szCs w:val="22"/>
        </w:rPr>
      </w:pPr>
      <w:r w:rsidRPr="00DE51A9">
        <w:rPr>
          <w:rFonts w:asciiTheme="minorHAnsi" w:hAnsiTheme="minorHAnsi" w:cstheme="minorHAnsi"/>
          <w:sz w:val="22"/>
          <w:szCs w:val="22"/>
        </w:rPr>
        <w:t xml:space="preserve">Consumer </w:t>
      </w:r>
      <w:r w:rsidR="00E71326">
        <w:rPr>
          <w:rFonts w:asciiTheme="minorHAnsi" w:hAnsiTheme="minorHAnsi" w:cstheme="minorHAnsi"/>
          <w:sz w:val="22"/>
          <w:szCs w:val="22"/>
        </w:rPr>
        <w:t>r</w:t>
      </w:r>
      <w:r w:rsidRPr="00DE51A9">
        <w:rPr>
          <w:rFonts w:asciiTheme="minorHAnsi" w:hAnsiTheme="minorHAnsi" w:cstheme="minorHAnsi"/>
          <w:sz w:val="22"/>
          <w:szCs w:val="22"/>
        </w:rPr>
        <w:t xml:space="preserve">epresentation and </w:t>
      </w:r>
      <w:r w:rsidR="00E71326">
        <w:rPr>
          <w:rFonts w:asciiTheme="minorHAnsi" w:hAnsiTheme="minorHAnsi" w:cstheme="minorHAnsi"/>
          <w:sz w:val="22"/>
          <w:szCs w:val="22"/>
        </w:rPr>
        <w:t>r</w:t>
      </w:r>
      <w:r w:rsidRPr="00DE51A9">
        <w:rPr>
          <w:rFonts w:asciiTheme="minorHAnsi" w:hAnsiTheme="minorHAnsi" w:cstheme="minorHAnsi"/>
          <w:sz w:val="22"/>
          <w:szCs w:val="22"/>
        </w:rPr>
        <w:t>esearch</w:t>
      </w:r>
    </w:p>
    <w:p w:rsidR="00DE51A9" w:rsidRDefault="00DE51A9" w:rsidP="00DE51A9">
      <w:r>
        <w:t>ACCAN represented policy positions in 10 government and industry consultations, with some measurable early impact. ACCAN made representations on the competition policy review, the International Mobile Roaming Standard, Use of Section 313 of Telecommunications Act, the IPND, Review of the National Triple Zero Operator and reforming the Customer Service Guarantee. Many of these have been generated from the current industry work on reducing red tape.</w:t>
      </w:r>
    </w:p>
    <w:p w:rsidR="00DE51A9" w:rsidRDefault="00DE51A9" w:rsidP="00DE51A9">
      <w:r>
        <w:t xml:space="preserve">We finalised our Research Activity Plan for the 2014-15 financial year. </w:t>
      </w:r>
      <w:r w:rsidRPr="00084060">
        <w:t xml:space="preserve">Additionally, </w:t>
      </w:r>
      <w:r>
        <w:t>we</w:t>
      </w:r>
      <w:r w:rsidRPr="00084060">
        <w:t xml:space="preserve"> initiated and completed </w:t>
      </w:r>
      <w:r>
        <w:t xml:space="preserve">four ACCAN </w:t>
      </w:r>
      <w:r w:rsidRPr="00084060">
        <w:t>research projects</w:t>
      </w:r>
      <w:r>
        <w:t xml:space="preserve"> and have provided briefings to individual service providers on the outcomes of some of these research findings. These projects are commissioned by ACCAN and are not part of the ACCAN Grants Scheme.</w:t>
      </w:r>
    </w:p>
    <w:p w:rsidR="00DE51A9" w:rsidRDefault="00DE51A9" w:rsidP="00DE51A9">
      <w:r>
        <w:t xml:space="preserve">The ACCAN 2014 National Survey results are complete and analysis is underway. Our Mobile Apps Consumer Attitudes and Experiences research will be launched at the CommsDay Congress in October and ACCAN’s Disability Mystery Shopping Project has been presented to industry representatives. </w:t>
      </w:r>
    </w:p>
    <w:p w:rsidR="00DE51A9" w:rsidRPr="00DE51A9" w:rsidRDefault="00E71326" w:rsidP="000D2F41">
      <w:pPr>
        <w:pStyle w:val="Heading1"/>
        <w:spacing w:before="0"/>
        <w:rPr>
          <w:rFonts w:asciiTheme="minorHAnsi" w:hAnsiTheme="minorHAnsi" w:cstheme="minorHAnsi"/>
          <w:sz w:val="22"/>
          <w:szCs w:val="22"/>
        </w:rPr>
      </w:pPr>
      <w:r>
        <w:rPr>
          <w:rFonts w:asciiTheme="minorHAnsi" w:hAnsiTheme="minorHAnsi" w:cstheme="minorHAnsi"/>
          <w:sz w:val="22"/>
          <w:szCs w:val="22"/>
        </w:rPr>
        <w:t>ACCAN</w:t>
      </w:r>
      <w:r w:rsidRPr="00DE51A9">
        <w:rPr>
          <w:rFonts w:asciiTheme="minorHAnsi" w:hAnsiTheme="minorHAnsi" w:cstheme="minorHAnsi"/>
          <w:sz w:val="22"/>
          <w:szCs w:val="22"/>
        </w:rPr>
        <w:t xml:space="preserve"> </w:t>
      </w:r>
      <w:r w:rsidR="00DE51A9" w:rsidRPr="00DE51A9">
        <w:rPr>
          <w:rFonts w:asciiTheme="minorHAnsi" w:hAnsiTheme="minorHAnsi" w:cstheme="minorHAnsi"/>
          <w:sz w:val="22"/>
          <w:szCs w:val="22"/>
        </w:rPr>
        <w:t xml:space="preserve">Grants </w:t>
      </w:r>
      <w:r>
        <w:rPr>
          <w:rFonts w:asciiTheme="minorHAnsi" w:hAnsiTheme="minorHAnsi" w:cstheme="minorHAnsi"/>
          <w:sz w:val="22"/>
          <w:szCs w:val="22"/>
        </w:rPr>
        <w:t>Scheme</w:t>
      </w:r>
    </w:p>
    <w:p w:rsidR="00DE51A9" w:rsidRDefault="00DE51A9" w:rsidP="00DE51A9">
      <w:pPr>
        <w:rPr>
          <w:iCs/>
        </w:rPr>
      </w:pPr>
      <w:r>
        <w:rPr>
          <w:iCs/>
        </w:rPr>
        <w:t xml:space="preserve">With the establishment phase for the 2014 Round over, planning is under way for the 2015 Round. A review of the Selection Criteria and Guidelines will be </w:t>
      </w:r>
      <w:r w:rsidR="000D2F41">
        <w:rPr>
          <w:iCs/>
        </w:rPr>
        <w:t>completed focusing</w:t>
      </w:r>
      <w:r>
        <w:rPr>
          <w:iCs/>
        </w:rPr>
        <w:t xml:space="preserve"> on how links can be drawn from projects to issues of high consumer concern. In the next quarter it is also hoped that we can look at ways to work more closely with the newly formed Bureau of Communications.</w:t>
      </w:r>
    </w:p>
    <w:p w:rsidR="00DE51A9" w:rsidRDefault="00DE51A9" w:rsidP="00DE51A9">
      <w:pPr>
        <w:rPr>
          <w:rFonts w:eastAsia="SimSun"/>
          <w:lang w:eastAsia="zh-CN"/>
        </w:rPr>
      </w:pPr>
      <w:r>
        <w:rPr>
          <w:rFonts w:eastAsia="SimSun"/>
          <w:lang w:eastAsia="zh-CN"/>
        </w:rPr>
        <w:t xml:space="preserve">During the quarter, seven new project deeds were executed forming the commencement of the sixth round of operation. At the 11 June ACCAN Board meeting, the Report of the Independent Grants Panel was accepted. The 2014 Round project awards were publicly announced on 18 June. In addition, the majority of projects from the 2013 Round were completed and </w:t>
      </w:r>
      <w:r w:rsidR="00783C65">
        <w:rPr>
          <w:rFonts w:eastAsia="SimSun"/>
          <w:lang w:eastAsia="zh-CN"/>
        </w:rPr>
        <w:t>launched</w:t>
      </w:r>
      <w:r>
        <w:rPr>
          <w:rFonts w:eastAsia="SimSun"/>
          <w:lang w:eastAsia="zh-CN"/>
        </w:rPr>
        <w:t>. The 2012 ‘</w:t>
      </w:r>
      <w:hyperlink r:id="rId5" w:history="1">
        <w:r w:rsidRPr="000D2F41">
          <w:rPr>
            <w:rStyle w:val="Hyperlink"/>
            <w:i/>
          </w:rPr>
          <w:t>Hardship Policies in Practice</w:t>
        </w:r>
      </w:hyperlink>
      <w:r>
        <w:rPr>
          <w:rFonts w:eastAsia="SimSun"/>
          <w:lang w:eastAsia="zh-CN"/>
        </w:rPr>
        <w:t>’ project was acquitted in full, while both the ‘</w:t>
      </w:r>
      <w:hyperlink r:id="rId6" w:history="1">
        <w:r w:rsidRPr="000D2F41">
          <w:rPr>
            <w:rStyle w:val="Hyperlink"/>
            <w:i/>
          </w:rPr>
          <w:t>Homeless and Connected</w:t>
        </w:r>
      </w:hyperlink>
      <w:r>
        <w:rPr>
          <w:rFonts w:eastAsia="SimSun"/>
          <w:lang w:eastAsia="zh-CN"/>
        </w:rPr>
        <w:t>’ project and ‘</w:t>
      </w:r>
      <w:r w:rsidRPr="000D2F41">
        <w:rPr>
          <w:rFonts w:eastAsia="SimSun"/>
          <w:i/>
          <w:lang w:eastAsia="zh-CN"/>
        </w:rPr>
        <w:t>Digital Storytelling</w:t>
      </w:r>
      <w:r>
        <w:rPr>
          <w:rFonts w:eastAsia="SimSun"/>
          <w:lang w:eastAsia="zh-CN"/>
        </w:rPr>
        <w:t>’ are now complete.</w:t>
      </w:r>
    </w:p>
    <w:p w:rsidR="00DE51A9" w:rsidRPr="00DE51A9" w:rsidRDefault="00DE51A9" w:rsidP="000D2F41">
      <w:pPr>
        <w:pStyle w:val="Heading1"/>
        <w:spacing w:before="0"/>
        <w:rPr>
          <w:rFonts w:asciiTheme="minorHAnsi" w:hAnsiTheme="minorHAnsi" w:cstheme="minorHAnsi"/>
          <w:sz w:val="22"/>
          <w:szCs w:val="22"/>
        </w:rPr>
      </w:pPr>
      <w:r w:rsidRPr="00DE51A9">
        <w:rPr>
          <w:rFonts w:asciiTheme="minorHAnsi" w:hAnsiTheme="minorHAnsi" w:cstheme="minorHAnsi"/>
          <w:sz w:val="22"/>
          <w:szCs w:val="22"/>
        </w:rPr>
        <w:t xml:space="preserve">Consumer </w:t>
      </w:r>
      <w:r w:rsidR="00E71326">
        <w:rPr>
          <w:rFonts w:asciiTheme="minorHAnsi" w:hAnsiTheme="minorHAnsi" w:cstheme="minorHAnsi"/>
          <w:sz w:val="22"/>
          <w:szCs w:val="22"/>
        </w:rPr>
        <w:t>e</w:t>
      </w:r>
      <w:r w:rsidRPr="00DE51A9">
        <w:rPr>
          <w:rFonts w:asciiTheme="minorHAnsi" w:hAnsiTheme="minorHAnsi" w:cstheme="minorHAnsi"/>
          <w:sz w:val="22"/>
          <w:szCs w:val="22"/>
        </w:rPr>
        <w:t>ducation</w:t>
      </w:r>
    </w:p>
    <w:p w:rsidR="00DE51A9" w:rsidRDefault="00DE51A9" w:rsidP="00DE51A9">
      <w:r w:rsidRPr="007177C0">
        <w:t xml:space="preserve">ACCAN has worked in partnership with many industry, regulatory, consumer organisations and media outlets to promote key messages about scams, affordability and 1300 calls, accessible </w:t>
      </w:r>
      <w:r>
        <w:t>a</w:t>
      </w:r>
      <w:r w:rsidRPr="007177C0">
        <w:t>pp development</w:t>
      </w:r>
      <w:r>
        <w:t>,</w:t>
      </w:r>
      <w:r w:rsidRPr="007177C0">
        <w:t xml:space="preserve"> </w:t>
      </w:r>
      <w:r>
        <w:t>and other issues</w:t>
      </w:r>
      <w:r w:rsidRPr="007177C0">
        <w:t xml:space="preserve">. </w:t>
      </w:r>
    </w:p>
    <w:p w:rsidR="00DE51A9" w:rsidRPr="007177C0" w:rsidRDefault="00DE51A9" w:rsidP="00DE51A9">
      <w:r w:rsidRPr="007177C0">
        <w:t>We published two new tip sheets and re</w:t>
      </w:r>
      <w:r>
        <w:t>-</w:t>
      </w:r>
      <w:r w:rsidRPr="007177C0">
        <w:t xml:space="preserve">published two existing ones in Arabic. </w:t>
      </w:r>
      <w:r w:rsidR="00783C65">
        <w:t>Our ‘</w:t>
      </w:r>
      <w:hyperlink r:id="rId7" w:history="1">
        <w:r w:rsidR="00783C65" w:rsidRPr="000D2F41">
          <w:rPr>
            <w:rStyle w:val="Hyperlink"/>
            <w:i/>
          </w:rPr>
          <w:t>How to use less data on your smartphone</w:t>
        </w:r>
      </w:hyperlink>
      <w:r w:rsidR="00783C65">
        <w:rPr>
          <w:i/>
        </w:rPr>
        <w:t>’</w:t>
      </w:r>
      <w:r w:rsidRPr="003E683B">
        <w:t xml:space="preserve"> </w:t>
      </w:r>
      <w:r w:rsidR="00783C65">
        <w:t>t</w:t>
      </w:r>
      <w:r w:rsidRPr="003E683B">
        <w:t xml:space="preserve">ip </w:t>
      </w:r>
      <w:r w:rsidR="00783C65">
        <w:t>s</w:t>
      </w:r>
      <w:r w:rsidRPr="003E683B">
        <w:t xml:space="preserve">heet </w:t>
      </w:r>
      <w:r>
        <w:t>was</w:t>
      </w:r>
      <w:r w:rsidRPr="00120AB4">
        <w:t xml:space="preserve"> downloaded</w:t>
      </w:r>
      <w:r w:rsidRPr="007177C0">
        <w:t xml:space="preserve"> 10,000 times. We continue to present at a range of events on </w:t>
      </w:r>
      <w:r>
        <w:t xml:space="preserve">consumer </w:t>
      </w:r>
      <w:r w:rsidRPr="007177C0">
        <w:t>topics</w:t>
      </w:r>
      <w:r w:rsidR="00783C65">
        <w:t>,</w:t>
      </w:r>
      <w:r w:rsidRPr="007177C0">
        <w:t xml:space="preserve"> </w:t>
      </w:r>
      <w:r w:rsidR="000D2F41">
        <w:t>a</w:t>
      </w:r>
      <w:r>
        <w:t xml:space="preserve"> highlight </w:t>
      </w:r>
      <w:r w:rsidR="00783C65">
        <w:t>being</w:t>
      </w:r>
      <w:r>
        <w:t xml:space="preserve"> our</w:t>
      </w:r>
      <w:r w:rsidRPr="007177C0">
        <w:t xml:space="preserve"> information stall at the Festival of Eid in Sydney’s western suburbs. This event is attended by up to 30,000 participants every year.</w:t>
      </w:r>
    </w:p>
    <w:p w:rsidR="00DE51A9" w:rsidRDefault="00DE51A9" w:rsidP="00DE51A9">
      <w:r w:rsidRPr="007D305A">
        <w:t>In August, ACCAN</w:t>
      </w:r>
      <w:r w:rsidR="00783C65">
        <w:t>’s CEO had a guest blog post on telemarketing scammers published in Telstra’s Exchange blog.</w:t>
      </w:r>
      <w:r w:rsidRPr="007D305A">
        <w:t xml:space="preserve"> </w:t>
      </w:r>
    </w:p>
    <w:p w:rsidR="00DE51A9" w:rsidRPr="00DE51A9" w:rsidRDefault="00DE51A9" w:rsidP="00DE51A9">
      <w:pPr>
        <w:pStyle w:val="Heading1"/>
        <w:rPr>
          <w:rFonts w:asciiTheme="minorHAnsi" w:hAnsiTheme="minorHAnsi" w:cstheme="minorHAnsi"/>
          <w:sz w:val="22"/>
          <w:szCs w:val="22"/>
        </w:rPr>
      </w:pPr>
      <w:r w:rsidRPr="00DE51A9">
        <w:rPr>
          <w:rFonts w:asciiTheme="minorHAnsi" w:hAnsiTheme="minorHAnsi" w:cstheme="minorHAnsi"/>
          <w:sz w:val="22"/>
          <w:szCs w:val="22"/>
        </w:rPr>
        <w:lastRenderedPageBreak/>
        <w:t xml:space="preserve">Stakeholder </w:t>
      </w:r>
      <w:r w:rsidR="00E71326">
        <w:rPr>
          <w:rFonts w:asciiTheme="minorHAnsi" w:hAnsiTheme="minorHAnsi" w:cstheme="minorHAnsi"/>
          <w:sz w:val="22"/>
          <w:szCs w:val="22"/>
        </w:rPr>
        <w:t>e</w:t>
      </w:r>
      <w:r w:rsidRPr="00DE51A9">
        <w:rPr>
          <w:rFonts w:asciiTheme="minorHAnsi" w:hAnsiTheme="minorHAnsi" w:cstheme="minorHAnsi"/>
          <w:sz w:val="22"/>
          <w:szCs w:val="22"/>
        </w:rPr>
        <w:t>ngagement</w:t>
      </w:r>
    </w:p>
    <w:p w:rsidR="00DE51A9" w:rsidRPr="002F77FC" w:rsidRDefault="00DE51A9" w:rsidP="00DE51A9">
      <w:r>
        <w:t>ACCAN</w:t>
      </w:r>
      <w:r w:rsidR="00783C65">
        <w:t>’s</w:t>
      </w:r>
      <w:r>
        <w:t xml:space="preserve"> Industry Engagement Framework</w:t>
      </w:r>
      <w:r w:rsidRPr="002F77FC">
        <w:t xml:space="preserve"> includes quarterly meetings with Communications Alliance and bi-annual meetings with AMTA. We also participate</w:t>
      </w:r>
      <w:r>
        <w:t>d</w:t>
      </w:r>
      <w:r w:rsidRPr="002F77FC">
        <w:t xml:space="preserve"> in key industry forums and networking events, making presentations and facilitating whenever invited.</w:t>
      </w:r>
    </w:p>
    <w:p w:rsidR="00DE51A9" w:rsidRDefault="00DE51A9" w:rsidP="00DE51A9">
      <w:r w:rsidRPr="002F77FC">
        <w:t>ACCAN</w:t>
      </w:r>
      <w:r w:rsidR="00783C65">
        <w:t xml:space="preserve"> has held</w:t>
      </w:r>
      <w:r w:rsidRPr="002F77FC">
        <w:t xml:space="preserve"> discussions with the ACMA, ACCC, AHRC, Department of Communications and </w:t>
      </w:r>
      <w:r w:rsidR="0090115B">
        <w:t>others</w:t>
      </w:r>
      <w:r w:rsidRPr="002F77FC">
        <w:t xml:space="preserve"> on a number of matters. In addition ACCAN</w:t>
      </w:r>
      <w:r>
        <w:t>’s</w:t>
      </w:r>
      <w:r w:rsidRPr="002F77FC">
        <w:t xml:space="preserve"> Chairperson and CEO met with </w:t>
      </w:r>
      <w:r>
        <w:t>several high level industry executives and government representatives.</w:t>
      </w:r>
    </w:p>
    <w:p w:rsidR="00DE51A9" w:rsidRPr="002F77FC" w:rsidRDefault="00DE51A9" w:rsidP="00DE51A9">
      <w:r w:rsidRPr="002F77FC">
        <w:t xml:space="preserve">During this reporting period ACCAN has </w:t>
      </w:r>
      <w:r w:rsidR="00F55ADC">
        <w:t>undertaken</w:t>
      </w:r>
      <w:r w:rsidR="000D2F41">
        <w:t xml:space="preserve"> </w:t>
      </w:r>
      <w:r w:rsidRPr="002F77FC">
        <w:t>a review of its Consultation Framework which will ensure a more flexible approach in</w:t>
      </w:r>
      <w:r w:rsidR="0090115B">
        <w:t xml:space="preserve"> the</w:t>
      </w:r>
      <w:r w:rsidRPr="002F77FC">
        <w:t xml:space="preserve"> future.</w:t>
      </w:r>
    </w:p>
    <w:p w:rsidR="00DE51A9" w:rsidRDefault="00DE51A9" w:rsidP="00DE51A9">
      <w:pPr>
        <w:rPr>
          <w:iCs/>
        </w:rPr>
      </w:pPr>
      <w:r>
        <w:rPr>
          <w:iCs/>
        </w:rPr>
        <w:t>ACCAN’s Deputy CEO was appointed to a high profile international working group to propose a new system of oversight of the core internet functions from the United States government to the global multi-stakeholder community.</w:t>
      </w:r>
    </w:p>
    <w:p w:rsidR="00DE51A9" w:rsidRPr="00DE51A9" w:rsidRDefault="00DE51A9" w:rsidP="000D2F41">
      <w:pPr>
        <w:pStyle w:val="Heading1"/>
        <w:spacing w:before="0"/>
        <w:rPr>
          <w:rFonts w:asciiTheme="minorHAnsi" w:hAnsiTheme="minorHAnsi" w:cstheme="minorHAnsi"/>
          <w:sz w:val="22"/>
          <w:szCs w:val="22"/>
        </w:rPr>
      </w:pPr>
      <w:r w:rsidRPr="00DE51A9">
        <w:rPr>
          <w:rFonts w:asciiTheme="minorHAnsi" w:hAnsiTheme="minorHAnsi" w:cstheme="minorHAnsi"/>
          <w:sz w:val="22"/>
          <w:szCs w:val="22"/>
        </w:rPr>
        <w:t xml:space="preserve">Governance and </w:t>
      </w:r>
      <w:r w:rsidR="00E71326">
        <w:rPr>
          <w:rFonts w:asciiTheme="minorHAnsi" w:hAnsiTheme="minorHAnsi" w:cstheme="minorHAnsi"/>
          <w:sz w:val="22"/>
          <w:szCs w:val="22"/>
        </w:rPr>
        <w:t>o</w:t>
      </w:r>
      <w:r w:rsidRPr="00DE51A9">
        <w:rPr>
          <w:rFonts w:asciiTheme="minorHAnsi" w:hAnsiTheme="minorHAnsi" w:cstheme="minorHAnsi"/>
          <w:sz w:val="22"/>
          <w:szCs w:val="22"/>
        </w:rPr>
        <w:t>perations</w:t>
      </w:r>
    </w:p>
    <w:p w:rsidR="00DE51A9" w:rsidRDefault="00DE51A9" w:rsidP="00DE51A9">
      <w:r>
        <w:t xml:space="preserve">The ACCAN Board completed its annual </w:t>
      </w:r>
      <w:r w:rsidRPr="00992D54">
        <w:t xml:space="preserve">review of the Strategic Plan and Mission </w:t>
      </w:r>
      <w:r>
        <w:t xml:space="preserve">2012-2015. On 6 August the Board held a Strategic Planning workshop to begin the process for a review of </w:t>
      </w:r>
      <w:r w:rsidR="0090115B">
        <w:t>ACCAN’s</w:t>
      </w:r>
      <w:r>
        <w:t xml:space="preserve"> goals and the development of a new Strategic Plan for 2015-2018. </w:t>
      </w:r>
    </w:p>
    <w:p w:rsidR="00DE51A9" w:rsidRPr="00DE51A9" w:rsidRDefault="00DE51A9" w:rsidP="000D2F41">
      <w:pPr>
        <w:pStyle w:val="Heading1"/>
        <w:spacing w:before="0"/>
        <w:rPr>
          <w:rFonts w:asciiTheme="minorHAnsi" w:hAnsiTheme="minorHAnsi" w:cstheme="minorHAnsi"/>
          <w:sz w:val="22"/>
          <w:szCs w:val="22"/>
        </w:rPr>
      </w:pPr>
      <w:r w:rsidRPr="00DE51A9">
        <w:rPr>
          <w:rFonts w:asciiTheme="minorHAnsi" w:hAnsiTheme="minorHAnsi" w:cstheme="minorHAnsi"/>
          <w:sz w:val="22"/>
          <w:szCs w:val="22"/>
        </w:rPr>
        <w:t>Media</w:t>
      </w:r>
    </w:p>
    <w:p w:rsidR="00DE51A9" w:rsidRDefault="00DE51A9" w:rsidP="00DE51A9">
      <w:r>
        <w:t xml:space="preserve">During the reporting period ACCAN engaged an external consultant and undertook a review of its communications strategies to identify strengths and areas for improvement. This analysis demonstrates that ACCAN has received wide spread </w:t>
      </w:r>
      <w:r w:rsidR="0090115B">
        <w:t xml:space="preserve">media </w:t>
      </w:r>
      <w:r>
        <w:t xml:space="preserve">coverage </w:t>
      </w:r>
      <w:r w:rsidR="0090115B">
        <w:t>and</w:t>
      </w:r>
      <w:r>
        <w:t xml:space="preserve"> highlighted that ACCAN is responding well to consumer needs </w:t>
      </w:r>
      <w:r w:rsidR="00023B72">
        <w:t>through</w:t>
      </w:r>
      <w:r>
        <w:t xml:space="preserve"> mainstream media.</w:t>
      </w:r>
    </w:p>
    <w:p w:rsidR="00F10D06" w:rsidRDefault="00DE51A9">
      <w:r>
        <w:t>Between 1</w:t>
      </w:r>
      <w:r w:rsidRPr="00163699">
        <w:t xml:space="preserve"> June </w:t>
      </w:r>
      <w:r>
        <w:t>and</w:t>
      </w:r>
      <w:r w:rsidRPr="00163699">
        <w:t xml:space="preserve"> </w:t>
      </w:r>
      <w:r>
        <w:t xml:space="preserve">31 </w:t>
      </w:r>
      <w:r w:rsidRPr="00163699">
        <w:t xml:space="preserve">August, ACCAN generated </w:t>
      </w:r>
      <w:r>
        <w:t>134</w:t>
      </w:r>
      <w:r w:rsidRPr="00163699">
        <w:t xml:space="preserve"> mentions across national print, online, TV and radio</w:t>
      </w:r>
      <w:r w:rsidRPr="00C769BB">
        <w:t xml:space="preserve"> </w:t>
      </w:r>
      <w:r w:rsidRPr="00163699">
        <w:t>media</w:t>
      </w:r>
      <w:r>
        <w:t xml:space="preserve"> sources</w:t>
      </w:r>
      <w:r w:rsidRPr="00163699">
        <w:t xml:space="preserve">, with an average of </w:t>
      </w:r>
      <w:r>
        <w:t>45</w:t>
      </w:r>
      <w:r w:rsidRPr="00163699">
        <w:t xml:space="preserve"> items per month. This is a decrease from last quarter’s total of 259 mentions</w:t>
      </w:r>
      <w:r>
        <w:t xml:space="preserve"> but</w:t>
      </w:r>
      <w:r w:rsidRPr="00163699">
        <w:t xml:space="preserve"> </w:t>
      </w:r>
      <w:r>
        <w:t>above</w:t>
      </w:r>
      <w:r w:rsidRPr="00163699">
        <w:t xml:space="preserve"> </w:t>
      </w:r>
      <w:r w:rsidR="00023B72">
        <w:t>the</w:t>
      </w:r>
      <w:r w:rsidRPr="00163699">
        <w:t xml:space="preserve"> monthly </w:t>
      </w:r>
      <w:r w:rsidR="00023B72">
        <w:t>target</w:t>
      </w:r>
      <w:r w:rsidRPr="00163699">
        <w:t xml:space="preserve">. </w:t>
      </w:r>
      <w:r w:rsidR="00023B72">
        <w:t>I</w:t>
      </w:r>
      <w:r>
        <w:t xml:space="preserve">ssues that ACCAN commented on include SMS wholesale pricing, </w:t>
      </w:r>
      <w:r w:rsidR="00023B72">
        <w:t>W</w:t>
      </w:r>
      <w:r>
        <w:t>i-</w:t>
      </w:r>
      <w:r w:rsidR="00023B72">
        <w:t>F</w:t>
      </w:r>
      <w:r>
        <w:t>i black spots, accessible handsets for people living with vision impairments, proposed data retention scheme</w:t>
      </w:r>
      <w:r w:rsidR="00023B72">
        <w:t xml:space="preserve"> and </w:t>
      </w:r>
      <w:r>
        <w:t>1800/1300 calls from mobiles.</w:t>
      </w:r>
    </w:p>
    <w:sectPr w:rsidR="00F10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A9"/>
    <w:rsid w:val="00023B72"/>
    <w:rsid w:val="000D2F41"/>
    <w:rsid w:val="005152BE"/>
    <w:rsid w:val="006E5FB3"/>
    <w:rsid w:val="00783C65"/>
    <w:rsid w:val="0090115B"/>
    <w:rsid w:val="009032E1"/>
    <w:rsid w:val="00DC5AAB"/>
    <w:rsid w:val="00DE51A9"/>
    <w:rsid w:val="00E71326"/>
    <w:rsid w:val="00F10D06"/>
    <w:rsid w:val="00F55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9"/>
    <w:rPr>
      <w:rFonts w:ascii="Calibri" w:eastAsia="Calibri" w:hAnsi="Calibri" w:cs="Times New Roman"/>
    </w:rPr>
  </w:style>
  <w:style w:type="paragraph" w:styleId="Heading1">
    <w:name w:val="heading 1"/>
    <w:basedOn w:val="Normal"/>
    <w:next w:val="Normal"/>
    <w:link w:val="Heading1Char"/>
    <w:uiPriority w:val="9"/>
    <w:qFormat/>
    <w:rsid w:val="00DE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Title"/>
    <w:link w:val="ReportHeading1Char"/>
    <w:qFormat/>
    <w:rsid w:val="00DE51A9"/>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DE51A9"/>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DE5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1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51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8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65"/>
    <w:rPr>
      <w:rFonts w:ascii="Tahoma" w:eastAsia="Calibri" w:hAnsi="Tahoma" w:cs="Tahoma"/>
      <w:sz w:val="16"/>
      <w:szCs w:val="16"/>
    </w:rPr>
  </w:style>
  <w:style w:type="character" w:styleId="Hyperlink">
    <w:name w:val="Hyperlink"/>
    <w:basedOn w:val="DefaultParagraphFont"/>
    <w:uiPriority w:val="99"/>
    <w:unhideWhenUsed/>
    <w:rsid w:val="00783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9"/>
    <w:rPr>
      <w:rFonts w:ascii="Calibri" w:eastAsia="Calibri" w:hAnsi="Calibri" w:cs="Times New Roman"/>
    </w:rPr>
  </w:style>
  <w:style w:type="paragraph" w:styleId="Heading1">
    <w:name w:val="heading 1"/>
    <w:basedOn w:val="Normal"/>
    <w:next w:val="Normal"/>
    <w:link w:val="Heading1Char"/>
    <w:uiPriority w:val="9"/>
    <w:qFormat/>
    <w:rsid w:val="00DE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Title"/>
    <w:link w:val="ReportHeading1Char"/>
    <w:qFormat/>
    <w:rsid w:val="00DE51A9"/>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DE51A9"/>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DE5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1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51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8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65"/>
    <w:rPr>
      <w:rFonts w:ascii="Tahoma" w:eastAsia="Calibri" w:hAnsi="Tahoma" w:cs="Tahoma"/>
      <w:sz w:val="16"/>
      <w:szCs w:val="16"/>
    </w:rPr>
  </w:style>
  <w:style w:type="character" w:styleId="Hyperlink">
    <w:name w:val="Hyperlink"/>
    <w:basedOn w:val="DefaultParagraphFont"/>
    <w:uiPriority w:val="99"/>
    <w:unhideWhenUsed/>
    <w:rsid w:val="00783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an.org.au/consumer-info/tip-sheets/how-to-use-less-data-on-your-smartph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can.org.au/grants/completed-grants/619-homeless-and-connected" TargetMode="External"/><Relationship Id="rId5" Type="http://schemas.openxmlformats.org/officeDocument/2006/relationships/hyperlink" Target="http://www.accan.org.au/grants/completed-grants/467-financial-counselling-australia-f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9</cp:revision>
  <cp:lastPrinted>2015-05-07T06:40:00Z</cp:lastPrinted>
  <dcterms:created xsi:type="dcterms:W3CDTF">2015-04-29T00:58:00Z</dcterms:created>
  <dcterms:modified xsi:type="dcterms:W3CDTF">2015-08-28T06:35:00Z</dcterms:modified>
</cp:coreProperties>
</file>