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CA9B" w14:textId="77777777" w:rsidR="00793E88" w:rsidRDefault="00793E88" w:rsidP="00793E88">
      <w:pPr>
        <w:autoSpaceDE w:val="0"/>
        <w:autoSpaceDN w:val="0"/>
        <w:adjustRightInd w:val="0"/>
        <w:spacing w:after="120" w:line="240" w:lineRule="auto"/>
        <w:ind w:right="-992"/>
        <w:jc w:val="center"/>
        <w:rPr>
          <w:rFonts w:cstheme="minorHAnsi"/>
          <w:b/>
          <w:bCs/>
          <w:sz w:val="40"/>
          <w:szCs w:val="40"/>
        </w:rPr>
      </w:pPr>
      <w:r>
        <w:rPr>
          <w:rFonts w:cstheme="minorHAnsi"/>
          <w:b/>
          <w:bCs/>
          <w:sz w:val="40"/>
          <w:szCs w:val="40"/>
        </w:rPr>
        <w:t>Australian Communications Consumer Action Network</w:t>
      </w:r>
    </w:p>
    <w:p w14:paraId="049A7CD2" w14:textId="77777777" w:rsidR="00793E88" w:rsidRDefault="00793E88" w:rsidP="00793E88">
      <w:pPr>
        <w:pStyle w:val="Title"/>
        <w:spacing w:after="120"/>
        <w:jc w:val="center"/>
        <w:rPr>
          <w:rFonts w:asciiTheme="minorHAnsi" w:hAnsiTheme="minorHAnsi" w:cstheme="minorHAnsi"/>
          <w:color w:val="auto"/>
          <w:sz w:val="20"/>
          <w:szCs w:val="20"/>
        </w:rPr>
      </w:pPr>
    </w:p>
    <w:p w14:paraId="2C48CE82" w14:textId="1DB32390" w:rsidR="00F6228E" w:rsidRPr="00793E88" w:rsidRDefault="00BB0A83" w:rsidP="00380A6E">
      <w:pPr>
        <w:pStyle w:val="Title"/>
        <w:jc w:val="center"/>
        <w:rPr>
          <w:rFonts w:asciiTheme="minorHAnsi" w:hAnsiTheme="minorHAnsi" w:cstheme="minorHAnsi"/>
          <w:color w:val="auto"/>
          <w:sz w:val="44"/>
          <w:szCs w:val="44"/>
        </w:rPr>
      </w:pPr>
      <w:r w:rsidRPr="00793E88">
        <w:rPr>
          <w:rFonts w:asciiTheme="minorHAnsi" w:hAnsiTheme="minorHAnsi" w:cstheme="minorHAnsi"/>
          <w:color w:val="auto"/>
          <w:sz w:val="44"/>
          <w:szCs w:val="44"/>
        </w:rPr>
        <w:t>Indigenous</w:t>
      </w:r>
      <w:r w:rsidR="003B1147" w:rsidRPr="00793E88">
        <w:rPr>
          <w:rFonts w:asciiTheme="minorHAnsi" w:hAnsiTheme="minorHAnsi" w:cstheme="minorHAnsi"/>
          <w:color w:val="auto"/>
          <w:sz w:val="44"/>
          <w:szCs w:val="44"/>
        </w:rPr>
        <w:t xml:space="preserve"> Advisory Forum</w:t>
      </w:r>
    </w:p>
    <w:p w14:paraId="17BF25AC" w14:textId="7DE09889" w:rsidR="003B1147" w:rsidRPr="00793E88" w:rsidRDefault="003B1147" w:rsidP="00380A6E">
      <w:pPr>
        <w:pStyle w:val="Title"/>
        <w:jc w:val="center"/>
        <w:rPr>
          <w:rFonts w:asciiTheme="minorHAnsi" w:hAnsiTheme="minorHAnsi" w:cstheme="minorHAnsi"/>
          <w:color w:val="auto"/>
          <w:sz w:val="44"/>
          <w:szCs w:val="44"/>
        </w:rPr>
      </w:pPr>
      <w:r w:rsidRPr="00793E88">
        <w:rPr>
          <w:rFonts w:asciiTheme="minorHAnsi" w:hAnsiTheme="minorHAnsi" w:cstheme="minorHAnsi"/>
          <w:color w:val="auto"/>
          <w:sz w:val="44"/>
          <w:szCs w:val="44"/>
        </w:rPr>
        <w:t>Meeting Report</w:t>
      </w:r>
    </w:p>
    <w:p w14:paraId="3DDBD88D" w14:textId="244D3D72" w:rsidR="008572C2" w:rsidRPr="008572C2" w:rsidRDefault="00BB0A83" w:rsidP="008572C2">
      <w:pPr>
        <w:jc w:val="center"/>
        <w:rPr>
          <w:rFonts w:cstheme="minorHAnsi"/>
          <w:bCs/>
          <w:sz w:val="28"/>
          <w:szCs w:val="28"/>
        </w:rPr>
      </w:pPr>
      <w:r>
        <w:rPr>
          <w:rFonts w:cstheme="minorHAnsi"/>
          <w:bCs/>
          <w:sz w:val="28"/>
          <w:szCs w:val="28"/>
        </w:rPr>
        <w:t>24</w:t>
      </w:r>
      <w:r w:rsidR="008572C2" w:rsidRPr="008572C2">
        <w:rPr>
          <w:rFonts w:cstheme="minorHAnsi"/>
          <w:bCs/>
          <w:sz w:val="28"/>
          <w:szCs w:val="28"/>
        </w:rPr>
        <w:t xml:space="preserve"> June 2020, 2:00 – 4:00pm (</w:t>
      </w:r>
      <w:r w:rsidR="006C3353">
        <w:rPr>
          <w:rFonts w:cstheme="minorHAnsi"/>
          <w:bCs/>
          <w:sz w:val="28"/>
          <w:szCs w:val="28"/>
        </w:rPr>
        <w:t>A</w:t>
      </w:r>
      <w:r w:rsidR="008572C2" w:rsidRPr="008572C2">
        <w:rPr>
          <w:rFonts w:cstheme="minorHAnsi"/>
          <w:bCs/>
          <w:sz w:val="28"/>
          <w:szCs w:val="28"/>
        </w:rPr>
        <w:t>EST)</w:t>
      </w:r>
      <w:r w:rsidR="008572C2">
        <w:rPr>
          <w:rFonts w:cstheme="minorHAnsi"/>
          <w:bCs/>
          <w:sz w:val="28"/>
          <w:szCs w:val="28"/>
        </w:rPr>
        <w:t xml:space="preserve"> by videoconference</w:t>
      </w:r>
    </w:p>
    <w:p w14:paraId="29E2A4E8" w14:textId="233526A6" w:rsidR="00FC410B" w:rsidRDefault="008572C2" w:rsidP="008572C2">
      <w:pPr>
        <w:spacing w:after="0"/>
        <w:rPr>
          <w:b/>
          <w:bCs/>
        </w:rPr>
      </w:pPr>
      <w:r w:rsidRPr="008572C2">
        <w:rPr>
          <w:b/>
          <w:bCs/>
        </w:rPr>
        <w:t xml:space="preserve">PRESENT: </w:t>
      </w:r>
      <w:r w:rsidRPr="008572C2">
        <w:rPr>
          <w:b/>
          <w:bCs/>
        </w:rPr>
        <w:tab/>
      </w:r>
      <w:r w:rsidR="00BB0A83">
        <w:rPr>
          <w:b/>
          <w:bCs/>
        </w:rPr>
        <w:t xml:space="preserve">Heron </w:t>
      </w:r>
      <w:proofErr w:type="spellStart"/>
      <w:r w:rsidR="00BB0A83">
        <w:rPr>
          <w:b/>
          <w:bCs/>
        </w:rPr>
        <w:t>Loban</w:t>
      </w:r>
      <w:proofErr w:type="spellEnd"/>
      <w:r w:rsidR="00BB0A83">
        <w:rPr>
          <w:b/>
          <w:bCs/>
        </w:rPr>
        <w:tab/>
      </w:r>
      <w:r w:rsidR="00FC410B">
        <w:tab/>
      </w:r>
      <w:r w:rsidR="00FC410B" w:rsidRPr="00F6228E">
        <w:rPr>
          <w:rFonts w:cstheme="minorHAnsi"/>
          <w:b/>
          <w:bCs/>
          <w:sz w:val="24"/>
          <w:szCs w:val="24"/>
        </w:rPr>
        <w:t>Chairperson (ACCAN Board Director)</w:t>
      </w:r>
    </w:p>
    <w:p w14:paraId="1D5D4C88" w14:textId="77777777" w:rsidR="00A1783E" w:rsidRPr="006C3353" w:rsidRDefault="00A1783E" w:rsidP="00A1783E">
      <w:pPr>
        <w:spacing w:after="0" w:line="240" w:lineRule="auto"/>
        <w:ind w:left="1440"/>
      </w:pPr>
      <w:r w:rsidRPr="006C3353">
        <w:t>Veronica Johnson</w:t>
      </w:r>
      <w:r w:rsidRPr="006C3353">
        <w:tab/>
        <w:t>Broome CIRCLE</w:t>
      </w:r>
    </w:p>
    <w:p w14:paraId="1F4DCD0F" w14:textId="77777777" w:rsidR="00A1783E" w:rsidRPr="006C3353" w:rsidRDefault="00A1783E" w:rsidP="00A1783E">
      <w:pPr>
        <w:spacing w:after="0" w:line="240" w:lineRule="auto"/>
        <w:ind w:left="1440"/>
      </w:pPr>
      <w:r w:rsidRPr="006C3353">
        <w:t>Kaylee Anderson</w:t>
      </w:r>
      <w:r w:rsidRPr="006C3353">
        <w:tab/>
        <w:t>Consumer Action Law Centre</w:t>
      </w:r>
    </w:p>
    <w:p w14:paraId="06C06F27" w14:textId="77777777" w:rsidR="00A1783E" w:rsidRPr="006C3353" w:rsidRDefault="00A1783E" w:rsidP="00A1783E">
      <w:pPr>
        <w:spacing w:after="0" w:line="240" w:lineRule="auto"/>
        <w:ind w:left="1440"/>
      </w:pPr>
      <w:r w:rsidRPr="006C3353">
        <w:t>Samantha Rudolf</w:t>
      </w:r>
      <w:r w:rsidRPr="006C3353">
        <w:tab/>
        <w:t>Consumer Action Law Centre</w:t>
      </w:r>
    </w:p>
    <w:p w14:paraId="1F74CF36" w14:textId="77777777" w:rsidR="00A1783E" w:rsidRPr="006C3353" w:rsidRDefault="00A1783E" w:rsidP="00A1783E">
      <w:pPr>
        <w:spacing w:after="0" w:line="240" w:lineRule="auto"/>
        <w:ind w:left="1440"/>
      </w:pPr>
      <w:r w:rsidRPr="006C3353">
        <w:t>Nathan McIvor</w:t>
      </w:r>
      <w:r w:rsidRPr="006C3353">
        <w:tab/>
      </w:r>
      <w:r w:rsidRPr="006C3353">
        <w:tab/>
      </w:r>
      <w:proofErr w:type="spellStart"/>
      <w:r w:rsidRPr="006C3353">
        <w:t>Djarindjin</w:t>
      </w:r>
      <w:proofErr w:type="spellEnd"/>
      <w:r w:rsidRPr="006C3353">
        <w:t xml:space="preserve"> Aboriginal Corporation</w:t>
      </w:r>
    </w:p>
    <w:p w14:paraId="5F3E0C41" w14:textId="77777777" w:rsidR="00A1783E" w:rsidRPr="006C3353" w:rsidRDefault="00A1783E" w:rsidP="00A1783E">
      <w:pPr>
        <w:spacing w:after="0" w:line="240" w:lineRule="auto"/>
        <w:ind w:left="1440"/>
      </w:pPr>
      <w:r w:rsidRPr="006C3353">
        <w:t>Lynda Edwards</w:t>
      </w:r>
      <w:r w:rsidRPr="006C3353">
        <w:tab/>
      </w:r>
      <w:r w:rsidRPr="006C3353">
        <w:tab/>
        <w:t>Financial Counselling Australia</w:t>
      </w:r>
    </w:p>
    <w:p w14:paraId="6A68F7F2" w14:textId="77777777" w:rsidR="00A1783E" w:rsidRPr="006C3353" w:rsidRDefault="00A1783E" w:rsidP="00A1783E">
      <w:pPr>
        <w:spacing w:after="0" w:line="240" w:lineRule="auto"/>
        <w:ind w:left="1440"/>
      </w:pPr>
      <w:r w:rsidRPr="006C3353">
        <w:t>Toni Cork</w:t>
      </w:r>
      <w:r w:rsidRPr="006C3353">
        <w:tab/>
      </w:r>
      <w:r w:rsidRPr="006C3353">
        <w:tab/>
        <w:t>HK Training &amp; Consultancy</w:t>
      </w:r>
    </w:p>
    <w:p w14:paraId="57FCF30D" w14:textId="77777777" w:rsidR="00A1783E" w:rsidRPr="006C3353" w:rsidRDefault="00A1783E" w:rsidP="00A1783E">
      <w:pPr>
        <w:spacing w:after="0" w:line="240" w:lineRule="auto"/>
        <w:ind w:left="1440"/>
      </w:pPr>
      <w:proofErr w:type="spellStart"/>
      <w:r w:rsidRPr="006C3353">
        <w:t>Unaisi</w:t>
      </w:r>
      <w:proofErr w:type="spellEnd"/>
      <w:r w:rsidRPr="006C3353">
        <w:t xml:space="preserve"> </w:t>
      </w:r>
      <w:proofErr w:type="spellStart"/>
      <w:r w:rsidRPr="006C3353">
        <w:t>Buli</w:t>
      </w:r>
      <w:proofErr w:type="spellEnd"/>
      <w:r w:rsidRPr="006C3353">
        <w:tab/>
      </w:r>
      <w:r w:rsidRPr="006C3353">
        <w:tab/>
        <w:t>Indigenous Consumer Assistance Network - ICAN</w:t>
      </w:r>
    </w:p>
    <w:p w14:paraId="1E052865" w14:textId="77777777" w:rsidR="00A1783E" w:rsidRPr="006C3353" w:rsidRDefault="00A1783E" w:rsidP="00A1783E">
      <w:pPr>
        <w:spacing w:after="0" w:line="240" w:lineRule="auto"/>
        <w:ind w:left="1440"/>
      </w:pPr>
      <w:r w:rsidRPr="006C3353">
        <w:t xml:space="preserve">Blake </w:t>
      </w:r>
      <w:proofErr w:type="spellStart"/>
      <w:r w:rsidRPr="006C3353">
        <w:t>Tatafu</w:t>
      </w:r>
      <w:proofErr w:type="spellEnd"/>
      <w:r w:rsidRPr="006C3353">
        <w:tab/>
      </w:r>
      <w:r w:rsidRPr="006C3353">
        <w:tab/>
      </w:r>
      <w:proofErr w:type="spellStart"/>
      <w:r w:rsidRPr="006C3353">
        <w:t>Kimberwalli</w:t>
      </w:r>
      <w:proofErr w:type="spellEnd"/>
      <w:r w:rsidRPr="006C3353">
        <w:t xml:space="preserve"> - Aboriginal Affairs NSW</w:t>
      </w:r>
    </w:p>
    <w:p w14:paraId="5029368A" w14:textId="77777777" w:rsidR="00A1783E" w:rsidRPr="006C3353" w:rsidRDefault="00A1783E" w:rsidP="00A1783E">
      <w:pPr>
        <w:spacing w:after="0" w:line="240" w:lineRule="auto"/>
        <w:ind w:left="1440"/>
      </w:pPr>
      <w:bookmarkStart w:id="0" w:name="_Hlk44076542"/>
      <w:r w:rsidRPr="006C3353">
        <w:t>Chanelle McAuliffe</w:t>
      </w:r>
      <w:bookmarkEnd w:id="0"/>
      <w:r w:rsidRPr="006C3353">
        <w:tab/>
      </w:r>
      <w:proofErr w:type="spellStart"/>
      <w:r w:rsidRPr="006C3353">
        <w:t>MoneyMob</w:t>
      </w:r>
      <w:proofErr w:type="spellEnd"/>
      <w:r w:rsidRPr="006C3353">
        <w:t xml:space="preserve"> </w:t>
      </w:r>
      <w:proofErr w:type="spellStart"/>
      <w:r w:rsidRPr="006C3353">
        <w:t>Talkabout</w:t>
      </w:r>
      <w:proofErr w:type="spellEnd"/>
    </w:p>
    <w:p w14:paraId="581E35C8" w14:textId="77777777" w:rsidR="00A1783E" w:rsidRPr="006C3353" w:rsidRDefault="00A1783E" w:rsidP="00A1783E">
      <w:pPr>
        <w:spacing w:after="0" w:line="240" w:lineRule="auto"/>
        <w:ind w:left="1440"/>
      </w:pPr>
      <w:r w:rsidRPr="006C3353">
        <w:t>Amy Frew</w:t>
      </w:r>
      <w:r w:rsidRPr="006C3353">
        <w:tab/>
      </w:r>
      <w:r w:rsidRPr="006C3353">
        <w:tab/>
        <w:t>North Australian Aboriginal Justice Agency - NAAJA</w:t>
      </w:r>
    </w:p>
    <w:p w14:paraId="1A0217D8" w14:textId="77777777" w:rsidR="00A1783E" w:rsidRDefault="00A1783E" w:rsidP="00A1783E">
      <w:pPr>
        <w:spacing w:after="0" w:line="240" w:lineRule="auto"/>
        <w:ind w:left="1440"/>
      </w:pPr>
      <w:r w:rsidRPr="006C3353">
        <w:t>Nicole Stobart</w:t>
      </w:r>
      <w:r w:rsidRPr="006C3353">
        <w:tab/>
      </w:r>
      <w:r w:rsidRPr="006C3353">
        <w:tab/>
        <w:t>North Australian Aboriginal Justice Agency - NAAJA</w:t>
      </w:r>
    </w:p>
    <w:p w14:paraId="13D1B9DA" w14:textId="77777777" w:rsidR="00FC410B" w:rsidRDefault="00FC410B" w:rsidP="008572C2">
      <w:pPr>
        <w:spacing w:after="0"/>
        <w:ind w:left="1440"/>
      </w:pPr>
    </w:p>
    <w:p w14:paraId="7B9228BD" w14:textId="12C63704" w:rsidR="00FC410B" w:rsidRPr="00C90164" w:rsidRDefault="00FC410B" w:rsidP="00FC410B">
      <w:pPr>
        <w:spacing w:after="0"/>
      </w:pPr>
      <w:r w:rsidRPr="00FC410B">
        <w:rPr>
          <w:b/>
          <w:bCs/>
        </w:rPr>
        <w:t>ACCAN:</w:t>
      </w:r>
      <w:r w:rsidRPr="00FC410B">
        <w:rPr>
          <w:b/>
          <w:bCs/>
        </w:rPr>
        <w:tab/>
      </w:r>
      <w:r w:rsidR="00FA3078">
        <w:rPr>
          <w:b/>
          <w:bCs/>
        </w:rPr>
        <w:tab/>
      </w:r>
      <w:r w:rsidRPr="00C90164">
        <w:t>Teresa Corbin</w:t>
      </w:r>
      <w:r>
        <w:tab/>
      </w:r>
      <w:r>
        <w:tab/>
        <w:t>Chief Executive Officer</w:t>
      </w:r>
    </w:p>
    <w:p w14:paraId="3131CDD4" w14:textId="77777777" w:rsidR="00FC410B" w:rsidRDefault="00FC410B" w:rsidP="00FA3078">
      <w:pPr>
        <w:spacing w:after="0"/>
        <w:ind w:left="1440"/>
      </w:pPr>
      <w:r w:rsidRPr="00C90164">
        <w:t>Una Lawrence</w:t>
      </w:r>
      <w:r w:rsidRPr="004E438D">
        <w:t xml:space="preserve"> </w:t>
      </w:r>
      <w:r>
        <w:tab/>
      </w:r>
      <w:r>
        <w:tab/>
        <w:t>Director of Policy</w:t>
      </w:r>
    </w:p>
    <w:p w14:paraId="5EB1F888" w14:textId="1EA5DA68" w:rsidR="00FC410B" w:rsidRDefault="00BB0A83" w:rsidP="00FA3078">
      <w:pPr>
        <w:spacing w:after="0"/>
        <w:ind w:left="1440"/>
      </w:pPr>
      <w:r>
        <w:t>Rebe</w:t>
      </w:r>
      <w:r w:rsidR="00A312AE">
        <w:t>k</w:t>
      </w:r>
      <w:r>
        <w:t>a</w:t>
      </w:r>
      <w:r w:rsidR="00A312AE">
        <w:t>h</w:t>
      </w:r>
      <w:r>
        <w:t xml:space="preserve"> Sarkoezy</w:t>
      </w:r>
      <w:r w:rsidR="00FC410B">
        <w:tab/>
        <w:t>Policy Officer</w:t>
      </w:r>
    </w:p>
    <w:p w14:paraId="6C987449" w14:textId="77777777" w:rsidR="00FC410B" w:rsidRDefault="00FC410B" w:rsidP="00FA3078">
      <w:pPr>
        <w:spacing w:after="0"/>
        <w:ind w:left="1440"/>
      </w:pPr>
      <w:r>
        <w:t>Kelly Lindsay</w:t>
      </w:r>
      <w:r>
        <w:tab/>
      </w:r>
      <w:r>
        <w:tab/>
        <w:t>Consumer Engagement and Membership Officer</w:t>
      </w:r>
    </w:p>
    <w:p w14:paraId="2EF6D700" w14:textId="77777777" w:rsidR="00FC410B" w:rsidRDefault="00FC410B" w:rsidP="008572C2">
      <w:pPr>
        <w:spacing w:after="0" w:line="240" w:lineRule="auto"/>
        <w:rPr>
          <w:b/>
          <w:bCs/>
        </w:rPr>
      </w:pPr>
    </w:p>
    <w:p w14:paraId="04DF7899" w14:textId="1CEC439A" w:rsidR="008572C2" w:rsidRDefault="00FC410B" w:rsidP="00BB0A83">
      <w:pPr>
        <w:spacing w:after="0" w:line="240" w:lineRule="auto"/>
      </w:pPr>
      <w:r w:rsidRPr="00FC410B">
        <w:rPr>
          <w:b/>
          <w:bCs/>
        </w:rPr>
        <w:t>A</w:t>
      </w:r>
      <w:r w:rsidR="008572C2" w:rsidRPr="00FC410B">
        <w:rPr>
          <w:b/>
          <w:bCs/>
        </w:rPr>
        <w:t>POLOGIES</w:t>
      </w:r>
      <w:r w:rsidRPr="00FC410B">
        <w:rPr>
          <w:b/>
          <w:bCs/>
        </w:rPr>
        <w:t>:</w:t>
      </w:r>
      <w:r>
        <w:t xml:space="preserve"> </w:t>
      </w:r>
      <w:r>
        <w:tab/>
      </w:r>
      <w:r w:rsidR="000251D5">
        <w:t>Carolyn Cartwright</w:t>
      </w:r>
      <w:r w:rsidR="00BB0A83">
        <w:tab/>
      </w:r>
      <w:r w:rsidR="000251D5">
        <w:t>MoneyMob</w:t>
      </w:r>
    </w:p>
    <w:p w14:paraId="3578607A" w14:textId="75ACDF2E" w:rsidR="000251D5" w:rsidRDefault="000251D5" w:rsidP="00BB0A83">
      <w:pPr>
        <w:spacing w:after="0" w:line="240" w:lineRule="auto"/>
      </w:pPr>
      <w:r>
        <w:tab/>
      </w:r>
      <w:r>
        <w:tab/>
        <w:t>Paula Manning</w:t>
      </w:r>
      <w:r>
        <w:tab/>
      </w:r>
      <w:r>
        <w:tab/>
        <w:t>Broome Circle</w:t>
      </w:r>
    </w:p>
    <w:p w14:paraId="46F3DB09" w14:textId="77777777" w:rsidR="00BB0A83" w:rsidRDefault="00BB0A83" w:rsidP="00BB0A83">
      <w:pPr>
        <w:spacing w:after="0" w:line="240" w:lineRule="auto"/>
      </w:pPr>
    </w:p>
    <w:p w14:paraId="43496EDA" w14:textId="5113DDFF" w:rsidR="008572C2" w:rsidRDefault="008572C2" w:rsidP="008572C2">
      <w:pPr>
        <w:spacing w:after="0"/>
      </w:pPr>
    </w:p>
    <w:p w14:paraId="7383BC75" w14:textId="77777777" w:rsidR="00BB0A83" w:rsidRPr="00C75517" w:rsidRDefault="00BB0A83" w:rsidP="00BB0A83">
      <w:pPr>
        <w:rPr>
          <w:rFonts w:cstheme="minorHAnsi"/>
        </w:rPr>
      </w:pPr>
      <w:r w:rsidRPr="00C75517">
        <w:rPr>
          <w:rFonts w:cstheme="minorHAnsi"/>
        </w:rPr>
        <w:t xml:space="preserve">The purpose of ACCAN’s </w:t>
      </w:r>
      <w:r>
        <w:rPr>
          <w:rFonts w:cstheme="minorHAnsi"/>
        </w:rPr>
        <w:t xml:space="preserve">Indigenous </w:t>
      </w:r>
      <w:r w:rsidRPr="00C75517">
        <w:rPr>
          <w:rFonts w:cstheme="minorHAnsi"/>
        </w:rPr>
        <w:t>Advisory Forum (</w:t>
      </w:r>
      <w:r>
        <w:rPr>
          <w:rFonts w:cstheme="minorHAnsi"/>
        </w:rPr>
        <w:t>I</w:t>
      </w:r>
      <w:r w:rsidRPr="00C75517">
        <w:rPr>
          <w:rFonts w:cstheme="minorHAnsi"/>
        </w:rPr>
        <w:t xml:space="preserve">AF) is to </w:t>
      </w:r>
      <w:r>
        <w:rPr>
          <w:rFonts w:cstheme="minorHAnsi"/>
        </w:rPr>
        <w:t xml:space="preserve">discuss </w:t>
      </w:r>
      <w:r w:rsidRPr="00C75517">
        <w:rPr>
          <w:rFonts w:cstheme="minorHAnsi"/>
        </w:rPr>
        <w:t>important telecommunications consumer issues from the perspective of representatives</w:t>
      </w:r>
      <w:r>
        <w:rPr>
          <w:rFonts w:cstheme="minorHAnsi"/>
        </w:rPr>
        <w:t xml:space="preserve"> from Indigenous</w:t>
      </w:r>
      <w:r w:rsidRPr="00C75517">
        <w:rPr>
          <w:rFonts w:cstheme="minorHAnsi"/>
        </w:rPr>
        <w:t xml:space="preserve"> communit</w:t>
      </w:r>
      <w:r>
        <w:rPr>
          <w:rFonts w:cstheme="minorHAnsi"/>
        </w:rPr>
        <w:t>ies and organisations. The forum i</w:t>
      </w:r>
      <w:r w:rsidRPr="00C75517">
        <w:rPr>
          <w:rFonts w:cstheme="minorHAnsi"/>
        </w:rPr>
        <w:t>nform</w:t>
      </w:r>
      <w:r>
        <w:rPr>
          <w:rFonts w:cstheme="minorHAnsi"/>
        </w:rPr>
        <w:t>s</w:t>
      </w:r>
      <w:r w:rsidRPr="00C75517">
        <w:rPr>
          <w:rFonts w:cstheme="minorHAnsi"/>
        </w:rPr>
        <w:t xml:space="preserve"> ACCAN’s policy priorities</w:t>
      </w:r>
      <w:r>
        <w:rPr>
          <w:rFonts w:cstheme="minorHAnsi"/>
        </w:rPr>
        <w:t xml:space="preserve"> and work plan</w:t>
      </w:r>
      <w:r w:rsidRPr="00C75517">
        <w:rPr>
          <w:rFonts w:cstheme="minorHAnsi"/>
        </w:rPr>
        <w:t xml:space="preserve">. </w:t>
      </w:r>
    </w:p>
    <w:p w14:paraId="0998DD62" w14:textId="2F8F6B39" w:rsidR="00AE2A70" w:rsidRPr="00C75517" w:rsidRDefault="00AE2A70" w:rsidP="00AE2A70">
      <w:pPr>
        <w:rPr>
          <w:rFonts w:cstheme="minorHAnsi"/>
        </w:rPr>
      </w:pPr>
      <w:r w:rsidRPr="00C75517">
        <w:rPr>
          <w:rFonts w:cstheme="minorHAnsi"/>
        </w:rPr>
        <w:t xml:space="preserve">The following meeting report provides an overview of the main issues raised and discussed. </w:t>
      </w:r>
      <w:r w:rsidR="00BB0A83">
        <w:rPr>
          <w:rFonts w:cstheme="minorHAnsi"/>
        </w:rPr>
        <w:t>I</w:t>
      </w:r>
      <w:r w:rsidRPr="00C75517">
        <w:rPr>
          <w:rFonts w:cstheme="minorHAnsi"/>
        </w:rPr>
        <w:t>AF participants are welcome to use this document in reporting back to their organisations. This report will also be sent to invited representatives who were unable to attend.</w:t>
      </w:r>
    </w:p>
    <w:p w14:paraId="02A9A5E9" w14:textId="7E9A3D85" w:rsidR="00E92E65" w:rsidRPr="00C75517" w:rsidRDefault="0022283C" w:rsidP="007841EC">
      <w:pPr>
        <w:pStyle w:val="Heading1"/>
        <w:numPr>
          <w:ilvl w:val="0"/>
          <w:numId w:val="20"/>
        </w:numPr>
      </w:pPr>
      <w:r>
        <w:lastRenderedPageBreak/>
        <w:t>Overview of current communications context and ACCAN activities</w:t>
      </w:r>
    </w:p>
    <w:p w14:paraId="6ECCDDAB" w14:textId="043010BA" w:rsidR="00F80326" w:rsidRDefault="006C3353" w:rsidP="006C3353">
      <w:r>
        <w:t xml:space="preserve">Chairperson Heron </w:t>
      </w:r>
      <w:proofErr w:type="spellStart"/>
      <w:r>
        <w:t>Loban</w:t>
      </w:r>
      <w:proofErr w:type="spellEnd"/>
      <w:r>
        <w:t xml:space="preserve"> gave a brief introduction to ACCAN and </w:t>
      </w:r>
      <w:r w:rsidR="00F80326">
        <w:t>summarised</w:t>
      </w:r>
      <w:r>
        <w:t xml:space="preserve"> </w:t>
      </w:r>
      <w:r w:rsidR="00F80326">
        <w:t xml:space="preserve">the </w:t>
      </w:r>
      <w:r>
        <w:t>purpose of the IAF</w:t>
      </w:r>
      <w:r w:rsidR="00F80326">
        <w:t>, highlighted above</w:t>
      </w:r>
      <w:r>
        <w:t>.</w:t>
      </w:r>
      <w:r w:rsidR="00F80326">
        <w:t xml:space="preserve"> </w:t>
      </w:r>
      <w:r w:rsidR="00F80326" w:rsidRPr="00F80326">
        <w:t>ACCAN CEO Teresa Corbin made a brief statement on the current communications context</w:t>
      </w:r>
      <w:r w:rsidR="00F80326">
        <w:t xml:space="preserve">. This meeting is aimed at addressing general and consumer protections-related issues, as a meeting targeted at infrastructure-related issues will </w:t>
      </w:r>
      <w:r w:rsidR="00200751">
        <w:t>be held</w:t>
      </w:r>
      <w:r w:rsidR="00F80326">
        <w:t xml:space="preserve"> later in the year.</w:t>
      </w:r>
    </w:p>
    <w:p w14:paraId="64B95CBA" w14:textId="4460D5B1" w:rsidR="006C3353" w:rsidRPr="006C3353" w:rsidRDefault="006C3353" w:rsidP="006C3353">
      <w:r>
        <w:t>Participants were encouraged to introduce themselves and share any high-level communications issues</w:t>
      </w:r>
      <w:r w:rsidR="00F80326">
        <w:t xml:space="preserve"> they have witnessed affecting First Nations peoples.</w:t>
      </w:r>
      <w:r>
        <w:t xml:space="preserve"> </w:t>
      </w:r>
    </w:p>
    <w:p w14:paraId="44FF5A5F" w14:textId="121382DD" w:rsidR="008572C2" w:rsidRDefault="00353E08" w:rsidP="007841EC">
      <w:pPr>
        <w:pStyle w:val="Heading1"/>
        <w:numPr>
          <w:ilvl w:val="0"/>
          <w:numId w:val="20"/>
        </w:numPr>
      </w:pPr>
      <w:r>
        <w:t>Discussion of Indigenous communication issues</w:t>
      </w:r>
    </w:p>
    <w:p w14:paraId="35DF903F" w14:textId="77777777" w:rsidR="009A6ED9" w:rsidRDefault="009A6ED9" w:rsidP="009A6ED9">
      <w:pPr>
        <w:pStyle w:val="Heading3"/>
      </w:pPr>
      <w:r>
        <w:t>COVID-19</w:t>
      </w:r>
    </w:p>
    <w:p w14:paraId="5CAD9B66" w14:textId="47F41BD8" w:rsidR="009A6ED9" w:rsidRDefault="009A6ED9" w:rsidP="009A6ED9">
      <w:pPr>
        <w:pStyle w:val="ListParagraph"/>
        <w:numPr>
          <w:ilvl w:val="0"/>
          <w:numId w:val="28"/>
        </w:numPr>
      </w:pPr>
      <w:r>
        <w:t xml:space="preserve">The closure of remote Aboriginal communities to contain the spread of COVID-19 has created new </w:t>
      </w:r>
      <w:r w:rsidR="00200751">
        <w:t xml:space="preserve">communications </w:t>
      </w:r>
      <w:r>
        <w:t xml:space="preserve">problems for </w:t>
      </w:r>
      <w:proofErr w:type="gramStart"/>
      <w:r>
        <w:t>consumers, and</w:t>
      </w:r>
      <w:proofErr w:type="gramEnd"/>
      <w:r>
        <w:t xml:space="preserve"> emphasised existing problems.</w:t>
      </w:r>
    </w:p>
    <w:p w14:paraId="4909FF3B" w14:textId="451F513A" w:rsidR="009A6ED9" w:rsidRDefault="009A6ED9" w:rsidP="009A6ED9">
      <w:pPr>
        <w:pStyle w:val="ListParagraph"/>
        <w:numPr>
          <w:ilvl w:val="0"/>
          <w:numId w:val="28"/>
        </w:numPr>
      </w:pPr>
      <w:r>
        <w:t>It has been difficult to keep in contact with people living in community during lockdown, due to a lack of mobile coverage, unreliable services and access to services and devices. Some financial counsellors have</w:t>
      </w:r>
      <w:r w:rsidR="00200751">
        <w:t xml:space="preserve"> completely</w:t>
      </w:r>
      <w:r>
        <w:t xml:space="preserve"> lost contact with their clients during the pandemic.</w:t>
      </w:r>
    </w:p>
    <w:p w14:paraId="528B482E" w14:textId="0DD7D843" w:rsidR="00427283" w:rsidRDefault="00427283" w:rsidP="009A6ED9">
      <w:pPr>
        <w:pStyle w:val="ListParagraph"/>
        <w:numPr>
          <w:ilvl w:val="0"/>
          <w:numId w:val="28"/>
        </w:numPr>
      </w:pPr>
      <w:r>
        <w:t>Access to dispute resolution via self-representation has also been undermined during COVID-19</w:t>
      </w:r>
      <w:r w:rsidR="00880685">
        <w:t xml:space="preserve">, as consumers’ access to communications is limited through isolation. </w:t>
      </w:r>
    </w:p>
    <w:p w14:paraId="0EACB258" w14:textId="463AA2FB" w:rsidR="006C1024" w:rsidRDefault="006C1024" w:rsidP="009A6ED9">
      <w:pPr>
        <w:pStyle w:val="ListParagraph"/>
        <w:numPr>
          <w:ilvl w:val="0"/>
          <w:numId w:val="28"/>
        </w:numPr>
      </w:pPr>
      <w:r>
        <w:t xml:space="preserve">Telstra made use of its payphones free during the pandemic, which several attendees praised. Free calls and </w:t>
      </w:r>
      <w:proofErr w:type="spellStart"/>
      <w:r>
        <w:t>WiFi</w:t>
      </w:r>
      <w:proofErr w:type="spellEnd"/>
      <w:r>
        <w:t xml:space="preserve"> through payphones meant that some attendees were able to keep in contact with clients and connections in remote communities</w:t>
      </w:r>
      <w:r w:rsidR="00501FA1">
        <w:t>.</w:t>
      </w:r>
    </w:p>
    <w:p w14:paraId="3EF9F393" w14:textId="2A9F8B86" w:rsidR="00501FA1" w:rsidRDefault="00501FA1" w:rsidP="009A6ED9">
      <w:pPr>
        <w:pStyle w:val="ListParagraph"/>
        <w:numPr>
          <w:ilvl w:val="0"/>
          <w:numId w:val="28"/>
        </w:numPr>
      </w:pPr>
      <w:r>
        <w:t xml:space="preserve">COVID-19 has solidified the fact that communications are an essential service. </w:t>
      </w:r>
    </w:p>
    <w:p w14:paraId="0B2F8215" w14:textId="772DBBD8" w:rsidR="009A6ED9" w:rsidRDefault="009A6ED9" w:rsidP="009A6ED9">
      <w:pPr>
        <w:pStyle w:val="Heading3"/>
      </w:pPr>
      <w:r>
        <w:t>Network faults</w:t>
      </w:r>
      <w:r w:rsidR="006C1024">
        <w:t xml:space="preserve">, </w:t>
      </w:r>
      <w:r>
        <w:t>repairs</w:t>
      </w:r>
      <w:r w:rsidR="006C1024">
        <w:t xml:space="preserve"> and other infrastructure issues</w:t>
      </w:r>
      <w:r>
        <w:t xml:space="preserve"> </w:t>
      </w:r>
    </w:p>
    <w:p w14:paraId="0CD67332" w14:textId="7BA7C945" w:rsidR="006C1024" w:rsidRDefault="006C1024" w:rsidP="009A6ED9">
      <w:pPr>
        <w:pStyle w:val="ListParagraph"/>
        <w:numPr>
          <w:ilvl w:val="0"/>
          <w:numId w:val="29"/>
        </w:numPr>
      </w:pPr>
      <w:r>
        <w:t xml:space="preserve">Attendees re-iterated the importance of </w:t>
      </w:r>
      <w:proofErr w:type="gramStart"/>
      <w:r>
        <w:t>connectivity, and</w:t>
      </w:r>
      <w:proofErr w:type="gramEnd"/>
      <w:r>
        <w:t xml:space="preserve"> highlighted the fact that very little has been done in recent years to address connectivity and infrastructure problems in remote Aboriginal and Torres Strait Islander communities.</w:t>
      </w:r>
    </w:p>
    <w:p w14:paraId="4496615A" w14:textId="550E06B7" w:rsidR="006C1024" w:rsidRDefault="00FE2BCB" w:rsidP="009A6ED9">
      <w:pPr>
        <w:pStyle w:val="ListParagraph"/>
        <w:numPr>
          <w:ilvl w:val="0"/>
          <w:numId w:val="29"/>
        </w:numPr>
      </w:pPr>
      <w:r>
        <w:t xml:space="preserve">The comparatively high frequency of </w:t>
      </w:r>
      <w:r w:rsidR="006C1024">
        <w:t>outages and extensive time taken to resolve network faults is a major source of frustration for residents in remote communities, and for people that work with them.</w:t>
      </w:r>
    </w:p>
    <w:p w14:paraId="778905A5" w14:textId="56F91C25" w:rsidR="009A6ED9" w:rsidRDefault="006C1024" w:rsidP="009A6ED9">
      <w:pPr>
        <w:pStyle w:val="ListParagraph"/>
        <w:numPr>
          <w:ilvl w:val="0"/>
          <w:numId w:val="29"/>
        </w:numPr>
      </w:pPr>
      <w:r>
        <w:t>These issues, coupled with a lack of mobile coverage in many areas, create not just significant inconvenience but also public health risks (not being able to call emergency services, for example). Personal risk factors are also aggravated</w:t>
      </w:r>
      <w:r w:rsidR="006D2E98">
        <w:t>,</w:t>
      </w:r>
      <w:r>
        <w:t xml:space="preserve"> as access to government services and EFTPOS/cashless welfare cards depend on connectivity. </w:t>
      </w:r>
    </w:p>
    <w:p w14:paraId="35FDDBBF" w14:textId="79B5E3C8" w:rsidR="006D2E98" w:rsidRDefault="006D2E98" w:rsidP="009A6ED9">
      <w:pPr>
        <w:pStyle w:val="ListParagraph"/>
        <w:numPr>
          <w:ilvl w:val="0"/>
          <w:numId w:val="29"/>
        </w:numPr>
      </w:pPr>
      <w:r>
        <w:t xml:space="preserve">Attendees shared stories of poor network fault repair timeframes. One attendee described how Telstra took 6 weeks to repair a damaged pit on the Tiwi Islands, despite the fact it was an easily accessible area from Darwin. </w:t>
      </w:r>
    </w:p>
    <w:p w14:paraId="51F06B70" w14:textId="06455CB0" w:rsidR="009F173F" w:rsidRDefault="009F173F" w:rsidP="009A6ED9">
      <w:pPr>
        <w:pStyle w:val="ListParagraph"/>
        <w:numPr>
          <w:ilvl w:val="0"/>
          <w:numId w:val="29"/>
        </w:numPr>
      </w:pPr>
      <w:r>
        <w:t xml:space="preserve">Lack of competition is a significant factor in the poor service outcomes experienced by people in remote communities. </w:t>
      </w:r>
      <w:r w:rsidR="008A13B8">
        <w:t>There are a small number of mobile alternatives to Telstra in these areas, but Telstra remains the primary service wholesaler</w:t>
      </w:r>
      <w:r w:rsidR="00CD343A">
        <w:t xml:space="preserve"> and has limited incentive to restore services in a suitable timeframe</w:t>
      </w:r>
      <w:r w:rsidR="008A13B8">
        <w:t xml:space="preserve">. </w:t>
      </w:r>
    </w:p>
    <w:p w14:paraId="056D4406" w14:textId="77777777" w:rsidR="006D2E98" w:rsidRDefault="006D2E98" w:rsidP="006D2E98">
      <w:pPr>
        <w:pStyle w:val="Heading3"/>
      </w:pPr>
      <w:r>
        <w:lastRenderedPageBreak/>
        <w:t xml:space="preserve">Affordability </w:t>
      </w:r>
    </w:p>
    <w:p w14:paraId="682537CA" w14:textId="4BEE0468" w:rsidR="006D2E98" w:rsidRDefault="006D2E98" w:rsidP="006D2E98">
      <w:pPr>
        <w:pStyle w:val="ListParagraph"/>
        <w:numPr>
          <w:ilvl w:val="0"/>
          <w:numId w:val="30"/>
        </w:numPr>
      </w:pPr>
      <w:r>
        <w:t xml:space="preserve">The affordability of phone and internet services remain a significant communications access barrier, </w:t>
      </w:r>
      <w:r w:rsidR="00200751">
        <w:t>particularly</w:t>
      </w:r>
      <w:r>
        <w:t xml:space="preserve"> for Aboriginal people living in metropolitan</w:t>
      </w:r>
      <w:r w:rsidR="00200751">
        <w:t xml:space="preserve"> or major regional</w:t>
      </w:r>
      <w:r>
        <w:t xml:space="preserve"> areas</w:t>
      </w:r>
      <w:r w:rsidR="00200751">
        <w:t xml:space="preserve"> where infrastructure is comparatively available and reliable</w:t>
      </w:r>
      <w:r>
        <w:t xml:space="preserve">.   </w:t>
      </w:r>
    </w:p>
    <w:p w14:paraId="08E3E9CE" w14:textId="66E710FE" w:rsidR="00CD343A" w:rsidRDefault="00CD343A" w:rsidP="006D2E98">
      <w:pPr>
        <w:pStyle w:val="ListParagraph"/>
        <w:numPr>
          <w:ilvl w:val="0"/>
          <w:numId w:val="30"/>
        </w:numPr>
      </w:pPr>
      <w:r>
        <w:t xml:space="preserve">Research undertaken by </w:t>
      </w:r>
      <w:proofErr w:type="spellStart"/>
      <w:r>
        <w:t>Kimberwalli</w:t>
      </w:r>
      <w:proofErr w:type="spellEnd"/>
      <w:r>
        <w:t xml:space="preserve"> suggests that only 45% of Aboriginal households in the Mt Druitt area of NSW had access to internet at home.</w:t>
      </w:r>
    </w:p>
    <w:p w14:paraId="4983E14D" w14:textId="7EDDB614" w:rsidR="00CD343A" w:rsidRDefault="00CD343A" w:rsidP="006D2E98">
      <w:pPr>
        <w:pStyle w:val="ListParagraph"/>
        <w:numPr>
          <w:ilvl w:val="0"/>
          <w:numId w:val="30"/>
        </w:numPr>
      </w:pPr>
      <w:r>
        <w:t xml:space="preserve">There was significant </w:t>
      </w:r>
      <w:r w:rsidR="00023A08">
        <w:t>discussion of Telstra’s</w:t>
      </w:r>
      <w:r w:rsidR="00501FA1">
        <w:t xml:space="preserve"> recently announced</w:t>
      </w:r>
      <w:r w:rsidR="00023A08">
        <w:t xml:space="preserve"> low</w:t>
      </w:r>
      <w:r w:rsidR="00501FA1">
        <w:t xml:space="preserve">-income mobile product. This product is a $30 2GB data, talk and text plan aimed at keeping consumers on limited incomes connected. The group were largely dissatisfied with this offering, as it is nowhere near the value of other affordable products on the market. </w:t>
      </w:r>
      <w:r w:rsidR="006845A7">
        <w:t xml:space="preserve">For example, </w:t>
      </w:r>
      <w:r w:rsidR="00501FA1">
        <w:t>Telstra offers a</w:t>
      </w:r>
      <w:r w:rsidR="006845A7">
        <w:t xml:space="preserve"> standard</w:t>
      </w:r>
      <w:r w:rsidR="00501FA1">
        <w:t xml:space="preserve"> $30/month pre-paid </w:t>
      </w:r>
      <w:r w:rsidR="006845A7">
        <w:t xml:space="preserve">mobile plan with 8GB included data. </w:t>
      </w:r>
    </w:p>
    <w:p w14:paraId="27DEA78A" w14:textId="17481EB7" w:rsidR="00880685" w:rsidRDefault="006845A7" w:rsidP="00200751">
      <w:pPr>
        <w:pStyle w:val="ListParagraph"/>
        <w:numPr>
          <w:ilvl w:val="0"/>
          <w:numId w:val="30"/>
        </w:numPr>
      </w:pPr>
      <w:r>
        <w:t>Telstra has previously indicated that 99% of their customers’ mobile phone usage relies on data – how can 2GB per month be suitable for consumers on limited incomes, especially because these consumers likely will not have home broadband?</w:t>
      </w:r>
    </w:p>
    <w:p w14:paraId="379F85EC" w14:textId="21B5E930" w:rsidR="00CD343A" w:rsidRDefault="00CD343A" w:rsidP="00CD343A">
      <w:pPr>
        <w:pStyle w:val="Heading3"/>
      </w:pPr>
      <w:r>
        <w:t>Digital inclusion</w:t>
      </w:r>
    </w:p>
    <w:p w14:paraId="16CBD6E3" w14:textId="73E35424" w:rsidR="006845A7" w:rsidRDefault="006845A7" w:rsidP="006845A7">
      <w:pPr>
        <w:pStyle w:val="ListParagraph"/>
        <w:numPr>
          <w:ilvl w:val="0"/>
          <w:numId w:val="31"/>
        </w:numPr>
      </w:pPr>
      <w:r>
        <w:t>Aside from affordability and infrastructure barriers, digital capability is comparably low in many Aboriginal and Torres Strait Islander households due to cycles of inequality, especially for older people. This means that even if Indigenous people have access to communications services, they may need additional supports to be able to use these services.</w:t>
      </w:r>
    </w:p>
    <w:p w14:paraId="7759DEB5" w14:textId="4654D197" w:rsidR="006845A7" w:rsidRDefault="006845A7" w:rsidP="006845A7">
      <w:pPr>
        <w:pStyle w:val="ListParagraph"/>
        <w:numPr>
          <w:ilvl w:val="0"/>
          <w:numId w:val="31"/>
        </w:numPr>
      </w:pPr>
      <w:r>
        <w:t xml:space="preserve">The device cost barrier was also discussed as a significant issue impacting Indigenous households, especially during the COVID-19 pandemic.  </w:t>
      </w:r>
    </w:p>
    <w:p w14:paraId="099986F7" w14:textId="193C35FE" w:rsidR="009A6ED9" w:rsidRDefault="006845A7" w:rsidP="006845A7">
      <w:pPr>
        <w:pStyle w:val="Heading3"/>
      </w:pPr>
      <w:r>
        <w:t>Poor selling practices</w:t>
      </w:r>
      <w:r w:rsidR="00427283">
        <w:t xml:space="preserve"> and consumer debt</w:t>
      </w:r>
    </w:p>
    <w:p w14:paraId="4DCE98BA" w14:textId="5E0B82FD" w:rsidR="006845A7" w:rsidRDefault="003970C0" w:rsidP="006845A7">
      <w:pPr>
        <w:pStyle w:val="ListParagraph"/>
        <w:numPr>
          <w:ilvl w:val="0"/>
          <w:numId w:val="32"/>
        </w:numPr>
      </w:pPr>
      <w:r>
        <w:t>Telcos’ p</w:t>
      </w:r>
      <w:r w:rsidR="006845A7">
        <w:t>oor customer service, irresponsible upselling</w:t>
      </w:r>
      <w:r>
        <w:t xml:space="preserve">, </w:t>
      </w:r>
      <w:r w:rsidR="00427283">
        <w:t xml:space="preserve">manipulative sales tactics </w:t>
      </w:r>
      <w:r>
        <w:t xml:space="preserve">and </w:t>
      </w:r>
      <w:proofErr w:type="gramStart"/>
      <w:r>
        <w:t>cold-calling</w:t>
      </w:r>
      <w:proofErr w:type="gramEnd"/>
      <w:r>
        <w:t xml:space="preserve"> are ongoing issues</w:t>
      </w:r>
      <w:r w:rsidR="00AB0F91">
        <w:t xml:space="preserve"> driving debt</w:t>
      </w:r>
      <w:r>
        <w:t xml:space="preserve"> amongst Indigenous people. </w:t>
      </w:r>
    </w:p>
    <w:p w14:paraId="6F2114F2" w14:textId="114C9C44" w:rsidR="00427283" w:rsidRDefault="00427283" w:rsidP="006845A7">
      <w:pPr>
        <w:pStyle w:val="ListParagraph"/>
        <w:numPr>
          <w:ilvl w:val="0"/>
          <w:numId w:val="32"/>
        </w:numPr>
      </w:pPr>
      <w:r>
        <w:t>Some attendees reported lower numbers of new debts presenting in remote communities, but old debts are still emerging.</w:t>
      </w:r>
    </w:p>
    <w:p w14:paraId="4313A4C9" w14:textId="08950A64" w:rsidR="00880685" w:rsidRDefault="00880685" w:rsidP="006845A7">
      <w:pPr>
        <w:pStyle w:val="ListParagraph"/>
        <w:numPr>
          <w:ilvl w:val="0"/>
          <w:numId w:val="32"/>
        </w:numPr>
      </w:pPr>
      <w:r>
        <w:t xml:space="preserve">Attendees discussed examples of irresponsible sales practices they were aware of, for example selling Foxtel to consumers on limited incomes, or signing consumers up for multiple phones and tablets once discovering they had children. </w:t>
      </w:r>
    </w:p>
    <w:p w14:paraId="07E25BD8" w14:textId="1BA28DE6" w:rsidR="007841EC" w:rsidRDefault="00353E08" w:rsidP="007841EC">
      <w:pPr>
        <w:pStyle w:val="Heading1"/>
        <w:numPr>
          <w:ilvl w:val="0"/>
          <w:numId w:val="20"/>
        </w:numPr>
      </w:pPr>
      <w:r>
        <w:t xml:space="preserve">Presentation by </w:t>
      </w:r>
      <w:proofErr w:type="spellStart"/>
      <w:r>
        <w:t>MoneyMob</w:t>
      </w:r>
      <w:proofErr w:type="spellEnd"/>
      <w:r>
        <w:t xml:space="preserve"> </w:t>
      </w:r>
      <w:proofErr w:type="spellStart"/>
      <w:r>
        <w:t>Talkabout</w:t>
      </w:r>
      <w:proofErr w:type="spellEnd"/>
      <w:r>
        <w:t xml:space="preserve"> of research report</w:t>
      </w:r>
    </w:p>
    <w:p w14:paraId="059D108A" w14:textId="43B9B081" w:rsidR="00833B7F" w:rsidRDefault="00FC151B" w:rsidP="00833B7F">
      <w:r w:rsidRPr="00FC151B">
        <w:t>Chanelle McAuliffe</w:t>
      </w:r>
      <w:r>
        <w:t xml:space="preserve"> from </w:t>
      </w:r>
      <w:proofErr w:type="spellStart"/>
      <w:r>
        <w:t>MoneyMob</w:t>
      </w:r>
      <w:proofErr w:type="spellEnd"/>
      <w:r>
        <w:t xml:space="preserve"> </w:t>
      </w:r>
      <w:proofErr w:type="spellStart"/>
      <w:r>
        <w:t>Talkabout</w:t>
      </w:r>
      <w:proofErr w:type="spellEnd"/>
      <w:r>
        <w:t xml:space="preserve"> </w:t>
      </w:r>
      <w:r w:rsidR="00833B7F">
        <w:t xml:space="preserve">presented findings from </w:t>
      </w:r>
      <w:r w:rsidR="00200751">
        <w:t>a</w:t>
      </w:r>
      <w:r w:rsidR="00833B7F">
        <w:t xml:space="preserve"> research report into </w:t>
      </w:r>
      <w:r w:rsidR="00200751">
        <w:t>t</w:t>
      </w:r>
      <w:r w:rsidR="00833B7F">
        <w:t xml:space="preserve">elco </w:t>
      </w:r>
      <w:r w:rsidR="00200751">
        <w:t>d</w:t>
      </w:r>
      <w:r w:rsidR="00833B7F">
        <w:t>ebt in remote Indigenous communities. This project was funded via an ACCAN research grant.</w:t>
      </w:r>
    </w:p>
    <w:p w14:paraId="6B6ECF5B" w14:textId="298FFA8E" w:rsidR="007841EC" w:rsidRDefault="00833B7F" w:rsidP="009A6ED9">
      <w:pPr>
        <w:pStyle w:val="Heading3"/>
      </w:pPr>
      <w:r>
        <w:t>General findings</w:t>
      </w:r>
    </w:p>
    <w:p w14:paraId="23BD5512" w14:textId="5DF4FD0D" w:rsidR="00833B7F" w:rsidRDefault="00833B7F" w:rsidP="00131FE5">
      <w:pPr>
        <w:pStyle w:val="ListParagraph"/>
        <w:numPr>
          <w:ilvl w:val="0"/>
          <w:numId w:val="24"/>
        </w:numPr>
      </w:pPr>
      <w:r>
        <w:t xml:space="preserve">The report aims to establish how widespread telco debt is in remote Indigenous communities in the Northern Territory. </w:t>
      </w:r>
    </w:p>
    <w:p w14:paraId="0150DF86" w14:textId="047D2BB0" w:rsidR="007841EC" w:rsidRDefault="00833B7F" w:rsidP="00131FE5">
      <w:pPr>
        <w:pStyle w:val="ListParagraph"/>
        <w:numPr>
          <w:ilvl w:val="0"/>
          <w:numId w:val="24"/>
        </w:numPr>
      </w:pPr>
      <w:proofErr w:type="spellStart"/>
      <w:r>
        <w:t>MoneyMob</w:t>
      </w:r>
      <w:proofErr w:type="spellEnd"/>
      <w:r>
        <w:t xml:space="preserve"> </w:t>
      </w:r>
      <w:proofErr w:type="spellStart"/>
      <w:r>
        <w:t>Talkabout</w:t>
      </w:r>
      <w:proofErr w:type="spellEnd"/>
      <w:r>
        <w:t xml:space="preserve">, along with </w:t>
      </w:r>
      <w:proofErr w:type="gramStart"/>
      <w:r>
        <w:t>a number of</w:t>
      </w:r>
      <w:proofErr w:type="gramEnd"/>
      <w:r>
        <w:t xml:space="preserve"> other community groups, discovered $</w:t>
      </w:r>
      <w:r w:rsidR="00131FE5">
        <w:t>1.1m dollars in debt</w:t>
      </w:r>
      <w:r>
        <w:t xml:space="preserve"> in remote communities</w:t>
      </w:r>
      <w:r w:rsidR="00200751">
        <w:t xml:space="preserve"> in the NT</w:t>
      </w:r>
      <w:r>
        <w:t xml:space="preserve">. Roughly $778,000 had been waved, and $345,000 was outstanding. </w:t>
      </w:r>
    </w:p>
    <w:p w14:paraId="129D4CD3" w14:textId="36082AF6" w:rsidR="00833B7F" w:rsidRDefault="00833B7F" w:rsidP="00131FE5">
      <w:pPr>
        <w:pStyle w:val="ListParagraph"/>
        <w:numPr>
          <w:ilvl w:val="0"/>
          <w:numId w:val="24"/>
        </w:numPr>
      </w:pPr>
      <w:proofErr w:type="gramStart"/>
      <w:r>
        <w:t>A majority of</w:t>
      </w:r>
      <w:proofErr w:type="gramEnd"/>
      <w:r>
        <w:t xml:space="preserve"> the debt sat with Telstra. The average debt was around $5,000 and the largest debt was $22,000. Nearly 80% of debtors were women.  </w:t>
      </w:r>
    </w:p>
    <w:p w14:paraId="268303AF" w14:textId="7FAA664D" w:rsidR="00131FE5" w:rsidRDefault="00833B7F" w:rsidP="00833B7F">
      <w:pPr>
        <w:pStyle w:val="Heading3"/>
      </w:pPr>
      <w:r>
        <w:lastRenderedPageBreak/>
        <w:t>Common mis-selling practices</w:t>
      </w:r>
      <w:r w:rsidR="00131FE5">
        <w:t xml:space="preserve"> </w:t>
      </w:r>
    </w:p>
    <w:p w14:paraId="48247A90" w14:textId="48F86040" w:rsidR="00915447" w:rsidRDefault="00915447" w:rsidP="00915447">
      <w:r>
        <w:t xml:space="preserve">The report </w:t>
      </w:r>
      <w:proofErr w:type="gramStart"/>
      <w:r>
        <w:t>identified</w:t>
      </w:r>
      <w:proofErr w:type="gramEnd"/>
      <w:r>
        <w:t xml:space="preserve"> a number of common mis-selling practices that contribute to telco debt in remote communities</w:t>
      </w:r>
      <w:r w:rsidR="00200751">
        <w:t>:</w:t>
      </w:r>
    </w:p>
    <w:p w14:paraId="4EEEAED9" w14:textId="5785EEBC" w:rsidR="00915447" w:rsidRPr="00915447" w:rsidRDefault="00915447" w:rsidP="00915447">
      <w:pPr>
        <w:pStyle w:val="ListParagraph"/>
        <w:numPr>
          <w:ilvl w:val="0"/>
          <w:numId w:val="24"/>
        </w:numPr>
      </w:pPr>
      <w:r w:rsidRPr="00915447">
        <w:t>Manipulating knowledge obtained about client’s personal circumstances to push additional sales</w:t>
      </w:r>
      <w:r>
        <w:t>.</w:t>
      </w:r>
    </w:p>
    <w:p w14:paraId="35B69113" w14:textId="1A4B66B9" w:rsidR="00915447" w:rsidRPr="00915447" w:rsidRDefault="00915447" w:rsidP="00915447">
      <w:pPr>
        <w:pStyle w:val="ListParagraph"/>
        <w:numPr>
          <w:ilvl w:val="0"/>
          <w:numId w:val="24"/>
        </w:numPr>
      </w:pPr>
      <w:r w:rsidRPr="00915447">
        <w:t>Unsolicited upselling</w:t>
      </w:r>
      <w:r>
        <w:t>.</w:t>
      </w:r>
    </w:p>
    <w:p w14:paraId="37E8625D" w14:textId="07E2397E" w:rsidR="00915447" w:rsidRPr="00915447" w:rsidRDefault="00915447" w:rsidP="00915447">
      <w:pPr>
        <w:pStyle w:val="ListParagraph"/>
        <w:numPr>
          <w:ilvl w:val="0"/>
          <w:numId w:val="24"/>
        </w:numPr>
      </w:pPr>
      <w:r w:rsidRPr="00915447">
        <w:t>Cold calling</w:t>
      </w:r>
      <w:r>
        <w:t>.</w:t>
      </w:r>
    </w:p>
    <w:p w14:paraId="6912692B" w14:textId="5F096E88" w:rsidR="00915447" w:rsidRPr="00915447" w:rsidRDefault="00915447" w:rsidP="00915447">
      <w:pPr>
        <w:pStyle w:val="ListParagraph"/>
        <w:numPr>
          <w:ilvl w:val="0"/>
          <w:numId w:val="24"/>
        </w:numPr>
      </w:pPr>
      <w:r w:rsidRPr="00915447">
        <w:t>Misleading/inaccurate advice</w:t>
      </w:r>
      <w:r>
        <w:t xml:space="preserve"> in order to procure a sale.</w:t>
      </w:r>
    </w:p>
    <w:p w14:paraId="0B145EB7" w14:textId="6F9CF45A" w:rsidR="00915447" w:rsidRPr="00915447" w:rsidRDefault="00915447" w:rsidP="00915447">
      <w:pPr>
        <w:pStyle w:val="ListParagraph"/>
        <w:numPr>
          <w:ilvl w:val="0"/>
          <w:numId w:val="24"/>
        </w:numPr>
        <w:rPr>
          <w:lang w:val="en-US"/>
        </w:rPr>
      </w:pPr>
      <w:r w:rsidRPr="00915447">
        <w:rPr>
          <w:lang w:val="en-US"/>
        </w:rPr>
        <w:t>Pressure tactics</w:t>
      </w:r>
      <w:r>
        <w:rPr>
          <w:lang w:val="en-US"/>
        </w:rPr>
        <w:t>.</w:t>
      </w:r>
    </w:p>
    <w:p w14:paraId="27825AA3" w14:textId="73571B93" w:rsidR="00915447" w:rsidRPr="00915447" w:rsidRDefault="00915447" w:rsidP="00915447">
      <w:pPr>
        <w:pStyle w:val="ListParagraph"/>
        <w:numPr>
          <w:ilvl w:val="0"/>
          <w:numId w:val="24"/>
        </w:numPr>
        <w:rPr>
          <w:lang w:val="en-US"/>
        </w:rPr>
      </w:pPr>
      <w:r w:rsidRPr="00915447">
        <w:rPr>
          <w:lang w:val="en-US"/>
        </w:rPr>
        <w:t>Inadequate credit and guarantor assessments</w:t>
      </w:r>
      <w:r>
        <w:rPr>
          <w:lang w:val="en-US"/>
        </w:rPr>
        <w:t>.</w:t>
      </w:r>
    </w:p>
    <w:p w14:paraId="59337B1E" w14:textId="3A7D6ADA" w:rsidR="00915447" w:rsidRDefault="00915447" w:rsidP="00915447">
      <w:pPr>
        <w:pStyle w:val="ListParagraph"/>
        <w:numPr>
          <w:ilvl w:val="0"/>
          <w:numId w:val="24"/>
        </w:numPr>
        <w:rPr>
          <w:lang w:val="en-US"/>
        </w:rPr>
      </w:pPr>
      <w:r>
        <w:rPr>
          <w:lang w:val="en-US"/>
        </w:rPr>
        <w:t>Selling knowingly to consumers living in areas with n</w:t>
      </w:r>
      <w:r w:rsidRPr="00915447">
        <w:rPr>
          <w:lang w:val="en-US"/>
        </w:rPr>
        <w:t>o mobile phone coverage</w:t>
      </w:r>
      <w:r>
        <w:rPr>
          <w:lang w:val="en-US"/>
        </w:rPr>
        <w:t>.</w:t>
      </w:r>
    </w:p>
    <w:p w14:paraId="378AC5DE" w14:textId="1AD0FAFB" w:rsidR="00915447" w:rsidRPr="00915447" w:rsidRDefault="00915447" w:rsidP="00915447">
      <w:r w:rsidRPr="00915447">
        <w:rPr>
          <w:lang w:val="en-US"/>
        </w:rPr>
        <w:t xml:space="preserve">Contributing factors </w:t>
      </w:r>
      <w:r w:rsidR="00200751">
        <w:rPr>
          <w:lang w:val="en-US"/>
        </w:rPr>
        <w:t>include</w:t>
      </w:r>
      <w:r w:rsidRPr="00915447">
        <w:rPr>
          <w:lang w:val="en-US"/>
        </w:rPr>
        <w:t xml:space="preserve"> franchisee arrangements, the weak regulatory environment, and financial incentives to oversell.</w:t>
      </w:r>
    </w:p>
    <w:p w14:paraId="7878FF50" w14:textId="0BD72DDA" w:rsidR="00915447" w:rsidRPr="00915447" w:rsidRDefault="00915447" w:rsidP="00915447">
      <w:pPr>
        <w:pStyle w:val="Heading3"/>
        <w:rPr>
          <w:lang w:val="en-US"/>
        </w:rPr>
      </w:pPr>
      <w:r>
        <w:rPr>
          <w:lang w:val="en-US"/>
        </w:rPr>
        <w:t>Other issues</w:t>
      </w:r>
    </w:p>
    <w:p w14:paraId="1DC9993B" w14:textId="7D1913B3" w:rsidR="00915447" w:rsidRDefault="00915447" w:rsidP="00131FE5">
      <w:pPr>
        <w:pStyle w:val="ListParagraph"/>
        <w:numPr>
          <w:ilvl w:val="0"/>
          <w:numId w:val="24"/>
        </w:numPr>
      </w:pPr>
      <w:r w:rsidRPr="00915447">
        <w:rPr>
          <w:b/>
          <w:bCs/>
        </w:rPr>
        <w:t>Access to the TIO and remedies for unconscionable conduct</w:t>
      </w:r>
      <w:r>
        <w:t xml:space="preserve">: Indigenous consumers in remote areas are unlikely to contact the TIO for </w:t>
      </w:r>
      <w:proofErr w:type="gramStart"/>
      <w:r>
        <w:t>a number of</w:t>
      </w:r>
      <w:proofErr w:type="gramEnd"/>
      <w:r>
        <w:t xml:space="preserve"> reasons. Consumer advocates voiced their frustrations that cases were rarely treated as incidences of unconscionable conduct</w:t>
      </w:r>
      <w:r w:rsidR="002B0BFC">
        <w:t>, and systemic issues are not recognised in TIO deliberations.</w:t>
      </w:r>
    </w:p>
    <w:p w14:paraId="0640FEA3" w14:textId="4BD3F0AC" w:rsidR="008D6101" w:rsidRDefault="002B0BFC" w:rsidP="00380A6E">
      <w:pPr>
        <w:pStyle w:val="ListParagraph"/>
        <w:numPr>
          <w:ilvl w:val="0"/>
          <w:numId w:val="24"/>
        </w:numPr>
      </w:pPr>
      <w:r>
        <w:rPr>
          <w:b/>
          <w:bCs/>
        </w:rPr>
        <w:t>Access to financial hardship arrangements</w:t>
      </w:r>
      <w:r w:rsidRPr="002B0BFC">
        <w:t>:</w:t>
      </w:r>
      <w:r>
        <w:t xml:space="preserve"> The report found that some consumers were not offered financial hardship arrangements when they should have been</w:t>
      </w:r>
      <w:r w:rsidR="00E66FC8">
        <w:t>.</w:t>
      </w:r>
    </w:p>
    <w:p w14:paraId="2A2C5B29" w14:textId="6E78E0A2" w:rsidR="007841EC" w:rsidRPr="007841EC" w:rsidRDefault="007841EC" w:rsidP="007841EC">
      <w:pPr>
        <w:pStyle w:val="Heading1"/>
        <w:numPr>
          <w:ilvl w:val="0"/>
          <w:numId w:val="20"/>
        </w:numPr>
        <w:rPr>
          <w:lang w:val="en-US"/>
        </w:rPr>
      </w:pPr>
      <w:r>
        <w:rPr>
          <w:bCs w:val="0"/>
        </w:rPr>
        <w:t>A</w:t>
      </w:r>
      <w:r w:rsidR="00353E08">
        <w:rPr>
          <w:bCs w:val="0"/>
        </w:rPr>
        <w:t>CCAN research focus 2020</w:t>
      </w:r>
    </w:p>
    <w:p w14:paraId="1C94B207" w14:textId="4DA2DEC4" w:rsidR="007841EC" w:rsidRPr="007841EC" w:rsidRDefault="00E66FC8" w:rsidP="009A6ED9">
      <w:pPr>
        <w:pStyle w:val="Heading3"/>
      </w:pPr>
      <w:r>
        <w:t>Possible topics</w:t>
      </w:r>
    </w:p>
    <w:p w14:paraId="64DFD819" w14:textId="34FF0BB8" w:rsidR="00E92E65" w:rsidRDefault="002B645B" w:rsidP="00C872DD">
      <w:pPr>
        <w:pStyle w:val="ListParagraph"/>
        <w:numPr>
          <w:ilvl w:val="0"/>
          <w:numId w:val="27"/>
        </w:numPr>
        <w:rPr>
          <w:lang w:val="en-US"/>
        </w:rPr>
      </w:pPr>
      <w:r>
        <w:rPr>
          <w:lang w:val="en-US"/>
        </w:rPr>
        <w:t xml:space="preserve">There is a knowledge gap surrounding </w:t>
      </w:r>
      <w:r w:rsidR="00252447">
        <w:rPr>
          <w:lang w:val="en-US"/>
        </w:rPr>
        <w:t>the telco issues for</w:t>
      </w:r>
      <w:r>
        <w:rPr>
          <w:lang w:val="en-US"/>
        </w:rPr>
        <w:t xml:space="preserve"> Indigenous</w:t>
      </w:r>
      <w:r w:rsidR="00C872DD">
        <w:rPr>
          <w:lang w:val="en-US"/>
        </w:rPr>
        <w:t xml:space="preserve"> people</w:t>
      </w:r>
      <w:r w:rsidR="00252447">
        <w:rPr>
          <w:lang w:val="en-US"/>
        </w:rPr>
        <w:t xml:space="preserve"> residing in </w:t>
      </w:r>
      <w:r>
        <w:rPr>
          <w:lang w:val="en-US"/>
        </w:rPr>
        <w:t>metropolitan and major regional areas</w:t>
      </w:r>
    </w:p>
    <w:p w14:paraId="0A0EECFD" w14:textId="20B75577" w:rsidR="00C872DD" w:rsidRDefault="00F40B2C" w:rsidP="00C872DD">
      <w:pPr>
        <w:pStyle w:val="ListParagraph"/>
        <w:numPr>
          <w:ilvl w:val="0"/>
          <w:numId w:val="27"/>
        </w:numPr>
        <w:rPr>
          <w:lang w:val="en-US"/>
        </w:rPr>
      </w:pPr>
      <w:r>
        <w:rPr>
          <w:lang w:val="en-US"/>
        </w:rPr>
        <w:t>The proportion of time consumer advocates spend resolving telco issues, with a view to convin</w:t>
      </w:r>
      <w:r w:rsidR="00880685">
        <w:rPr>
          <w:lang w:val="en-US"/>
        </w:rPr>
        <w:t xml:space="preserve">ce </w:t>
      </w:r>
      <w:r>
        <w:rPr>
          <w:lang w:val="en-US"/>
        </w:rPr>
        <w:t>industry of the need to fund financial literacy and financial counselling</w:t>
      </w:r>
    </w:p>
    <w:p w14:paraId="0961079A" w14:textId="5A15A7E7" w:rsidR="007841EC" w:rsidRPr="00AB0F91" w:rsidRDefault="002B645B" w:rsidP="002B645B">
      <w:pPr>
        <w:pStyle w:val="ListParagraph"/>
        <w:numPr>
          <w:ilvl w:val="0"/>
          <w:numId w:val="27"/>
        </w:numPr>
        <w:rPr>
          <w:lang w:val="en-US"/>
        </w:rPr>
      </w:pPr>
      <w:r>
        <w:rPr>
          <w:lang w:val="en-US"/>
        </w:rPr>
        <w:t>The d</w:t>
      </w:r>
      <w:r w:rsidR="00C872DD">
        <w:rPr>
          <w:lang w:val="en-US"/>
        </w:rPr>
        <w:t>igital divide</w:t>
      </w:r>
      <w:r>
        <w:rPr>
          <w:lang w:val="en-US"/>
        </w:rPr>
        <w:t xml:space="preserve"> between indigenous and non-indigenous people experienced through </w:t>
      </w:r>
      <w:r w:rsidR="00C872DD">
        <w:rPr>
          <w:lang w:val="en-US"/>
        </w:rPr>
        <w:t>COVID</w:t>
      </w:r>
      <w:r>
        <w:rPr>
          <w:lang w:val="en-US"/>
        </w:rPr>
        <w:t xml:space="preserve">-19, including access to essential services, devices and issues resolution. </w:t>
      </w:r>
    </w:p>
    <w:p w14:paraId="6A142090" w14:textId="673C9A4F" w:rsidR="007841EC" w:rsidRDefault="00353E08" w:rsidP="007841EC">
      <w:pPr>
        <w:pStyle w:val="Heading1"/>
        <w:numPr>
          <w:ilvl w:val="0"/>
          <w:numId w:val="20"/>
        </w:numPr>
      </w:pPr>
      <w:r>
        <w:t>Wrap up &amp; close meeting</w:t>
      </w:r>
    </w:p>
    <w:p w14:paraId="167716EE" w14:textId="77777777" w:rsidR="00D5609D" w:rsidRDefault="00D5609D" w:rsidP="00200751">
      <w:pPr>
        <w:pStyle w:val="ListParagraph"/>
        <w:spacing w:after="0"/>
        <w:ind w:left="0"/>
        <w:rPr>
          <w:sz w:val="24"/>
          <w:szCs w:val="24"/>
        </w:rPr>
      </w:pPr>
    </w:p>
    <w:p w14:paraId="29B39991" w14:textId="24B03C72" w:rsidR="00833B7F" w:rsidRPr="00F6228E" w:rsidRDefault="00353E08">
      <w:pPr>
        <w:pStyle w:val="ListParagraph"/>
        <w:spacing w:after="0"/>
        <w:ind w:left="0"/>
        <w:rPr>
          <w:sz w:val="24"/>
          <w:szCs w:val="24"/>
        </w:rPr>
      </w:pPr>
      <w:r w:rsidRPr="00F6228E">
        <w:rPr>
          <w:sz w:val="24"/>
          <w:szCs w:val="24"/>
        </w:rPr>
        <w:t xml:space="preserve">ACCAN CEO, Teresa Corbin, thanked the </w:t>
      </w:r>
      <w:r>
        <w:rPr>
          <w:sz w:val="24"/>
          <w:szCs w:val="24"/>
        </w:rPr>
        <w:t>I</w:t>
      </w:r>
      <w:r w:rsidRPr="00F6228E">
        <w:rPr>
          <w:sz w:val="24"/>
          <w:szCs w:val="24"/>
        </w:rPr>
        <w:t xml:space="preserve">AF participants and </w:t>
      </w:r>
      <w:r>
        <w:t xml:space="preserve">Heron </w:t>
      </w:r>
      <w:proofErr w:type="spellStart"/>
      <w:r>
        <w:t>Loban</w:t>
      </w:r>
      <w:proofErr w:type="spellEnd"/>
      <w:r w:rsidRPr="007E4877">
        <w:rPr>
          <w:sz w:val="24"/>
          <w:szCs w:val="24"/>
        </w:rPr>
        <w:t>,</w:t>
      </w:r>
      <w:r w:rsidRPr="00F6228E">
        <w:rPr>
          <w:sz w:val="24"/>
          <w:szCs w:val="24"/>
        </w:rPr>
        <w:t xml:space="preserve"> the chairperson</w:t>
      </w:r>
      <w:r>
        <w:rPr>
          <w:sz w:val="24"/>
          <w:szCs w:val="24"/>
        </w:rPr>
        <w:t>,</w:t>
      </w:r>
      <w:r w:rsidRPr="00F6228E">
        <w:rPr>
          <w:sz w:val="24"/>
          <w:szCs w:val="24"/>
        </w:rPr>
        <w:t xml:space="preserve"> for their time and valuable contributions.</w:t>
      </w:r>
      <w:r w:rsidR="00D5609D">
        <w:rPr>
          <w:sz w:val="24"/>
          <w:szCs w:val="24"/>
        </w:rPr>
        <w:t xml:space="preserve"> </w:t>
      </w:r>
      <w:r w:rsidRPr="00F6228E">
        <w:rPr>
          <w:sz w:val="24"/>
          <w:szCs w:val="24"/>
        </w:rPr>
        <w:t>The chairperson closed the meeting at 4.00pm.</w:t>
      </w:r>
      <w:r w:rsidR="00D5609D" w:rsidRPr="00F6228E">
        <w:rPr>
          <w:sz w:val="24"/>
          <w:szCs w:val="24"/>
        </w:rPr>
        <w:t xml:space="preserve"> </w:t>
      </w:r>
    </w:p>
    <w:sectPr w:rsidR="00833B7F" w:rsidRPr="00F6228E" w:rsidSect="00380A6E">
      <w:headerReference w:type="even" r:id="rId11"/>
      <w:headerReference w:type="default" r:id="rId12"/>
      <w:footerReference w:type="even" r:id="rId13"/>
      <w:footerReference w:type="default" r:id="rId14"/>
      <w:headerReference w:type="first" r:id="rId15"/>
      <w:footerReference w:type="first" r:id="rId16"/>
      <w:pgSz w:w="11906" w:h="16838"/>
      <w:pgMar w:top="166"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F74A" w14:textId="77777777" w:rsidR="00590444" w:rsidRDefault="00590444" w:rsidP="00D43B58">
      <w:pPr>
        <w:spacing w:after="0" w:line="240" w:lineRule="auto"/>
      </w:pPr>
      <w:r>
        <w:separator/>
      </w:r>
    </w:p>
  </w:endnote>
  <w:endnote w:type="continuationSeparator" w:id="0">
    <w:p w14:paraId="12CA7F4B" w14:textId="77777777" w:rsidR="00590444" w:rsidRDefault="00590444" w:rsidP="00D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44FD" w14:textId="77777777" w:rsidR="009E62C8" w:rsidRDefault="009E6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BAC9" w14:textId="5977EFE1" w:rsidR="00042BDD" w:rsidRDefault="00042BDD">
    <w:pPr>
      <w:pStyle w:val="Footer"/>
      <w:jc w:val="right"/>
    </w:pPr>
  </w:p>
  <w:p w14:paraId="37C2A3BA" w14:textId="410FDCA1" w:rsidR="00D5609D" w:rsidRPr="00D5609D" w:rsidRDefault="00F04B5B" w:rsidP="00D5609D">
    <w:pPr>
      <w:pStyle w:val="Footer"/>
      <w:pBdr>
        <w:top w:val="thinThickSmallGap" w:sz="24" w:space="0" w:color="622423"/>
      </w:pBdr>
      <w:tabs>
        <w:tab w:val="left" w:pos="1985"/>
        <w:tab w:val="right" w:pos="9617"/>
      </w:tabs>
      <w:rPr>
        <w:rFonts w:cstheme="minorHAnsi"/>
        <w:sz w:val="28"/>
        <w:szCs w:val="28"/>
      </w:rPr>
    </w:pPr>
    <w:r w:rsidRPr="00F6228E">
      <w:rPr>
        <w:rFonts w:cstheme="minorHAnsi"/>
        <w:sz w:val="28"/>
        <w:szCs w:val="28"/>
      </w:rPr>
      <w:tab/>
    </w:r>
  </w:p>
  <w:p w14:paraId="3714876A" w14:textId="517A4086" w:rsidR="00042BDD" w:rsidRPr="00F6228E" w:rsidRDefault="00D5609D" w:rsidP="00F6228E">
    <w:pPr>
      <w:pStyle w:val="Footer"/>
      <w:tabs>
        <w:tab w:val="clear" w:pos="4513"/>
      </w:tabs>
      <w:ind w:left="-142"/>
      <w:rPr>
        <w:rFonts w:cstheme="minorHAnsi"/>
        <w:b/>
        <w:bCs/>
        <w:sz w:val="28"/>
        <w:szCs w:val="28"/>
      </w:rPr>
    </w:pPr>
    <w:r>
      <w:rPr>
        <w:rFonts w:cstheme="minorHAnsi"/>
        <w:b/>
        <w:bCs/>
        <w:color w:val="A6A6A6" w:themeColor="background1" w:themeShade="A6"/>
      </w:rPr>
      <w:t xml:space="preserve">ACCAN Indigenous Advisory Forum                 </w:t>
    </w:r>
    <w:r w:rsidR="005A4E62">
      <w:rPr>
        <w:rFonts w:cstheme="minorHAnsi"/>
        <w:b/>
        <w:bCs/>
        <w:color w:val="A6A6A6" w:themeColor="background1" w:themeShade="A6"/>
      </w:rPr>
      <w:t>24</w:t>
    </w:r>
    <w:r>
      <w:rPr>
        <w:rFonts w:cstheme="minorHAnsi"/>
        <w:b/>
        <w:bCs/>
        <w:color w:val="A6A6A6" w:themeColor="background1" w:themeShade="A6"/>
      </w:rPr>
      <w:t xml:space="preserve"> June 2020                            Meeting Report</w:t>
    </w:r>
    <w:r>
      <w:rPr>
        <w:rFonts w:cstheme="minorHAnsi"/>
        <w:b/>
        <w:bCs/>
        <w:color w:val="A6A6A6" w:themeColor="background1" w:themeShade="A6"/>
        <w:sz w:val="28"/>
        <w:szCs w:val="28"/>
      </w:rPr>
      <w:t xml:space="preserve">  </w:t>
    </w:r>
    <w:r>
      <w:rPr>
        <w:rFonts w:cstheme="minorHAnsi"/>
        <w:b/>
        <w:bCs/>
        <w:color w:val="A6A6A6" w:themeColor="background1" w:themeShade="A6"/>
        <w:sz w:val="28"/>
        <w:szCs w:val="28"/>
      </w:rPr>
      <w:tab/>
    </w:r>
    <w:r w:rsidR="00F04B5B" w:rsidRPr="00F6228E">
      <w:rPr>
        <w:rFonts w:cstheme="minorHAnsi"/>
        <w:b/>
        <w:bCs/>
        <w:sz w:val="28"/>
        <w:szCs w:val="28"/>
      </w:rPr>
      <w:t xml:space="preserve">| </w:t>
    </w:r>
    <w:r w:rsidR="00F04B5B" w:rsidRPr="00F6228E">
      <w:rPr>
        <w:rFonts w:cstheme="minorHAnsi"/>
        <w:b/>
        <w:bCs/>
        <w:sz w:val="28"/>
        <w:szCs w:val="28"/>
      </w:rPr>
      <w:fldChar w:fldCharType="begin"/>
    </w:r>
    <w:r w:rsidR="00F04B5B" w:rsidRPr="00F6228E">
      <w:rPr>
        <w:rFonts w:cstheme="minorHAnsi"/>
        <w:b/>
        <w:bCs/>
        <w:sz w:val="28"/>
        <w:szCs w:val="28"/>
      </w:rPr>
      <w:instrText xml:space="preserve"> PAGE   \* MERGEFORMAT </w:instrText>
    </w:r>
    <w:r w:rsidR="00F04B5B" w:rsidRPr="00F6228E">
      <w:rPr>
        <w:rFonts w:cstheme="minorHAnsi"/>
        <w:b/>
        <w:bCs/>
        <w:sz w:val="28"/>
        <w:szCs w:val="28"/>
      </w:rPr>
      <w:fldChar w:fldCharType="separate"/>
    </w:r>
    <w:r w:rsidR="00F04B5B" w:rsidRPr="00F6228E">
      <w:rPr>
        <w:rFonts w:cstheme="minorHAnsi"/>
        <w:b/>
        <w:bCs/>
        <w:noProof/>
        <w:sz w:val="28"/>
        <w:szCs w:val="28"/>
      </w:rPr>
      <w:t>1</w:t>
    </w:r>
    <w:r w:rsidR="00F04B5B" w:rsidRPr="00F6228E">
      <w:rPr>
        <w:rFonts w:cstheme="minorHAnsi"/>
        <w:b/>
        <w:bCs/>
        <w:noProof/>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7893" w14:textId="2D405D42" w:rsidR="00F345AB" w:rsidRPr="00F345AB" w:rsidRDefault="00F345AB" w:rsidP="00F04B5B">
    <w:pPr>
      <w:pStyle w:val="Footer"/>
      <w:pBdr>
        <w:top w:val="thinThickSmallGap" w:sz="24" w:space="0" w:color="622423"/>
      </w:pBdr>
      <w:tabs>
        <w:tab w:val="clear" w:pos="4513"/>
        <w:tab w:val="clear" w:pos="9026"/>
        <w:tab w:val="left" w:pos="2694"/>
        <w:tab w:val="right" w:pos="9617"/>
      </w:tabs>
      <w:ind w:firstLine="1440"/>
      <w:rPr>
        <w:rFonts w:ascii="Arial Black" w:hAnsi="Arial Black"/>
        <w:color w:val="A6A6A6" w:themeColor="background1" w:themeShade="A6"/>
        <w:sz w:val="20"/>
        <w:szCs w:val="20"/>
      </w:rPr>
    </w:pPr>
    <w:r w:rsidRPr="00F345AB">
      <w:rPr>
        <w:rFonts w:ascii="Arial Black" w:hAnsi="Arial Black" w:cs="Arial"/>
        <w:color w:val="A6A6A6" w:themeColor="background1" w:themeShade="A6"/>
        <w:sz w:val="20"/>
        <w:szCs w:val="20"/>
      </w:rPr>
      <w:t xml:space="preserve"> </w:t>
    </w:r>
  </w:p>
  <w:p w14:paraId="6B6D2BF4" w14:textId="1F14B1BB" w:rsidR="00D5609D" w:rsidRPr="00F6228E" w:rsidRDefault="00D5609D" w:rsidP="00D5609D">
    <w:pPr>
      <w:pStyle w:val="Footer"/>
      <w:tabs>
        <w:tab w:val="clear" w:pos="4513"/>
      </w:tabs>
      <w:ind w:left="-142"/>
      <w:rPr>
        <w:rFonts w:cstheme="minorHAnsi"/>
        <w:b/>
        <w:bCs/>
        <w:sz w:val="28"/>
        <w:szCs w:val="28"/>
      </w:rPr>
    </w:pPr>
    <w:r>
      <w:rPr>
        <w:rFonts w:cstheme="minorHAnsi"/>
        <w:b/>
        <w:bCs/>
        <w:color w:val="A6A6A6" w:themeColor="background1" w:themeShade="A6"/>
      </w:rPr>
      <w:t xml:space="preserve">ACCAN Indigenous Advisory Forum                 </w:t>
    </w:r>
    <w:r w:rsidR="009E62C8">
      <w:rPr>
        <w:rFonts w:cstheme="minorHAnsi"/>
        <w:b/>
        <w:bCs/>
        <w:color w:val="A6A6A6" w:themeColor="background1" w:themeShade="A6"/>
      </w:rPr>
      <w:t>24</w:t>
    </w:r>
    <w:r>
      <w:rPr>
        <w:rFonts w:cstheme="minorHAnsi"/>
        <w:b/>
        <w:bCs/>
        <w:color w:val="A6A6A6" w:themeColor="background1" w:themeShade="A6"/>
      </w:rPr>
      <w:t xml:space="preserve"> June 2020                            Meeting </w:t>
    </w:r>
    <w:r>
      <w:rPr>
        <w:rFonts w:cstheme="minorHAnsi"/>
        <w:b/>
        <w:bCs/>
        <w:color w:val="A6A6A6" w:themeColor="background1" w:themeShade="A6"/>
      </w:rPr>
      <w:t>Report</w:t>
    </w:r>
    <w:r>
      <w:rPr>
        <w:rFonts w:cstheme="minorHAnsi"/>
        <w:b/>
        <w:bCs/>
        <w:color w:val="A6A6A6" w:themeColor="background1" w:themeShade="A6"/>
        <w:sz w:val="28"/>
        <w:szCs w:val="28"/>
      </w:rPr>
      <w:t xml:space="preserve">  </w:t>
    </w:r>
    <w:r>
      <w:rPr>
        <w:rFonts w:cstheme="minorHAnsi"/>
        <w:b/>
        <w:bCs/>
        <w:color w:val="A6A6A6" w:themeColor="background1" w:themeShade="A6"/>
        <w:sz w:val="28"/>
        <w:szCs w:val="28"/>
      </w:rPr>
      <w:tab/>
    </w:r>
    <w:r w:rsidRPr="00F6228E">
      <w:rPr>
        <w:rFonts w:cstheme="minorHAnsi"/>
        <w:b/>
        <w:bCs/>
        <w:sz w:val="28"/>
        <w:szCs w:val="28"/>
      </w:rPr>
      <w:t xml:space="preserve">| </w:t>
    </w:r>
    <w:r w:rsidRPr="00F6228E">
      <w:rPr>
        <w:rFonts w:cstheme="minorHAnsi"/>
        <w:b/>
        <w:bCs/>
        <w:sz w:val="28"/>
        <w:szCs w:val="28"/>
      </w:rPr>
      <w:fldChar w:fldCharType="begin"/>
    </w:r>
    <w:r w:rsidRPr="00F6228E">
      <w:rPr>
        <w:rFonts w:cstheme="minorHAnsi"/>
        <w:b/>
        <w:bCs/>
        <w:sz w:val="28"/>
        <w:szCs w:val="28"/>
      </w:rPr>
      <w:instrText xml:space="preserve"> PAGE   \* MERGEFORMAT </w:instrText>
    </w:r>
    <w:r w:rsidRPr="00F6228E">
      <w:rPr>
        <w:rFonts w:cstheme="minorHAnsi"/>
        <w:b/>
        <w:bCs/>
        <w:sz w:val="28"/>
        <w:szCs w:val="28"/>
      </w:rPr>
      <w:fldChar w:fldCharType="separate"/>
    </w:r>
    <w:r>
      <w:rPr>
        <w:rFonts w:cstheme="minorHAnsi"/>
        <w:b/>
        <w:bCs/>
        <w:sz w:val="28"/>
        <w:szCs w:val="28"/>
      </w:rPr>
      <w:t>2</w:t>
    </w:r>
    <w:r w:rsidRPr="00F6228E">
      <w:rPr>
        <w:rFonts w:cstheme="minorHAnsi"/>
        <w:b/>
        <w:bCs/>
        <w:noProof/>
        <w:sz w:val="28"/>
        <w:szCs w:val="28"/>
      </w:rPr>
      <w:fldChar w:fldCharType="end"/>
    </w:r>
  </w:p>
  <w:p w14:paraId="2A1D66FF" w14:textId="1AA2239C" w:rsidR="00F345AB" w:rsidRDefault="00F345AB">
    <w:pPr>
      <w:pStyle w:val="Footer"/>
    </w:pPr>
  </w:p>
  <w:p w14:paraId="13FE9EC3" w14:textId="77777777" w:rsidR="00F345AB" w:rsidRDefault="00F34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70DD" w14:textId="77777777" w:rsidR="00590444" w:rsidRDefault="00590444" w:rsidP="00D43B58">
      <w:pPr>
        <w:spacing w:after="0" w:line="240" w:lineRule="auto"/>
      </w:pPr>
      <w:r>
        <w:separator/>
      </w:r>
    </w:p>
  </w:footnote>
  <w:footnote w:type="continuationSeparator" w:id="0">
    <w:p w14:paraId="73538201" w14:textId="77777777" w:rsidR="00590444" w:rsidRDefault="00590444" w:rsidP="00D43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9F99" w14:textId="77777777" w:rsidR="009E62C8" w:rsidRDefault="009E6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BA7A" w14:textId="77777777" w:rsidR="00FE365D" w:rsidRDefault="00FE365D" w:rsidP="00D43B58">
    <w:pPr>
      <w:pStyle w:val="Header"/>
      <w:tabs>
        <w:tab w:val="left" w:pos="1524"/>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F8A3" w14:textId="77777777" w:rsidR="00FE365D" w:rsidRDefault="00FE365D" w:rsidP="00D43B58">
    <w:pPr>
      <w:pStyle w:val="Header"/>
      <w:tabs>
        <w:tab w:val="clear" w:pos="4513"/>
        <w:tab w:val="clear" w:pos="9026"/>
        <w:tab w:val="left" w:pos="3349"/>
      </w:tabs>
      <w:jc w:val="center"/>
    </w:pPr>
    <w:r>
      <w:rPr>
        <w:noProof/>
      </w:rPr>
      <w:drawing>
        <wp:inline distT="0" distB="0" distL="0" distR="0" wp14:anchorId="2C820CFB" wp14:editId="0AF2A084">
          <wp:extent cx="2528515" cy="1307582"/>
          <wp:effectExtent l="0" t="0" r="5715" b="6985"/>
          <wp:docPr id="8"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7" cy="13292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097"/>
    <w:multiLevelType w:val="hybridMultilevel"/>
    <w:tmpl w:val="92A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849C3"/>
    <w:multiLevelType w:val="hybridMultilevel"/>
    <w:tmpl w:val="E680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33B1D"/>
    <w:multiLevelType w:val="hybridMultilevel"/>
    <w:tmpl w:val="D804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50ACD"/>
    <w:multiLevelType w:val="hybridMultilevel"/>
    <w:tmpl w:val="2922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04445"/>
    <w:multiLevelType w:val="hybridMultilevel"/>
    <w:tmpl w:val="87B0E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004F5"/>
    <w:multiLevelType w:val="hybridMultilevel"/>
    <w:tmpl w:val="AEDE126E"/>
    <w:lvl w:ilvl="0" w:tplc="4C5A754E">
      <w:start w:val="1"/>
      <w:numFmt w:val="bullet"/>
      <w:lvlText w:val="●"/>
      <w:lvlJc w:val="left"/>
      <w:pPr>
        <w:tabs>
          <w:tab w:val="num" w:pos="720"/>
        </w:tabs>
        <w:ind w:left="720" w:hanging="360"/>
      </w:pPr>
      <w:rPr>
        <w:rFonts w:ascii="Arial" w:hAnsi="Arial" w:hint="default"/>
      </w:rPr>
    </w:lvl>
    <w:lvl w:ilvl="1" w:tplc="91587BB8" w:tentative="1">
      <w:start w:val="1"/>
      <w:numFmt w:val="bullet"/>
      <w:lvlText w:val="●"/>
      <w:lvlJc w:val="left"/>
      <w:pPr>
        <w:tabs>
          <w:tab w:val="num" w:pos="1440"/>
        </w:tabs>
        <w:ind w:left="1440" w:hanging="360"/>
      </w:pPr>
      <w:rPr>
        <w:rFonts w:ascii="Arial" w:hAnsi="Arial" w:hint="default"/>
      </w:rPr>
    </w:lvl>
    <w:lvl w:ilvl="2" w:tplc="D95A01BA" w:tentative="1">
      <w:start w:val="1"/>
      <w:numFmt w:val="bullet"/>
      <w:lvlText w:val="●"/>
      <w:lvlJc w:val="left"/>
      <w:pPr>
        <w:tabs>
          <w:tab w:val="num" w:pos="2160"/>
        </w:tabs>
        <w:ind w:left="2160" w:hanging="360"/>
      </w:pPr>
      <w:rPr>
        <w:rFonts w:ascii="Arial" w:hAnsi="Arial" w:hint="default"/>
      </w:rPr>
    </w:lvl>
    <w:lvl w:ilvl="3" w:tplc="7EF88DFA" w:tentative="1">
      <w:start w:val="1"/>
      <w:numFmt w:val="bullet"/>
      <w:lvlText w:val="●"/>
      <w:lvlJc w:val="left"/>
      <w:pPr>
        <w:tabs>
          <w:tab w:val="num" w:pos="2880"/>
        </w:tabs>
        <w:ind w:left="2880" w:hanging="360"/>
      </w:pPr>
      <w:rPr>
        <w:rFonts w:ascii="Arial" w:hAnsi="Arial" w:hint="default"/>
      </w:rPr>
    </w:lvl>
    <w:lvl w:ilvl="4" w:tplc="375C3A1C" w:tentative="1">
      <w:start w:val="1"/>
      <w:numFmt w:val="bullet"/>
      <w:lvlText w:val="●"/>
      <w:lvlJc w:val="left"/>
      <w:pPr>
        <w:tabs>
          <w:tab w:val="num" w:pos="3600"/>
        </w:tabs>
        <w:ind w:left="3600" w:hanging="360"/>
      </w:pPr>
      <w:rPr>
        <w:rFonts w:ascii="Arial" w:hAnsi="Arial" w:hint="default"/>
      </w:rPr>
    </w:lvl>
    <w:lvl w:ilvl="5" w:tplc="A31AA482" w:tentative="1">
      <w:start w:val="1"/>
      <w:numFmt w:val="bullet"/>
      <w:lvlText w:val="●"/>
      <w:lvlJc w:val="left"/>
      <w:pPr>
        <w:tabs>
          <w:tab w:val="num" w:pos="4320"/>
        </w:tabs>
        <w:ind w:left="4320" w:hanging="360"/>
      </w:pPr>
      <w:rPr>
        <w:rFonts w:ascii="Arial" w:hAnsi="Arial" w:hint="default"/>
      </w:rPr>
    </w:lvl>
    <w:lvl w:ilvl="6" w:tplc="BF7EE9F0" w:tentative="1">
      <w:start w:val="1"/>
      <w:numFmt w:val="bullet"/>
      <w:lvlText w:val="●"/>
      <w:lvlJc w:val="left"/>
      <w:pPr>
        <w:tabs>
          <w:tab w:val="num" w:pos="5040"/>
        </w:tabs>
        <w:ind w:left="5040" w:hanging="360"/>
      </w:pPr>
      <w:rPr>
        <w:rFonts w:ascii="Arial" w:hAnsi="Arial" w:hint="default"/>
      </w:rPr>
    </w:lvl>
    <w:lvl w:ilvl="7" w:tplc="39E8C50C" w:tentative="1">
      <w:start w:val="1"/>
      <w:numFmt w:val="bullet"/>
      <w:lvlText w:val="●"/>
      <w:lvlJc w:val="left"/>
      <w:pPr>
        <w:tabs>
          <w:tab w:val="num" w:pos="5760"/>
        </w:tabs>
        <w:ind w:left="5760" w:hanging="360"/>
      </w:pPr>
      <w:rPr>
        <w:rFonts w:ascii="Arial" w:hAnsi="Arial" w:hint="default"/>
      </w:rPr>
    </w:lvl>
    <w:lvl w:ilvl="8" w:tplc="1018A8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F01E48"/>
    <w:multiLevelType w:val="hybridMultilevel"/>
    <w:tmpl w:val="7F2C4B6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5437CC"/>
    <w:multiLevelType w:val="hybridMultilevel"/>
    <w:tmpl w:val="A262F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71010"/>
    <w:multiLevelType w:val="hybridMultilevel"/>
    <w:tmpl w:val="70E21F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D231D1"/>
    <w:multiLevelType w:val="hybridMultilevel"/>
    <w:tmpl w:val="9ADA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3A2CF7"/>
    <w:multiLevelType w:val="hybridMultilevel"/>
    <w:tmpl w:val="7C0A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FF7938"/>
    <w:multiLevelType w:val="hybridMultilevel"/>
    <w:tmpl w:val="63E4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76C72"/>
    <w:multiLevelType w:val="hybridMultilevel"/>
    <w:tmpl w:val="645ED04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A87742"/>
    <w:multiLevelType w:val="hybridMultilevel"/>
    <w:tmpl w:val="FDEC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8567C"/>
    <w:multiLevelType w:val="hybridMultilevel"/>
    <w:tmpl w:val="1482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950C80"/>
    <w:multiLevelType w:val="hybridMultilevel"/>
    <w:tmpl w:val="0488587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9A52953"/>
    <w:multiLevelType w:val="hybridMultilevel"/>
    <w:tmpl w:val="3BE6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72E3D"/>
    <w:multiLevelType w:val="hybridMultilevel"/>
    <w:tmpl w:val="4D2C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C74A9"/>
    <w:multiLevelType w:val="hybridMultilevel"/>
    <w:tmpl w:val="A268D73E"/>
    <w:lvl w:ilvl="0" w:tplc="11843472">
      <w:start w:val="1"/>
      <w:numFmt w:val="bullet"/>
      <w:lvlText w:val="●"/>
      <w:lvlJc w:val="left"/>
      <w:pPr>
        <w:tabs>
          <w:tab w:val="num" w:pos="720"/>
        </w:tabs>
        <w:ind w:left="720" w:hanging="360"/>
      </w:pPr>
      <w:rPr>
        <w:rFonts w:ascii="Calibri" w:hAnsi="Calibri" w:hint="default"/>
      </w:rPr>
    </w:lvl>
    <w:lvl w:ilvl="1" w:tplc="69A6944C" w:tentative="1">
      <w:start w:val="1"/>
      <w:numFmt w:val="bullet"/>
      <w:lvlText w:val="●"/>
      <w:lvlJc w:val="left"/>
      <w:pPr>
        <w:tabs>
          <w:tab w:val="num" w:pos="1440"/>
        </w:tabs>
        <w:ind w:left="1440" w:hanging="360"/>
      </w:pPr>
      <w:rPr>
        <w:rFonts w:ascii="Calibri" w:hAnsi="Calibri" w:hint="default"/>
      </w:rPr>
    </w:lvl>
    <w:lvl w:ilvl="2" w:tplc="8C46FE0C" w:tentative="1">
      <w:start w:val="1"/>
      <w:numFmt w:val="bullet"/>
      <w:lvlText w:val="●"/>
      <w:lvlJc w:val="left"/>
      <w:pPr>
        <w:tabs>
          <w:tab w:val="num" w:pos="2160"/>
        </w:tabs>
        <w:ind w:left="2160" w:hanging="360"/>
      </w:pPr>
      <w:rPr>
        <w:rFonts w:ascii="Calibri" w:hAnsi="Calibri" w:hint="default"/>
      </w:rPr>
    </w:lvl>
    <w:lvl w:ilvl="3" w:tplc="9A843048" w:tentative="1">
      <w:start w:val="1"/>
      <w:numFmt w:val="bullet"/>
      <w:lvlText w:val="●"/>
      <w:lvlJc w:val="left"/>
      <w:pPr>
        <w:tabs>
          <w:tab w:val="num" w:pos="2880"/>
        </w:tabs>
        <w:ind w:left="2880" w:hanging="360"/>
      </w:pPr>
      <w:rPr>
        <w:rFonts w:ascii="Calibri" w:hAnsi="Calibri" w:hint="default"/>
      </w:rPr>
    </w:lvl>
    <w:lvl w:ilvl="4" w:tplc="A3407BE2" w:tentative="1">
      <w:start w:val="1"/>
      <w:numFmt w:val="bullet"/>
      <w:lvlText w:val="●"/>
      <w:lvlJc w:val="left"/>
      <w:pPr>
        <w:tabs>
          <w:tab w:val="num" w:pos="3600"/>
        </w:tabs>
        <w:ind w:left="3600" w:hanging="360"/>
      </w:pPr>
      <w:rPr>
        <w:rFonts w:ascii="Calibri" w:hAnsi="Calibri" w:hint="default"/>
      </w:rPr>
    </w:lvl>
    <w:lvl w:ilvl="5" w:tplc="348C41D2" w:tentative="1">
      <w:start w:val="1"/>
      <w:numFmt w:val="bullet"/>
      <w:lvlText w:val="●"/>
      <w:lvlJc w:val="left"/>
      <w:pPr>
        <w:tabs>
          <w:tab w:val="num" w:pos="4320"/>
        </w:tabs>
        <w:ind w:left="4320" w:hanging="360"/>
      </w:pPr>
      <w:rPr>
        <w:rFonts w:ascii="Calibri" w:hAnsi="Calibri" w:hint="default"/>
      </w:rPr>
    </w:lvl>
    <w:lvl w:ilvl="6" w:tplc="840E76D0" w:tentative="1">
      <w:start w:val="1"/>
      <w:numFmt w:val="bullet"/>
      <w:lvlText w:val="●"/>
      <w:lvlJc w:val="left"/>
      <w:pPr>
        <w:tabs>
          <w:tab w:val="num" w:pos="5040"/>
        </w:tabs>
        <w:ind w:left="5040" w:hanging="360"/>
      </w:pPr>
      <w:rPr>
        <w:rFonts w:ascii="Calibri" w:hAnsi="Calibri" w:hint="default"/>
      </w:rPr>
    </w:lvl>
    <w:lvl w:ilvl="7" w:tplc="AD8C7E18" w:tentative="1">
      <w:start w:val="1"/>
      <w:numFmt w:val="bullet"/>
      <w:lvlText w:val="●"/>
      <w:lvlJc w:val="left"/>
      <w:pPr>
        <w:tabs>
          <w:tab w:val="num" w:pos="5760"/>
        </w:tabs>
        <w:ind w:left="5760" w:hanging="360"/>
      </w:pPr>
      <w:rPr>
        <w:rFonts w:ascii="Calibri" w:hAnsi="Calibri" w:hint="default"/>
      </w:rPr>
    </w:lvl>
    <w:lvl w:ilvl="8" w:tplc="F4CE0834"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ADF01AB"/>
    <w:multiLevelType w:val="hybridMultilevel"/>
    <w:tmpl w:val="7920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75C03"/>
    <w:multiLevelType w:val="hybridMultilevel"/>
    <w:tmpl w:val="58E0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13435"/>
    <w:multiLevelType w:val="hybridMultilevel"/>
    <w:tmpl w:val="4BD80AC0"/>
    <w:lvl w:ilvl="0" w:tplc="5CE2D1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210B0E"/>
    <w:multiLevelType w:val="hybridMultilevel"/>
    <w:tmpl w:val="9102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76833"/>
    <w:multiLevelType w:val="hybridMultilevel"/>
    <w:tmpl w:val="902E9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4B1AA6"/>
    <w:multiLevelType w:val="hybridMultilevel"/>
    <w:tmpl w:val="E6B6668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D3F0CBD"/>
    <w:multiLevelType w:val="hybridMultilevel"/>
    <w:tmpl w:val="D8C6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A94DA2"/>
    <w:multiLevelType w:val="hybridMultilevel"/>
    <w:tmpl w:val="2522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34622"/>
    <w:multiLevelType w:val="hybridMultilevel"/>
    <w:tmpl w:val="A0FEE2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80E206B"/>
    <w:multiLevelType w:val="hybridMultilevel"/>
    <w:tmpl w:val="0DAA7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837728"/>
    <w:multiLevelType w:val="hybridMultilevel"/>
    <w:tmpl w:val="22F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C251D"/>
    <w:multiLevelType w:val="hybridMultilevel"/>
    <w:tmpl w:val="253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9287A"/>
    <w:multiLevelType w:val="hybridMultilevel"/>
    <w:tmpl w:val="F6C4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F6006"/>
    <w:multiLevelType w:val="hybridMultilevel"/>
    <w:tmpl w:val="4D7E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104B1"/>
    <w:multiLevelType w:val="hybridMultilevel"/>
    <w:tmpl w:val="6916F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3624AA"/>
    <w:multiLevelType w:val="hybridMultilevel"/>
    <w:tmpl w:val="9F1A39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15"/>
  </w:num>
  <w:num w:numId="3">
    <w:abstractNumId w:val="8"/>
  </w:num>
  <w:num w:numId="4">
    <w:abstractNumId w:val="2"/>
  </w:num>
  <w:num w:numId="5">
    <w:abstractNumId w:val="25"/>
  </w:num>
  <w:num w:numId="6">
    <w:abstractNumId w:val="21"/>
  </w:num>
  <w:num w:numId="7">
    <w:abstractNumId w:val="30"/>
  </w:num>
  <w:num w:numId="8">
    <w:abstractNumId w:val="24"/>
  </w:num>
  <w:num w:numId="9">
    <w:abstractNumId w:val="29"/>
  </w:num>
  <w:num w:numId="10">
    <w:abstractNumId w:val="32"/>
  </w:num>
  <w:num w:numId="11">
    <w:abstractNumId w:val="0"/>
  </w:num>
  <w:num w:numId="12">
    <w:abstractNumId w:val="33"/>
  </w:num>
  <w:num w:numId="13">
    <w:abstractNumId w:val="28"/>
  </w:num>
  <w:num w:numId="14">
    <w:abstractNumId w:val="9"/>
  </w:num>
  <w:num w:numId="15">
    <w:abstractNumId w:val="23"/>
  </w:num>
  <w:num w:numId="16">
    <w:abstractNumId w:val="10"/>
  </w:num>
  <w:num w:numId="17">
    <w:abstractNumId w:val="12"/>
  </w:num>
  <w:num w:numId="18">
    <w:abstractNumId w:val="6"/>
  </w:num>
  <w:num w:numId="19">
    <w:abstractNumId w:val="27"/>
  </w:num>
  <w:num w:numId="20">
    <w:abstractNumId w:val="34"/>
  </w:num>
  <w:num w:numId="21">
    <w:abstractNumId w:val="20"/>
  </w:num>
  <w:num w:numId="22">
    <w:abstractNumId w:val="7"/>
  </w:num>
  <w:num w:numId="23">
    <w:abstractNumId w:val="22"/>
  </w:num>
  <w:num w:numId="24">
    <w:abstractNumId w:val="17"/>
  </w:num>
  <w:num w:numId="25">
    <w:abstractNumId w:val="1"/>
  </w:num>
  <w:num w:numId="26">
    <w:abstractNumId w:val="13"/>
  </w:num>
  <w:num w:numId="27">
    <w:abstractNumId w:val="4"/>
  </w:num>
  <w:num w:numId="28">
    <w:abstractNumId w:val="16"/>
  </w:num>
  <w:num w:numId="29">
    <w:abstractNumId w:val="26"/>
  </w:num>
  <w:num w:numId="30">
    <w:abstractNumId w:val="31"/>
  </w:num>
  <w:num w:numId="31">
    <w:abstractNumId w:val="11"/>
  </w:num>
  <w:num w:numId="32">
    <w:abstractNumId w:val="3"/>
  </w:num>
  <w:num w:numId="33">
    <w:abstractNumId w:val="18"/>
  </w:num>
  <w:num w:numId="34">
    <w:abstractNumId w:val="5"/>
  </w:num>
  <w:num w:numId="3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71"/>
    <w:rsid w:val="00002C1E"/>
    <w:rsid w:val="0000380C"/>
    <w:rsid w:val="00003DE4"/>
    <w:rsid w:val="00023A08"/>
    <w:rsid w:val="000251D5"/>
    <w:rsid w:val="00030E9C"/>
    <w:rsid w:val="00042858"/>
    <w:rsid w:val="00042BDD"/>
    <w:rsid w:val="00042CAA"/>
    <w:rsid w:val="000432F5"/>
    <w:rsid w:val="000436E4"/>
    <w:rsid w:val="00052715"/>
    <w:rsid w:val="000528DF"/>
    <w:rsid w:val="00053F69"/>
    <w:rsid w:val="00056109"/>
    <w:rsid w:val="000563BA"/>
    <w:rsid w:val="0005724A"/>
    <w:rsid w:val="00060DF6"/>
    <w:rsid w:val="00061C6D"/>
    <w:rsid w:val="0006218A"/>
    <w:rsid w:val="00064930"/>
    <w:rsid w:val="000654C6"/>
    <w:rsid w:val="00066D4C"/>
    <w:rsid w:val="00067ED4"/>
    <w:rsid w:val="00070D4E"/>
    <w:rsid w:val="00077D14"/>
    <w:rsid w:val="00080E1C"/>
    <w:rsid w:val="0008336A"/>
    <w:rsid w:val="00090CE7"/>
    <w:rsid w:val="000918F3"/>
    <w:rsid w:val="00093ACF"/>
    <w:rsid w:val="000A0470"/>
    <w:rsid w:val="000A2370"/>
    <w:rsid w:val="000A4B84"/>
    <w:rsid w:val="000B6290"/>
    <w:rsid w:val="000D22B3"/>
    <w:rsid w:val="000D24B5"/>
    <w:rsid w:val="000E2C70"/>
    <w:rsid w:val="000E60CB"/>
    <w:rsid w:val="000E6DA3"/>
    <w:rsid w:val="00123583"/>
    <w:rsid w:val="00125763"/>
    <w:rsid w:val="00131FE5"/>
    <w:rsid w:val="001345E5"/>
    <w:rsid w:val="0014322C"/>
    <w:rsid w:val="00150933"/>
    <w:rsid w:val="00151D8C"/>
    <w:rsid w:val="001577E9"/>
    <w:rsid w:val="0017476E"/>
    <w:rsid w:val="00177DDA"/>
    <w:rsid w:val="001814AE"/>
    <w:rsid w:val="00185C46"/>
    <w:rsid w:val="00187A11"/>
    <w:rsid w:val="00195F6A"/>
    <w:rsid w:val="00196E66"/>
    <w:rsid w:val="00197694"/>
    <w:rsid w:val="001A34DD"/>
    <w:rsid w:val="001A5194"/>
    <w:rsid w:val="001A5C95"/>
    <w:rsid w:val="001B0208"/>
    <w:rsid w:val="001B4E30"/>
    <w:rsid w:val="001B51B5"/>
    <w:rsid w:val="001B6691"/>
    <w:rsid w:val="001C453B"/>
    <w:rsid w:val="001D6E9E"/>
    <w:rsid w:val="001E3590"/>
    <w:rsid w:val="001E7374"/>
    <w:rsid w:val="001F3485"/>
    <w:rsid w:val="001F608F"/>
    <w:rsid w:val="001F62C2"/>
    <w:rsid w:val="001F7836"/>
    <w:rsid w:val="00200751"/>
    <w:rsid w:val="00207983"/>
    <w:rsid w:val="00207F1B"/>
    <w:rsid w:val="002218E6"/>
    <w:rsid w:val="0022265F"/>
    <w:rsid w:val="0022283C"/>
    <w:rsid w:val="00225171"/>
    <w:rsid w:val="002270CB"/>
    <w:rsid w:val="002416D3"/>
    <w:rsid w:val="0024415B"/>
    <w:rsid w:val="00244EAC"/>
    <w:rsid w:val="00251FF8"/>
    <w:rsid w:val="00252447"/>
    <w:rsid w:val="00254F5D"/>
    <w:rsid w:val="00260596"/>
    <w:rsid w:val="00260FDB"/>
    <w:rsid w:val="00275061"/>
    <w:rsid w:val="002A5CD1"/>
    <w:rsid w:val="002A7112"/>
    <w:rsid w:val="002B0BFC"/>
    <w:rsid w:val="002B11C5"/>
    <w:rsid w:val="002B4FAD"/>
    <w:rsid w:val="002B54F5"/>
    <w:rsid w:val="002B6347"/>
    <w:rsid w:val="002B645B"/>
    <w:rsid w:val="002B6956"/>
    <w:rsid w:val="002C0D84"/>
    <w:rsid w:val="002C27C5"/>
    <w:rsid w:val="002D13AE"/>
    <w:rsid w:val="002D143D"/>
    <w:rsid w:val="002D24B1"/>
    <w:rsid w:val="002D2B0A"/>
    <w:rsid w:val="002D33EF"/>
    <w:rsid w:val="002D45DC"/>
    <w:rsid w:val="002D6D1F"/>
    <w:rsid w:val="002E7106"/>
    <w:rsid w:val="002F0134"/>
    <w:rsid w:val="002F0798"/>
    <w:rsid w:val="002F33A1"/>
    <w:rsid w:val="002F6F04"/>
    <w:rsid w:val="003017FF"/>
    <w:rsid w:val="003054DA"/>
    <w:rsid w:val="00311E2F"/>
    <w:rsid w:val="003166B0"/>
    <w:rsid w:val="003206B0"/>
    <w:rsid w:val="003328B0"/>
    <w:rsid w:val="00335E28"/>
    <w:rsid w:val="0034143B"/>
    <w:rsid w:val="00342037"/>
    <w:rsid w:val="00345DBC"/>
    <w:rsid w:val="0035006F"/>
    <w:rsid w:val="00353975"/>
    <w:rsid w:val="00353E08"/>
    <w:rsid w:val="0035516C"/>
    <w:rsid w:val="00363171"/>
    <w:rsid w:val="00364B41"/>
    <w:rsid w:val="00364CC8"/>
    <w:rsid w:val="0037203E"/>
    <w:rsid w:val="00374CB6"/>
    <w:rsid w:val="00380A6E"/>
    <w:rsid w:val="0038190A"/>
    <w:rsid w:val="00387D7F"/>
    <w:rsid w:val="0039255F"/>
    <w:rsid w:val="00392CFC"/>
    <w:rsid w:val="003970C0"/>
    <w:rsid w:val="003A2E56"/>
    <w:rsid w:val="003B03F8"/>
    <w:rsid w:val="003B1147"/>
    <w:rsid w:val="003B5416"/>
    <w:rsid w:val="003B5938"/>
    <w:rsid w:val="003B5A14"/>
    <w:rsid w:val="003C07B3"/>
    <w:rsid w:val="003C1F06"/>
    <w:rsid w:val="003D05B0"/>
    <w:rsid w:val="003D12EE"/>
    <w:rsid w:val="003D39EE"/>
    <w:rsid w:val="003D3F5A"/>
    <w:rsid w:val="003E03EB"/>
    <w:rsid w:val="003E47C2"/>
    <w:rsid w:val="003E4850"/>
    <w:rsid w:val="003F4DF3"/>
    <w:rsid w:val="003F70C5"/>
    <w:rsid w:val="00405200"/>
    <w:rsid w:val="004125C6"/>
    <w:rsid w:val="00414158"/>
    <w:rsid w:val="004153EB"/>
    <w:rsid w:val="0041660E"/>
    <w:rsid w:val="004236C1"/>
    <w:rsid w:val="00426C32"/>
    <w:rsid w:val="00427283"/>
    <w:rsid w:val="00430786"/>
    <w:rsid w:val="00431DE6"/>
    <w:rsid w:val="004328F8"/>
    <w:rsid w:val="00435AA0"/>
    <w:rsid w:val="004366A9"/>
    <w:rsid w:val="00440A07"/>
    <w:rsid w:val="0044248A"/>
    <w:rsid w:val="0044277E"/>
    <w:rsid w:val="004431CD"/>
    <w:rsid w:val="00445807"/>
    <w:rsid w:val="0044608C"/>
    <w:rsid w:val="00447522"/>
    <w:rsid w:val="004525DF"/>
    <w:rsid w:val="00452D59"/>
    <w:rsid w:val="00470815"/>
    <w:rsid w:val="00470A1E"/>
    <w:rsid w:val="00477A4B"/>
    <w:rsid w:val="00482B63"/>
    <w:rsid w:val="004852BA"/>
    <w:rsid w:val="00492856"/>
    <w:rsid w:val="00495884"/>
    <w:rsid w:val="0049796E"/>
    <w:rsid w:val="00497CEC"/>
    <w:rsid w:val="004A0278"/>
    <w:rsid w:val="004A2823"/>
    <w:rsid w:val="004A3FAF"/>
    <w:rsid w:val="004B4204"/>
    <w:rsid w:val="004C0457"/>
    <w:rsid w:val="004C3ECE"/>
    <w:rsid w:val="004D1E98"/>
    <w:rsid w:val="004D724E"/>
    <w:rsid w:val="004E0496"/>
    <w:rsid w:val="004E4D2F"/>
    <w:rsid w:val="004F3B0E"/>
    <w:rsid w:val="004F6A56"/>
    <w:rsid w:val="004F7227"/>
    <w:rsid w:val="00501FA1"/>
    <w:rsid w:val="00512F44"/>
    <w:rsid w:val="0052261D"/>
    <w:rsid w:val="00531293"/>
    <w:rsid w:val="00531E2E"/>
    <w:rsid w:val="005351AC"/>
    <w:rsid w:val="0053655F"/>
    <w:rsid w:val="00536ECB"/>
    <w:rsid w:val="00537313"/>
    <w:rsid w:val="00537F22"/>
    <w:rsid w:val="0054494C"/>
    <w:rsid w:val="00545D35"/>
    <w:rsid w:val="005535A2"/>
    <w:rsid w:val="00560415"/>
    <w:rsid w:val="005649CD"/>
    <w:rsid w:val="0056657B"/>
    <w:rsid w:val="00566BFB"/>
    <w:rsid w:val="00573BE2"/>
    <w:rsid w:val="00583249"/>
    <w:rsid w:val="00585649"/>
    <w:rsid w:val="00590444"/>
    <w:rsid w:val="00596EA5"/>
    <w:rsid w:val="005A0DA9"/>
    <w:rsid w:val="005A2CAF"/>
    <w:rsid w:val="005A4E62"/>
    <w:rsid w:val="005A5430"/>
    <w:rsid w:val="005B0F53"/>
    <w:rsid w:val="005B2269"/>
    <w:rsid w:val="005B5BCF"/>
    <w:rsid w:val="005B67D6"/>
    <w:rsid w:val="005C2F67"/>
    <w:rsid w:val="005C5163"/>
    <w:rsid w:val="005D17C0"/>
    <w:rsid w:val="005D691D"/>
    <w:rsid w:val="005D6A27"/>
    <w:rsid w:val="005E32EA"/>
    <w:rsid w:val="005F6C7C"/>
    <w:rsid w:val="0060225C"/>
    <w:rsid w:val="00606D22"/>
    <w:rsid w:val="00607986"/>
    <w:rsid w:val="00614018"/>
    <w:rsid w:val="00614BD5"/>
    <w:rsid w:val="00617082"/>
    <w:rsid w:val="00625BF4"/>
    <w:rsid w:val="00626FC7"/>
    <w:rsid w:val="0062796F"/>
    <w:rsid w:val="00635631"/>
    <w:rsid w:val="006361B8"/>
    <w:rsid w:val="00644FD2"/>
    <w:rsid w:val="00647898"/>
    <w:rsid w:val="00660891"/>
    <w:rsid w:val="006753D7"/>
    <w:rsid w:val="00675FDE"/>
    <w:rsid w:val="0067729F"/>
    <w:rsid w:val="006845A7"/>
    <w:rsid w:val="00694895"/>
    <w:rsid w:val="006A0D83"/>
    <w:rsid w:val="006A12CC"/>
    <w:rsid w:val="006A2EE1"/>
    <w:rsid w:val="006A379F"/>
    <w:rsid w:val="006A6C47"/>
    <w:rsid w:val="006B148F"/>
    <w:rsid w:val="006B19B9"/>
    <w:rsid w:val="006B4A2C"/>
    <w:rsid w:val="006C1024"/>
    <w:rsid w:val="006C3353"/>
    <w:rsid w:val="006C6AFA"/>
    <w:rsid w:val="006D05DF"/>
    <w:rsid w:val="006D2E98"/>
    <w:rsid w:val="006D5ACB"/>
    <w:rsid w:val="006E1EF5"/>
    <w:rsid w:val="006E4DAC"/>
    <w:rsid w:val="006E7232"/>
    <w:rsid w:val="006F0911"/>
    <w:rsid w:val="006F4FCB"/>
    <w:rsid w:val="006F7A83"/>
    <w:rsid w:val="00701E02"/>
    <w:rsid w:val="00711F8B"/>
    <w:rsid w:val="00720370"/>
    <w:rsid w:val="00721BF5"/>
    <w:rsid w:val="00730CA9"/>
    <w:rsid w:val="007406C7"/>
    <w:rsid w:val="0074343F"/>
    <w:rsid w:val="007440AD"/>
    <w:rsid w:val="00750537"/>
    <w:rsid w:val="007515A0"/>
    <w:rsid w:val="0075566C"/>
    <w:rsid w:val="00755685"/>
    <w:rsid w:val="00760E86"/>
    <w:rsid w:val="007618A8"/>
    <w:rsid w:val="007620FC"/>
    <w:rsid w:val="00765CD5"/>
    <w:rsid w:val="007677C4"/>
    <w:rsid w:val="007711B7"/>
    <w:rsid w:val="00775EB8"/>
    <w:rsid w:val="0077640F"/>
    <w:rsid w:val="00780A4E"/>
    <w:rsid w:val="00783C99"/>
    <w:rsid w:val="007841EC"/>
    <w:rsid w:val="00784C88"/>
    <w:rsid w:val="00786050"/>
    <w:rsid w:val="0078726F"/>
    <w:rsid w:val="00787506"/>
    <w:rsid w:val="007900DA"/>
    <w:rsid w:val="0079091F"/>
    <w:rsid w:val="00790975"/>
    <w:rsid w:val="00792354"/>
    <w:rsid w:val="00793E88"/>
    <w:rsid w:val="007A53AC"/>
    <w:rsid w:val="007A6E02"/>
    <w:rsid w:val="007A7402"/>
    <w:rsid w:val="007B7638"/>
    <w:rsid w:val="007C16C4"/>
    <w:rsid w:val="007D4AB8"/>
    <w:rsid w:val="007D4D3D"/>
    <w:rsid w:val="007D51D3"/>
    <w:rsid w:val="007E478E"/>
    <w:rsid w:val="007E4877"/>
    <w:rsid w:val="007F1044"/>
    <w:rsid w:val="007F3433"/>
    <w:rsid w:val="008014B5"/>
    <w:rsid w:val="0080155E"/>
    <w:rsid w:val="00804BBF"/>
    <w:rsid w:val="008063C9"/>
    <w:rsid w:val="008075D2"/>
    <w:rsid w:val="00814B91"/>
    <w:rsid w:val="00820790"/>
    <w:rsid w:val="008224BC"/>
    <w:rsid w:val="00825CD7"/>
    <w:rsid w:val="00826354"/>
    <w:rsid w:val="00826E06"/>
    <w:rsid w:val="00831B70"/>
    <w:rsid w:val="00833B7F"/>
    <w:rsid w:val="00836B77"/>
    <w:rsid w:val="00837C73"/>
    <w:rsid w:val="008438C7"/>
    <w:rsid w:val="00844EA2"/>
    <w:rsid w:val="00850C72"/>
    <w:rsid w:val="00856376"/>
    <w:rsid w:val="008572C2"/>
    <w:rsid w:val="00874444"/>
    <w:rsid w:val="00880685"/>
    <w:rsid w:val="00884061"/>
    <w:rsid w:val="008844F8"/>
    <w:rsid w:val="0089361C"/>
    <w:rsid w:val="00895771"/>
    <w:rsid w:val="00897A07"/>
    <w:rsid w:val="008A13B8"/>
    <w:rsid w:val="008A1C18"/>
    <w:rsid w:val="008A568D"/>
    <w:rsid w:val="008A6374"/>
    <w:rsid w:val="008A6D2D"/>
    <w:rsid w:val="008B10CD"/>
    <w:rsid w:val="008B3546"/>
    <w:rsid w:val="008B4DB2"/>
    <w:rsid w:val="008B58BC"/>
    <w:rsid w:val="008C46D2"/>
    <w:rsid w:val="008C7F59"/>
    <w:rsid w:val="008D1138"/>
    <w:rsid w:val="008D6101"/>
    <w:rsid w:val="008E0681"/>
    <w:rsid w:val="008F2582"/>
    <w:rsid w:val="008F5DA5"/>
    <w:rsid w:val="0090146A"/>
    <w:rsid w:val="0090640D"/>
    <w:rsid w:val="0090745D"/>
    <w:rsid w:val="00914113"/>
    <w:rsid w:val="00915447"/>
    <w:rsid w:val="0092131F"/>
    <w:rsid w:val="00921FB8"/>
    <w:rsid w:val="0092459B"/>
    <w:rsid w:val="00924ADB"/>
    <w:rsid w:val="00925DE5"/>
    <w:rsid w:val="009268BF"/>
    <w:rsid w:val="00927C0F"/>
    <w:rsid w:val="00930382"/>
    <w:rsid w:val="00933C2E"/>
    <w:rsid w:val="009377F5"/>
    <w:rsid w:val="00941FE4"/>
    <w:rsid w:val="00942E98"/>
    <w:rsid w:val="009468D1"/>
    <w:rsid w:val="009529C1"/>
    <w:rsid w:val="00954641"/>
    <w:rsid w:val="00960A9C"/>
    <w:rsid w:val="009619A6"/>
    <w:rsid w:val="00967F7F"/>
    <w:rsid w:val="009716E8"/>
    <w:rsid w:val="0097401D"/>
    <w:rsid w:val="0098586B"/>
    <w:rsid w:val="00990A6A"/>
    <w:rsid w:val="0099259B"/>
    <w:rsid w:val="009A6ED9"/>
    <w:rsid w:val="009B6383"/>
    <w:rsid w:val="009D0D60"/>
    <w:rsid w:val="009D3898"/>
    <w:rsid w:val="009D6E90"/>
    <w:rsid w:val="009E05B8"/>
    <w:rsid w:val="009E197A"/>
    <w:rsid w:val="009E217D"/>
    <w:rsid w:val="009E62C8"/>
    <w:rsid w:val="009E6454"/>
    <w:rsid w:val="009E764B"/>
    <w:rsid w:val="009F128F"/>
    <w:rsid w:val="009F173F"/>
    <w:rsid w:val="009F3F00"/>
    <w:rsid w:val="00A122E7"/>
    <w:rsid w:val="00A13144"/>
    <w:rsid w:val="00A15689"/>
    <w:rsid w:val="00A157FB"/>
    <w:rsid w:val="00A1783E"/>
    <w:rsid w:val="00A2352B"/>
    <w:rsid w:val="00A312AE"/>
    <w:rsid w:val="00A32D15"/>
    <w:rsid w:val="00A35B62"/>
    <w:rsid w:val="00A40A54"/>
    <w:rsid w:val="00A50006"/>
    <w:rsid w:val="00A50D0D"/>
    <w:rsid w:val="00A55C60"/>
    <w:rsid w:val="00A56F09"/>
    <w:rsid w:val="00A636A8"/>
    <w:rsid w:val="00A700CB"/>
    <w:rsid w:val="00A70144"/>
    <w:rsid w:val="00A71A00"/>
    <w:rsid w:val="00A7521F"/>
    <w:rsid w:val="00A81AD4"/>
    <w:rsid w:val="00A828E6"/>
    <w:rsid w:val="00A83E6E"/>
    <w:rsid w:val="00A84EF3"/>
    <w:rsid w:val="00A8505F"/>
    <w:rsid w:val="00A857F4"/>
    <w:rsid w:val="00A94032"/>
    <w:rsid w:val="00A9497C"/>
    <w:rsid w:val="00A979E0"/>
    <w:rsid w:val="00AA04E4"/>
    <w:rsid w:val="00AA482B"/>
    <w:rsid w:val="00AB0F91"/>
    <w:rsid w:val="00AE1382"/>
    <w:rsid w:val="00AE2A70"/>
    <w:rsid w:val="00AF0D81"/>
    <w:rsid w:val="00AF5DC1"/>
    <w:rsid w:val="00B070CF"/>
    <w:rsid w:val="00B119AD"/>
    <w:rsid w:val="00B17DBD"/>
    <w:rsid w:val="00B36119"/>
    <w:rsid w:val="00B36657"/>
    <w:rsid w:val="00B3708F"/>
    <w:rsid w:val="00B52396"/>
    <w:rsid w:val="00B54581"/>
    <w:rsid w:val="00B630BB"/>
    <w:rsid w:val="00B735AE"/>
    <w:rsid w:val="00B73EEC"/>
    <w:rsid w:val="00B833E3"/>
    <w:rsid w:val="00B842E0"/>
    <w:rsid w:val="00B86540"/>
    <w:rsid w:val="00B878E1"/>
    <w:rsid w:val="00B9146E"/>
    <w:rsid w:val="00B94F60"/>
    <w:rsid w:val="00BA068A"/>
    <w:rsid w:val="00BA3EE1"/>
    <w:rsid w:val="00BA4CEF"/>
    <w:rsid w:val="00BA6823"/>
    <w:rsid w:val="00BB0A83"/>
    <w:rsid w:val="00BB0E78"/>
    <w:rsid w:val="00BC14C1"/>
    <w:rsid w:val="00BC1797"/>
    <w:rsid w:val="00BC5273"/>
    <w:rsid w:val="00BC603A"/>
    <w:rsid w:val="00BC6732"/>
    <w:rsid w:val="00BE0CEE"/>
    <w:rsid w:val="00BE55CE"/>
    <w:rsid w:val="00BE5D73"/>
    <w:rsid w:val="00BE5F79"/>
    <w:rsid w:val="00BE708F"/>
    <w:rsid w:val="00BF3E9B"/>
    <w:rsid w:val="00C0694F"/>
    <w:rsid w:val="00C07482"/>
    <w:rsid w:val="00C10097"/>
    <w:rsid w:val="00C154F7"/>
    <w:rsid w:val="00C21FBE"/>
    <w:rsid w:val="00C22E49"/>
    <w:rsid w:val="00C37310"/>
    <w:rsid w:val="00C40C32"/>
    <w:rsid w:val="00C41EB7"/>
    <w:rsid w:val="00C46171"/>
    <w:rsid w:val="00C55C16"/>
    <w:rsid w:val="00C65277"/>
    <w:rsid w:val="00C75517"/>
    <w:rsid w:val="00C80381"/>
    <w:rsid w:val="00C8200B"/>
    <w:rsid w:val="00C8388C"/>
    <w:rsid w:val="00C83DA6"/>
    <w:rsid w:val="00C86830"/>
    <w:rsid w:val="00C872DD"/>
    <w:rsid w:val="00C91D7F"/>
    <w:rsid w:val="00C92D41"/>
    <w:rsid w:val="00C946D6"/>
    <w:rsid w:val="00C972D9"/>
    <w:rsid w:val="00CA5343"/>
    <w:rsid w:val="00CB0787"/>
    <w:rsid w:val="00CB0F17"/>
    <w:rsid w:val="00CC7C49"/>
    <w:rsid w:val="00CD0E02"/>
    <w:rsid w:val="00CD1918"/>
    <w:rsid w:val="00CD286A"/>
    <w:rsid w:val="00CD343A"/>
    <w:rsid w:val="00CD54D9"/>
    <w:rsid w:val="00CE0E3C"/>
    <w:rsid w:val="00CE17C5"/>
    <w:rsid w:val="00CF5FC4"/>
    <w:rsid w:val="00D013D4"/>
    <w:rsid w:val="00D01B72"/>
    <w:rsid w:val="00D17254"/>
    <w:rsid w:val="00D20AFF"/>
    <w:rsid w:val="00D22014"/>
    <w:rsid w:val="00D246F4"/>
    <w:rsid w:val="00D27B1A"/>
    <w:rsid w:val="00D33BA9"/>
    <w:rsid w:val="00D40315"/>
    <w:rsid w:val="00D43B58"/>
    <w:rsid w:val="00D53C44"/>
    <w:rsid w:val="00D5609D"/>
    <w:rsid w:val="00D567B9"/>
    <w:rsid w:val="00D66D20"/>
    <w:rsid w:val="00D7053F"/>
    <w:rsid w:val="00D8161C"/>
    <w:rsid w:val="00D82E8D"/>
    <w:rsid w:val="00D831D9"/>
    <w:rsid w:val="00D84251"/>
    <w:rsid w:val="00D92036"/>
    <w:rsid w:val="00D9774B"/>
    <w:rsid w:val="00DA36D7"/>
    <w:rsid w:val="00DA4C12"/>
    <w:rsid w:val="00DB156C"/>
    <w:rsid w:val="00DB370F"/>
    <w:rsid w:val="00DB45B5"/>
    <w:rsid w:val="00DB4FF1"/>
    <w:rsid w:val="00DC0E8E"/>
    <w:rsid w:val="00DC12DD"/>
    <w:rsid w:val="00DC6016"/>
    <w:rsid w:val="00DD0045"/>
    <w:rsid w:val="00DD1F96"/>
    <w:rsid w:val="00DE016A"/>
    <w:rsid w:val="00DE6413"/>
    <w:rsid w:val="00DE698C"/>
    <w:rsid w:val="00DF5A30"/>
    <w:rsid w:val="00E0094A"/>
    <w:rsid w:val="00E029E5"/>
    <w:rsid w:val="00E04364"/>
    <w:rsid w:val="00E073C8"/>
    <w:rsid w:val="00E20656"/>
    <w:rsid w:val="00E20927"/>
    <w:rsid w:val="00E20EBA"/>
    <w:rsid w:val="00E23B57"/>
    <w:rsid w:val="00E26D5E"/>
    <w:rsid w:val="00E331E4"/>
    <w:rsid w:val="00E4068B"/>
    <w:rsid w:val="00E517C1"/>
    <w:rsid w:val="00E52FC1"/>
    <w:rsid w:val="00E57E7C"/>
    <w:rsid w:val="00E64F4B"/>
    <w:rsid w:val="00E66FC8"/>
    <w:rsid w:val="00E673EC"/>
    <w:rsid w:val="00E71BF5"/>
    <w:rsid w:val="00E71C5D"/>
    <w:rsid w:val="00E76CAF"/>
    <w:rsid w:val="00E830F2"/>
    <w:rsid w:val="00E83F6C"/>
    <w:rsid w:val="00E869B1"/>
    <w:rsid w:val="00E92E65"/>
    <w:rsid w:val="00E97D75"/>
    <w:rsid w:val="00EA2AB7"/>
    <w:rsid w:val="00EA383C"/>
    <w:rsid w:val="00EA4BBA"/>
    <w:rsid w:val="00EA5698"/>
    <w:rsid w:val="00EA7CC6"/>
    <w:rsid w:val="00EB6224"/>
    <w:rsid w:val="00EC3BC9"/>
    <w:rsid w:val="00EC45AE"/>
    <w:rsid w:val="00ED369D"/>
    <w:rsid w:val="00EE4B9C"/>
    <w:rsid w:val="00F04159"/>
    <w:rsid w:val="00F04B5B"/>
    <w:rsid w:val="00F068FF"/>
    <w:rsid w:val="00F129A4"/>
    <w:rsid w:val="00F22B29"/>
    <w:rsid w:val="00F251BE"/>
    <w:rsid w:val="00F345AB"/>
    <w:rsid w:val="00F34C8E"/>
    <w:rsid w:val="00F406EF"/>
    <w:rsid w:val="00F40B2C"/>
    <w:rsid w:val="00F41039"/>
    <w:rsid w:val="00F43FE6"/>
    <w:rsid w:val="00F5607B"/>
    <w:rsid w:val="00F6228E"/>
    <w:rsid w:val="00F623AF"/>
    <w:rsid w:val="00F62D2C"/>
    <w:rsid w:val="00F63CDC"/>
    <w:rsid w:val="00F6412F"/>
    <w:rsid w:val="00F64A27"/>
    <w:rsid w:val="00F72851"/>
    <w:rsid w:val="00F80326"/>
    <w:rsid w:val="00F817E3"/>
    <w:rsid w:val="00F86043"/>
    <w:rsid w:val="00F96A4B"/>
    <w:rsid w:val="00F96D99"/>
    <w:rsid w:val="00FA0CB7"/>
    <w:rsid w:val="00FA1248"/>
    <w:rsid w:val="00FA3078"/>
    <w:rsid w:val="00FA3D35"/>
    <w:rsid w:val="00FA4143"/>
    <w:rsid w:val="00FA676A"/>
    <w:rsid w:val="00FB54EA"/>
    <w:rsid w:val="00FB56B3"/>
    <w:rsid w:val="00FB59AD"/>
    <w:rsid w:val="00FB5FEB"/>
    <w:rsid w:val="00FC151B"/>
    <w:rsid w:val="00FC25DC"/>
    <w:rsid w:val="00FC410B"/>
    <w:rsid w:val="00FC42A3"/>
    <w:rsid w:val="00FC713D"/>
    <w:rsid w:val="00FC79D2"/>
    <w:rsid w:val="00FD1CF5"/>
    <w:rsid w:val="00FD278E"/>
    <w:rsid w:val="00FD3428"/>
    <w:rsid w:val="00FD46C3"/>
    <w:rsid w:val="00FE23CD"/>
    <w:rsid w:val="00FE2BCB"/>
    <w:rsid w:val="00FE365D"/>
    <w:rsid w:val="00FE5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0EA6E15"/>
  <w15:docId w15:val="{52A6F58F-F35D-4064-A062-FD24350C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9A6ED9"/>
    <w:pPr>
      <w:keepNext/>
      <w:keepLines/>
      <w:spacing w:before="20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9A6ED9"/>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character" w:customStyle="1" w:styleId="apple-converted-space">
    <w:name w:val="apple-converted-space"/>
    <w:basedOn w:val="DefaultParagraphFont"/>
    <w:rsid w:val="004F6A56"/>
  </w:style>
  <w:style w:type="character" w:styleId="Emphasis">
    <w:name w:val="Emphasis"/>
    <w:basedOn w:val="DefaultParagraphFont"/>
    <w:uiPriority w:val="20"/>
    <w:qFormat/>
    <w:rsid w:val="004F6A56"/>
    <w:rPr>
      <w:i/>
      <w:iCs/>
    </w:rPr>
  </w:style>
  <w:style w:type="character" w:customStyle="1" w:styleId="st1">
    <w:name w:val="st1"/>
    <w:basedOn w:val="DefaultParagraphFont"/>
    <w:rsid w:val="0035006F"/>
  </w:style>
  <w:style w:type="paragraph" w:styleId="Subtitle">
    <w:name w:val="Subtitle"/>
    <w:basedOn w:val="Normal"/>
    <w:next w:val="Normal"/>
    <w:link w:val="SubtitleChar"/>
    <w:uiPriority w:val="11"/>
    <w:qFormat/>
    <w:rsid w:val="00A2352B"/>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A2352B"/>
    <w:rPr>
      <w:rFonts w:asciiTheme="majorHAnsi" w:eastAsiaTheme="majorEastAsia" w:hAnsiTheme="majorHAnsi" w:cstheme="majorBidi"/>
      <w:i/>
      <w:iCs/>
      <w:color w:val="4F81BD" w:themeColor="accent1"/>
      <w:spacing w:val="15"/>
      <w:sz w:val="24"/>
      <w:szCs w:val="24"/>
      <w:lang w:val="en-US" w:eastAsia="en-US"/>
    </w:rPr>
  </w:style>
  <w:style w:type="paragraph" w:customStyle="1" w:styleId="BodyText1">
    <w:name w:val="Body Text1"/>
    <w:basedOn w:val="Normal"/>
    <w:qFormat/>
    <w:rsid w:val="00DF5A30"/>
    <w:rPr>
      <w:rFonts w:ascii="Arial" w:eastAsia="Calibri" w:hAnsi="Arial" w:cs="Arial"/>
      <w:color w:val="000000"/>
      <w:lang w:eastAsia="en-US"/>
    </w:rPr>
  </w:style>
  <w:style w:type="character" w:styleId="Strong">
    <w:name w:val="Strong"/>
    <w:basedOn w:val="DefaultParagraphFont"/>
    <w:uiPriority w:val="22"/>
    <w:qFormat/>
    <w:rsid w:val="00B36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0179">
      <w:bodyDiv w:val="1"/>
      <w:marLeft w:val="0"/>
      <w:marRight w:val="0"/>
      <w:marTop w:val="0"/>
      <w:marBottom w:val="0"/>
      <w:divBdr>
        <w:top w:val="none" w:sz="0" w:space="0" w:color="auto"/>
        <w:left w:val="none" w:sz="0" w:space="0" w:color="auto"/>
        <w:bottom w:val="none" w:sz="0" w:space="0" w:color="auto"/>
        <w:right w:val="none" w:sz="0" w:space="0" w:color="auto"/>
      </w:divBdr>
    </w:div>
    <w:div w:id="126626994">
      <w:bodyDiv w:val="1"/>
      <w:marLeft w:val="0"/>
      <w:marRight w:val="0"/>
      <w:marTop w:val="0"/>
      <w:marBottom w:val="0"/>
      <w:divBdr>
        <w:top w:val="none" w:sz="0" w:space="0" w:color="auto"/>
        <w:left w:val="none" w:sz="0" w:space="0" w:color="auto"/>
        <w:bottom w:val="none" w:sz="0" w:space="0" w:color="auto"/>
        <w:right w:val="none" w:sz="0" w:space="0" w:color="auto"/>
      </w:divBdr>
    </w:div>
    <w:div w:id="288165344">
      <w:bodyDiv w:val="1"/>
      <w:marLeft w:val="0"/>
      <w:marRight w:val="0"/>
      <w:marTop w:val="0"/>
      <w:marBottom w:val="0"/>
      <w:divBdr>
        <w:top w:val="none" w:sz="0" w:space="0" w:color="auto"/>
        <w:left w:val="none" w:sz="0" w:space="0" w:color="auto"/>
        <w:bottom w:val="none" w:sz="0" w:space="0" w:color="auto"/>
        <w:right w:val="none" w:sz="0" w:space="0" w:color="auto"/>
      </w:divBdr>
    </w:div>
    <w:div w:id="382170261">
      <w:bodyDiv w:val="1"/>
      <w:marLeft w:val="0"/>
      <w:marRight w:val="0"/>
      <w:marTop w:val="0"/>
      <w:marBottom w:val="0"/>
      <w:divBdr>
        <w:top w:val="none" w:sz="0" w:space="0" w:color="auto"/>
        <w:left w:val="none" w:sz="0" w:space="0" w:color="auto"/>
        <w:bottom w:val="none" w:sz="0" w:space="0" w:color="auto"/>
        <w:right w:val="none" w:sz="0" w:space="0" w:color="auto"/>
      </w:divBdr>
    </w:div>
    <w:div w:id="402530845">
      <w:bodyDiv w:val="1"/>
      <w:marLeft w:val="0"/>
      <w:marRight w:val="0"/>
      <w:marTop w:val="0"/>
      <w:marBottom w:val="0"/>
      <w:divBdr>
        <w:top w:val="none" w:sz="0" w:space="0" w:color="auto"/>
        <w:left w:val="none" w:sz="0" w:space="0" w:color="auto"/>
        <w:bottom w:val="none" w:sz="0" w:space="0" w:color="auto"/>
        <w:right w:val="none" w:sz="0" w:space="0" w:color="auto"/>
      </w:divBdr>
    </w:div>
    <w:div w:id="430661553">
      <w:bodyDiv w:val="1"/>
      <w:marLeft w:val="0"/>
      <w:marRight w:val="0"/>
      <w:marTop w:val="0"/>
      <w:marBottom w:val="0"/>
      <w:divBdr>
        <w:top w:val="none" w:sz="0" w:space="0" w:color="auto"/>
        <w:left w:val="none" w:sz="0" w:space="0" w:color="auto"/>
        <w:bottom w:val="none" w:sz="0" w:space="0" w:color="auto"/>
        <w:right w:val="none" w:sz="0" w:space="0" w:color="auto"/>
      </w:divBdr>
    </w:div>
    <w:div w:id="431900845">
      <w:bodyDiv w:val="1"/>
      <w:marLeft w:val="0"/>
      <w:marRight w:val="0"/>
      <w:marTop w:val="0"/>
      <w:marBottom w:val="0"/>
      <w:divBdr>
        <w:top w:val="none" w:sz="0" w:space="0" w:color="auto"/>
        <w:left w:val="none" w:sz="0" w:space="0" w:color="auto"/>
        <w:bottom w:val="none" w:sz="0" w:space="0" w:color="auto"/>
        <w:right w:val="none" w:sz="0" w:space="0" w:color="auto"/>
      </w:divBdr>
    </w:div>
    <w:div w:id="444689067">
      <w:bodyDiv w:val="1"/>
      <w:marLeft w:val="0"/>
      <w:marRight w:val="0"/>
      <w:marTop w:val="0"/>
      <w:marBottom w:val="0"/>
      <w:divBdr>
        <w:top w:val="none" w:sz="0" w:space="0" w:color="auto"/>
        <w:left w:val="none" w:sz="0" w:space="0" w:color="auto"/>
        <w:bottom w:val="none" w:sz="0" w:space="0" w:color="auto"/>
        <w:right w:val="none" w:sz="0" w:space="0" w:color="auto"/>
      </w:divBdr>
    </w:div>
    <w:div w:id="592399154">
      <w:bodyDiv w:val="1"/>
      <w:marLeft w:val="0"/>
      <w:marRight w:val="0"/>
      <w:marTop w:val="0"/>
      <w:marBottom w:val="0"/>
      <w:divBdr>
        <w:top w:val="none" w:sz="0" w:space="0" w:color="auto"/>
        <w:left w:val="none" w:sz="0" w:space="0" w:color="auto"/>
        <w:bottom w:val="none" w:sz="0" w:space="0" w:color="auto"/>
        <w:right w:val="none" w:sz="0" w:space="0" w:color="auto"/>
      </w:divBdr>
    </w:div>
    <w:div w:id="602106451">
      <w:bodyDiv w:val="1"/>
      <w:marLeft w:val="0"/>
      <w:marRight w:val="0"/>
      <w:marTop w:val="0"/>
      <w:marBottom w:val="0"/>
      <w:divBdr>
        <w:top w:val="none" w:sz="0" w:space="0" w:color="auto"/>
        <w:left w:val="none" w:sz="0" w:space="0" w:color="auto"/>
        <w:bottom w:val="none" w:sz="0" w:space="0" w:color="auto"/>
        <w:right w:val="none" w:sz="0" w:space="0" w:color="auto"/>
      </w:divBdr>
    </w:div>
    <w:div w:id="648558415">
      <w:bodyDiv w:val="1"/>
      <w:marLeft w:val="0"/>
      <w:marRight w:val="0"/>
      <w:marTop w:val="0"/>
      <w:marBottom w:val="0"/>
      <w:divBdr>
        <w:top w:val="none" w:sz="0" w:space="0" w:color="auto"/>
        <w:left w:val="none" w:sz="0" w:space="0" w:color="auto"/>
        <w:bottom w:val="none" w:sz="0" w:space="0" w:color="auto"/>
        <w:right w:val="none" w:sz="0" w:space="0" w:color="auto"/>
      </w:divBdr>
    </w:div>
    <w:div w:id="654725683">
      <w:bodyDiv w:val="1"/>
      <w:marLeft w:val="0"/>
      <w:marRight w:val="0"/>
      <w:marTop w:val="0"/>
      <w:marBottom w:val="0"/>
      <w:divBdr>
        <w:top w:val="none" w:sz="0" w:space="0" w:color="auto"/>
        <w:left w:val="none" w:sz="0" w:space="0" w:color="auto"/>
        <w:bottom w:val="none" w:sz="0" w:space="0" w:color="auto"/>
        <w:right w:val="none" w:sz="0" w:space="0" w:color="auto"/>
      </w:divBdr>
    </w:div>
    <w:div w:id="704867394">
      <w:bodyDiv w:val="1"/>
      <w:marLeft w:val="0"/>
      <w:marRight w:val="0"/>
      <w:marTop w:val="0"/>
      <w:marBottom w:val="0"/>
      <w:divBdr>
        <w:top w:val="none" w:sz="0" w:space="0" w:color="auto"/>
        <w:left w:val="none" w:sz="0" w:space="0" w:color="auto"/>
        <w:bottom w:val="none" w:sz="0" w:space="0" w:color="auto"/>
        <w:right w:val="none" w:sz="0" w:space="0" w:color="auto"/>
      </w:divBdr>
    </w:div>
    <w:div w:id="718090616">
      <w:bodyDiv w:val="1"/>
      <w:marLeft w:val="0"/>
      <w:marRight w:val="0"/>
      <w:marTop w:val="0"/>
      <w:marBottom w:val="0"/>
      <w:divBdr>
        <w:top w:val="none" w:sz="0" w:space="0" w:color="auto"/>
        <w:left w:val="none" w:sz="0" w:space="0" w:color="auto"/>
        <w:bottom w:val="none" w:sz="0" w:space="0" w:color="auto"/>
        <w:right w:val="none" w:sz="0" w:space="0" w:color="auto"/>
      </w:divBdr>
    </w:div>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8890148">
      <w:bodyDiv w:val="1"/>
      <w:marLeft w:val="0"/>
      <w:marRight w:val="0"/>
      <w:marTop w:val="0"/>
      <w:marBottom w:val="0"/>
      <w:divBdr>
        <w:top w:val="none" w:sz="0" w:space="0" w:color="auto"/>
        <w:left w:val="none" w:sz="0" w:space="0" w:color="auto"/>
        <w:bottom w:val="none" w:sz="0" w:space="0" w:color="auto"/>
        <w:right w:val="none" w:sz="0" w:space="0" w:color="auto"/>
      </w:divBdr>
    </w:div>
    <w:div w:id="1031688097">
      <w:bodyDiv w:val="1"/>
      <w:marLeft w:val="0"/>
      <w:marRight w:val="0"/>
      <w:marTop w:val="0"/>
      <w:marBottom w:val="0"/>
      <w:divBdr>
        <w:top w:val="none" w:sz="0" w:space="0" w:color="auto"/>
        <w:left w:val="none" w:sz="0" w:space="0" w:color="auto"/>
        <w:bottom w:val="none" w:sz="0" w:space="0" w:color="auto"/>
        <w:right w:val="none" w:sz="0" w:space="0" w:color="auto"/>
      </w:divBdr>
    </w:div>
    <w:div w:id="1061564791">
      <w:bodyDiv w:val="1"/>
      <w:marLeft w:val="0"/>
      <w:marRight w:val="0"/>
      <w:marTop w:val="0"/>
      <w:marBottom w:val="0"/>
      <w:divBdr>
        <w:top w:val="none" w:sz="0" w:space="0" w:color="auto"/>
        <w:left w:val="none" w:sz="0" w:space="0" w:color="auto"/>
        <w:bottom w:val="none" w:sz="0" w:space="0" w:color="auto"/>
        <w:right w:val="none" w:sz="0" w:space="0" w:color="auto"/>
      </w:divBdr>
    </w:div>
    <w:div w:id="1071545251">
      <w:bodyDiv w:val="1"/>
      <w:marLeft w:val="0"/>
      <w:marRight w:val="0"/>
      <w:marTop w:val="0"/>
      <w:marBottom w:val="0"/>
      <w:divBdr>
        <w:top w:val="none" w:sz="0" w:space="0" w:color="auto"/>
        <w:left w:val="none" w:sz="0" w:space="0" w:color="auto"/>
        <w:bottom w:val="none" w:sz="0" w:space="0" w:color="auto"/>
        <w:right w:val="none" w:sz="0" w:space="0" w:color="auto"/>
      </w:divBdr>
      <w:divsChild>
        <w:div w:id="2130855737">
          <w:marLeft w:val="720"/>
          <w:marRight w:val="0"/>
          <w:marTop w:val="240"/>
          <w:marBottom w:val="0"/>
          <w:divBdr>
            <w:top w:val="none" w:sz="0" w:space="0" w:color="auto"/>
            <w:left w:val="none" w:sz="0" w:space="0" w:color="auto"/>
            <w:bottom w:val="none" w:sz="0" w:space="0" w:color="auto"/>
            <w:right w:val="none" w:sz="0" w:space="0" w:color="auto"/>
          </w:divBdr>
        </w:div>
        <w:div w:id="1840730870">
          <w:marLeft w:val="720"/>
          <w:marRight w:val="0"/>
          <w:marTop w:val="0"/>
          <w:marBottom w:val="0"/>
          <w:divBdr>
            <w:top w:val="none" w:sz="0" w:space="0" w:color="auto"/>
            <w:left w:val="none" w:sz="0" w:space="0" w:color="auto"/>
            <w:bottom w:val="none" w:sz="0" w:space="0" w:color="auto"/>
            <w:right w:val="none" w:sz="0" w:space="0" w:color="auto"/>
          </w:divBdr>
        </w:div>
        <w:div w:id="1221212939">
          <w:marLeft w:val="720"/>
          <w:marRight w:val="0"/>
          <w:marTop w:val="0"/>
          <w:marBottom w:val="0"/>
          <w:divBdr>
            <w:top w:val="none" w:sz="0" w:space="0" w:color="auto"/>
            <w:left w:val="none" w:sz="0" w:space="0" w:color="auto"/>
            <w:bottom w:val="none" w:sz="0" w:space="0" w:color="auto"/>
            <w:right w:val="none" w:sz="0" w:space="0" w:color="auto"/>
          </w:divBdr>
        </w:div>
        <w:div w:id="1461722242">
          <w:marLeft w:val="720"/>
          <w:marRight w:val="0"/>
          <w:marTop w:val="0"/>
          <w:marBottom w:val="0"/>
          <w:divBdr>
            <w:top w:val="none" w:sz="0" w:space="0" w:color="auto"/>
            <w:left w:val="none" w:sz="0" w:space="0" w:color="auto"/>
            <w:bottom w:val="none" w:sz="0" w:space="0" w:color="auto"/>
            <w:right w:val="none" w:sz="0" w:space="0" w:color="auto"/>
          </w:divBdr>
        </w:div>
      </w:divsChild>
    </w:div>
    <w:div w:id="1077552229">
      <w:bodyDiv w:val="1"/>
      <w:marLeft w:val="0"/>
      <w:marRight w:val="0"/>
      <w:marTop w:val="0"/>
      <w:marBottom w:val="0"/>
      <w:divBdr>
        <w:top w:val="none" w:sz="0" w:space="0" w:color="auto"/>
        <w:left w:val="none" w:sz="0" w:space="0" w:color="auto"/>
        <w:bottom w:val="none" w:sz="0" w:space="0" w:color="auto"/>
        <w:right w:val="none" w:sz="0" w:space="0" w:color="auto"/>
      </w:divBdr>
    </w:div>
    <w:div w:id="1235778461">
      <w:bodyDiv w:val="1"/>
      <w:marLeft w:val="0"/>
      <w:marRight w:val="0"/>
      <w:marTop w:val="0"/>
      <w:marBottom w:val="0"/>
      <w:divBdr>
        <w:top w:val="none" w:sz="0" w:space="0" w:color="auto"/>
        <w:left w:val="none" w:sz="0" w:space="0" w:color="auto"/>
        <w:bottom w:val="none" w:sz="0" w:space="0" w:color="auto"/>
        <w:right w:val="none" w:sz="0" w:space="0" w:color="auto"/>
      </w:divBdr>
    </w:div>
    <w:div w:id="1319845473">
      <w:bodyDiv w:val="1"/>
      <w:marLeft w:val="0"/>
      <w:marRight w:val="0"/>
      <w:marTop w:val="0"/>
      <w:marBottom w:val="0"/>
      <w:divBdr>
        <w:top w:val="none" w:sz="0" w:space="0" w:color="auto"/>
        <w:left w:val="none" w:sz="0" w:space="0" w:color="auto"/>
        <w:bottom w:val="none" w:sz="0" w:space="0" w:color="auto"/>
        <w:right w:val="none" w:sz="0" w:space="0" w:color="auto"/>
      </w:divBdr>
    </w:div>
    <w:div w:id="1387338793">
      <w:bodyDiv w:val="1"/>
      <w:marLeft w:val="0"/>
      <w:marRight w:val="0"/>
      <w:marTop w:val="0"/>
      <w:marBottom w:val="0"/>
      <w:divBdr>
        <w:top w:val="none" w:sz="0" w:space="0" w:color="auto"/>
        <w:left w:val="none" w:sz="0" w:space="0" w:color="auto"/>
        <w:bottom w:val="none" w:sz="0" w:space="0" w:color="auto"/>
        <w:right w:val="none" w:sz="0" w:space="0" w:color="auto"/>
      </w:divBdr>
    </w:div>
    <w:div w:id="1604654365">
      <w:bodyDiv w:val="1"/>
      <w:marLeft w:val="0"/>
      <w:marRight w:val="0"/>
      <w:marTop w:val="0"/>
      <w:marBottom w:val="0"/>
      <w:divBdr>
        <w:top w:val="none" w:sz="0" w:space="0" w:color="auto"/>
        <w:left w:val="none" w:sz="0" w:space="0" w:color="auto"/>
        <w:bottom w:val="none" w:sz="0" w:space="0" w:color="auto"/>
        <w:right w:val="none" w:sz="0" w:space="0" w:color="auto"/>
      </w:divBdr>
    </w:div>
    <w:div w:id="1660576731">
      <w:bodyDiv w:val="1"/>
      <w:marLeft w:val="0"/>
      <w:marRight w:val="0"/>
      <w:marTop w:val="0"/>
      <w:marBottom w:val="0"/>
      <w:divBdr>
        <w:top w:val="none" w:sz="0" w:space="0" w:color="auto"/>
        <w:left w:val="none" w:sz="0" w:space="0" w:color="auto"/>
        <w:bottom w:val="none" w:sz="0" w:space="0" w:color="auto"/>
        <w:right w:val="none" w:sz="0" w:space="0" w:color="auto"/>
      </w:divBdr>
    </w:div>
    <w:div w:id="1767649998">
      <w:bodyDiv w:val="1"/>
      <w:marLeft w:val="0"/>
      <w:marRight w:val="0"/>
      <w:marTop w:val="0"/>
      <w:marBottom w:val="0"/>
      <w:divBdr>
        <w:top w:val="none" w:sz="0" w:space="0" w:color="auto"/>
        <w:left w:val="none" w:sz="0" w:space="0" w:color="auto"/>
        <w:bottom w:val="none" w:sz="0" w:space="0" w:color="auto"/>
        <w:right w:val="none" w:sz="0" w:space="0" w:color="auto"/>
      </w:divBdr>
    </w:div>
    <w:div w:id="1850099556">
      <w:bodyDiv w:val="1"/>
      <w:marLeft w:val="0"/>
      <w:marRight w:val="0"/>
      <w:marTop w:val="0"/>
      <w:marBottom w:val="0"/>
      <w:divBdr>
        <w:top w:val="none" w:sz="0" w:space="0" w:color="auto"/>
        <w:left w:val="none" w:sz="0" w:space="0" w:color="auto"/>
        <w:bottom w:val="none" w:sz="0" w:space="0" w:color="auto"/>
        <w:right w:val="none" w:sz="0" w:space="0" w:color="auto"/>
      </w:divBdr>
    </w:div>
    <w:div w:id="1888835313">
      <w:bodyDiv w:val="1"/>
      <w:marLeft w:val="0"/>
      <w:marRight w:val="0"/>
      <w:marTop w:val="0"/>
      <w:marBottom w:val="0"/>
      <w:divBdr>
        <w:top w:val="none" w:sz="0" w:space="0" w:color="auto"/>
        <w:left w:val="none" w:sz="0" w:space="0" w:color="auto"/>
        <w:bottom w:val="none" w:sz="0" w:space="0" w:color="auto"/>
        <w:right w:val="none" w:sz="0" w:space="0" w:color="auto"/>
      </w:divBdr>
    </w:div>
    <w:div w:id="1914587718">
      <w:bodyDiv w:val="1"/>
      <w:marLeft w:val="0"/>
      <w:marRight w:val="0"/>
      <w:marTop w:val="0"/>
      <w:marBottom w:val="0"/>
      <w:divBdr>
        <w:top w:val="none" w:sz="0" w:space="0" w:color="auto"/>
        <w:left w:val="none" w:sz="0" w:space="0" w:color="auto"/>
        <w:bottom w:val="none" w:sz="0" w:space="0" w:color="auto"/>
        <w:right w:val="none" w:sz="0" w:space="0" w:color="auto"/>
      </w:divBdr>
      <w:divsChild>
        <w:div w:id="1864392511">
          <w:marLeft w:val="720"/>
          <w:marRight w:val="0"/>
          <w:marTop w:val="240"/>
          <w:marBottom w:val="0"/>
          <w:divBdr>
            <w:top w:val="none" w:sz="0" w:space="0" w:color="auto"/>
            <w:left w:val="none" w:sz="0" w:space="0" w:color="auto"/>
            <w:bottom w:val="none" w:sz="0" w:space="0" w:color="auto"/>
            <w:right w:val="none" w:sz="0" w:space="0" w:color="auto"/>
          </w:divBdr>
        </w:div>
        <w:div w:id="909924793">
          <w:marLeft w:val="720"/>
          <w:marRight w:val="0"/>
          <w:marTop w:val="0"/>
          <w:marBottom w:val="0"/>
          <w:divBdr>
            <w:top w:val="none" w:sz="0" w:space="0" w:color="auto"/>
            <w:left w:val="none" w:sz="0" w:space="0" w:color="auto"/>
            <w:bottom w:val="none" w:sz="0" w:space="0" w:color="auto"/>
            <w:right w:val="none" w:sz="0" w:space="0" w:color="auto"/>
          </w:divBdr>
        </w:div>
        <w:div w:id="1551573951">
          <w:marLeft w:val="720"/>
          <w:marRight w:val="0"/>
          <w:marTop w:val="0"/>
          <w:marBottom w:val="0"/>
          <w:divBdr>
            <w:top w:val="none" w:sz="0" w:space="0" w:color="auto"/>
            <w:left w:val="none" w:sz="0" w:space="0" w:color="auto"/>
            <w:bottom w:val="none" w:sz="0" w:space="0" w:color="auto"/>
            <w:right w:val="none" w:sz="0" w:space="0" w:color="auto"/>
          </w:divBdr>
        </w:div>
      </w:divsChild>
    </w:div>
    <w:div w:id="1973052166">
      <w:bodyDiv w:val="1"/>
      <w:marLeft w:val="0"/>
      <w:marRight w:val="0"/>
      <w:marTop w:val="0"/>
      <w:marBottom w:val="0"/>
      <w:divBdr>
        <w:top w:val="none" w:sz="0" w:space="0" w:color="auto"/>
        <w:left w:val="none" w:sz="0" w:space="0" w:color="auto"/>
        <w:bottom w:val="none" w:sz="0" w:space="0" w:color="auto"/>
        <w:right w:val="none" w:sz="0" w:space="0" w:color="auto"/>
      </w:divBdr>
    </w:div>
    <w:div w:id="2057970848">
      <w:bodyDiv w:val="1"/>
      <w:marLeft w:val="0"/>
      <w:marRight w:val="0"/>
      <w:marTop w:val="0"/>
      <w:marBottom w:val="0"/>
      <w:divBdr>
        <w:top w:val="none" w:sz="0" w:space="0" w:color="auto"/>
        <w:left w:val="none" w:sz="0" w:space="0" w:color="auto"/>
        <w:bottom w:val="none" w:sz="0" w:space="0" w:color="auto"/>
        <w:right w:val="none" w:sz="0" w:space="0" w:color="auto"/>
      </w:divBdr>
    </w:div>
    <w:div w:id="21338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2B0C-E4AE-49CB-9720-DB9ED8C9C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CB74F-7D82-4D3E-926F-7D98D721052A}">
  <ds:schemaRefs>
    <ds:schemaRef ds:uri="http://schemas.microsoft.com/sharepoint/v3/contenttype/forms"/>
  </ds:schemaRefs>
</ds:datastoreItem>
</file>

<file path=customXml/itemProps3.xml><?xml version="1.0" encoding="utf-8"?>
<ds:datastoreItem xmlns:ds="http://schemas.openxmlformats.org/officeDocument/2006/customXml" ds:itemID="{909DF536-B5CB-44F2-A2D9-225B87900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44D33-53F5-4272-B0C4-5CBE819D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ACCAN-portable01</dc:creator>
  <cp:lastModifiedBy>Meredith Lea</cp:lastModifiedBy>
  <cp:revision>2</cp:revision>
  <cp:lastPrinted>2020-08-20T05:41:00Z</cp:lastPrinted>
  <dcterms:created xsi:type="dcterms:W3CDTF">2021-07-22T03:16:00Z</dcterms:created>
  <dcterms:modified xsi:type="dcterms:W3CDTF">2021-07-22T03:16:00Z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1968600</vt:r8>
  </property>
  <property fmtid="{D5CDD505-2E9C-101B-9397-08002B2CF9AE}" pid="3" name="ContentTypeId">
    <vt:lpwstr>0x01010065CB11904FCB124BB6ADC686B50405ED</vt:lpwstr>
  </property>
</Properties>
</file>