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D6" w:rsidRDefault="00A316D6" w:rsidP="00B14DFB">
      <w:pPr>
        <w:pStyle w:val="Title"/>
      </w:pPr>
    </w:p>
    <w:p w:rsidR="00A316D6" w:rsidRDefault="00A316D6" w:rsidP="00B14DFB">
      <w:pPr>
        <w:pStyle w:val="Title"/>
      </w:pPr>
    </w:p>
    <w:p w:rsidR="005820C9" w:rsidRPr="003441E5" w:rsidRDefault="00AF309C" w:rsidP="00B14DFB">
      <w:pPr>
        <w:pStyle w:val="Title"/>
      </w:pPr>
      <w:r>
        <w:t>Response to Discussion Paper: Distribution and Licensing Policy Framework</w:t>
      </w:r>
    </w:p>
    <w:p w:rsidR="009F4B9D" w:rsidRPr="003441E5" w:rsidRDefault="009F4B9D" w:rsidP="00B14DFB">
      <w:pPr>
        <w:pStyle w:val="Subtitle"/>
      </w:pPr>
      <w:r w:rsidRPr="003441E5">
        <w:t xml:space="preserve">Submission by the Australian Communications </w:t>
      </w:r>
      <w:r w:rsidR="00AF309C">
        <w:t>Consumer Action Network to Standards Australia</w:t>
      </w:r>
    </w:p>
    <w:p w:rsidR="009F4B9D" w:rsidRPr="003441E5" w:rsidRDefault="00AF309C" w:rsidP="00B14DFB">
      <w:pPr>
        <w:pStyle w:val="Subtitle"/>
      </w:pPr>
      <w:r>
        <w:t>29 July 2019</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D2021B" w:rsidRPr="003441E5" w:rsidRDefault="00D2021B" w:rsidP="00B14DFB">
      <w:r>
        <w:t>Rebekah Sarkoezy</w:t>
      </w:r>
      <w:r>
        <w:br/>
        <w:t>Policy Officer</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2B4EE2"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14422387" w:history="1">
            <w:r w:rsidR="002B4EE2" w:rsidRPr="000B4023">
              <w:rPr>
                <w:rStyle w:val="Hyperlink"/>
                <w:noProof/>
              </w:rPr>
              <w:t>1.</w:t>
            </w:r>
            <w:r w:rsidR="002B4EE2">
              <w:rPr>
                <w:rFonts w:asciiTheme="minorHAnsi" w:hAnsiTheme="minorHAnsi"/>
                <w:noProof/>
              </w:rPr>
              <w:tab/>
            </w:r>
            <w:r w:rsidR="002B4EE2" w:rsidRPr="000B4023">
              <w:rPr>
                <w:rStyle w:val="Hyperlink"/>
                <w:noProof/>
              </w:rPr>
              <w:t>Introductory comments</w:t>
            </w:r>
            <w:r w:rsidR="002B4EE2">
              <w:rPr>
                <w:noProof/>
                <w:webHidden/>
              </w:rPr>
              <w:tab/>
            </w:r>
            <w:r w:rsidR="002B4EE2">
              <w:rPr>
                <w:noProof/>
                <w:webHidden/>
              </w:rPr>
              <w:fldChar w:fldCharType="begin"/>
            </w:r>
            <w:r w:rsidR="002B4EE2">
              <w:rPr>
                <w:noProof/>
                <w:webHidden/>
              </w:rPr>
              <w:instrText xml:space="preserve"> PAGEREF _Toc14422387 \h </w:instrText>
            </w:r>
            <w:r w:rsidR="002B4EE2">
              <w:rPr>
                <w:noProof/>
                <w:webHidden/>
              </w:rPr>
            </w:r>
            <w:r w:rsidR="002B4EE2">
              <w:rPr>
                <w:noProof/>
                <w:webHidden/>
              </w:rPr>
              <w:fldChar w:fldCharType="separate"/>
            </w:r>
            <w:r w:rsidR="00A56F15">
              <w:rPr>
                <w:noProof/>
                <w:webHidden/>
              </w:rPr>
              <w:t>4</w:t>
            </w:r>
            <w:r w:rsidR="002B4EE2">
              <w:rPr>
                <w:noProof/>
                <w:webHidden/>
              </w:rPr>
              <w:fldChar w:fldCharType="end"/>
            </w:r>
          </w:hyperlink>
        </w:p>
        <w:p w:rsidR="00EC1696" w:rsidRPr="0053395F" w:rsidRDefault="00A56F15" w:rsidP="0053395F">
          <w:pPr>
            <w:pStyle w:val="TOC1"/>
            <w:rPr>
              <w:rFonts w:asciiTheme="minorHAnsi" w:hAnsiTheme="minorHAnsi"/>
              <w:noProof/>
            </w:rPr>
          </w:pPr>
          <w:hyperlink w:anchor="_Toc14422388" w:history="1">
            <w:r w:rsidR="002B4EE2" w:rsidRPr="000B4023">
              <w:rPr>
                <w:rStyle w:val="Hyperlink"/>
                <w:noProof/>
              </w:rPr>
              <w:t>2.</w:t>
            </w:r>
            <w:r w:rsidR="002B4EE2">
              <w:rPr>
                <w:rFonts w:asciiTheme="minorHAnsi" w:hAnsiTheme="minorHAnsi"/>
                <w:noProof/>
              </w:rPr>
              <w:tab/>
            </w:r>
            <w:r w:rsidR="002B4EE2" w:rsidRPr="000B4023">
              <w:rPr>
                <w:rStyle w:val="Hyperlink"/>
                <w:noProof/>
              </w:rPr>
              <w:t>Responses to questions</w:t>
            </w:r>
            <w:r w:rsidR="002B4EE2">
              <w:rPr>
                <w:noProof/>
                <w:webHidden/>
              </w:rPr>
              <w:tab/>
            </w:r>
            <w:r w:rsidR="002B4EE2">
              <w:rPr>
                <w:noProof/>
                <w:webHidden/>
              </w:rPr>
              <w:fldChar w:fldCharType="begin"/>
            </w:r>
            <w:r w:rsidR="002B4EE2">
              <w:rPr>
                <w:noProof/>
                <w:webHidden/>
              </w:rPr>
              <w:instrText xml:space="preserve"> PAGEREF _Toc14422388 \h </w:instrText>
            </w:r>
            <w:r w:rsidR="002B4EE2">
              <w:rPr>
                <w:noProof/>
                <w:webHidden/>
              </w:rPr>
            </w:r>
            <w:r w:rsidR="002B4EE2">
              <w:rPr>
                <w:noProof/>
                <w:webHidden/>
              </w:rPr>
              <w:fldChar w:fldCharType="separate"/>
            </w:r>
            <w:r>
              <w:rPr>
                <w:noProof/>
                <w:webHidden/>
              </w:rPr>
              <w:t>7</w:t>
            </w:r>
            <w:r w:rsidR="002B4EE2">
              <w:rPr>
                <w:noProof/>
                <w:webHidden/>
              </w:rPr>
              <w:fldChar w:fldCharType="end"/>
            </w:r>
          </w:hyperlink>
          <w:r w:rsidR="00EC1696"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027253" w:rsidRPr="003441E5" w:rsidRDefault="007C2C9D" w:rsidP="007C2C9D">
      <w:pPr>
        <w:pStyle w:val="Heading1"/>
        <w:numPr>
          <w:ilvl w:val="0"/>
          <w:numId w:val="26"/>
        </w:numPr>
      </w:pPr>
      <w:bookmarkStart w:id="0" w:name="_Toc351382481"/>
      <w:bookmarkStart w:id="1" w:name="_Toc14422387"/>
      <w:r>
        <w:lastRenderedPageBreak/>
        <w:t>Introductory comments</w:t>
      </w:r>
      <w:bookmarkEnd w:id="0"/>
      <w:bookmarkEnd w:id="1"/>
    </w:p>
    <w:p w:rsidR="004F6AAA" w:rsidRDefault="00D2021B" w:rsidP="00D2021B">
      <w:pPr>
        <w:rPr>
          <w:lang w:eastAsia="en-US"/>
        </w:rPr>
      </w:pPr>
      <w:r>
        <w:rPr>
          <w:lang w:eastAsia="en-US"/>
        </w:rPr>
        <w:t xml:space="preserve">ACCAN thanks Standards Australia (hereafter SA) for the opportunity to comment on </w:t>
      </w:r>
      <w:r w:rsidRPr="00D2021B">
        <w:rPr>
          <w:i/>
          <w:lang w:eastAsia="en-US"/>
        </w:rPr>
        <w:t>Discussion Paper: Distribution and Licensing Policy Framework</w:t>
      </w:r>
      <w:r>
        <w:rPr>
          <w:lang w:eastAsia="en-US"/>
        </w:rPr>
        <w:t xml:space="preserve">. </w:t>
      </w:r>
    </w:p>
    <w:p w:rsidR="00D2021B" w:rsidRDefault="00AF309C" w:rsidP="00542267">
      <w:pPr>
        <w:rPr>
          <w:lang w:eastAsia="en-US"/>
        </w:rPr>
      </w:pPr>
      <w:r>
        <w:rPr>
          <w:lang w:eastAsia="en-US"/>
        </w:rPr>
        <w:t>ACCAN recognises</w:t>
      </w:r>
      <w:r w:rsidR="00D2021B">
        <w:t xml:space="preserve"> SA’s s</w:t>
      </w:r>
      <w:r w:rsidR="004119E2">
        <w:t xml:space="preserve">tandards </w:t>
      </w:r>
      <w:r w:rsidR="00D2021B">
        <w:t xml:space="preserve">as valuable </w:t>
      </w:r>
      <w:r>
        <w:t>tools</w:t>
      </w:r>
      <w:r w:rsidR="00D2021B">
        <w:t xml:space="preserve"> </w:t>
      </w:r>
      <w:r w:rsidR="004F6AAA">
        <w:t>that</w:t>
      </w:r>
      <w:r w:rsidR="00D2021B">
        <w:t xml:space="preserve"> safeguard consumers and </w:t>
      </w:r>
      <w:r w:rsidR="004F6AAA">
        <w:t>embed</w:t>
      </w:r>
      <w:r w:rsidR="00D2021B">
        <w:t xml:space="preserve"> best</w:t>
      </w:r>
      <w:r w:rsidR="00E41CC3">
        <w:t xml:space="preserve"> practice in industry operations</w:t>
      </w:r>
      <w:r w:rsidR="004F6AAA">
        <w:t>. We support SA’s review of its distribution and licensing</w:t>
      </w:r>
      <w:r>
        <w:t>, and</w:t>
      </w:r>
      <w:r w:rsidR="004F6AAA">
        <w:t xml:space="preserve"> welcome measures that improve the accessibility and use of stan</w:t>
      </w:r>
      <w:r w:rsidR="00B106C6">
        <w:t>dards across stakeholder groups</w:t>
      </w:r>
      <w:r w:rsidR="004F6AAA">
        <w:t xml:space="preserve">. </w:t>
      </w:r>
      <w:r w:rsidR="00DA33FE">
        <w:t>We support a standards licensing and distribution framework that delivers standards that</w:t>
      </w:r>
      <w:r w:rsidR="006D41EC">
        <w:t xml:space="preserve"> are</w:t>
      </w:r>
      <w:r w:rsidR="00DA33FE">
        <w:t xml:space="preserve"> high quality, accessible and affordable.</w:t>
      </w:r>
    </w:p>
    <w:p w:rsidR="008B58B2" w:rsidRDefault="00B264F8" w:rsidP="00B106C6">
      <w:r>
        <w:t>T</w:t>
      </w:r>
      <w:r w:rsidR="008B58B2">
        <w:t>he standards environment is an exceptionally complex one, encompassing:</w:t>
      </w:r>
    </w:p>
    <w:p w:rsidR="008B58B2" w:rsidRDefault="008B58B2" w:rsidP="008B58B2">
      <w:pPr>
        <w:pStyle w:val="ListParagraph"/>
        <w:numPr>
          <w:ilvl w:val="0"/>
          <w:numId w:val="37"/>
        </w:numPr>
      </w:pPr>
      <w:r>
        <w:t>Standards developed by SA, state/territory and international standards bodies</w:t>
      </w:r>
    </w:p>
    <w:p w:rsidR="008B58B2" w:rsidRDefault="008B58B2" w:rsidP="008B58B2">
      <w:pPr>
        <w:pStyle w:val="ListParagraph"/>
        <w:numPr>
          <w:ilvl w:val="0"/>
          <w:numId w:val="37"/>
        </w:numPr>
      </w:pPr>
      <w:r>
        <w:t xml:space="preserve">Content that covers a plethora of technical, product safety and other standards </w:t>
      </w:r>
    </w:p>
    <w:p w:rsidR="00DA33FE" w:rsidRDefault="00F75435" w:rsidP="006D41EC">
      <w:pPr>
        <w:pStyle w:val="ListParagraph"/>
        <w:numPr>
          <w:ilvl w:val="0"/>
          <w:numId w:val="37"/>
        </w:numPr>
      </w:pPr>
      <w:r>
        <w:t>C</w:t>
      </w:r>
      <w:r w:rsidR="00C92F9A">
        <w:t>onsumers ranging from individuals,</w:t>
      </w:r>
      <w:r>
        <w:t xml:space="preserve"> large</w:t>
      </w:r>
      <w:r w:rsidR="00C92F9A">
        <w:t xml:space="preserve"> companies, education</w:t>
      </w:r>
      <w:r w:rsidR="00FA3546">
        <w:t>al</w:t>
      </w:r>
      <w:r w:rsidR="00C92F9A">
        <w:t xml:space="preserve"> institutions and </w:t>
      </w:r>
      <w:r>
        <w:t>small businesses.</w:t>
      </w:r>
    </w:p>
    <w:p w:rsidR="004C606C" w:rsidRDefault="00DA33FE" w:rsidP="007E3FC6">
      <w:r w:rsidRPr="00FA3546">
        <w:t>ACCAN understands that</w:t>
      </w:r>
      <w:r>
        <w:t xml:space="preserve"> only</w:t>
      </w:r>
      <w:r w:rsidRPr="00FA3546">
        <w:t xml:space="preserve"> a third of </w:t>
      </w:r>
      <w:r>
        <w:t>SA’s</w:t>
      </w:r>
      <w:r w:rsidRPr="00FA3546">
        <w:t xml:space="preserve"> income last financial year </w:t>
      </w:r>
      <w:r>
        <w:t>was</w:t>
      </w:r>
      <w:r w:rsidRPr="00FA3546">
        <w:t xml:space="preserve"> </w:t>
      </w:r>
      <w:r>
        <w:t>revenue</w:t>
      </w:r>
      <w:r w:rsidRPr="00FA3546">
        <w:t xml:space="preserve"> earned from standards</w:t>
      </w:r>
      <w:r>
        <w:t>.</w:t>
      </w:r>
      <w:r>
        <w:rPr>
          <w:rStyle w:val="FootnoteReference"/>
        </w:rPr>
        <w:footnoteReference w:id="1"/>
      </w:r>
      <w:r>
        <w:t xml:space="preserve"> Despite this</w:t>
      </w:r>
      <w:r w:rsidRPr="00336310">
        <w:t>, the purchase price of standards is extremely high</w:t>
      </w:r>
      <w:r>
        <w:t>.</w:t>
      </w:r>
      <w:r w:rsidRPr="00DA33FE">
        <w:t xml:space="preserve"> </w:t>
      </w:r>
      <w:r w:rsidR="006D41EC">
        <w:t>T</w:t>
      </w:r>
      <w:r>
        <w:t xml:space="preserve">he cost of a Standard is </w:t>
      </w:r>
      <w:r w:rsidRPr="00571690">
        <w:t xml:space="preserve">not based on </w:t>
      </w:r>
      <w:r w:rsidR="006D41EC" w:rsidRPr="00571690">
        <w:t>real</w:t>
      </w:r>
      <w:r w:rsidRPr="00571690">
        <w:t xml:space="preserve"> delivery costs</w:t>
      </w:r>
      <w:r>
        <w:t xml:space="preserve">, but on an antiquated equation </w:t>
      </w:r>
      <w:r w:rsidR="006D41EC">
        <w:t>designed to maximise</w:t>
      </w:r>
      <w:r>
        <w:t xml:space="preserve"> the distributer’s profits.</w:t>
      </w:r>
      <w:r>
        <w:rPr>
          <w:rStyle w:val="FootnoteReference"/>
        </w:rPr>
        <w:footnoteReference w:id="2"/>
      </w:r>
      <w:r w:rsidR="006D41EC">
        <w:t xml:space="preserve"> </w:t>
      </w:r>
      <w:r>
        <w:t>SA must consider ways to deliver value for money and</w:t>
      </w:r>
      <w:r w:rsidR="006D41EC">
        <w:t xml:space="preserve"> improved access for consumers in order to secure its financial sustainability and relevance.</w:t>
      </w:r>
    </w:p>
    <w:p w:rsidR="00B106C6" w:rsidRDefault="00B106C6" w:rsidP="00B106C6">
      <w:pPr>
        <w:pStyle w:val="Heading4"/>
      </w:pPr>
      <w:r>
        <w:t>General feedback</w:t>
      </w:r>
    </w:p>
    <w:p w:rsidR="00B106C6" w:rsidRDefault="00B106C6" w:rsidP="00B106C6">
      <w:pPr>
        <w:rPr>
          <w:lang w:eastAsia="en-US"/>
        </w:rPr>
      </w:pPr>
      <w:r>
        <w:rPr>
          <w:lang w:eastAsia="en-US"/>
        </w:rPr>
        <w:t>ACCAN supports SA’s efforts to re-invigorate its licensing and distribution activities. We commend SA for recognising the public be</w:t>
      </w:r>
      <w:r w:rsidR="00B774BD">
        <w:rPr>
          <w:lang w:eastAsia="en-US"/>
        </w:rPr>
        <w:t xml:space="preserve">nefit associated with standards. We also commend </w:t>
      </w:r>
      <w:r w:rsidR="00C5556D">
        <w:rPr>
          <w:lang w:eastAsia="en-US"/>
        </w:rPr>
        <w:t xml:space="preserve">that SA is </w:t>
      </w:r>
      <w:r w:rsidR="007E3FC6">
        <w:rPr>
          <w:lang w:eastAsia="en-US"/>
        </w:rPr>
        <w:t>measuring</w:t>
      </w:r>
      <w:r w:rsidR="00B774BD">
        <w:rPr>
          <w:lang w:eastAsia="en-US"/>
        </w:rPr>
        <w:t xml:space="preserve"> </w:t>
      </w:r>
      <w:r w:rsidR="00C5556D">
        <w:rPr>
          <w:lang w:eastAsia="en-US"/>
        </w:rPr>
        <w:t>the appropriateness of</w:t>
      </w:r>
      <w:r w:rsidR="00AF309C">
        <w:rPr>
          <w:lang w:eastAsia="en-US"/>
        </w:rPr>
        <w:t xml:space="preserve"> </w:t>
      </w:r>
      <w:r w:rsidR="00B774BD">
        <w:rPr>
          <w:lang w:eastAsia="en-US"/>
        </w:rPr>
        <w:t>standards distribution</w:t>
      </w:r>
      <w:r>
        <w:rPr>
          <w:lang w:eastAsia="en-US"/>
        </w:rPr>
        <w:t xml:space="preserve"> </w:t>
      </w:r>
      <w:r w:rsidR="00B774BD">
        <w:rPr>
          <w:lang w:eastAsia="en-US"/>
        </w:rPr>
        <w:t>model</w:t>
      </w:r>
      <w:r w:rsidR="00C5556D">
        <w:rPr>
          <w:lang w:eastAsia="en-US"/>
        </w:rPr>
        <w:t>s</w:t>
      </w:r>
      <w:r w:rsidR="00B774BD">
        <w:rPr>
          <w:lang w:eastAsia="en-US"/>
        </w:rPr>
        <w:t xml:space="preserve"> </w:t>
      </w:r>
      <w:r>
        <w:rPr>
          <w:lang w:eastAsia="en-US"/>
        </w:rPr>
        <w:t xml:space="preserve">in terms of improved access and </w:t>
      </w:r>
      <w:r w:rsidR="00B774BD">
        <w:rPr>
          <w:lang w:eastAsia="en-US"/>
        </w:rPr>
        <w:t>use</w:t>
      </w:r>
      <w:r>
        <w:rPr>
          <w:lang w:eastAsia="en-US"/>
        </w:rPr>
        <w:t>, rather than financial sustainability</w:t>
      </w:r>
      <w:r w:rsidR="007E3FC6">
        <w:rPr>
          <w:lang w:eastAsia="en-US"/>
        </w:rPr>
        <w:t xml:space="preserve"> alone</w:t>
      </w:r>
      <w:r>
        <w:rPr>
          <w:lang w:eastAsia="en-US"/>
        </w:rPr>
        <w:t>.</w:t>
      </w:r>
    </w:p>
    <w:p w:rsidR="00B774BD" w:rsidRDefault="00603467" w:rsidP="00B106C6">
      <w:pPr>
        <w:rPr>
          <w:lang w:eastAsia="en-US"/>
        </w:rPr>
      </w:pPr>
      <w:r>
        <w:rPr>
          <w:lang w:eastAsia="en-US"/>
        </w:rPr>
        <w:t xml:space="preserve">However, </w:t>
      </w:r>
      <w:r w:rsidR="00E47CF7">
        <w:rPr>
          <w:lang w:eastAsia="en-US"/>
        </w:rPr>
        <w:t>more</w:t>
      </w:r>
      <w:r w:rsidR="00B106C6">
        <w:rPr>
          <w:lang w:eastAsia="en-US"/>
        </w:rPr>
        <w:t xml:space="preserve"> attention </w:t>
      </w:r>
      <w:r w:rsidR="00E47CF7">
        <w:rPr>
          <w:lang w:eastAsia="en-US"/>
        </w:rPr>
        <w:t>must be given</w:t>
      </w:r>
      <w:r w:rsidR="00B106C6">
        <w:rPr>
          <w:lang w:eastAsia="en-US"/>
        </w:rPr>
        <w:t xml:space="preserve"> to </w:t>
      </w:r>
      <w:r w:rsidR="00E47CF7">
        <w:rPr>
          <w:lang w:eastAsia="en-US"/>
        </w:rPr>
        <w:t>improving</w:t>
      </w:r>
      <w:r w:rsidR="00B774BD">
        <w:rPr>
          <w:lang w:eastAsia="en-US"/>
        </w:rPr>
        <w:t xml:space="preserve"> the accessibility </w:t>
      </w:r>
      <w:r w:rsidR="00B106C6">
        <w:rPr>
          <w:lang w:eastAsia="en-US"/>
        </w:rPr>
        <w:t>of</w:t>
      </w:r>
      <w:r w:rsidR="00AD0441">
        <w:rPr>
          <w:lang w:eastAsia="en-US"/>
        </w:rPr>
        <w:t xml:space="preserve"> standards</w:t>
      </w:r>
      <w:r w:rsidR="007E3FC6">
        <w:rPr>
          <w:lang w:eastAsia="en-US"/>
        </w:rPr>
        <w:t>.</w:t>
      </w:r>
      <w:r w:rsidR="00B774BD">
        <w:rPr>
          <w:lang w:eastAsia="en-US"/>
        </w:rPr>
        <w:t xml:space="preserve"> Here we define accessibility as </w:t>
      </w:r>
      <w:r w:rsidR="00B774BD" w:rsidRPr="00571690">
        <w:rPr>
          <w:lang w:eastAsia="en-US"/>
        </w:rPr>
        <w:t xml:space="preserve">the extent to which </w:t>
      </w:r>
      <w:r w:rsidR="00571690">
        <w:rPr>
          <w:lang w:eastAsia="en-US"/>
        </w:rPr>
        <w:t xml:space="preserve">all </w:t>
      </w:r>
      <w:r w:rsidR="00B774BD" w:rsidRPr="00571690">
        <w:rPr>
          <w:lang w:eastAsia="en-US"/>
        </w:rPr>
        <w:t xml:space="preserve">consumers can </w:t>
      </w:r>
      <w:r w:rsidR="00336310" w:rsidRPr="00571690">
        <w:rPr>
          <w:lang w:eastAsia="en-US"/>
        </w:rPr>
        <w:t>procure, understand and apply</w:t>
      </w:r>
      <w:r w:rsidR="00B774BD" w:rsidRPr="00571690">
        <w:rPr>
          <w:i/>
          <w:lang w:eastAsia="en-US"/>
        </w:rPr>
        <w:t xml:space="preserve"> </w:t>
      </w:r>
      <w:r w:rsidR="00CA3CE4" w:rsidRPr="00571690">
        <w:rPr>
          <w:lang w:eastAsia="en-US"/>
        </w:rPr>
        <w:t>standards</w:t>
      </w:r>
      <w:r w:rsidR="00CA3CE4">
        <w:rPr>
          <w:lang w:eastAsia="en-US"/>
        </w:rPr>
        <w:t xml:space="preserve">. This includes accommodating the access needs of </w:t>
      </w:r>
      <w:r w:rsidR="00B774BD">
        <w:rPr>
          <w:lang w:eastAsia="en-US"/>
        </w:rPr>
        <w:t>consumers with disability</w:t>
      </w:r>
      <w:r w:rsidR="00AF309C">
        <w:rPr>
          <w:lang w:eastAsia="en-US"/>
        </w:rPr>
        <w:t xml:space="preserve">, </w:t>
      </w:r>
      <w:r>
        <w:rPr>
          <w:lang w:eastAsia="en-US"/>
        </w:rPr>
        <w:t>and removing cost barriers to access f</w:t>
      </w:r>
      <w:r w:rsidR="00AF309C">
        <w:rPr>
          <w:lang w:eastAsia="en-US"/>
        </w:rPr>
        <w:t>or</w:t>
      </w:r>
      <w:r w:rsidR="00CA3CE4">
        <w:rPr>
          <w:lang w:eastAsia="en-US"/>
        </w:rPr>
        <w:t xml:space="preserve"> consumers </w:t>
      </w:r>
      <w:r>
        <w:rPr>
          <w:lang w:eastAsia="en-US"/>
        </w:rPr>
        <w:t xml:space="preserve">and organisations </w:t>
      </w:r>
      <w:r w:rsidR="00CA3CE4">
        <w:rPr>
          <w:lang w:eastAsia="en-US"/>
        </w:rPr>
        <w:t xml:space="preserve">with financial </w:t>
      </w:r>
      <w:r w:rsidR="00AF309C">
        <w:rPr>
          <w:lang w:eastAsia="en-US"/>
        </w:rPr>
        <w:t>constraints</w:t>
      </w:r>
      <w:r w:rsidR="00B774BD">
        <w:rPr>
          <w:lang w:eastAsia="en-US"/>
        </w:rPr>
        <w:t xml:space="preserve">. </w:t>
      </w:r>
      <w:r w:rsidR="00BB4209">
        <w:rPr>
          <w:lang w:eastAsia="en-US"/>
        </w:rPr>
        <w:t>SA’s Memorandum of Understanding</w:t>
      </w:r>
      <w:r w:rsidR="00273555">
        <w:rPr>
          <w:lang w:eastAsia="en-US"/>
        </w:rPr>
        <w:t xml:space="preserve"> (MOU)</w:t>
      </w:r>
      <w:r w:rsidR="00BB4209">
        <w:rPr>
          <w:lang w:eastAsia="en-US"/>
        </w:rPr>
        <w:t xml:space="preserve"> with the Commonwealth Government in late 2018 states that SA will ‘take all reasonable action to ensure fair and equitable access to Australian Standards for all users’.</w:t>
      </w:r>
      <w:r w:rsidR="00BB4209">
        <w:rPr>
          <w:rStyle w:val="FootnoteReference"/>
          <w:lang w:eastAsia="en-US"/>
        </w:rPr>
        <w:footnoteReference w:id="3"/>
      </w:r>
      <w:r w:rsidR="00BB4209">
        <w:rPr>
          <w:lang w:eastAsia="en-US"/>
        </w:rPr>
        <w:t xml:space="preserve"> SA will work towards ‘options … to facilitate forms of public </w:t>
      </w:r>
      <w:proofErr w:type="gramStart"/>
      <w:r w:rsidR="00BB4209">
        <w:rPr>
          <w:lang w:eastAsia="en-US"/>
        </w:rPr>
        <w:t>access’</w:t>
      </w:r>
      <w:proofErr w:type="gramEnd"/>
      <w:r w:rsidR="00BB4209">
        <w:rPr>
          <w:lang w:eastAsia="en-US"/>
        </w:rPr>
        <w:t xml:space="preserve"> to Australian Standards. Work needs to be done to ensure SA meets the</w:t>
      </w:r>
      <w:r>
        <w:rPr>
          <w:lang w:eastAsia="en-US"/>
        </w:rPr>
        <w:t xml:space="preserve">se commitments. </w:t>
      </w:r>
      <w:r w:rsidR="00BB4209">
        <w:rPr>
          <w:lang w:eastAsia="en-US"/>
        </w:rPr>
        <w:t xml:space="preserve"> </w:t>
      </w:r>
    </w:p>
    <w:p w:rsidR="002B31A5" w:rsidRDefault="007E3FC6" w:rsidP="00336310">
      <w:pPr>
        <w:keepNext/>
        <w:keepLines/>
        <w:rPr>
          <w:lang w:eastAsia="en-US"/>
        </w:rPr>
      </w:pPr>
      <w:r>
        <w:rPr>
          <w:lang w:eastAsia="en-US"/>
        </w:rPr>
        <w:lastRenderedPageBreak/>
        <w:t>Our response</w:t>
      </w:r>
      <w:r w:rsidR="002B31A5">
        <w:rPr>
          <w:lang w:eastAsia="en-US"/>
        </w:rPr>
        <w:t>s</w:t>
      </w:r>
      <w:r>
        <w:rPr>
          <w:lang w:eastAsia="en-US"/>
        </w:rPr>
        <w:t xml:space="preserve"> to </w:t>
      </w:r>
      <w:r w:rsidR="002B31A5">
        <w:rPr>
          <w:lang w:eastAsia="en-US"/>
        </w:rPr>
        <w:t>q</w:t>
      </w:r>
      <w:r w:rsidR="00345A17">
        <w:rPr>
          <w:lang w:eastAsia="en-US"/>
        </w:rPr>
        <w:t>uestion</w:t>
      </w:r>
      <w:r w:rsidR="002B31A5">
        <w:rPr>
          <w:lang w:eastAsia="en-US"/>
        </w:rPr>
        <w:t>s C and J detail</w:t>
      </w:r>
      <w:r w:rsidR="00345A17">
        <w:rPr>
          <w:lang w:eastAsia="en-US"/>
        </w:rPr>
        <w:t xml:space="preserve"> our </w:t>
      </w:r>
      <w:r w:rsidR="00921552">
        <w:rPr>
          <w:lang w:eastAsia="en-US"/>
        </w:rPr>
        <w:t>suggestions for improving the affordability of standards</w:t>
      </w:r>
      <w:r w:rsidR="00336310">
        <w:rPr>
          <w:lang w:eastAsia="en-US"/>
        </w:rPr>
        <w:t>. R</w:t>
      </w:r>
      <w:r w:rsidR="002B31A5">
        <w:rPr>
          <w:lang w:eastAsia="en-US"/>
        </w:rPr>
        <w:t xml:space="preserve">esponses to questions C, H, L, and M </w:t>
      </w:r>
      <w:r w:rsidR="00917BBF">
        <w:rPr>
          <w:lang w:eastAsia="en-US"/>
        </w:rPr>
        <w:t>suggest</w:t>
      </w:r>
      <w:r w:rsidR="002B31A5">
        <w:rPr>
          <w:lang w:eastAsia="en-US"/>
        </w:rPr>
        <w:t xml:space="preserve"> non-price mechanisms to improve the accessibility of standards, including ways to better accommodate people with disability and NGOs </w:t>
      </w:r>
      <w:r w:rsidR="00336310">
        <w:rPr>
          <w:lang w:eastAsia="en-US"/>
        </w:rPr>
        <w:t>that</w:t>
      </w:r>
      <w:r w:rsidR="002B31A5">
        <w:rPr>
          <w:lang w:eastAsia="en-US"/>
        </w:rPr>
        <w:t xml:space="preserve"> refer to standards. </w:t>
      </w:r>
    </w:p>
    <w:p w:rsidR="007B5331" w:rsidRDefault="00E033F3" w:rsidP="007B5331">
      <w:pPr>
        <w:pStyle w:val="Heading4"/>
      </w:pPr>
      <w:r>
        <w:t>Proposed distribution framework</w:t>
      </w:r>
    </w:p>
    <w:p w:rsidR="001E13D1" w:rsidRDefault="00632FA6" w:rsidP="00E063C1">
      <w:pPr>
        <w:rPr>
          <w:lang w:eastAsia="en-US"/>
        </w:rPr>
      </w:pPr>
      <w:r>
        <w:rPr>
          <w:lang w:eastAsia="en-US"/>
        </w:rPr>
        <w:t>Table</w:t>
      </w:r>
      <w:r w:rsidR="00E063C1">
        <w:rPr>
          <w:lang w:eastAsia="en-US"/>
        </w:rPr>
        <w:t xml:space="preserve"> 1 </w:t>
      </w:r>
      <w:r w:rsidR="00C5556D">
        <w:rPr>
          <w:lang w:eastAsia="en-US"/>
        </w:rPr>
        <w:t xml:space="preserve">features ACCAN’s </w:t>
      </w:r>
      <w:r w:rsidR="00432426">
        <w:rPr>
          <w:lang w:eastAsia="en-US"/>
        </w:rPr>
        <w:t>suggested</w:t>
      </w:r>
      <w:r w:rsidR="007B5331">
        <w:rPr>
          <w:lang w:eastAsia="en-US"/>
        </w:rPr>
        <w:t xml:space="preserve"> standards </w:t>
      </w:r>
      <w:r w:rsidR="00B71A7A">
        <w:rPr>
          <w:lang w:eastAsia="en-US"/>
        </w:rPr>
        <w:t>distribution</w:t>
      </w:r>
      <w:r w:rsidR="007B5331">
        <w:rPr>
          <w:lang w:eastAsia="en-US"/>
        </w:rPr>
        <w:t xml:space="preserve"> framework</w:t>
      </w:r>
      <w:r w:rsidR="00C5556D">
        <w:rPr>
          <w:lang w:eastAsia="en-US"/>
        </w:rPr>
        <w:t>.</w:t>
      </w:r>
      <w:r w:rsidR="007B5331">
        <w:rPr>
          <w:lang w:eastAsia="en-US"/>
        </w:rPr>
        <w:t xml:space="preserve"> </w:t>
      </w:r>
      <w:r w:rsidR="00336310">
        <w:rPr>
          <w:lang w:eastAsia="en-US"/>
        </w:rPr>
        <w:t xml:space="preserve">This approach reflects </w:t>
      </w:r>
      <w:r w:rsidR="007B5331">
        <w:rPr>
          <w:lang w:eastAsia="en-US"/>
        </w:rPr>
        <w:t>feedback from the Consumers Federation of Australia</w:t>
      </w:r>
      <w:r w:rsidR="002F249E">
        <w:rPr>
          <w:lang w:eastAsia="en-US"/>
        </w:rPr>
        <w:t xml:space="preserve"> (CFA)</w:t>
      </w:r>
      <w:r w:rsidR="007B5331">
        <w:rPr>
          <w:lang w:eastAsia="en-US"/>
        </w:rPr>
        <w:t xml:space="preserve">. We propose three </w:t>
      </w:r>
      <w:r w:rsidR="009C580D">
        <w:rPr>
          <w:lang w:eastAsia="en-US"/>
        </w:rPr>
        <w:t xml:space="preserve">access categories </w:t>
      </w:r>
      <w:r w:rsidR="007B5331">
        <w:rPr>
          <w:lang w:eastAsia="en-US"/>
        </w:rPr>
        <w:t xml:space="preserve">dependent on the type of standard and the consumer wishing to purchase it. </w:t>
      </w:r>
      <w:r w:rsidR="00C5556D">
        <w:rPr>
          <w:lang w:eastAsia="en-US"/>
        </w:rPr>
        <w:t xml:space="preserve">Consumers </w:t>
      </w:r>
      <w:r w:rsidR="002F249E">
        <w:rPr>
          <w:lang w:eastAsia="en-US"/>
        </w:rPr>
        <w:t xml:space="preserve">can </w:t>
      </w:r>
      <w:r w:rsidR="00C5556D">
        <w:rPr>
          <w:lang w:eastAsia="en-US"/>
        </w:rPr>
        <w:t>qualify for:</w:t>
      </w:r>
    </w:p>
    <w:p w:rsidR="00C5556D" w:rsidRDefault="002F249E" w:rsidP="00C5556D">
      <w:pPr>
        <w:pStyle w:val="ListParagraph"/>
        <w:numPr>
          <w:ilvl w:val="0"/>
          <w:numId w:val="47"/>
        </w:numPr>
      </w:pPr>
      <w:r>
        <w:t>Standards at no cost to them</w:t>
      </w:r>
      <w:r w:rsidR="00C5556D">
        <w:t xml:space="preserve">, </w:t>
      </w:r>
      <w:r>
        <w:t>where standards distribution costs are subsidised</w:t>
      </w:r>
      <w:r w:rsidR="00C5556D">
        <w:t xml:space="preserve"> by the government</w:t>
      </w:r>
      <w:r w:rsidR="00E02186">
        <w:t xml:space="preserve"> or another party</w:t>
      </w:r>
      <w:r w:rsidR="00C5556D">
        <w:t>,</w:t>
      </w:r>
    </w:p>
    <w:p w:rsidR="00C5556D" w:rsidRDefault="00C5556D" w:rsidP="00C5556D">
      <w:pPr>
        <w:pStyle w:val="ListParagraph"/>
        <w:numPr>
          <w:ilvl w:val="0"/>
          <w:numId w:val="47"/>
        </w:numPr>
      </w:pPr>
      <w:r>
        <w:t>Standards at a concessional price,</w:t>
      </w:r>
    </w:p>
    <w:p w:rsidR="00C5556D" w:rsidRDefault="00C5556D" w:rsidP="00C5556D">
      <w:pPr>
        <w:pStyle w:val="ListParagraph"/>
        <w:numPr>
          <w:ilvl w:val="0"/>
          <w:numId w:val="47"/>
        </w:numPr>
      </w:pPr>
      <w:r>
        <w:t xml:space="preserve">Standards at a generic list price, with discounts for bulk purchasing, subscription or excerpts. </w:t>
      </w:r>
    </w:p>
    <w:p w:rsidR="001E13D1" w:rsidRDefault="001E13D1" w:rsidP="00E063C1">
      <w:pPr>
        <w:rPr>
          <w:lang w:eastAsia="en-US"/>
        </w:rPr>
      </w:pPr>
      <w:r w:rsidRPr="001E13D1">
        <w:rPr>
          <w:lang w:eastAsia="en-US"/>
        </w:rPr>
        <w:t xml:space="preserve">We emphasise that reducing </w:t>
      </w:r>
      <w:r w:rsidR="00C93D29">
        <w:rPr>
          <w:lang w:eastAsia="en-US"/>
        </w:rPr>
        <w:t>or eliminating cos</w:t>
      </w:r>
      <w:r>
        <w:rPr>
          <w:lang w:eastAsia="en-US"/>
        </w:rPr>
        <w:t>t</w:t>
      </w:r>
      <w:r w:rsidR="009C580D">
        <w:rPr>
          <w:lang w:eastAsia="en-US"/>
        </w:rPr>
        <w:t>s</w:t>
      </w:r>
      <w:r>
        <w:rPr>
          <w:lang w:eastAsia="en-US"/>
        </w:rPr>
        <w:t xml:space="preserve"> for </w:t>
      </w:r>
      <w:r w:rsidR="002F249E">
        <w:rPr>
          <w:lang w:eastAsia="en-US"/>
        </w:rPr>
        <w:t>consumers</w:t>
      </w:r>
      <w:r w:rsidR="00432426">
        <w:rPr>
          <w:lang w:eastAsia="en-US"/>
        </w:rPr>
        <w:t xml:space="preserve"> open</w:t>
      </w:r>
      <w:r w:rsidR="002F249E">
        <w:rPr>
          <w:lang w:eastAsia="en-US"/>
        </w:rPr>
        <w:t>s</w:t>
      </w:r>
      <w:r w:rsidRPr="001E13D1">
        <w:rPr>
          <w:lang w:eastAsia="en-US"/>
        </w:rPr>
        <w:t xml:space="preserve"> up access to the standards market. </w:t>
      </w:r>
      <w:r w:rsidR="002F249E">
        <w:rPr>
          <w:lang w:eastAsia="en-US"/>
        </w:rPr>
        <w:t>An</w:t>
      </w:r>
      <w:r w:rsidRPr="001E13D1">
        <w:rPr>
          <w:lang w:eastAsia="en-US"/>
        </w:rPr>
        <w:t xml:space="preserve"> increase in</w:t>
      </w:r>
      <w:r w:rsidR="002F249E">
        <w:rPr>
          <w:lang w:eastAsia="en-US"/>
        </w:rPr>
        <w:t xml:space="preserve"> the use of</w:t>
      </w:r>
      <w:r w:rsidRPr="001E13D1">
        <w:rPr>
          <w:lang w:eastAsia="en-US"/>
        </w:rPr>
        <w:t xml:space="preserve"> standards offset</w:t>
      </w:r>
      <w:r w:rsidR="002F249E">
        <w:rPr>
          <w:lang w:eastAsia="en-US"/>
        </w:rPr>
        <w:t>s</w:t>
      </w:r>
      <w:r w:rsidRPr="001E13D1">
        <w:rPr>
          <w:lang w:eastAsia="en-US"/>
        </w:rPr>
        <w:t xml:space="preserve"> profit losses from lower standards prices. </w:t>
      </w:r>
      <w:r w:rsidR="0007503C">
        <w:rPr>
          <w:lang w:eastAsia="en-US"/>
        </w:rPr>
        <w:t xml:space="preserve">We note that </w:t>
      </w:r>
      <w:r w:rsidR="009C580D">
        <w:rPr>
          <w:lang w:eastAsia="en-US"/>
        </w:rPr>
        <w:t>less tha</w:t>
      </w:r>
      <w:r w:rsidR="0007503C">
        <w:rPr>
          <w:lang w:eastAsia="en-US"/>
        </w:rPr>
        <w:t>n</w:t>
      </w:r>
      <w:r w:rsidR="009C580D">
        <w:rPr>
          <w:lang w:eastAsia="en-US"/>
        </w:rPr>
        <w:t xml:space="preserve"> 5% of standards generate more than 95% of SA’s income</w:t>
      </w:r>
      <w:r w:rsidR="00957B6E">
        <w:rPr>
          <w:lang w:eastAsia="en-US"/>
        </w:rPr>
        <w:t xml:space="preserve"> derived from standards</w:t>
      </w:r>
      <w:r w:rsidR="002F249E">
        <w:rPr>
          <w:lang w:eastAsia="en-US"/>
        </w:rPr>
        <w:t>.</w:t>
      </w:r>
      <w:r w:rsidR="009C580D">
        <w:rPr>
          <w:lang w:eastAsia="en-US"/>
        </w:rPr>
        <w:t xml:space="preserve"> </w:t>
      </w:r>
      <w:r w:rsidR="002F249E">
        <w:rPr>
          <w:lang w:eastAsia="en-US"/>
        </w:rPr>
        <w:t>O</w:t>
      </w:r>
      <w:r w:rsidR="009C580D">
        <w:rPr>
          <w:lang w:eastAsia="en-US"/>
        </w:rPr>
        <w:t xml:space="preserve">pening up access </w:t>
      </w:r>
      <w:r w:rsidR="002F249E">
        <w:rPr>
          <w:lang w:eastAsia="en-US"/>
        </w:rPr>
        <w:t xml:space="preserve">across voluntary and </w:t>
      </w:r>
      <w:r w:rsidR="002F249E" w:rsidRPr="00571690">
        <w:rPr>
          <w:lang w:eastAsia="en-US"/>
        </w:rPr>
        <w:t>Regulated Standards</w:t>
      </w:r>
      <w:r w:rsidR="009C580D">
        <w:rPr>
          <w:lang w:eastAsia="en-US"/>
        </w:rPr>
        <w:t xml:space="preserve"> </w:t>
      </w:r>
      <w:r w:rsidR="002F249E">
        <w:rPr>
          <w:lang w:eastAsia="en-US"/>
        </w:rPr>
        <w:t>should not drastically impact</w:t>
      </w:r>
      <w:r w:rsidR="009C580D">
        <w:rPr>
          <w:lang w:eastAsia="en-US"/>
        </w:rPr>
        <w:t xml:space="preserve"> SA’s financial sustainability. </w:t>
      </w:r>
    </w:p>
    <w:p w:rsidR="00B71A7A" w:rsidRDefault="00C5556D" w:rsidP="00B71A7A">
      <w:pPr>
        <w:pStyle w:val="Heading4"/>
      </w:pPr>
      <w:r>
        <w:t xml:space="preserve">Our response to </w:t>
      </w:r>
      <w:r w:rsidR="002F249E">
        <w:t>SA’s</w:t>
      </w:r>
      <w:r>
        <w:t xml:space="preserve"> Discussion Paper</w:t>
      </w:r>
    </w:p>
    <w:p w:rsidR="00B71A7A" w:rsidRDefault="0007503C" w:rsidP="00B71A7A">
      <w:pPr>
        <w:rPr>
          <w:lang w:eastAsia="en-US"/>
        </w:rPr>
      </w:pPr>
      <w:r>
        <w:rPr>
          <w:lang w:eastAsia="en-US"/>
        </w:rPr>
        <w:t>This submission</w:t>
      </w:r>
      <w:r w:rsidR="00957B6E">
        <w:rPr>
          <w:lang w:eastAsia="en-US"/>
        </w:rPr>
        <w:t xml:space="preserve"> </w:t>
      </w:r>
      <w:r w:rsidR="00B71A7A">
        <w:rPr>
          <w:lang w:eastAsia="en-US"/>
        </w:rPr>
        <w:t>provide</w:t>
      </w:r>
      <w:r>
        <w:rPr>
          <w:lang w:eastAsia="en-US"/>
        </w:rPr>
        <w:t>s</w:t>
      </w:r>
      <w:r w:rsidR="00B71A7A">
        <w:rPr>
          <w:lang w:eastAsia="en-US"/>
        </w:rPr>
        <w:t xml:space="preserve"> responses to questions in the following areas:</w:t>
      </w:r>
    </w:p>
    <w:p w:rsidR="00B71A7A" w:rsidRDefault="00B71A7A" w:rsidP="00B71A7A">
      <w:pPr>
        <w:pStyle w:val="ListParagraph"/>
        <w:numPr>
          <w:ilvl w:val="0"/>
          <w:numId w:val="43"/>
        </w:numPr>
      </w:pPr>
      <w:r>
        <w:t>Standards Australia’s broad objectives</w:t>
      </w:r>
    </w:p>
    <w:p w:rsidR="00B71A7A" w:rsidRDefault="00B71A7A" w:rsidP="00B71A7A">
      <w:pPr>
        <w:pStyle w:val="ListParagraph"/>
        <w:numPr>
          <w:ilvl w:val="0"/>
          <w:numId w:val="43"/>
        </w:numPr>
      </w:pPr>
      <w:r>
        <w:t xml:space="preserve">Ways to improve the </w:t>
      </w:r>
      <w:r w:rsidR="00E033F3">
        <w:t>accessibility</w:t>
      </w:r>
      <w:r>
        <w:t xml:space="preserve"> of standards</w:t>
      </w:r>
    </w:p>
    <w:p w:rsidR="00B71A7A" w:rsidRDefault="00B71A7A" w:rsidP="00B71A7A">
      <w:pPr>
        <w:pStyle w:val="ListParagraph"/>
        <w:numPr>
          <w:ilvl w:val="0"/>
          <w:numId w:val="43"/>
        </w:numPr>
      </w:pPr>
      <w:r>
        <w:t>Ways to maximise consumer benefit</w:t>
      </w:r>
    </w:p>
    <w:p w:rsidR="00B71A7A" w:rsidRDefault="00B71A7A" w:rsidP="00B71A7A">
      <w:pPr>
        <w:sectPr w:rsidR="00B71A7A" w:rsidSect="00A13B92">
          <w:headerReference w:type="default" r:id="rId11"/>
          <w:footerReference w:type="default" r:id="rId12"/>
          <w:headerReference w:type="first" r:id="rId13"/>
          <w:footerReference w:type="first" r:id="rId14"/>
          <w:type w:val="continuous"/>
          <w:pgSz w:w="11906" w:h="16838" w:code="9"/>
          <w:pgMar w:top="1440" w:right="1440" w:bottom="1440" w:left="1440" w:header="709" w:footer="0" w:gutter="0"/>
          <w:cols w:space="708"/>
          <w:titlePg/>
          <w:docGrid w:linePitch="360"/>
        </w:sectPr>
      </w:pPr>
      <w:r>
        <w:t xml:space="preserve">Our responses are predominantly </w:t>
      </w:r>
      <w:r w:rsidR="0007503C">
        <w:t>concerned</w:t>
      </w:r>
      <w:r>
        <w:t xml:space="preserve"> with distribution. We are confident that other expert stakeholders will adequately address questions to do with licensing, innovation and partnerships with third parties.  </w:t>
      </w:r>
    </w:p>
    <w:p w:rsidR="007B5331" w:rsidRPr="007B5331" w:rsidRDefault="00632FA6" w:rsidP="00E02186">
      <w:pPr>
        <w:pStyle w:val="Heading3"/>
        <w:numPr>
          <w:ilvl w:val="0"/>
          <w:numId w:val="0"/>
        </w:numPr>
        <w:ind w:left="851" w:hanging="851"/>
      </w:pPr>
      <w:r>
        <w:lastRenderedPageBreak/>
        <w:t>Table</w:t>
      </w:r>
      <w:r w:rsidR="00E063C1">
        <w:t xml:space="preserve"> 1: </w:t>
      </w:r>
      <w:r w:rsidR="00C110A6">
        <w:t>Proposed</w:t>
      </w:r>
      <w:r w:rsidR="00E063C1">
        <w:t xml:space="preserve"> Standards Distribution</w:t>
      </w:r>
      <w:r w:rsidR="00E02186">
        <w:t xml:space="preserve"> and Pricing</w:t>
      </w:r>
      <w:r w:rsidR="00E063C1">
        <w:t xml:space="preserve"> Framework</w:t>
      </w:r>
    </w:p>
    <w:tbl>
      <w:tblPr>
        <w:tblStyle w:val="TableGrid"/>
        <w:tblW w:w="0" w:type="auto"/>
        <w:tblInd w:w="108" w:type="dxa"/>
        <w:tblLook w:val="04A0" w:firstRow="1" w:lastRow="0" w:firstColumn="1" w:lastColumn="0" w:noHBand="0" w:noVBand="1"/>
      </w:tblPr>
      <w:tblGrid>
        <w:gridCol w:w="5387"/>
        <w:gridCol w:w="3969"/>
        <w:gridCol w:w="4677"/>
      </w:tblGrid>
      <w:tr w:rsidR="007B5331" w:rsidTr="00144A33">
        <w:trPr>
          <w:trHeight w:val="575"/>
        </w:trPr>
        <w:tc>
          <w:tcPr>
            <w:tcW w:w="14033" w:type="dxa"/>
            <w:gridSpan w:val="3"/>
            <w:shd w:val="clear" w:color="auto" w:fill="B6DDE8" w:themeFill="accent5" w:themeFillTint="66"/>
            <w:vAlign w:val="center"/>
          </w:tcPr>
          <w:p w:rsidR="007B5331" w:rsidRPr="007B5331" w:rsidRDefault="00C110A6" w:rsidP="00E02186">
            <w:pPr>
              <w:jc w:val="center"/>
              <w:rPr>
                <w:b/>
                <w:sz w:val="28"/>
                <w:lang w:eastAsia="en-US"/>
              </w:rPr>
            </w:pPr>
            <w:r>
              <w:rPr>
                <w:b/>
                <w:sz w:val="28"/>
                <w:lang w:eastAsia="en-US"/>
              </w:rPr>
              <w:t>Proposed</w:t>
            </w:r>
            <w:r w:rsidR="007B5331" w:rsidRPr="007B5331">
              <w:rPr>
                <w:b/>
                <w:sz w:val="28"/>
                <w:lang w:eastAsia="en-US"/>
              </w:rPr>
              <w:t xml:space="preserve"> </w:t>
            </w:r>
            <w:r w:rsidR="00E02186">
              <w:rPr>
                <w:b/>
                <w:sz w:val="28"/>
                <w:lang w:eastAsia="en-US"/>
              </w:rPr>
              <w:t>S</w:t>
            </w:r>
            <w:r w:rsidR="007B5331" w:rsidRPr="007B5331">
              <w:rPr>
                <w:b/>
                <w:sz w:val="28"/>
                <w:lang w:eastAsia="en-US"/>
              </w:rPr>
              <w:t xml:space="preserve">tandards </w:t>
            </w:r>
            <w:r w:rsidR="00E02186">
              <w:rPr>
                <w:b/>
                <w:sz w:val="28"/>
                <w:lang w:eastAsia="en-US"/>
              </w:rPr>
              <w:t>D</w:t>
            </w:r>
            <w:r w:rsidR="00B71A7A">
              <w:rPr>
                <w:b/>
                <w:sz w:val="28"/>
                <w:lang w:eastAsia="en-US"/>
              </w:rPr>
              <w:t>istribution</w:t>
            </w:r>
            <w:r w:rsidR="007B5331" w:rsidRPr="007B5331">
              <w:rPr>
                <w:b/>
                <w:sz w:val="28"/>
                <w:lang w:eastAsia="en-US"/>
              </w:rPr>
              <w:t xml:space="preserve"> </w:t>
            </w:r>
            <w:r w:rsidR="00E02186">
              <w:rPr>
                <w:b/>
                <w:sz w:val="28"/>
                <w:lang w:eastAsia="en-US"/>
              </w:rPr>
              <w:t>and Pricing F</w:t>
            </w:r>
            <w:r w:rsidR="007B5331" w:rsidRPr="007B5331">
              <w:rPr>
                <w:b/>
                <w:sz w:val="28"/>
                <w:lang w:eastAsia="en-US"/>
              </w:rPr>
              <w:t>ramework</w:t>
            </w:r>
          </w:p>
        </w:tc>
      </w:tr>
      <w:tr w:rsidR="00A316D6" w:rsidTr="006F0E7E">
        <w:trPr>
          <w:trHeight w:val="1140"/>
        </w:trPr>
        <w:tc>
          <w:tcPr>
            <w:tcW w:w="5387" w:type="dxa"/>
            <w:vAlign w:val="center"/>
          </w:tcPr>
          <w:p w:rsidR="006F0E7E" w:rsidRPr="006F0E7E" w:rsidRDefault="007B5331" w:rsidP="00CF6DBF">
            <w:pPr>
              <w:pStyle w:val="ListParagraph"/>
              <w:numPr>
                <w:ilvl w:val="0"/>
                <w:numId w:val="46"/>
              </w:numPr>
              <w:jc w:val="center"/>
              <w:rPr>
                <w:i/>
                <w:sz w:val="24"/>
              </w:rPr>
            </w:pPr>
            <w:r w:rsidRPr="006F0E7E">
              <w:rPr>
                <w:i/>
              </w:rPr>
              <w:t>No cost to the consumer</w:t>
            </w:r>
            <w:r w:rsidR="006F0E7E">
              <w:rPr>
                <w:i/>
                <w:sz w:val="24"/>
              </w:rPr>
              <w:br/>
            </w:r>
            <w:proofErr w:type="gramStart"/>
            <w:r w:rsidR="006F0E7E" w:rsidRPr="006F0E7E">
              <w:rPr>
                <w:i/>
                <w:sz w:val="18"/>
              </w:rPr>
              <w:t>The</w:t>
            </w:r>
            <w:proofErr w:type="gramEnd"/>
            <w:r w:rsidR="006F0E7E" w:rsidRPr="006F0E7E">
              <w:rPr>
                <w:i/>
                <w:sz w:val="18"/>
              </w:rPr>
              <w:t xml:space="preserve"> cost of </w:t>
            </w:r>
            <w:r w:rsidR="00CF6DBF">
              <w:rPr>
                <w:i/>
                <w:sz w:val="18"/>
              </w:rPr>
              <w:t>access to standards</w:t>
            </w:r>
            <w:r w:rsidR="006F0E7E" w:rsidRPr="006F0E7E">
              <w:rPr>
                <w:i/>
                <w:sz w:val="18"/>
              </w:rPr>
              <w:t xml:space="preserve"> </w:t>
            </w:r>
            <w:r w:rsidR="006F0E7E">
              <w:rPr>
                <w:i/>
                <w:sz w:val="18"/>
              </w:rPr>
              <w:t>is subsidise</w:t>
            </w:r>
            <w:r w:rsidR="006F0E7E" w:rsidRPr="006F0E7E">
              <w:rPr>
                <w:i/>
                <w:sz w:val="18"/>
              </w:rPr>
              <w:t>d.</w:t>
            </w:r>
          </w:p>
        </w:tc>
        <w:tc>
          <w:tcPr>
            <w:tcW w:w="3969" w:type="dxa"/>
            <w:vAlign w:val="center"/>
          </w:tcPr>
          <w:p w:rsidR="006F0E7E" w:rsidRPr="006F0E7E" w:rsidRDefault="007B5331" w:rsidP="006F0E7E">
            <w:pPr>
              <w:pStyle w:val="ListParagraph"/>
              <w:numPr>
                <w:ilvl w:val="0"/>
                <w:numId w:val="46"/>
              </w:numPr>
              <w:jc w:val="center"/>
              <w:rPr>
                <w:i/>
              </w:rPr>
            </w:pPr>
            <w:r w:rsidRPr="006F0E7E">
              <w:rPr>
                <w:i/>
              </w:rPr>
              <w:t>Consumer pays a concessional price</w:t>
            </w:r>
            <w:r w:rsidR="006F0E7E">
              <w:rPr>
                <w:i/>
              </w:rPr>
              <w:br/>
            </w:r>
            <w:r w:rsidR="006F0E7E" w:rsidRPr="006F0E7E">
              <w:rPr>
                <w:i/>
                <w:sz w:val="18"/>
              </w:rPr>
              <w:t xml:space="preserve">Eligible consumers </w:t>
            </w:r>
            <w:r w:rsidR="006F0E7E">
              <w:rPr>
                <w:i/>
                <w:sz w:val="18"/>
              </w:rPr>
              <w:t>purchase standards at a concessional rate</w:t>
            </w:r>
            <w:r w:rsidR="006F0E7E" w:rsidRPr="006F0E7E">
              <w:rPr>
                <w:i/>
                <w:sz w:val="18"/>
              </w:rPr>
              <w:t>.</w:t>
            </w:r>
          </w:p>
        </w:tc>
        <w:tc>
          <w:tcPr>
            <w:tcW w:w="4677" w:type="dxa"/>
            <w:vAlign w:val="center"/>
          </w:tcPr>
          <w:p w:rsidR="006F0E7E" w:rsidRPr="006F0E7E" w:rsidRDefault="007B5331" w:rsidP="00E02186">
            <w:pPr>
              <w:pStyle w:val="ListParagraph"/>
              <w:numPr>
                <w:ilvl w:val="0"/>
                <w:numId w:val="46"/>
              </w:numPr>
              <w:jc w:val="center"/>
              <w:rPr>
                <w:i/>
                <w:sz w:val="24"/>
              </w:rPr>
            </w:pPr>
            <w:r w:rsidRPr="006F0E7E">
              <w:rPr>
                <w:i/>
              </w:rPr>
              <w:t xml:space="preserve">Consumer pays a </w:t>
            </w:r>
            <w:r w:rsidR="00C47D09" w:rsidRPr="006F0E7E">
              <w:rPr>
                <w:i/>
              </w:rPr>
              <w:t>list</w:t>
            </w:r>
            <w:r w:rsidRPr="006F0E7E">
              <w:rPr>
                <w:i/>
              </w:rPr>
              <w:t xml:space="preserve"> price</w:t>
            </w:r>
            <w:r w:rsidR="006F0E7E">
              <w:rPr>
                <w:i/>
                <w:sz w:val="24"/>
              </w:rPr>
              <w:br/>
            </w:r>
            <w:r w:rsidR="006F0E7E">
              <w:rPr>
                <w:i/>
                <w:sz w:val="18"/>
                <w:szCs w:val="18"/>
              </w:rPr>
              <w:t>Discounts are available on certain types of purchases.</w:t>
            </w:r>
          </w:p>
        </w:tc>
      </w:tr>
      <w:tr w:rsidR="00A316D6" w:rsidTr="0009694E">
        <w:trPr>
          <w:trHeight w:val="6175"/>
        </w:trPr>
        <w:tc>
          <w:tcPr>
            <w:tcW w:w="5387" w:type="dxa"/>
            <w:vAlign w:val="center"/>
          </w:tcPr>
          <w:p w:rsidR="002F249E" w:rsidRDefault="002F249E" w:rsidP="00C110A6">
            <w:pPr>
              <w:spacing w:line="276" w:lineRule="auto"/>
              <w:rPr>
                <w:sz w:val="20"/>
              </w:rPr>
            </w:pPr>
            <w:r w:rsidRPr="002F249E">
              <w:rPr>
                <w:b/>
                <w:sz w:val="20"/>
              </w:rPr>
              <w:t>Regulated Standards</w:t>
            </w:r>
            <w:r>
              <w:rPr>
                <w:sz w:val="20"/>
              </w:rPr>
              <w:br/>
            </w:r>
            <w:proofErr w:type="spellStart"/>
            <w:r w:rsidRPr="00C110A6">
              <w:rPr>
                <w:sz w:val="20"/>
              </w:rPr>
              <w:t>Standards</w:t>
            </w:r>
            <w:proofErr w:type="spellEnd"/>
            <w:r w:rsidRPr="00C110A6">
              <w:rPr>
                <w:sz w:val="20"/>
              </w:rPr>
              <w:t xml:space="preserve"> that are </w:t>
            </w:r>
            <w:r w:rsidRPr="002F249E">
              <w:rPr>
                <w:sz w:val="20"/>
              </w:rPr>
              <w:t>regulated</w:t>
            </w:r>
            <w:r w:rsidRPr="00C110A6">
              <w:rPr>
                <w:sz w:val="20"/>
              </w:rPr>
              <w:t xml:space="preserve"> or </w:t>
            </w:r>
            <w:r>
              <w:rPr>
                <w:sz w:val="20"/>
              </w:rPr>
              <w:t>referred to</w:t>
            </w:r>
            <w:r w:rsidRPr="002F249E">
              <w:rPr>
                <w:sz w:val="20"/>
              </w:rPr>
              <w:t xml:space="preserve"> in legislation</w:t>
            </w:r>
            <w:r w:rsidRPr="00C110A6">
              <w:rPr>
                <w:sz w:val="20"/>
              </w:rPr>
              <w:t xml:space="preserve"> are </w:t>
            </w:r>
            <w:r w:rsidRPr="00957B6E">
              <w:rPr>
                <w:sz w:val="20"/>
              </w:rPr>
              <w:t>free to all consumers</w:t>
            </w:r>
            <w:r>
              <w:rPr>
                <w:sz w:val="20"/>
              </w:rPr>
              <w:t xml:space="preserve"> via the SA </w:t>
            </w:r>
            <w:proofErr w:type="spellStart"/>
            <w:r>
              <w:rPr>
                <w:sz w:val="20"/>
              </w:rPr>
              <w:t>webstore</w:t>
            </w:r>
            <w:proofErr w:type="spellEnd"/>
            <w:r>
              <w:rPr>
                <w:sz w:val="20"/>
              </w:rPr>
              <w:t>.</w:t>
            </w:r>
            <w:r w:rsidRPr="00C110A6">
              <w:rPr>
                <w:sz w:val="20"/>
              </w:rPr>
              <w:t xml:space="preserve"> </w:t>
            </w:r>
            <w:r>
              <w:rPr>
                <w:sz w:val="20"/>
              </w:rPr>
              <w:t xml:space="preserve">The </w:t>
            </w:r>
            <w:r w:rsidRPr="00C110A6">
              <w:rPr>
                <w:sz w:val="20"/>
              </w:rPr>
              <w:t>government</w:t>
            </w:r>
            <w:r>
              <w:rPr>
                <w:sz w:val="20"/>
              </w:rPr>
              <w:t xml:space="preserve"> subsidises distribution costs</w:t>
            </w:r>
            <w:r w:rsidR="00BB4209">
              <w:rPr>
                <w:sz w:val="20"/>
              </w:rPr>
              <w:t xml:space="preserve"> via SA</w:t>
            </w:r>
            <w:r>
              <w:rPr>
                <w:sz w:val="20"/>
              </w:rPr>
              <w:t xml:space="preserve">. </w:t>
            </w:r>
          </w:p>
          <w:p w:rsidR="007B5331" w:rsidRPr="00C110A6" w:rsidRDefault="009C580D" w:rsidP="00C110A6">
            <w:pPr>
              <w:spacing w:line="276" w:lineRule="auto"/>
              <w:rPr>
                <w:sz w:val="20"/>
              </w:rPr>
            </w:pPr>
            <w:r w:rsidRPr="002F249E">
              <w:rPr>
                <w:b/>
                <w:sz w:val="20"/>
              </w:rPr>
              <w:t>Students</w:t>
            </w:r>
            <w:r>
              <w:rPr>
                <w:sz w:val="20"/>
              </w:rPr>
              <w:br/>
            </w:r>
            <w:proofErr w:type="spellStart"/>
            <w:r w:rsidR="001E13D1">
              <w:rPr>
                <w:sz w:val="20"/>
              </w:rPr>
              <w:t>S</w:t>
            </w:r>
            <w:r w:rsidR="007B5331" w:rsidRPr="00C110A6">
              <w:rPr>
                <w:sz w:val="20"/>
              </w:rPr>
              <w:t>tudents</w:t>
            </w:r>
            <w:proofErr w:type="spellEnd"/>
            <w:r w:rsidR="007B5331" w:rsidRPr="00C110A6">
              <w:rPr>
                <w:sz w:val="20"/>
              </w:rPr>
              <w:t xml:space="preserve"> access standards</w:t>
            </w:r>
            <w:r w:rsidR="001E13D1">
              <w:rPr>
                <w:sz w:val="20"/>
              </w:rPr>
              <w:t xml:space="preserve"> relevant to their studies</w:t>
            </w:r>
            <w:r w:rsidR="007B5331" w:rsidRPr="00C110A6">
              <w:rPr>
                <w:sz w:val="20"/>
              </w:rPr>
              <w:t xml:space="preserve"> for free </w:t>
            </w:r>
            <w:r w:rsidR="00E063C1" w:rsidRPr="00C110A6">
              <w:rPr>
                <w:sz w:val="20"/>
              </w:rPr>
              <w:t>online</w:t>
            </w:r>
            <w:r w:rsidR="007B5331" w:rsidRPr="00C110A6">
              <w:rPr>
                <w:sz w:val="20"/>
              </w:rPr>
              <w:t xml:space="preserve"> via the license </w:t>
            </w:r>
            <w:r w:rsidR="00E063C1" w:rsidRPr="00C110A6">
              <w:rPr>
                <w:sz w:val="20"/>
              </w:rPr>
              <w:t>purchased</w:t>
            </w:r>
            <w:r w:rsidR="007B5331" w:rsidRPr="00C110A6">
              <w:rPr>
                <w:sz w:val="20"/>
              </w:rPr>
              <w:t xml:space="preserve"> by their educational provider, similar to acces</w:t>
            </w:r>
            <w:r w:rsidR="002F249E">
              <w:rPr>
                <w:sz w:val="20"/>
              </w:rPr>
              <w:t>sing an online journal article.</w:t>
            </w:r>
          </w:p>
          <w:p w:rsidR="00DA33FE" w:rsidRDefault="002F249E" w:rsidP="00E15BC3">
            <w:pPr>
              <w:spacing w:line="276" w:lineRule="auto"/>
              <w:rPr>
                <w:sz w:val="20"/>
              </w:rPr>
            </w:pPr>
            <w:r w:rsidRPr="00BB4209">
              <w:rPr>
                <w:b/>
                <w:sz w:val="20"/>
              </w:rPr>
              <w:t xml:space="preserve">Accessibility </w:t>
            </w:r>
            <w:r w:rsidR="00BB4209" w:rsidRPr="00BB4209">
              <w:rPr>
                <w:b/>
                <w:sz w:val="20"/>
              </w:rPr>
              <w:t>standards</w:t>
            </w:r>
            <w:r w:rsidR="00BB4209">
              <w:rPr>
                <w:sz w:val="20"/>
              </w:rPr>
              <w:br/>
            </w:r>
            <w:proofErr w:type="spellStart"/>
            <w:r w:rsidR="005961DB" w:rsidRPr="00C110A6">
              <w:rPr>
                <w:sz w:val="20"/>
              </w:rPr>
              <w:t>Standards</w:t>
            </w:r>
            <w:proofErr w:type="spellEnd"/>
            <w:r w:rsidR="005961DB" w:rsidRPr="00C110A6">
              <w:rPr>
                <w:sz w:val="20"/>
              </w:rPr>
              <w:t xml:space="preserve"> to do with accessibility or communications technology for people with disability </w:t>
            </w:r>
            <w:r w:rsidR="00E15BC3">
              <w:rPr>
                <w:sz w:val="20"/>
              </w:rPr>
              <w:t>are</w:t>
            </w:r>
            <w:r w:rsidR="005961DB" w:rsidRPr="00C110A6">
              <w:rPr>
                <w:sz w:val="20"/>
              </w:rPr>
              <w:t xml:space="preserve"> available at no cost to </w:t>
            </w:r>
            <w:r w:rsidR="00C110A6" w:rsidRPr="00C110A6">
              <w:rPr>
                <w:sz w:val="20"/>
              </w:rPr>
              <w:t xml:space="preserve">NGOs and Disabled People’s Organisations (DPOs). </w:t>
            </w:r>
            <w:r w:rsidR="00BB4209">
              <w:rPr>
                <w:sz w:val="20"/>
              </w:rPr>
              <w:t>Access costs are</w:t>
            </w:r>
            <w:r w:rsidR="005961DB" w:rsidRPr="00C110A6">
              <w:rPr>
                <w:sz w:val="20"/>
              </w:rPr>
              <w:t xml:space="preserve"> subsidised by the government</w:t>
            </w:r>
            <w:r w:rsidR="00BB4209">
              <w:rPr>
                <w:sz w:val="20"/>
              </w:rPr>
              <w:t xml:space="preserve"> via SA</w:t>
            </w:r>
            <w:r w:rsidR="005961DB" w:rsidRPr="00C110A6">
              <w:rPr>
                <w:sz w:val="20"/>
              </w:rPr>
              <w:t>.</w:t>
            </w:r>
          </w:p>
          <w:p w:rsidR="00755123" w:rsidRDefault="00BB4209" w:rsidP="0009694E">
            <w:pPr>
              <w:spacing w:line="276" w:lineRule="auto"/>
            </w:pPr>
            <w:r w:rsidRPr="00E02186">
              <w:rPr>
                <w:b/>
                <w:sz w:val="20"/>
              </w:rPr>
              <w:t>Libraries</w:t>
            </w:r>
            <w:r w:rsidR="00E02186">
              <w:rPr>
                <w:sz w:val="20"/>
              </w:rPr>
              <w:br/>
              <w:t xml:space="preserve">Public access to Australian Standards is </w:t>
            </w:r>
            <w:r w:rsidR="0009694E">
              <w:rPr>
                <w:sz w:val="20"/>
              </w:rPr>
              <w:t xml:space="preserve">available online via National, State and Public libraries. </w:t>
            </w:r>
          </w:p>
        </w:tc>
        <w:tc>
          <w:tcPr>
            <w:tcW w:w="3969" w:type="dxa"/>
            <w:vAlign w:val="center"/>
          </w:tcPr>
          <w:p w:rsidR="00CB1016" w:rsidRDefault="00E15BC3" w:rsidP="001E13D1">
            <w:pPr>
              <w:rPr>
                <w:sz w:val="20"/>
              </w:rPr>
            </w:pPr>
            <w:r>
              <w:rPr>
                <w:sz w:val="20"/>
              </w:rPr>
              <w:t xml:space="preserve">NGOs </w:t>
            </w:r>
            <w:r w:rsidR="006F0E7E">
              <w:rPr>
                <w:sz w:val="20"/>
              </w:rPr>
              <w:t xml:space="preserve">are eligible to </w:t>
            </w:r>
            <w:r>
              <w:rPr>
                <w:sz w:val="20"/>
              </w:rPr>
              <w:t>purchase</w:t>
            </w:r>
            <w:r w:rsidR="0009694E">
              <w:rPr>
                <w:sz w:val="20"/>
              </w:rPr>
              <w:t xml:space="preserve"> voluntary</w:t>
            </w:r>
            <w:r>
              <w:rPr>
                <w:sz w:val="20"/>
              </w:rPr>
              <w:t xml:space="preserve"> s</w:t>
            </w:r>
            <w:r w:rsidR="00C110A6" w:rsidRPr="00C110A6">
              <w:rPr>
                <w:sz w:val="20"/>
              </w:rPr>
              <w:t xml:space="preserve">tandards at a concessional rate. </w:t>
            </w:r>
            <w:r w:rsidR="00432D15">
              <w:rPr>
                <w:sz w:val="20"/>
              </w:rPr>
              <w:t>The purchase price is proportion</w:t>
            </w:r>
            <w:r w:rsidR="006F0E7E">
              <w:rPr>
                <w:sz w:val="20"/>
              </w:rPr>
              <w:t>ate</w:t>
            </w:r>
            <w:r w:rsidR="00432D15">
              <w:rPr>
                <w:sz w:val="20"/>
              </w:rPr>
              <w:t xml:space="preserve"> to the revenue of the NGO, for example:</w:t>
            </w:r>
          </w:p>
          <w:p w:rsidR="00432D15" w:rsidRDefault="00432D15" w:rsidP="00432D15">
            <w:pPr>
              <w:pStyle w:val="ListParagraph"/>
              <w:numPr>
                <w:ilvl w:val="0"/>
                <w:numId w:val="41"/>
              </w:numPr>
              <w:rPr>
                <w:sz w:val="20"/>
              </w:rPr>
            </w:pPr>
            <w:r>
              <w:rPr>
                <w:sz w:val="20"/>
              </w:rPr>
              <w:t xml:space="preserve">50% off list price for small NGOs (annual revenue less than </w:t>
            </w:r>
            <w:r w:rsidRPr="00432D15">
              <w:rPr>
                <w:sz w:val="20"/>
              </w:rPr>
              <w:t>$250,000</w:t>
            </w:r>
            <w:r>
              <w:rPr>
                <w:sz w:val="20"/>
              </w:rPr>
              <w:t>)</w:t>
            </w:r>
            <w:r w:rsidR="006F0E7E">
              <w:rPr>
                <w:sz w:val="20"/>
              </w:rPr>
              <w:t>,</w:t>
            </w:r>
          </w:p>
          <w:p w:rsidR="00432D15" w:rsidRDefault="00432D15" w:rsidP="00432D15">
            <w:pPr>
              <w:pStyle w:val="ListParagraph"/>
              <w:numPr>
                <w:ilvl w:val="0"/>
                <w:numId w:val="41"/>
              </w:numPr>
              <w:rPr>
                <w:sz w:val="20"/>
              </w:rPr>
            </w:pPr>
            <w:r>
              <w:rPr>
                <w:sz w:val="20"/>
              </w:rPr>
              <w:t xml:space="preserve">40% off list price for medium NGOs (annual revenue </w:t>
            </w:r>
            <w:r w:rsidRPr="00432D15">
              <w:rPr>
                <w:sz w:val="20"/>
              </w:rPr>
              <w:t>over $250,000 but under $1 million</w:t>
            </w:r>
            <w:r>
              <w:rPr>
                <w:sz w:val="20"/>
              </w:rPr>
              <w:t>)</w:t>
            </w:r>
            <w:r w:rsidR="006F0E7E">
              <w:rPr>
                <w:sz w:val="20"/>
              </w:rPr>
              <w:t>,</w:t>
            </w:r>
          </w:p>
          <w:p w:rsidR="00432D15" w:rsidRPr="00432D15" w:rsidRDefault="00432D15" w:rsidP="00432D15">
            <w:pPr>
              <w:pStyle w:val="ListParagraph"/>
              <w:numPr>
                <w:ilvl w:val="0"/>
                <w:numId w:val="41"/>
              </w:numPr>
              <w:rPr>
                <w:sz w:val="20"/>
              </w:rPr>
            </w:pPr>
            <w:r>
              <w:rPr>
                <w:sz w:val="20"/>
              </w:rPr>
              <w:t xml:space="preserve">30% off list price for large NGOs (annual revenue of </w:t>
            </w:r>
            <w:r w:rsidRPr="00432D15">
              <w:rPr>
                <w:sz w:val="20"/>
              </w:rPr>
              <w:t>$1 million or more</w:t>
            </w:r>
            <w:r>
              <w:rPr>
                <w:sz w:val="20"/>
              </w:rPr>
              <w:t>)</w:t>
            </w:r>
            <w:r w:rsidR="006F0E7E">
              <w:rPr>
                <w:sz w:val="20"/>
              </w:rPr>
              <w:t>.</w:t>
            </w:r>
          </w:p>
          <w:p w:rsidR="007B5331" w:rsidRPr="006F0E7E" w:rsidRDefault="00E02186" w:rsidP="00E02186">
            <w:pPr>
              <w:rPr>
                <w:sz w:val="20"/>
              </w:rPr>
            </w:pPr>
            <w:r>
              <w:rPr>
                <w:sz w:val="20"/>
              </w:rPr>
              <w:t>M</w:t>
            </w:r>
            <w:r w:rsidR="00C110A6" w:rsidRPr="00C110A6">
              <w:rPr>
                <w:sz w:val="20"/>
              </w:rPr>
              <w:t xml:space="preserve">any service providers and businesses recognise the benefits and resource constraints </w:t>
            </w:r>
            <w:r w:rsidR="001E13D1">
              <w:rPr>
                <w:sz w:val="20"/>
              </w:rPr>
              <w:t>of</w:t>
            </w:r>
            <w:r w:rsidR="00C110A6" w:rsidRPr="00C110A6">
              <w:rPr>
                <w:sz w:val="20"/>
              </w:rPr>
              <w:t xml:space="preserve"> not-for-profit</w:t>
            </w:r>
            <w:r w:rsidR="006F0E7E">
              <w:rPr>
                <w:sz w:val="20"/>
              </w:rPr>
              <w:t>s, and gran</w:t>
            </w:r>
            <w:r>
              <w:rPr>
                <w:sz w:val="20"/>
              </w:rPr>
              <w:t>t discounts on essential services and products</w:t>
            </w:r>
            <w:r w:rsidR="006F0E7E">
              <w:rPr>
                <w:sz w:val="20"/>
              </w:rPr>
              <w:t>.</w:t>
            </w:r>
          </w:p>
        </w:tc>
        <w:tc>
          <w:tcPr>
            <w:tcW w:w="4677" w:type="dxa"/>
            <w:vAlign w:val="center"/>
          </w:tcPr>
          <w:p w:rsidR="007B5331" w:rsidRDefault="001E13D1" w:rsidP="001E13D1">
            <w:pPr>
              <w:rPr>
                <w:sz w:val="20"/>
                <w:szCs w:val="20"/>
                <w:lang w:eastAsia="en-US"/>
              </w:rPr>
            </w:pPr>
            <w:r>
              <w:rPr>
                <w:sz w:val="20"/>
                <w:szCs w:val="20"/>
                <w:lang w:eastAsia="en-US"/>
              </w:rPr>
              <w:t xml:space="preserve">Consumers have the flexibility to choose the purchasing </w:t>
            </w:r>
            <w:r w:rsidR="00E02186">
              <w:rPr>
                <w:sz w:val="20"/>
                <w:szCs w:val="20"/>
                <w:lang w:eastAsia="en-US"/>
              </w:rPr>
              <w:t>option that suits their needs.</w:t>
            </w:r>
          </w:p>
          <w:p w:rsidR="00E02186" w:rsidRDefault="00E02186" w:rsidP="001E13D1">
            <w:pPr>
              <w:rPr>
                <w:sz w:val="20"/>
                <w:szCs w:val="20"/>
                <w:lang w:eastAsia="en-US"/>
              </w:rPr>
            </w:pPr>
            <w:r w:rsidRPr="00E02186">
              <w:rPr>
                <w:b/>
                <w:sz w:val="20"/>
                <w:szCs w:val="20"/>
                <w:lang w:eastAsia="en-US"/>
              </w:rPr>
              <w:t>Excerpts</w:t>
            </w:r>
            <w:r>
              <w:rPr>
                <w:sz w:val="20"/>
                <w:szCs w:val="20"/>
                <w:lang w:eastAsia="en-US"/>
              </w:rPr>
              <w:br/>
            </w:r>
            <w:r>
              <w:rPr>
                <w:sz w:val="20"/>
                <w:szCs w:val="20"/>
              </w:rPr>
              <w:t>Consumers can purchase or ‘rent’ an excerpt for a proportional price. This is similar to purchasing or ‘hiring’ a chapter of a book or journal via an online academic database.</w:t>
            </w:r>
          </w:p>
          <w:p w:rsidR="00E02186" w:rsidRDefault="00E02186" w:rsidP="001E13D1">
            <w:pPr>
              <w:rPr>
                <w:sz w:val="20"/>
                <w:szCs w:val="20"/>
              </w:rPr>
            </w:pPr>
            <w:r w:rsidRPr="00E02186">
              <w:rPr>
                <w:b/>
                <w:sz w:val="20"/>
                <w:szCs w:val="20"/>
                <w:lang w:eastAsia="en-US"/>
              </w:rPr>
              <w:t>Subscriptions</w:t>
            </w:r>
            <w:r>
              <w:rPr>
                <w:b/>
                <w:sz w:val="20"/>
                <w:szCs w:val="20"/>
                <w:lang w:eastAsia="en-US"/>
              </w:rPr>
              <w:t xml:space="preserve"> and suites</w:t>
            </w:r>
            <w:r w:rsidRPr="00E02186">
              <w:rPr>
                <w:sz w:val="20"/>
                <w:szCs w:val="20"/>
                <w:lang w:eastAsia="en-US"/>
              </w:rPr>
              <w:br/>
            </w:r>
            <w:r w:rsidRPr="00E02186">
              <w:rPr>
                <w:sz w:val="20"/>
                <w:szCs w:val="20"/>
              </w:rPr>
              <w:t xml:space="preserve">Consumers can subscribe to a suite of related standards on a </w:t>
            </w:r>
            <w:r>
              <w:rPr>
                <w:sz w:val="20"/>
                <w:szCs w:val="20"/>
              </w:rPr>
              <w:t>period</w:t>
            </w:r>
            <w:r w:rsidR="0007503C">
              <w:rPr>
                <w:sz w:val="20"/>
                <w:szCs w:val="20"/>
              </w:rPr>
              <w:t>ic</w:t>
            </w:r>
            <w:r w:rsidRPr="00E02186">
              <w:rPr>
                <w:sz w:val="20"/>
                <w:szCs w:val="20"/>
              </w:rPr>
              <w:t xml:space="preserve"> basis</w:t>
            </w:r>
            <w:r>
              <w:rPr>
                <w:sz w:val="20"/>
                <w:szCs w:val="20"/>
              </w:rPr>
              <w:t xml:space="preserve"> at a discounted rate. </w:t>
            </w:r>
            <w:r w:rsidRPr="00E02186">
              <w:rPr>
                <w:sz w:val="20"/>
                <w:szCs w:val="20"/>
              </w:rPr>
              <w:t>Consumers purchasing standards in bulk or by suite are eligible for a disco</w:t>
            </w:r>
            <w:r>
              <w:rPr>
                <w:sz w:val="20"/>
                <w:szCs w:val="20"/>
              </w:rPr>
              <w:t xml:space="preserve">unt. </w:t>
            </w:r>
          </w:p>
          <w:p w:rsidR="001E13D1" w:rsidRPr="00E02186" w:rsidRDefault="00E02186" w:rsidP="00E02186">
            <w:pPr>
              <w:rPr>
                <w:sz w:val="20"/>
                <w:szCs w:val="20"/>
                <w:lang w:eastAsia="en-US"/>
              </w:rPr>
            </w:pPr>
            <w:r w:rsidRPr="00E02186">
              <w:rPr>
                <w:b/>
                <w:sz w:val="20"/>
                <w:szCs w:val="20"/>
                <w:lang w:eastAsia="en-US"/>
              </w:rPr>
              <w:t>Innovative products</w:t>
            </w:r>
            <w:r>
              <w:rPr>
                <w:sz w:val="20"/>
                <w:szCs w:val="20"/>
                <w:lang w:eastAsia="en-US"/>
              </w:rPr>
              <w:br/>
            </w:r>
            <w:r w:rsidR="00432426" w:rsidRPr="00E02186">
              <w:rPr>
                <w:sz w:val="20"/>
                <w:szCs w:val="20"/>
              </w:rPr>
              <w:t xml:space="preserve">Consumers can purchase </w:t>
            </w:r>
            <w:r w:rsidR="00C47D09" w:rsidRPr="00E02186">
              <w:rPr>
                <w:sz w:val="20"/>
                <w:szCs w:val="20"/>
              </w:rPr>
              <w:t xml:space="preserve">access to </w:t>
            </w:r>
            <w:r w:rsidR="00144A33" w:rsidRPr="00E02186">
              <w:rPr>
                <w:sz w:val="20"/>
                <w:szCs w:val="20"/>
              </w:rPr>
              <w:t>innovative or non-traditional</w:t>
            </w:r>
            <w:r w:rsidR="00432426" w:rsidRPr="00E02186">
              <w:rPr>
                <w:sz w:val="20"/>
                <w:szCs w:val="20"/>
              </w:rPr>
              <w:t xml:space="preserve"> standards products at a cost lower than the typical standard format.</w:t>
            </w:r>
          </w:p>
        </w:tc>
      </w:tr>
    </w:tbl>
    <w:p w:rsidR="00E063C1" w:rsidRDefault="00E063C1" w:rsidP="00E063C1">
      <w:pPr>
        <w:pStyle w:val="Heading4"/>
        <w:sectPr w:rsidR="00E063C1" w:rsidSect="00E063C1">
          <w:headerReference w:type="first" r:id="rId15"/>
          <w:pgSz w:w="16838" w:h="11906" w:orient="landscape" w:code="9"/>
          <w:pgMar w:top="1440" w:right="1440" w:bottom="1440" w:left="1440" w:header="709" w:footer="0" w:gutter="0"/>
          <w:cols w:space="708"/>
          <w:titlePg/>
          <w:docGrid w:linePitch="360"/>
        </w:sectPr>
      </w:pPr>
    </w:p>
    <w:p w:rsidR="0088571C" w:rsidRPr="003441E5" w:rsidRDefault="009F4B9D" w:rsidP="002B4EE2">
      <w:pPr>
        <w:pStyle w:val="Heading1"/>
        <w:numPr>
          <w:ilvl w:val="0"/>
          <w:numId w:val="26"/>
        </w:numPr>
      </w:pPr>
      <w:bookmarkStart w:id="2" w:name="_Toc343010198"/>
      <w:bookmarkStart w:id="3" w:name="_Toc351382483"/>
      <w:bookmarkStart w:id="4" w:name="_Toc14422388"/>
      <w:r w:rsidRPr="003441E5">
        <w:lastRenderedPageBreak/>
        <w:t xml:space="preserve">Responses to </w:t>
      </w:r>
      <w:bookmarkEnd w:id="2"/>
      <w:bookmarkEnd w:id="3"/>
      <w:r w:rsidR="007C2C9D">
        <w:t>questions</w:t>
      </w:r>
      <w:bookmarkEnd w:id="4"/>
    </w:p>
    <w:p w:rsidR="00922637" w:rsidRDefault="00922637" w:rsidP="00150020">
      <w:pPr>
        <w:pStyle w:val="Heading2"/>
        <w:numPr>
          <w:ilvl w:val="1"/>
          <w:numId w:val="27"/>
        </w:numPr>
        <w:rPr>
          <w:rFonts w:eastAsiaTheme="minorHAnsi"/>
        </w:rPr>
      </w:pPr>
      <w:bookmarkStart w:id="5" w:name="_Toc14422389"/>
      <w:r w:rsidRPr="00922637">
        <w:rPr>
          <w:rFonts w:eastAsiaTheme="minorHAnsi"/>
        </w:rPr>
        <w:t>Do you agree with Standards Australia’s broad objectives?</w:t>
      </w:r>
      <w:bookmarkEnd w:id="5"/>
    </w:p>
    <w:p w:rsidR="00DD63E3" w:rsidRPr="00DD63E3" w:rsidRDefault="00846892" w:rsidP="00846892">
      <w:pPr>
        <w:keepNext/>
      </w:pPr>
      <w:r>
        <w:t xml:space="preserve">Yes, </w:t>
      </w:r>
      <w:r w:rsidR="00D2021B">
        <w:t xml:space="preserve">ACCAN supports </w:t>
      </w:r>
      <w:r>
        <w:t>all three of SA’s</w:t>
      </w:r>
      <w:r w:rsidR="00D2021B">
        <w:t xml:space="preserve"> objectives outlined </w:t>
      </w:r>
      <w:r>
        <w:t xml:space="preserve">in the discussion paper. We feel the </w:t>
      </w:r>
      <w:r w:rsidR="009B5A65">
        <w:t xml:space="preserve">objectives reflect the </w:t>
      </w:r>
      <w:r w:rsidR="00311145">
        <w:t>realities and needs of the current standards environment</w:t>
      </w:r>
      <w:r w:rsidR="00517123">
        <w:t xml:space="preserve"> outlined in our introductory comments</w:t>
      </w:r>
      <w:r w:rsidR="00311145">
        <w:t xml:space="preserve">. </w:t>
      </w:r>
    </w:p>
    <w:p w:rsidR="00922637" w:rsidRDefault="00922637" w:rsidP="00150020">
      <w:pPr>
        <w:pStyle w:val="Heading2"/>
        <w:numPr>
          <w:ilvl w:val="1"/>
          <w:numId w:val="27"/>
        </w:numPr>
        <w:rPr>
          <w:rFonts w:eastAsiaTheme="minorHAnsi"/>
        </w:rPr>
      </w:pPr>
      <w:bookmarkStart w:id="6" w:name="_Toc14422390"/>
      <w:r w:rsidRPr="00922637">
        <w:rPr>
          <w:rFonts w:eastAsiaTheme="minorHAnsi"/>
        </w:rPr>
        <w:t>Are there other broad objectives that should be considered by SA’s Board?</w:t>
      </w:r>
      <w:bookmarkEnd w:id="6"/>
    </w:p>
    <w:p w:rsidR="0084535C" w:rsidRDefault="0007503C" w:rsidP="00D2021B">
      <w:pPr>
        <w:keepNext/>
      </w:pPr>
      <w:r>
        <w:t>T</w:t>
      </w:r>
      <w:r w:rsidR="00D2021B">
        <w:t>here should be greater e</w:t>
      </w:r>
      <w:r w:rsidR="00150020">
        <w:t>mphasis</w:t>
      </w:r>
      <w:r w:rsidR="00D2021B">
        <w:t xml:space="preserve"> on</w:t>
      </w:r>
      <w:r w:rsidR="00150020">
        <w:t xml:space="preserve"> </w:t>
      </w:r>
      <w:r w:rsidR="000975C5">
        <w:t xml:space="preserve">the </w:t>
      </w:r>
      <w:r w:rsidR="00517123">
        <w:t xml:space="preserve">role that </w:t>
      </w:r>
      <w:r w:rsidR="00B774BD">
        <w:t>accessibility</w:t>
      </w:r>
      <w:r w:rsidR="00311145">
        <w:t xml:space="preserve"> plays in achieving SA’s objectives. Greater content reach, wider use and</w:t>
      </w:r>
      <w:r w:rsidR="0084535C">
        <w:t xml:space="preserve"> </w:t>
      </w:r>
      <w:r w:rsidR="00311145">
        <w:t>financial s</w:t>
      </w:r>
      <w:r w:rsidR="0084535C">
        <w:t xml:space="preserve">ustainability of standards are </w:t>
      </w:r>
      <w:r w:rsidR="00CA3CE4">
        <w:t xml:space="preserve">each </w:t>
      </w:r>
      <w:r w:rsidR="00B774BD">
        <w:t>linked to the</w:t>
      </w:r>
      <w:r w:rsidR="00B25958">
        <w:t xml:space="preserve"> </w:t>
      </w:r>
      <w:r w:rsidR="00B774BD">
        <w:t>accessibility of standards</w:t>
      </w:r>
      <w:r w:rsidR="0084535C">
        <w:t xml:space="preserve">. </w:t>
      </w:r>
    </w:p>
    <w:p w:rsidR="00273555" w:rsidRDefault="00273555" w:rsidP="00273555">
      <w:pPr>
        <w:pStyle w:val="Blockquote"/>
        <w:keepNext/>
        <w:ind w:left="0"/>
      </w:pPr>
      <w:r>
        <w:t>We support the introduction of additional objectives to support SA in delivering on their MOU with the government. SA should adopt the following objectives proposed by CFA, that SA will:</w:t>
      </w:r>
    </w:p>
    <w:p w:rsidR="00273555" w:rsidRDefault="00273555" w:rsidP="00273555">
      <w:pPr>
        <w:pStyle w:val="Blockquote"/>
        <w:keepNext/>
        <w:numPr>
          <w:ilvl w:val="0"/>
          <w:numId w:val="48"/>
        </w:numPr>
      </w:pPr>
      <w:r>
        <w:t>Adopt an operating model that ensures the long-term financial sustainability with due consideration to the purchase price, availability, information quality and the range of different stakeholders.</w:t>
      </w:r>
    </w:p>
    <w:p w:rsidR="00273555" w:rsidRPr="00B25958" w:rsidRDefault="00273555" w:rsidP="00273555">
      <w:pPr>
        <w:pStyle w:val="Blockquote"/>
        <w:keepNext/>
        <w:numPr>
          <w:ilvl w:val="0"/>
          <w:numId w:val="48"/>
        </w:numPr>
      </w:pPr>
      <w:r>
        <w:t>Ensure that all Australians are aware of the value of standards and their importance to everyday life.</w:t>
      </w:r>
    </w:p>
    <w:p w:rsidR="00922637" w:rsidRPr="006E23FA" w:rsidRDefault="00922637" w:rsidP="00B25958">
      <w:pPr>
        <w:pStyle w:val="Heading2"/>
        <w:numPr>
          <w:ilvl w:val="1"/>
          <w:numId w:val="27"/>
        </w:numPr>
        <w:rPr>
          <w:rFonts w:eastAsiaTheme="minorHAnsi"/>
        </w:rPr>
      </w:pPr>
      <w:bookmarkStart w:id="7" w:name="_Toc14422391"/>
      <w:r w:rsidRPr="007C2C9D">
        <w:rPr>
          <w:rFonts w:eastAsiaTheme="minorHAnsi"/>
        </w:rPr>
        <w:t xml:space="preserve">Do you support a non-exclusive model for the distribution of </w:t>
      </w:r>
      <w:r w:rsidRPr="006E23FA">
        <w:rPr>
          <w:rFonts w:eastAsiaTheme="minorHAnsi"/>
        </w:rPr>
        <w:t>standards content in Australia?</w:t>
      </w:r>
      <w:bookmarkEnd w:id="7"/>
    </w:p>
    <w:p w:rsidR="00E917AE" w:rsidRDefault="00B25958" w:rsidP="00B25958">
      <w:pPr>
        <w:keepNext/>
      </w:pPr>
      <w:r w:rsidRPr="006E23FA">
        <w:t xml:space="preserve">ACCAN </w:t>
      </w:r>
      <w:r w:rsidR="00FA6E3C" w:rsidRPr="006E23FA">
        <w:t>support</w:t>
      </w:r>
      <w:r w:rsidR="005E2494" w:rsidRPr="006E23FA">
        <w:t>s</w:t>
      </w:r>
      <w:r w:rsidR="00FA6E3C" w:rsidRPr="006E23FA">
        <w:t xml:space="preserve"> </w:t>
      </w:r>
      <w:r w:rsidRPr="006E23FA">
        <w:t>a non-exclusive m</w:t>
      </w:r>
      <w:r w:rsidR="005E2494" w:rsidRPr="006E23FA">
        <w:t xml:space="preserve">odel of standards distribution. The non-exclusive model allows for innovating and experimenting with modes of content delivery. It </w:t>
      </w:r>
      <w:r w:rsidR="00BC0AC6" w:rsidRPr="006E23FA">
        <w:t xml:space="preserve">facilitates consumer choice and encourages distributors to be agile and responsive to </w:t>
      </w:r>
      <w:r w:rsidR="00597245">
        <w:t xml:space="preserve">the </w:t>
      </w:r>
      <w:r w:rsidR="00BC0AC6" w:rsidRPr="006E23FA">
        <w:t>needs</w:t>
      </w:r>
      <w:r w:rsidR="006E23FA" w:rsidRPr="006E23FA">
        <w:t xml:space="preserve"> of a broad range of consumers. </w:t>
      </w:r>
    </w:p>
    <w:p w:rsidR="006E23FA" w:rsidRPr="006E23FA" w:rsidRDefault="00BC0AC6" w:rsidP="00B25958">
      <w:pPr>
        <w:keepNext/>
      </w:pPr>
      <w:r w:rsidRPr="006E23FA">
        <w:t xml:space="preserve">However, we stress that too much choice, or choice communicated </w:t>
      </w:r>
      <w:r w:rsidR="006F0E7E">
        <w:t>poorly</w:t>
      </w:r>
      <w:r w:rsidRPr="006E23FA">
        <w:t xml:space="preserve">, </w:t>
      </w:r>
      <w:r w:rsidR="00E24EB2" w:rsidRPr="006E23FA">
        <w:t>is detrimental to consumers, distributers and SA.</w:t>
      </w:r>
      <w:r w:rsidRPr="006E23FA">
        <w:t xml:space="preserve">  </w:t>
      </w:r>
      <w:r w:rsidR="00E24EB2" w:rsidRPr="006E23FA">
        <w:t>We are concerned that</w:t>
      </w:r>
      <w:r w:rsidR="007A759F" w:rsidRPr="006E23FA">
        <w:t xml:space="preserve"> a </w:t>
      </w:r>
      <w:r w:rsidR="006F0E7E">
        <w:t>high volume</w:t>
      </w:r>
      <w:r w:rsidR="007A759F" w:rsidRPr="006E23FA">
        <w:t xml:space="preserve"> of</w:t>
      </w:r>
      <w:r w:rsidR="00E24EB2" w:rsidRPr="006E23FA">
        <w:t xml:space="preserve"> standards</w:t>
      </w:r>
      <w:r w:rsidR="007A759F" w:rsidRPr="006E23FA">
        <w:t xml:space="preserve"> available</w:t>
      </w:r>
      <w:r w:rsidR="00E24EB2" w:rsidRPr="006E23FA">
        <w:t xml:space="preserve"> from multiple distributors in multiple media </w:t>
      </w:r>
      <w:r w:rsidR="007A759F" w:rsidRPr="006E23FA">
        <w:t>types will confuse</w:t>
      </w:r>
      <w:r w:rsidR="006E23FA" w:rsidRPr="006E23FA">
        <w:t xml:space="preserve"> standards users. </w:t>
      </w:r>
      <w:r w:rsidR="007A759F" w:rsidRPr="006E23FA">
        <w:t>This risks</w:t>
      </w:r>
      <w:r w:rsidR="00E24EB2" w:rsidRPr="006E23FA">
        <w:t xml:space="preserve"> </w:t>
      </w:r>
      <w:r w:rsidR="007A759F" w:rsidRPr="006E23FA">
        <w:t>creating</w:t>
      </w:r>
      <w:r w:rsidR="00E24EB2" w:rsidRPr="006E23FA">
        <w:t xml:space="preserve"> </w:t>
      </w:r>
      <w:r w:rsidR="007A759F" w:rsidRPr="006E23FA">
        <w:t xml:space="preserve">consumer frustration and may </w:t>
      </w:r>
      <w:r w:rsidR="006E23FA" w:rsidRPr="006E23FA">
        <w:t xml:space="preserve">reduce consumer </w:t>
      </w:r>
      <w:r w:rsidR="007A759F" w:rsidRPr="006E23FA">
        <w:t>interest in procuring standards</w:t>
      </w:r>
      <w:r w:rsidR="00E24EB2" w:rsidRPr="006E23FA">
        <w:t>.</w:t>
      </w:r>
      <w:r w:rsidR="00D43AA9">
        <w:t xml:space="preserve"> There is an additional risk that if users are confused by poorly communicated standards, this may reduce trust in standards and negatively impac</w:t>
      </w:r>
      <w:r w:rsidR="00FE75A4">
        <w:t>t the reputation</w:t>
      </w:r>
      <w:r w:rsidR="00D43AA9">
        <w:t xml:space="preserve"> of SA.  </w:t>
      </w:r>
    </w:p>
    <w:p w:rsidR="006F0E7E" w:rsidRDefault="006E23FA" w:rsidP="00756F11">
      <w:pPr>
        <w:keepNext/>
      </w:pPr>
      <w:r w:rsidRPr="006E23FA">
        <w:t>ACCAN</w:t>
      </w:r>
      <w:r w:rsidR="00BC0AC6" w:rsidRPr="006E23FA">
        <w:t xml:space="preserve"> emphasise</w:t>
      </w:r>
      <w:r w:rsidRPr="006E23FA">
        <w:t>s</w:t>
      </w:r>
      <w:r w:rsidR="00BC0AC6" w:rsidRPr="006E23FA">
        <w:t xml:space="preserve"> the need for </w:t>
      </w:r>
      <w:r w:rsidR="00BC0AC6" w:rsidRPr="006E23FA">
        <w:rPr>
          <w:b/>
        </w:rPr>
        <w:t>manageable choice</w:t>
      </w:r>
      <w:r w:rsidRPr="006E23FA">
        <w:t>.</w:t>
      </w:r>
      <w:r w:rsidR="00BC0AC6" w:rsidRPr="006E23FA">
        <w:t xml:space="preserve"> </w:t>
      </w:r>
      <w:r w:rsidR="00273555">
        <w:t xml:space="preserve">We support the CFA’s proposal that SA </w:t>
      </w:r>
      <w:r w:rsidR="00D43AA9">
        <w:t>i</w:t>
      </w:r>
      <w:r w:rsidR="00597245">
        <w:t>s</w:t>
      </w:r>
      <w:r w:rsidR="00273555">
        <w:t xml:space="preserve"> </w:t>
      </w:r>
      <w:r w:rsidR="00597245">
        <w:t xml:space="preserve">the primary </w:t>
      </w:r>
      <w:r w:rsidR="00273555">
        <w:t>distributor</w:t>
      </w:r>
      <w:r w:rsidR="00597245">
        <w:t>, or ‘one-stop-shop’, for</w:t>
      </w:r>
      <w:r w:rsidR="00273555">
        <w:t xml:space="preserve"> </w:t>
      </w:r>
      <w:r w:rsidR="00597245">
        <w:t xml:space="preserve">standards. Third parties can develop innovative products </w:t>
      </w:r>
      <w:r w:rsidR="00756F11">
        <w:t xml:space="preserve">and tools </w:t>
      </w:r>
      <w:r w:rsidR="00597245">
        <w:t>to assist in</w:t>
      </w:r>
      <w:r w:rsidR="00756F11">
        <w:t xml:space="preserve"> the</w:t>
      </w:r>
      <w:r w:rsidR="00597245">
        <w:t xml:space="preserve"> use and understanding of standards</w:t>
      </w:r>
      <w:r w:rsidR="00756F11">
        <w:t xml:space="preserve">, but should not act as a primary source for standards.  </w:t>
      </w:r>
      <w:r w:rsidR="00597245">
        <w:t xml:space="preserve"> </w:t>
      </w:r>
    </w:p>
    <w:p w:rsidR="00D81E14" w:rsidRDefault="00D81E14" w:rsidP="00756F11">
      <w:pPr>
        <w:keepNext/>
      </w:pPr>
    </w:p>
    <w:p w:rsidR="00922637" w:rsidRPr="006E23FA" w:rsidRDefault="00922637" w:rsidP="00D81E14">
      <w:pPr>
        <w:pStyle w:val="Heading2"/>
        <w:keepLines/>
        <w:numPr>
          <w:ilvl w:val="1"/>
          <w:numId w:val="27"/>
        </w:numPr>
        <w:rPr>
          <w:rFonts w:eastAsiaTheme="minorHAnsi"/>
        </w:rPr>
      </w:pPr>
      <w:bookmarkStart w:id="8" w:name="_Toc14422392"/>
      <w:r w:rsidRPr="006E23FA">
        <w:rPr>
          <w:rFonts w:eastAsiaTheme="minorHAnsi"/>
        </w:rPr>
        <w:lastRenderedPageBreak/>
        <w:t>What criteria do you think should be applied to the selection of distribution partners?</w:t>
      </w:r>
      <w:bookmarkEnd w:id="8"/>
    </w:p>
    <w:p w:rsidR="0080438D" w:rsidRDefault="0080438D" w:rsidP="00D81E14">
      <w:pPr>
        <w:keepNext/>
        <w:keepLines/>
      </w:pPr>
      <w:bookmarkStart w:id="9" w:name="_Toc14422393"/>
      <w:r>
        <w:t xml:space="preserve">Standards Australia </w:t>
      </w:r>
      <w:r w:rsidR="00D43AA9">
        <w:t xml:space="preserve">should ensure that </w:t>
      </w:r>
      <w:r w:rsidR="00957B6E">
        <w:t>all third-</w:t>
      </w:r>
      <w:r>
        <w:t xml:space="preserve">party innovators and distribution partners </w:t>
      </w:r>
      <w:r w:rsidR="00D43AA9">
        <w:t xml:space="preserve">have the capacity to develop and distribute </w:t>
      </w:r>
      <w:r>
        <w:t xml:space="preserve">standards and additional materials </w:t>
      </w:r>
      <w:r w:rsidR="00D43AA9">
        <w:t xml:space="preserve">in </w:t>
      </w:r>
      <w:r w:rsidR="00D81E14">
        <w:t>formats accessible</w:t>
      </w:r>
      <w:r>
        <w:t xml:space="preserve"> to people with disability. Materials must be available:</w:t>
      </w:r>
    </w:p>
    <w:p w:rsidR="0080438D" w:rsidRDefault="00571690" w:rsidP="00D81E14">
      <w:pPr>
        <w:pStyle w:val="ListParagraph"/>
        <w:keepNext/>
        <w:keepLines/>
        <w:numPr>
          <w:ilvl w:val="0"/>
          <w:numId w:val="36"/>
        </w:numPr>
      </w:pPr>
      <w:r>
        <w:t xml:space="preserve">in </w:t>
      </w:r>
      <w:r w:rsidRPr="00571690">
        <w:t>Microsoft Word</w:t>
      </w:r>
      <w:r w:rsidR="0080438D" w:rsidRPr="00571690">
        <w:t xml:space="preserve"> or tagged PDF</w:t>
      </w:r>
      <w:r w:rsidR="0080438D">
        <w:t xml:space="preserve"> </w:t>
      </w:r>
    </w:p>
    <w:p w:rsidR="0080438D" w:rsidRDefault="0080438D" w:rsidP="00D81E14">
      <w:pPr>
        <w:pStyle w:val="ListParagraph"/>
        <w:keepNext/>
        <w:keepLines/>
        <w:numPr>
          <w:ilvl w:val="0"/>
          <w:numId w:val="36"/>
        </w:numPr>
      </w:pPr>
      <w:r>
        <w:t>in Braille</w:t>
      </w:r>
    </w:p>
    <w:p w:rsidR="0080438D" w:rsidRDefault="0080438D" w:rsidP="00D81E14">
      <w:pPr>
        <w:pStyle w:val="ListParagraph"/>
        <w:keepNext/>
        <w:keepLines/>
        <w:numPr>
          <w:ilvl w:val="0"/>
          <w:numId w:val="36"/>
        </w:numPr>
      </w:pPr>
      <w:r>
        <w:t>(</w:t>
      </w:r>
      <w:proofErr w:type="gramStart"/>
      <w:r>
        <w:t>if</w:t>
      </w:r>
      <w:proofErr w:type="gramEnd"/>
      <w:r>
        <w:t xml:space="preserve"> in video format) with audio-description, AUSLAN interpretation and closed-captioning.</w:t>
      </w:r>
    </w:p>
    <w:p w:rsidR="0080438D" w:rsidRPr="006E23FA" w:rsidRDefault="0080438D" w:rsidP="00D81E14">
      <w:pPr>
        <w:keepNext/>
        <w:keepLines/>
      </w:pPr>
      <w:r>
        <w:t xml:space="preserve">We also support the development of Easy English guides so that consumers from culturally and linguistically diverse communities can access and interpret standards. </w:t>
      </w:r>
    </w:p>
    <w:p w:rsidR="00922637" w:rsidRPr="006E23FA" w:rsidRDefault="00922637" w:rsidP="00150020">
      <w:pPr>
        <w:pStyle w:val="Heading2"/>
        <w:numPr>
          <w:ilvl w:val="1"/>
          <w:numId w:val="27"/>
        </w:numPr>
        <w:rPr>
          <w:rFonts w:eastAsiaTheme="minorHAnsi"/>
        </w:rPr>
      </w:pPr>
      <w:r w:rsidRPr="006E23FA">
        <w:rPr>
          <w:rFonts w:eastAsiaTheme="minorHAnsi"/>
        </w:rPr>
        <w:t>How can SA encourage competition in the distribution of current standards products?</w:t>
      </w:r>
      <w:bookmarkEnd w:id="9"/>
    </w:p>
    <w:p w:rsidR="006E23FA" w:rsidRPr="006E23FA" w:rsidRDefault="006E23FA" w:rsidP="006E23FA">
      <w:pPr>
        <w:keepNext/>
      </w:pPr>
      <w:r w:rsidRPr="006E23FA">
        <w:t>Not applicable.</w:t>
      </w:r>
    </w:p>
    <w:p w:rsidR="00922637" w:rsidRPr="006E23FA" w:rsidRDefault="00922637" w:rsidP="00150020">
      <w:pPr>
        <w:pStyle w:val="Heading2"/>
        <w:numPr>
          <w:ilvl w:val="1"/>
          <w:numId w:val="27"/>
        </w:numPr>
        <w:rPr>
          <w:rFonts w:eastAsiaTheme="minorHAnsi"/>
        </w:rPr>
      </w:pPr>
      <w:bookmarkStart w:id="10" w:name="_Toc14422394"/>
      <w:r w:rsidRPr="006E23FA">
        <w:rPr>
          <w:rFonts w:eastAsiaTheme="minorHAnsi"/>
        </w:rPr>
        <w:t>How do we encourage new innovators to engage with standards content to deliver new solutions and customer offerings?</w:t>
      </w:r>
      <w:bookmarkEnd w:id="10"/>
    </w:p>
    <w:p w:rsidR="006E23FA" w:rsidRPr="006E23FA" w:rsidRDefault="006E23FA" w:rsidP="006E23FA">
      <w:pPr>
        <w:keepNext/>
      </w:pPr>
      <w:r w:rsidRPr="006E23FA">
        <w:t>Not applicable.</w:t>
      </w:r>
    </w:p>
    <w:p w:rsidR="00922637" w:rsidRPr="006E23FA" w:rsidRDefault="00922637" w:rsidP="00150020">
      <w:pPr>
        <w:pStyle w:val="Heading2"/>
        <w:numPr>
          <w:ilvl w:val="1"/>
          <w:numId w:val="27"/>
        </w:numPr>
        <w:rPr>
          <w:rFonts w:eastAsiaTheme="minorHAnsi"/>
        </w:rPr>
      </w:pPr>
      <w:bookmarkStart w:id="11" w:name="_Toc14422395"/>
      <w:r w:rsidRPr="006E23FA">
        <w:rPr>
          <w:rFonts w:eastAsiaTheme="minorHAnsi"/>
        </w:rPr>
        <w:t>How do we select innovative partners?</w:t>
      </w:r>
      <w:bookmarkEnd w:id="11"/>
    </w:p>
    <w:p w:rsidR="006E23FA" w:rsidRPr="006E23FA" w:rsidRDefault="006E23FA" w:rsidP="006E23FA">
      <w:pPr>
        <w:keepNext/>
      </w:pPr>
      <w:r w:rsidRPr="006E23FA">
        <w:t>Not applicable.</w:t>
      </w:r>
    </w:p>
    <w:p w:rsidR="00922637" w:rsidRPr="006E23FA" w:rsidRDefault="00922637" w:rsidP="00150020">
      <w:pPr>
        <w:pStyle w:val="Heading2"/>
        <w:numPr>
          <w:ilvl w:val="1"/>
          <w:numId w:val="27"/>
        </w:numPr>
        <w:rPr>
          <w:rFonts w:eastAsiaTheme="minorHAnsi"/>
        </w:rPr>
      </w:pPr>
      <w:bookmarkStart w:id="12" w:name="_Toc14422396"/>
      <w:r w:rsidRPr="006E23FA">
        <w:rPr>
          <w:rFonts w:eastAsiaTheme="minorHAnsi"/>
        </w:rPr>
        <w:t>How do we ensure third party developed innovative products are good quality and fit for purpose?</w:t>
      </w:r>
      <w:bookmarkEnd w:id="12"/>
    </w:p>
    <w:p w:rsidR="004E224C" w:rsidRDefault="004E224C" w:rsidP="006E23FA">
      <w:pPr>
        <w:keepNext/>
      </w:pPr>
      <w:r w:rsidRPr="004E224C">
        <w:t>Standards are not fit for purpose if they are not accessible to end users. See our response</w:t>
      </w:r>
      <w:r>
        <w:t>s</w:t>
      </w:r>
      <w:r w:rsidRPr="004E224C">
        <w:t xml:space="preserve"> to question C</w:t>
      </w:r>
      <w:r w:rsidR="0080438D">
        <w:t>, D</w:t>
      </w:r>
      <w:r w:rsidRPr="004E224C">
        <w:t xml:space="preserve"> and J for more information about ensuring </w:t>
      </w:r>
      <w:r w:rsidR="0080438D">
        <w:t>that standards are accessible</w:t>
      </w:r>
      <w:r w:rsidRPr="004E224C">
        <w:t xml:space="preserve">. </w:t>
      </w:r>
    </w:p>
    <w:p w:rsidR="006E23FA" w:rsidRDefault="00FD3E5A" w:rsidP="006E23FA">
      <w:pPr>
        <w:keepNext/>
      </w:pPr>
      <w:r>
        <w:t xml:space="preserve">ACCAN supports the </w:t>
      </w:r>
      <w:r w:rsidR="006443D2">
        <w:t>implementation</w:t>
      </w:r>
      <w:r>
        <w:t xml:space="preserve"> of strict quality assurance</w:t>
      </w:r>
      <w:r w:rsidR="00622CB6">
        <w:t xml:space="preserve"> measures</w:t>
      </w:r>
      <w:r>
        <w:t xml:space="preserve"> to ensure products are high quality and fit for purpose. SA should take steps to ensure that additional standards-related materials or </w:t>
      </w:r>
      <w:r w:rsidR="006443D2">
        <w:t>innovative</w:t>
      </w:r>
      <w:r>
        <w:t xml:space="preserve"> standards products are </w:t>
      </w:r>
      <w:r w:rsidRPr="005F6369">
        <w:rPr>
          <w:b/>
        </w:rPr>
        <w:t>approved by the relevant Committee</w:t>
      </w:r>
      <w:r>
        <w:t xml:space="preserve"> that oversees the Standard, wherever possible. This is vital to ensure that essential detail and critical information communicated in the Standard</w:t>
      </w:r>
      <w:r w:rsidR="006443D2">
        <w:t xml:space="preserve"> </w:t>
      </w:r>
      <w:r w:rsidR="005F6369">
        <w:t>are</w:t>
      </w:r>
      <w:r w:rsidR="006443D2">
        <w:t xml:space="preserve"> not ‘lost in translation’. </w:t>
      </w:r>
      <w:r w:rsidR="00FE75A4">
        <w:t xml:space="preserve">Firm timeframes should attach to the approval process to minimise delays in publication. </w:t>
      </w:r>
    </w:p>
    <w:p w:rsidR="00A316D6" w:rsidRDefault="00A316D6" w:rsidP="006E23FA">
      <w:pPr>
        <w:keepNext/>
      </w:pPr>
    </w:p>
    <w:p w:rsidR="00922637" w:rsidRPr="006E23FA" w:rsidRDefault="00922637" w:rsidP="00A316D6">
      <w:pPr>
        <w:pStyle w:val="Heading2"/>
        <w:keepLines/>
        <w:numPr>
          <w:ilvl w:val="1"/>
          <w:numId w:val="27"/>
        </w:numPr>
        <w:rPr>
          <w:rFonts w:eastAsiaTheme="minorHAnsi"/>
        </w:rPr>
      </w:pPr>
      <w:bookmarkStart w:id="13" w:name="_Toc14422397"/>
      <w:r w:rsidRPr="006E23FA">
        <w:rPr>
          <w:rFonts w:eastAsiaTheme="minorHAnsi"/>
        </w:rPr>
        <w:lastRenderedPageBreak/>
        <w:t>How do we ensure we strike the right balance between facilitating innovation by third parties and maintaining the financial sustainability of Standards Australia?</w:t>
      </w:r>
      <w:bookmarkEnd w:id="13"/>
    </w:p>
    <w:p w:rsidR="006E23FA" w:rsidRPr="006E23FA" w:rsidRDefault="006E23FA" w:rsidP="00A316D6">
      <w:pPr>
        <w:keepNext/>
        <w:keepLines/>
      </w:pPr>
      <w:r w:rsidRPr="006E23FA">
        <w:t>Not applicable.</w:t>
      </w:r>
    </w:p>
    <w:p w:rsidR="00922637" w:rsidRDefault="00922637" w:rsidP="00150020">
      <w:pPr>
        <w:pStyle w:val="Heading2"/>
        <w:numPr>
          <w:ilvl w:val="1"/>
          <w:numId w:val="27"/>
        </w:numPr>
        <w:rPr>
          <w:rFonts w:eastAsiaTheme="minorHAnsi"/>
        </w:rPr>
      </w:pPr>
      <w:bookmarkStart w:id="14" w:name="_Toc14422398"/>
      <w:r w:rsidRPr="006E23FA">
        <w:rPr>
          <w:rFonts w:eastAsiaTheme="minorHAnsi"/>
        </w:rPr>
        <w:t>How can SA ensure that distribution activities do not negatively impact its public benefit role in standards development</w:t>
      </w:r>
      <w:r w:rsidRPr="007C2C9D">
        <w:rPr>
          <w:rFonts w:eastAsiaTheme="minorHAnsi"/>
        </w:rPr>
        <w:t>?</w:t>
      </w:r>
      <w:bookmarkEnd w:id="14"/>
    </w:p>
    <w:p w:rsidR="00BD7C85" w:rsidRDefault="00BD7C85" w:rsidP="00BD7C85">
      <w:pPr>
        <w:keepNext/>
      </w:pPr>
      <w:r>
        <w:t xml:space="preserve">Australian standards are cost-prohibitive. Individual consumers, small businesses and not-for-profit organisations are priced out of the standards market, and this is disadvantageous both to the consumer and to </w:t>
      </w:r>
      <w:r w:rsidR="00632FA6">
        <w:t>SA</w:t>
      </w:r>
      <w:r>
        <w:t xml:space="preserve">. </w:t>
      </w:r>
      <w:r w:rsidR="00827B76">
        <w:t>T</w:t>
      </w:r>
      <w:r>
        <w:t>his</w:t>
      </w:r>
      <w:r w:rsidR="00827B76">
        <w:t xml:space="preserve"> environment</w:t>
      </w:r>
      <w:r>
        <w:t xml:space="preserve"> </w:t>
      </w:r>
      <w:r w:rsidR="00827B76">
        <w:t>creates the following negative outcomes, which impact the financial sustainability of SA</w:t>
      </w:r>
      <w:r>
        <w:t>:</w:t>
      </w:r>
    </w:p>
    <w:p w:rsidR="00827B76" w:rsidRDefault="00BD7C85" w:rsidP="00BD7C85">
      <w:pPr>
        <w:pStyle w:val="ListParagraph"/>
        <w:keepNext/>
        <w:numPr>
          <w:ilvl w:val="0"/>
          <w:numId w:val="34"/>
        </w:numPr>
      </w:pPr>
      <w:r>
        <w:t>Volun</w:t>
      </w:r>
      <w:r w:rsidR="00827B76">
        <w:t>tary standards have low uptake</w:t>
      </w:r>
      <w:r w:rsidR="003F567C">
        <w:t>.</w:t>
      </w:r>
    </w:p>
    <w:p w:rsidR="00BD7C85" w:rsidRDefault="003F567C" w:rsidP="00BD7C85">
      <w:pPr>
        <w:pStyle w:val="ListParagraph"/>
        <w:keepNext/>
        <w:numPr>
          <w:ilvl w:val="0"/>
          <w:numId w:val="34"/>
        </w:numPr>
      </w:pPr>
      <w:r>
        <w:t>There is incentive for s</w:t>
      </w:r>
      <w:r w:rsidR="00BD7C85">
        <w:t xml:space="preserve">tandards </w:t>
      </w:r>
      <w:r>
        <w:t>to be</w:t>
      </w:r>
      <w:r w:rsidR="00BD7C85">
        <w:t xml:space="preserve"> pirated, </w:t>
      </w:r>
      <w:r w:rsidR="00827B76">
        <w:t xml:space="preserve">potentially </w:t>
      </w:r>
      <w:r w:rsidR="00BD7C85">
        <w:t>disseminating incomplete or out of date information</w:t>
      </w:r>
      <w:r>
        <w:t>.</w:t>
      </w:r>
    </w:p>
    <w:p w:rsidR="00BD7C85" w:rsidRDefault="00827B76" w:rsidP="00BD7C85">
      <w:pPr>
        <w:pStyle w:val="ListParagraph"/>
        <w:keepNext/>
        <w:numPr>
          <w:ilvl w:val="0"/>
          <w:numId w:val="34"/>
        </w:numPr>
      </w:pPr>
      <w:r>
        <w:t>Regulated</w:t>
      </w:r>
      <w:r w:rsidR="00BD7C85">
        <w:t xml:space="preserve"> </w:t>
      </w:r>
      <w:r>
        <w:t>S</w:t>
      </w:r>
      <w:r w:rsidR="00BD7C85">
        <w:t xml:space="preserve">tandards </w:t>
      </w:r>
      <w:r>
        <w:t xml:space="preserve">are ignored </w:t>
      </w:r>
      <w:r w:rsidR="00BD7C85">
        <w:t xml:space="preserve">altogether, at serious detriment to </w:t>
      </w:r>
      <w:r>
        <w:t xml:space="preserve">users and the public. </w:t>
      </w:r>
    </w:p>
    <w:p w:rsidR="00827B76" w:rsidRDefault="004E224C" w:rsidP="00BD7C85">
      <w:pPr>
        <w:keepNext/>
      </w:pPr>
      <w:r>
        <w:t xml:space="preserve">We understand </w:t>
      </w:r>
      <w:r w:rsidR="00632FA6">
        <w:t>SA</w:t>
      </w:r>
      <w:r w:rsidR="00BD7C85">
        <w:t xml:space="preserve"> </w:t>
      </w:r>
      <w:r w:rsidR="00632FA6">
        <w:t>does not</w:t>
      </w:r>
      <w:r w:rsidR="00BD7C85">
        <w:t xml:space="preserve"> enforce</w:t>
      </w:r>
      <w:r w:rsidR="00CA1B4C">
        <w:t xml:space="preserve"> standards compliance. However,</w:t>
      </w:r>
      <w:r w:rsidR="00BD7C85">
        <w:t xml:space="preserve"> SA should use any means possible to ensure standards are accessible </w:t>
      </w:r>
      <w:r w:rsidR="00CA1B4C">
        <w:t>to minimise public harm and maximise public benefit</w:t>
      </w:r>
      <w:r w:rsidR="00BD7C85">
        <w:t xml:space="preserve">. </w:t>
      </w:r>
    </w:p>
    <w:p w:rsidR="00144A33" w:rsidRDefault="00622CB6" w:rsidP="00BD7C85">
      <w:pPr>
        <w:keepNext/>
      </w:pPr>
      <w:r>
        <w:t>Table 1</w:t>
      </w:r>
      <w:r w:rsidR="00C93D29">
        <w:t xml:space="preserve"> outline</w:t>
      </w:r>
      <w:r>
        <w:t>s</w:t>
      </w:r>
      <w:r w:rsidR="00144A33">
        <w:t xml:space="preserve"> </w:t>
      </w:r>
      <w:r>
        <w:t>our proposal to reduce</w:t>
      </w:r>
      <w:r w:rsidR="00C93D29">
        <w:t xml:space="preserve"> the purchase </w:t>
      </w:r>
      <w:r>
        <w:t>price</w:t>
      </w:r>
      <w:r w:rsidR="00C93D29">
        <w:t xml:space="preserve"> of standards </w:t>
      </w:r>
      <w:r>
        <w:t>for</w:t>
      </w:r>
      <w:r w:rsidR="00C93D29">
        <w:t xml:space="preserve"> general consumers. </w:t>
      </w:r>
      <w:r w:rsidR="00C93D29" w:rsidRPr="001E13D1">
        <w:rPr>
          <w:lang w:eastAsia="en-US"/>
        </w:rPr>
        <w:t xml:space="preserve">We emphasise that </w:t>
      </w:r>
      <w:r w:rsidR="00C93D29">
        <w:rPr>
          <w:lang w:eastAsia="en-US"/>
        </w:rPr>
        <w:t xml:space="preserve">lower prices </w:t>
      </w:r>
      <w:r>
        <w:rPr>
          <w:lang w:eastAsia="en-US"/>
        </w:rPr>
        <w:t>and</w:t>
      </w:r>
      <w:r w:rsidR="00C93D29">
        <w:rPr>
          <w:lang w:eastAsia="en-US"/>
        </w:rPr>
        <w:t xml:space="preserve"> subsidies </w:t>
      </w:r>
      <w:r>
        <w:rPr>
          <w:lang w:eastAsia="en-US"/>
        </w:rPr>
        <w:t>open</w:t>
      </w:r>
      <w:r w:rsidR="00C93D29" w:rsidRPr="001E13D1">
        <w:rPr>
          <w:lang w:eastAsia="en-US"/>
        </w:rPr>
        <w:t xml:space="preserve"> up access to the standards market</w:t>
      </w:r>
      <w:r>
        <w:rPr>
          <w:lang w:eastAsia="en-US"/>
        </w:rPr>
        <w:t>, delivering</w:t>
      </w:r>
      <w:r w:rsidR="00C93D29">
        <w:rPr>
          <w:lang w:eastAsia="en-US"/>
        </w:rPr>
        <w:t xml:space="preserve"> broader use of standards and improved financial sustainability for SA. </w:t>
      </w:r>
    </w:p>
    <w:p w:rsidR="00B74A26" w:rsidRDefault="003F567C" w:rsidP="00BD7C85">
      <w:pPr>
        <w:keepNext/>
      </w:pPr>
      <w:r w:rsidRPr="005F6369">
        <w:t xml:space="preserve">ACCAN </w:t>
      </w:r>
      <w:r w:rsidR="00622CB6">
        <w:t xml:space="preserve">has particular interest in this issue due to the fact that we are a not-for-profit </w:t>
      </w:r>
      <w:r w:rsidRPr="005F6369">
        <w:t xml:space="preserve">peak body. </w:t>
      </w:r>
      <w:r w:rsidR="005F6369" w:rsidRPr="005F6369">
        <w:t>Like many other</w:t>
      </w:r>
      <w:r w:rsidR="005F6369">
        <w:t xml:space="preserve"> NGOs</w:t>
      </w:r>
      <w:r w:rsidR="005F6369" w:rsidRPr="005F6369">
        <w:t xml:space="preserve">, ACCAN generates submissions </w:t>
      </w:r>
      <w:r w:rsidR="00B74A26">
        <w:t>to many reviews on technical and</w:t>
      </w:r>
      <w:r w:rsidR="005F6369" w:rsidRPr="005F6369">
        <w:t xml:space="preserve"> regulatory issues</w:t>
      </w:r>
      <w:r w:rsidR="00B74A26">
        <w:t>. The purpose of this is</w:t>
      </w:r>
      <w:r w:rsidR="005F6369">
        <w:t xml:space="preserve"> to</w:t>
      </w:r>
      <w:r w:rsidR="00B74A26">
        <w:t xml:space="preserve"> advocate in the public’s interest. </w:t>
      </w:r>
      <w:r w:rsidR="00FE75A4">
        <w:t xml:space="preserve">However, </w:t>
      </w:r>
      <w:r w:rsidR="00B74A26">
        <w:t>ACCAN is currently priced out of the standards market. Better access to standards through a concessional pricing mechanism would support our submission development and enhance the impact of policy positions.</w:t>
      </w:r>
    </w:p>
    <w:p w:rsidR="00922637" w:rsidRPr="00AF309C" w:rsidRDefault="00922637" w:rsidP="00150020">
      <w:pPr>
        <w:pStyle w:val="Heading2"/>
        <w:numPr>
          <w:ilvl w:val="1"/>
          <w:numId w:val="27"/>
        </w:numPr>
        <w:rPr>
          <w:rFonts w:eastAsiaTheme="minorHAnsi"/>
        </w:rPr>
      </w:pPr>
      <w:bookmarkStart w:id="15" w:name="_Toc14422399"/>
      <w:r w:rsidRPr="00AF309C">
        <w:rPr>
          <w:rFonts w:eastAsiaTheme="minorHAnsi"/>
        </w:rPr>
        <w:t>How should SA implement the required commercial confidentiality for distribution arrangements within the context of transparency in the rest of the business?</w:t>
      </w:r>
      <w:bookmarkEnd w:id="15"/>
    </w:p>
    <w:p w:rsidR="00AF309C" w:rsidRDefault="00AF309C" w:rsidP="00AF309C">
      <w:pPr>
        <w:keepNext/>
      </w:pPr>
      <w:r w:rsidRPr="006E23FA">
        <w:t>Not applicable.</w:t>
      </w:r>
    </w:p>
    <w:p w:rsidR="00A316D6" w:rsidRDefault="00A316D6" w:rsidP="00AF309C">
      <w:pPr>
        <w:keepNext/>
      </w:pPr>
    </w:p>
    <w:p w:rsidR="00A316D6" w:rsidRPr="00AF309C" w:rsidRDefault="00A316D6" w:rsidP="00AF309C">
      <w:pPr>
        <w:keepNext/>
      </w:pPr>
    </w:p>
    <w:p w:rsidR="00922637" w:rsidRDefault="00922637" w:rsidP="00A316D6">
      <w:pPr>
        <w:pStyle w:val="Heading2"/>
        <w:keepLines/>
        <w:numPr>
          <w:ilvl w:val="1"/>
          <w:numId w:val="27"/>
        </w:numPr>
        <w:rPr>
          <w:rFonts w:eastAsiaTheme="minorHAnsi"/>
        </w:rPr>
      </w:pPr>
      <w:bookmarkStart w:id="16" w:name="_Toc14422400"/>
      <w:r w:rsidRPr="007C2C9D">
        <w:rPr>
          <w:rFonts w:eastAsiaTheme="minorHAnsi"/>
        </w:rPr>
        <w:lastRenderedPageBreak/>
        <w:t>How can Regulated Standards be made more accessible to the end user while maintaining the financial sustainability of the standards ecosystem?</w:t>
      </w:r>
      <w:bookmarkEnd w:id="16"/>
    </w:p>
    <w:p w:rsidR="00C6023D" w:rsidRDefault="00882E09" w:rsidP="00A316D6">
      <w:pPr>
        <w:keepNext/>
        <w:keepLines/>
      </w:pPr>
      <w:r>
        <w:t xml:space="preserve">As outlined in our </w:t>
      </w:r>
      <w:r w:rsidR="00CA1B4C">
        <w:t>proposed distribution</w:t>
      </w:r>
      <w:r w:rsidR="00622CB6">
        <w:t xml:space="preserve"> and pricing</w:t>
      </w:r>
      <w:r w:rsidR="00CA1B4C">
        <w:t xml:space="preserve"> framework</w:t>
      </w:r>
      <w:r w:rsidR="00622CB6">
        <w:t xml:space="preserve"> in Table</w:t>
      </w:r>
      <w:r w:rsidR="00E900A5">
        <w:t xml:space="preserve"> </w:t>
      </w:r>
      <w:r w:rsidR="00622CB6">
        <w:t>1</w:t>
      </w:r>
      <w:r w:rsidR="00CA1B4C">
        <w:t xml:space="preserve">, Regulated Standards must be freely accessible to the public. </w:t>
      </w:r>
      <w:r w:rsidR="00C6023D">
        <w:t xml:space="preserve">SA should actively deliver on Section 8.32.4 of their MOU with the </w:t>
      </w:r>
      <w:r w:rsidR="00FE75A4">
        <w:t>G</w:t>
      </w:r>
      <w:r w:rsidR="00C6023D">
        <w:t>overnment, which states that SA will work towards providing:</w:t>
      </w:r>
    </w:p>
    <w:p w:rsidR="00C6023D" w:rsidRDefault="00C6023D" w:rsidP="00C6023D">
      <w:pPr>
        <w:pStyle w:val="Blockquote"/>
      </w:pPr>
      <w:r>
        <w:t xml:space="preserve">‘Options … to facilitate forms of public access to Australian Standards, </w:t>
      </w:r>
      <w:r w:rsidRPr="00C6023D">
        <w:rPr>
          <w:b/>
        </w:rPr>
        <w:t>particularly where referenced in regulation</w:t>
      </w:r>
      <w:r>
        <w:t xml:space="preserve"> …’ </w:t>
      </w:r>
    </w:p>
    <w:p w:rsidR="00CA1B4C" w:rsidRDefault="00CA1B4C" w:rsidP="00882E09">
      <w:pPr>
        <w:keepNext/>
      </w:pPr>
      <w:r>
        <w:t>We understand that SA must preserve its financial sustainability</w:t>
      </w:r>
      <w:r w:rsidR="00B74A26">
        <w:t>, and that standards development</w:t>
      </w:r>
      <w:r w:rsidR="00622CB6">
        <w:t xml:space="preserve"> and distribution</w:t>
      </w:r>
      <w:r w:rsidR="00B74A26">
        <w:t xml:space="preserve"> incurs unavoidable costs</w:t>
      </w:r>
      <w:r>
        <w:t xml:space="preserve">. This is why we propose that the </w:t>
      </w:r>
      <w:r w:rsidR="004E224C">
        <w:t>government</w:t>
      </w:r>
      <w:r>
        <w:t xml:space="preserve"> subsidies the full cost of</w:t>
      </w:r>
      <w:r w:rsidR="005F6369">
        <w:t xml:space="preserve"> distributing</w:t>
      </w:r>
      <w:r>
        <w:t xml:space="preserve"> </w:t>
      </w:r>
      <w:r w:rsidR="005F6369">
        <w:t>Regulated Standards</w:t>
      </w:r>
      <w:r>
        <w:t>.</w:t>
      </w:r>
      <w:r w:rsidR="005F6369">
        <w:t xml:space="preserve"> If individuals and organisations are expected to </w:t>
      </w:r>
      <w:r w:rsidR="00B74A26">
        <w:t xml:space="preserve">comply with Regulated Standards, they must be able to freely access them. </w:t>
      </w:r>
    </w:p>
    <w:p w:rsidR="00632FA6" w:rsidRDefault="00B74A26" w:rsidP="00882E09">
      <w:pPr>
        <w:keepNext/>
      </w:pPr>
      <w:r>
        <w:t xml:space="preserve">See our response to question J for more information on concessional access for NGOs. </w:t>
      </w:r>
    </w:p>
    <w:p w:rsidR="00922637" w:rsidRDefault="00922637" w:rsidP="00632FA6">
      <w:pPr>
        <w:pStyle w:val="Heading2"/>
        <w:keepLines/>
        <w:numPr>
          <w:ilvl w:val="1"/>
          <w:numId w:val="27"/>
        </w:numPr>
        <w:rPr>
          <w:rFonts w:eastAsiaTheme="minorHAnsi"/>
        </w:rPr>
      </w:pPr>
      <w:bookmarkStart w:id="17" w:name="_Toc14422401"/>
      <w:r w:rsidRPr="00922637">
        <w:rPr>
          <w:rFonts w:eastAsiaTheme="minorHAnsi"/>
        </w:rPr>
        <w:t>How can access beyond existing chan</w:t>
      </w:r>
      <w:r>
        <w:rPr>
          <w:rFonts w:eastAsiaTheme="minorHAnsi"/>
        </w:rPr>
        <w:t>nels be made easier for user gr</w:t>
      </w:r>
      <w:r w:rsidRPr="00922637">
        <w:rPr>
          <w:rFonts w:eastAsiaTheme="minorHAnsi"/>
        </w:rPr>
        <w:t>oups like</w:t>
      </w:r>
      <w:r>
        <w:rPr>
          <w:rFonts w:eastAsiaTheme="minorHAnsi"/>
        </w:rPr>
        <w:t xml:space="preserve"> </w:t>
      </w:r>
      <w:r w:rsidRPr="00922637">
        <w:rPr>
          <w:rFonts w:eastAsiaTheme="minorHAnsi"/>
        </w:rPr>
        <w:t>TAFE and university students?</w:t>
      </w:r>
      <w:bookmarkEnd w:id="17"/>
    </w:p>
    <w:p w:rsidR="00C93D29" w:rsidRDefault="00134106" w:rsidP="00C93D29">
      <w:pPr>
        <w:keepNext/>
        <w:keepLines/>
      </w:pPr>
      <w:r>
        <w:t>Wider use of standards by students at TAFE</w:t>
      </w:r>
      <w:r w:rsidR="002B31A5">
        <w:t xml:space="preserve"> </w:t>
      </w:r>
      <w:r>
        <w:t>or university</w:t>
      </w:r>
      <w:r w:rsidR="002B31A5">
        <w:t xml:space="preserve"> facilitates brand familiarity</w:t>
      </w:r>
      <w:r w:rsidR="004E224C">
        <w:t xml:space="preserve"> with</w:t>
      </w:r>
      <w:r w:rsidR="002B31A5">
        <w:t xml:space="preserve"> and trust in standards. This can increase the use of standards in technical and other fields, and </w:t>
      </w:r>
      <w:r w:rsidR="00D81E14">
        <w:t>is an investment in</w:t>
      </w:r>
      <w:r w:rsidR="002B31A5">
        <w:t xml:space="preserve"> </w:t>
      </w:r>
      <w:r w:rsidR="00B74A26">
        <w:t>SA’s financial sustainability</w:t>
      </w:r>
      <w:r w:rsidR="002B31A5">
        <w:t xml:space="preserve">. </w:t>
      </w:r>
    </w:p>
    <w:p w:rsidR="00134106" w:rsidRDefault="00134106" w:rsidP="00C93D29">
      <w:pPr>
        <w:keepNext/>
        <w:keepLines/>
      </w:pPr>
      <w:r>
        <w:t>We recommend that:</w:t>
      </w:r>
    </w:p>
    <w:p w:rsidR="00134106" w:rsidRDefault="00134106" w:rsidP="00134106">
      <w:pPr>
        <w:pStyle w:val="ListParagraph"/>
        <w:numPr>
          <w:ilvl w:val="0"/>
          <w:numId w:val="32"/>
        </w:numPr>
      </w:pPr>
      <w:r>
        <w:t>Students access standards for free on their personal devices via their educational provider’s licen</w:t>
      </w:r>
      <w:r w:rsidR="00A12F4F">
        <w:t>c</w:t>
      </w:r>
      <w:r>
        <w:t>e,</w:t>
      </w:r>
    </w:p>
    <w:p w:rsidR="002B31A5" w:rsidRDefault="00134106" w:rsidP="00134106">
      <w:pPr>
        <w:pStyle w:val="ListParagraph"/>
        <w:numPr>
          <w:ilvl w:val="0"/>
          <w:numId w:val="32"/>
        </w:numPr>
      </w:pPr>
      <w:r>
        <w:t>SA mirrors content delivery models implemented by academic publishers to ensure that students can access standards according to their needs.</w:t>
      </w:r>
    </w:p>
    <w:p w:rsidR="00134106" w:rsidRPr="00FA6E3C" w:rsidRDefault="00622CB6" w:rsidP="00134106">
      <w:r>
        <w:t xml:space="preserve">For example, students could download sections of a standard via an online portal, or ‘check out’ the entire </w:t>
      </w:r>
      <w:r w:rsidR="00A12F4F">
        <w:t>s</w:t>
      </w:r>
      <w:r>
        <w:t xml:space="preserve">tandard for a period of time, similar to accessing a chapter of an academic book or journal article. Free access to standards via libraries online or in person also ensures SA can meet students’ access needs. </w:t>
      </w:r>
    </w:p>
    <w:p w:rsidR="00922637" w:rsidRDefault="00922637" w:rsidP="00745D25">
      <w:pPr>
        <w:pStyle w:val="Heading2"/>
        <w:keepLines/>
        <w:numPr>
          <w:ilvl w:val="1"/>
          <w:numId w:val="27"/>
        </w:numPr>
        <w:rPr>
          <w:rFonts w:eastAsiaTheme="minorHAnsi"/>
        </w:rPr>
      </w:pPr>
      <w:bookmarkStart w:id="18" w:name="_Toc14422402"/>
      <w:r w:rsidRPr="007C2C9D">
        <w:rPr>
          <w:rFonts w:eastAsiaTheme="minorHAnsi"/>
        </w:rPr>
        <w:lastRenderedPageBreak/>
        <w:t>How can useful information be better provided to the public regarding Consumer Interest Standards?</w:t>
      </w:r>
      <w:bookmarkEnd w:id="18"/>
    </w:p>
    <w:p w:rsidR="00632FA6" w:rsidRDefault="00B74A26" w:rsidP="00745D25">
      <w:pPr>
        <w:keepNext/>
        <w:keepLines/>
      </w:pPr>
      <w:r>
        <w:t>ACCAN supports the development</w:t>
      </w:r>
      <w:r w:rsidR="00E033F3">
        <w:t xml:space="preserve"> of non-traditional</w:t>
      </w:r>
      <w:r>
        <w:t xml:space="preserve"> products</w:t>
      </w:r>
      <w:r w:rsidR="00E033F3">
        <w:t xml:space="preserve"> by third party innovators</w:t>
      </w:r>
      <w:r w:rsidR="00632FA6">
        <w:t xml:space="preserve"> to strengthen general consumers’ understanding of standards</w:t>
      </w:r>
      <w:r w:rsidR="00C6023D">
        <w:t>, especially those regarding product safety or other public interest issues</w:t>
      </w:r>
      <w:r>
        <w:t>.</w:t>
      </w:r>
      <w:r w:rsidR="00C6023D">
        <w:t xml:space="preserve"> </w:t>
      </w:r>
      <w:r w:rsidR="00A12F4F">
        <w:t>As mentioned in our response to question H above, w</w:t>
      </w:r>
      <w:r w:rsidR="00632FA6">
        <w:t>e recommend that any third-party content is</w:t>
      </w:r>
      <w:r>
        <w:t xml:space="preserve"> approved by the relevant Commit</w:t>
      </w:r>
      <w:r w:rsidR="00632FA6">
        <w:t>tee that oversees the Standard. This could be through:</w:t>
      </w:r>
    </w:p>
    <w:p w:rsidR="00632FA6" w:rsidRDefault="00632FA6" w:rsidP="00632FA6">
      <w:pPr>
        <w:pStyle w:val="ListParagraph"/>
        <w:keepNext/>
        <w:numPr>
          <w:ilvl w:val="0"/>
          <w:numId w:val="45"/>
        </w:numPr>
      </w:pPr>
      <w:r>
        <w:t>Formal approval granted by the Committee</w:t>
      </w:r>
      <w:r w:rsidR="00C93D29">
        <w:t>,</w:t>
      </w:r>
    </w:p>
    <w:p w:rsidR="00B74A26" w:rsidRDefault="00632FA6" w:rsidP="00632FA6">
      <w:pPr>
        <w:pStyle w:val="ListParagraph"/>
        <w:keepNext/>
        <w:numPr>
          <w:ilvl w:val="0"/>
          <w:numId w:val="45"/>
        </w:numPr>
      </w:pPr>
      <w:r>
        <w:t xml:space="preserve">Informal involvement in the development of the material. </w:t>
      </w:r>
    </w:p>
    <w:p w:rsidR="00632FA6" w:rsidRDefault="00632FA6" w:rsidP="00B74A26">
      <w:pPr>
        <w:keepNext/>
      </w:pPr>
      <w:r>
        <w:t xml:space="preserve">This is so that essential detail is not lost </w:t>
      </w:r>
      <w:r w:rsidR="00C93D29">
        <w:t xml:space="preserve">in the creation of </w:t>
      </w:r>
      <w:r w:rsidR="00C61BD1">
        <w:t>non-traditional</w:t>
      </w:r>
      <w:r w:rsidR="00C93D29">
        <w:t xml:space="preserve"> standards material, and so that SA </w:t>
      </w:r>
      <w:r w:rsidR="00C61BD1">
        <w:t>retains a key role in developing this material</w:t>
      </w:r>
      <w:r w:rsidR="00C93D29">
        <w:t xml:space="preserve">. </w:t>
      </w:r>
    </w:p>
    <w:p w:rsidR="00C6023D" w:rsidRDefault="00C6023D" w:rsidP="00B74A26">
      <w:pPr>
        <w:keepNext/>
      </w:pPr>
      <w:r>
        <w:t xml:space="preserve">SA should consider developing, or ensure that third parties can </w:t>
      </w:r>
      <w:bookmarkStart w:id="19" w:name="_GoBack"/>
      <w:bookmarkEnd w:id="19"/>
      <w:r w:rsidR="000C2ECB">
        <w:t>develop</w:t>
      </w:r>
      <w:r>
        <w:t xml:space="preserve"> Easy English resources to accompany Consumer Interest Standards. This must be in addition to any other efforts made to ensure standards are accessible to end users. </w:t>
      </w:r>
    </w:p>
    <w:p w:rsidR="00993C92" w:rsidRPr="007B5331" w:rsidRDefault="00922637" w:rsidP="007B5331">
      <w:pPr>
        <w:pStyle w:val="Heading2"/>
        <w:numPr>
          <w:ilvl w:val="1"/>
          <w:numId w:val="27"/>
        </w:numPr>
        <w:rPr>
          <w:rFonts w:eastAsiaTheme="minorHAnsi"/>
        </w:rPr>
      </w:pPr>
      <w:bookmarkStart w:id="20" w:name="_Toc14422403"/>
      <w:r w:rsidRPr="00FB2E2C">
        <w:rPr>
          <w:rFonts w:eastAsiaTheme="minorHAnsi"/>
        </w:rPr>
        <w:t xml:space="preserve">Do you have a view on what types of partners SA could work with in providing better information to the public regarding </w:t>
      </w:r>
      <w:r w:rsidR="00910B5B" w:rsidRPr="00FB2E2C">
        <w:rPr>
          <w:rFonts w:eastAsiaTheme="minorHAnsi"/>
        </w:rPr>
        <w:t>Consumer Interest Standards</w:t>
      </w:r>
      <w:bookmarkEnd w:id="20"/>
    </w:p>
    <w:p w:rsidR="009B50D1" w:rsidRPr="00FB2E2C" w:rsidRDefault="007B5331" w:rsidP="007B5331">
      <w:pPr>
        <w:keepNext/>
      </w:pPr>
      <w:r w:rsidRPr="006E23FA">
        <w:t>Not applicable.</w:t>
      </w:r>
    </w:p>
    <w:sectPr w:rsidR="009B50D1" w:rsidRPr="00FB2E2C" w:rsidSect="00E063C1">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6E" w:rsidRDefault="00957B6E" w:rsidP="00B14DFB">
      <w:r>
        <w:separator/>
      </w:r>
    </w:p>
  </w:endnote>
  <w:endnote w:type="continuationSeparator" w:id="0">
    <w:p w:rsidR="00957B6E" w:rsidRDefault="00957B6E"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6E" w:rsidRDefault="00957B6E"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A56F15">
      <w:rPr>
        <w:noProof/>
      </w:rPr>
      <w:t>9</w:t>
    </w:r>
    <w:r w:rsidRPr="00C4251E">
      <w:rPr>
        <w:noProof/>
      </w:rPr>
      <w:fldChar w:fldCharType="end"/>
    </w:r>
  </w:p>
  <w:p w:rsidR="00957B6E" w:rsidRPr="000F58CC" w:rsidRDefault="00957B6E"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6E" w:rsidRDefault="00957B6E" w:rsidP="0078746D">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A56F15">
      <w:rPr>
        <w:noProof/>
      </w:rPr>
      <w:t>1</w:t>
    </w:r>
    <w:r w:rsidRPr="00C4251E">
      <w:rPr>
        <w:noProof/>
      </w:rPr>
      <w:fldChar w:fldCharType="end"/>
    </w:r>
  </w:p>
  <w:p w:rsidR="00957B6E" w:rsidRDefault="00957B6E" w:rsidP="0078746D">
    <w:pPr>
      <w:pStyle w:val="Footerpage1"/>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6E" w:rsidRDefault="00957B6E" w:rsidP="00B14DFB">
      <w:r>
        <w:separator/>
      </w:r>
    </w:p>
  </w:footnote>
  <w:footnote w:type="continuationSeparator" w:id="0">
    <w:p w:rsidR="00957B6E" w:rsidRDefault="00957B6E" w:rsidP="00B14DFB">
      <w:r>
        <w:continuationSeparator/>
      </w:r>
    </w:p>
  </w:footnote>
  <w:footnote w:id="1">
    <w:p w:rsidR="00957B6E" w:rsidRDefault="00957B6E" w:rsidP="00DA33FE">
      <w:pPr>
        <w:pStyle w:val="FootnoteText"/>
      </w:pPr>
      <w:r>
        <w:rPr>
          <w:rStyle w:val="FootnoteReference"/>
        </w:rPr>
        <w:footnoteRef/>
      </w:r>
      <w:r>
        <w:t xml:space="preserve"> Standards Australia 2019, </w:t>
      </w:r>
      <w:hyperlink r:id="rId1" w:history="1">
        <w:r w:rsidRPr="00912691">
          <w:rPr>
            <w:rStyle w:val="Hyperlink"/>
          </w:rPr>
          <w:t>Financial report</w:t>
        </w:r>
        <w:r>
          <w:rPr>
            <w:rStyle w:val="Hyperlink"/>
          </w:rPr>
          <w:t xml:space="preserve"> </w:t>
        </w:r>
        <w:r w:rsidRPr="00912691">
          <w:rPr>
            <w:rStyle w:val="Hyperlink"/>
          </w:rPr>
          <w:t>2018</w:t>
        </w:r>
      </w:hyperlink>
      <w:r>
        <w:t xml:space="preserve">, p. 42 </w:t>
      </w:r>
    </w:p>
  </w:footnote>
  <w:footnote w:id="2">
    <w:p w:rsidR="00957B6E" w:rsidRDefault="00957B6E" w:rsidP="00DA33FE">
      <w:pPr>
        <w:pStyle w:val="FootnoteText"/>
      </w:pPr>
      <w:r>
        <w:rPr>
          <w:rStyle w:val="FootnoteReference"/>
        </w:rPr>
        <w:footnoteRef/>
      </w:r>
      <w:r>
        <w:t xml:space="preserve"> Clarke, D 2019, </w:t>
      </w:r>
      <w:hyperlink r:id="rId2" w:history="1">
        <w:r w:rsidRPr="00FA3546">
          <w:rPr>
            <w:rStyle w:val="Hyperlink"/>
          </w:rPr>
          <w:t>Australian Standards: The Unfair Exchange</w:t>
        </w:r>
      </w:hyperlink>
    </w:p>
  </w:footnote>
  <w:footnote w:id="3">
    <w:p w:rsidR="00957B6E" w:rsidRDefault="00957B6E">
      <w:pPr>
        <w:pStyle w:val="FootnoteText"/>
      </w:pPr>
      <w:r>
        <w:rPr>
          <w:rStyle w:val="FootnoteReference"/>
        </w:rPr>
        <w:footnoteRef/>
      </w:r>
      <w:r>
        <w:t xml:space="preserve"> Department of Industries, Innovation and Science 2018, </w:t>
      </w:r>
      <w:hyperlink r:id="rId3" w:history="1">
        <w:r w:rsidRPr="00BB4209">
          <w:rPr>
            <w:rStyle w:val="Hyperlink"/>
          </w:rPr>
          <w:t>Memorandum of Understanding between the Commonwealth of Australia and Standards Australia</w:t>
        </w:r>
      </w:hyperlink>
      <w:r>
        <w:t>, p.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6E" w:rsidRDefault="00957B6E" w:rsidP="00E45E4C">
    <w:pPr>
      <w:pStyle w:val="Header"/>
      <w:jc w:val="right"/>
    </w:pPr>
    <w:r>
      <w:rPr>
        <w:noProof/>
        <w:lang w:eastAsia="en-AU"/>
      </w:rPr>
      <w:drawing>
        <wp:inline distT="0" distB="0" distL="0" distR="0" wp14:anchorId="7551A71A" wp14:editId="58848F99">
          <wp:extent cx="678787" cy="296066"/>
          <wp:effectExtent l="0" t="0" r="7620" b="8890"/>
          <wp:docPr id="6" name="Picture 6"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6E" w:rsidRDefault="00A316D6" w:rsidP="00B14DFB">
    <w:pPr>
      <w:pStyle w:val="Header"/>
      <w:jc w:val="center"/>
    </w:pPr>
    <w:r>
      <w:rPr>
        <w:noProof/>
        <w:lang w:eastAsia="en-AU"/>
      </w:rPr>
      <w:drawing>
        <wp:anchor distT="0" distB="0" distL="114300" distR="114300" simplePos="0" relativeHeight="251659264" behindDoc="0" locked="0" layoutInCell="1" allowOverlap="1" wp14:anchorId="0ED542F5" wp14:editId="267660F6">
          <wp:simplePos x="0" y="0"/>
          <wp:positionH relativeFrom="column">
            <wp:posOffset>1487170</wp:posOffset>
          </wp:positionH>
          <wp:positionV relativeFrom="paragraph">
            <wp:posOffset>784225</wp:posOffset>
          </wp:positionV>
          <wp:extent cx="3057525" cy="1581150"/>
          <wp:effectExtent l="0" t="0" r="9525" b="0"/>
          <wp:wrapSquare wrapText="bothSides"/>
          <wp:docPr id="1"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D6" w:rsidRDefault="00A316D6" w:rsidP="00B14DF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54F"/>
    <w:multiLevelType w:val="hybridMultilevel"/>
    <w:tmpl w:val="5764F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5F000D"/>
    <w:multiLevelType w:val="hybridMultilevel"/>
    <w:tmpl w:val="678614E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
    <w:nsid w:val="19F57F2A"/>
    <w:multiLevelType w:val="hybridMultilevel"/>
    <w:tmpl w:val="9704F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8B452D"/>
    <w:multiLevelType w:val="hybridMultilevel"/>
    <w:tmpl w:val="408EE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B02C8A"/>
    <w:multiLevelType w:val="hybridMultilevel"/>
    <w:tmpl w:val="CD9A1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972152"/>
    <w:multiLevelType w:val="hybridMultilevel"/>
    <w:tmpl w:val="102CD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C80464"/>
    <w:multiLevelType w:val="hybridMultilevel"/>
    <w:tmpl w:val="46627DA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7">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8">
    <w:nsid w:val="337C5FB2"/>
    <w:multiLevelType w:val="multilevel"/>
    <w:tmpl w:val="6AFEEB4C"/>
    <w:numStyleLink w:val="Bullets"/>
  </w:abstractNum>
  <w:abstractNum w:abstractNumId="9">
    <w:nsid w:val="33D9536F"/>
    <w:multiLevelType w:val="multilevel"/>
    <w:tmpl w:val="0C02111A"/>
    <w:numStyleLink w:val="Headings"/>
  </w:abstractNum>
  <w:abstractNum w:abstractNumId="1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1">
    <w:nsid w:val="39860C67"/>
    <w:multiLevelType w:val="multilevel"/>
    <w:tmpl w:val="0C02111A"/>
    <w:numStyleLink w:val="Headings"/>
  </w:abstractNum>
  <w:abstractNum w:abstractNumId="12">
    <w:nsid w:val="3B8804BF"/>
    <w:multiLevelType w:val="hybridMultilevel"/>
    <w:tmpl w:val="A4086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DF936BD"/>
    <w:multiLevelType w:val="multilevel"/>
    <w:tmpl w:val="0C02111A"/>
    <w:numStyleLink w:val="Headings"/>
  </w:abstractNum>
  <w:abstractNum w:abstractNumId="14">
    <w:nsid w:val="3EAA3058"/>
    <w:multiLevelType w:val="multilevel"/>
    <w:tmpl w:val="45E60ADE"/>
    <w:lvl w:ilvl="0">
      <w:start w:val="1"/>
      <w:numFmt w:val="decimal"/>
      <w:lvlText w:val="%1."/>
      <w:lvlJc w:val="left"/>
      <w:pPr>
        <w:ind w:left="0" w:firstLine="0"/>
      </w:pPr>
      <w:rPr>
        <w:rFonts w:hint="default"/>
      </w:rPr>
    </w:lvl>
    <w:lvl w:ilvl="1">
      <w:start w:val="1"/>
      <w:numFmt w:val="none"/>
      <w:lvlText w:val=""/>
      <w:lvlJc w:val="left"/>
      <w:pPr>
        <w:ind w:left="0" w:hanging="851"/>
      </w:pPr>
      <w:rPr>
        <w:rFonts w:hint="default"/>
      </w:rPr>
    </w:lvl>
    <w:lvl w:ilvl="2">
      <w:start w:val="1"/>
      <w:numFmt w:val="none"/>
      <w:lvlText w:val=""/>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15">
    <w:nsid w:val="3F6C5C2B"/>
    <w:multiLevelType w:val="hybridMultilevel"/>
    <w:tmpl w:val="545CA91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nsid w:val="42EC117A"/>
    <w:multiLevelType w:val="multilevel"/>
    <w:tmpl w:val="34226E66"/>
    <w:lvl w:ilvl="0">
      <w:start w:val="1"/>
      <w:numFmt w:val="decimal"/>
      <w:lvlText w:val="%1."/>
      <w:lvlJc w:val="left"/>
      <w:pPr>
        <w:ind w:left="851" w:hanging="851"/>
      </w:pPr>
      <w:rPr>
        <w:rFonts w:hint="default"/>
      </w:rPr>
    </w:lvl>
    <w:lvl w:ilvl="1">
      <w:start w:val="1"/>
      <w:numFmt w:val="upperLetter"/>
      <w:lvlText w:val="%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7">
    <w:nsid w:val="49AC154E"/>
    <w:multiLevelType w:val="hybridMultilevel"/>
    <w:tmpl w:val="C3F64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51EF7D37"/>
    <w:multiLevelType w:val="hybridMultilevel"/>
    <w:tmpl w:val="07328A5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nsid w:val="53A36A85"/>
    <w:multiLevelType w:val="hybridMultilevel"/>
    <w:tmpl w:val="8138B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CE7E25"/>
    <w:multiLevelType w:val="hybridMultilevel"/>
    <w:tmpl w:val="8A183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A467144"/>
    <w:multiLevelType w:val="multilevel"/>
    <w:tmpl w:val="989E8E90"/>
    <w:numStyleLink w:val="Appendices"/>
  </w:abstractNum>
  <w:abstractNum w:abstractNumId="23">
    <w:nsid w:val="5D5C6FAE"/>
    <w:multiLevelType w:val="hybridMultilevel"/>
    <w:tmpl w:val="8CFE8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A80F89"/>
    <w:multiLevelType w:val="hybridMultilevel"/>
    <w:tmpl w:val="44E8D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269219D"/>
    <w:multiLevelType w:val="hybridMultilevel"/>
    <w:tmpl w:val="62C2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BB615B"/>
    <w:multiLevelType w:val="multilevel"/>
    <w:tmpl w:val="45E60ADE"/>
    <w:lvl w:ilvl="0">
      <w:start w:val="1"/>
      <w:numFmt w:val="decimal"/>
      <w:lvlText w:val="%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8">
    <w:nsid w:val="67CF2AF5"/>
    <w:multiLevelType w:val="hybridMultilevel"/>
    <w:tmpl w:val="74AC6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9496ACD"/>
    <w:multiLevelType w:val="hybridMultilevel"/>
    <w:tmpl w:val="2032A44A"/>
    <w:lvl w:ilvl="0" w:tplc="27A2F6DA">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AAF098D"/>
    <w:multiLevelType w:val="multilevel"/>
    <w:tmpl w:val="0C02111A"/>
    <w:numStyleLink w:val="Headings"/>
  </w:abstractNum>
  <w:abstractNum w:abstractNumId="31">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nsid w:val="75505CAF"/>
    <w:multiLevelType w:val="hybridMultilevel"/>
    <w:tmpl w:val="335CC0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5B8558C"/>
    <w:multiLevelType w:val="hybridMultilevel"/>
    <w:tmpl w:val="4A921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FF45ED"/>
    <w:multiLevelType w:val="multilevel"/>
    <w:tmpl w:val="0C02111A"/>
    <w:styleLink w:val="Headings"/>
    <w:lvl w:ilvl="0">
      <w:start w:val="1"/>
      <w:numFmt w:val="decimal"/>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25"/>
  </w:num>
  <w:num w:numId="2">
    <w:abstractNumId w:val="3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1"/>
  </w:num>
  <w:num w:numId="6">
    <w:abstractNumId w:val="7"/>
  </w:num>
  <w:num w:numId="7">
    <w:abstractNumId w:val="13"/>
  </w:num>
  <w:num w:numId="8">
    <w:abstractNumId w:val="8"/>
  </w:num>
  <w:num w:numId="9">
    <w:abstractNumId w:val="8"/>
  </w:num>
  <w:num w:numId="10">
    <w:abstractNumId w:val="8"/>
  </w:num>
  <w:num w:numId="11">
    <w:abstractNumId w:val="8"/>
  </w:num>
  <w:num w:numId="12">
    <w:abstractNumId w:val="7"/>
  </w:num>
  <w:num w:numId="13">
    <w:abstractNumId w:val="9"/>
  </w:num>
  <w:num w:numId="14">
    <w:abstractNumId w:val="9"/>
  </w:num>
  <w:num w:numId="15">
    <w:abstractNumId w:val="9"/>
  </w:num>
  <w:num w:numId="16">
    <w:abstractNumId w:val="34"/>
  </w:num>
  <w:num w:numId="17">
    <w:abstractNumId w:val="18"/>
  </w:num>
  <w:num w:numId="18">
    <w:abstractNumId w:val="22"/>
  </w:num>
  <w:num w:numId="19">
    <w:abstractNumId w:val="22"/>
  </w:num>
  <w:num w:numId="20">
    <w:abstractNumId w:val="31"/>
  </w:num>
  <w:num w:numId="21">
    <w:abstractNumId w:val="31"/>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7"/>
  </w:num>
  <w:num w:numId="26">
    <w:abstractNumId w:val="14"/>
  </w:num>
  <w:num w:numId="27">
    <w:abstractNumId w:val="16"/>
  </w:num>
  <w:num w:numId="28">
    <w:abstractNumId w:val="2"/>
  </w:num>
  <w:num w:numId="29">
    <w:abstractNumId w:val="5"/>
  </w:num>
  <w:num w:numId="30">
    <w:abstractNumId w:val="3"/>
  </w:num>
  <w:num w:numId="31">
    <w:abstractNumId w:val="34"/>
  </w:num>
  <w:num w:numId="32">
    <w:abstractNumId w:val="17"/>
  </w:num>
  <w:num w:numId="33">
    <w:abstractNumId w:val="6"/>
  </w:num>
  <w:num w:numId="34">
    <w:abstractNumId w:val="0"/>
  </w:num>
  <w:num w:numId="35">
    <w:abstractNumId w:val="4"/>
  </w:num>
  <w:num w:numId="36">
    <w:abstractNumId w:val="15"/>
  </w:num>
  <w:num w:numId="37">
    <w:abstractNumId w:val="19"/>
  </w:num>
  <w:num w:numId="38">
    <w:abstractNumId w:val="1"/>
  </w:num>
  <w:num w:numId="39">
    <w:abstractNumId w:val="21"/>
  </w:num>
  <w:num w:numId="40">
    <w:abstractNumId w:val="12"/>
  </w:num>
  <w:num w:numId="41">
    <w:abstractNumId w:val="28"/>
  </w:num>
  <w:num w:numId="42">
    <w:abstractNumId w:val="23"/>
  </w:num>
  <w:num w:numId="43">
    <w:abstractNumId w:val="24"/>
  </w:num>
  <w:num w:numId="44">
    <w:abstractNumId w:val="26"/>
  </w:num>
  <w:num w:numId="45">
    <w:abstractNumId w:val="20"/>
  </w:num>
  <w:num w:numId="46">
    <w:abstractNumId w:val="29"/>
  </w:num>
  <w:num w:numId="47">
    <w:abstractNumId w:val="3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90"/>
    <w:rsid w:val="00023BFE"/>
    <w:rsid w:val="00027253"/>
    <w:rsid w:val="00040682"/>
    <w:rsid w:val="00047257"/>
    <w:rsid w:val="00051031"/>
    <w:rsid w:val="0005265C"/>
    <w:rsid w:val="0007503C"/>
    <w:rsid w:val="0009694E"/>
    <w:rsid w:val="000975C5"/>
    <w:rsid w:val="000C2ECB"/>
    <w:rsid w:val="000D51F4"/>
    <w:rsid w:val="000F4BB1"/>
    <w:rsid w:val="000F58CC"/>
    <w:rsid w:val="00134106"/>
    <w:rsid w:val="00144A33"/>
    <w:rsid w:val="00147A7F"/>
    <w:rsid w:val="00150020"/>
    <w:rsid w:val="001512A1"/>
    <w:rsid w:val="00183034"/>
    <w:rsid w:val="001C28E7"/>
    <w:rsid w:val="001C6657"/>
    <w:rsid w:val="001E13D1"/>
    <w:rsid w:val="002127F0"/>
    <w:rsid w:val="00234042"/>
    <w:rsid w:val="00273555"/>
    <w:rsid w:val="002A629E"/>
    <w:rsid w:val="002B31A5"/>
    <w:rsid w:val="002B4EE2"/>
    <w:rsid w:val="002C4AE8"/>
    <w:rsid w:val="002E4872"/>
    <w:rsid w:val="002F249E"/>
    <w:rsid w:val="00311145"/>
    <w:rsid w:val="00336310"/>
    <w:rsid w:val="003441E5"/>
    <w:rsid w:val="00345A17"/>
    <w:rsid w:val="00350790"/>
    <w:rsid w:val="0036351B"/>
    <w:rsid w:val="00393A25"/>
    <w:rsid w:val="003B1499"/>
    <w:rsid w:val="003E6503"/>
    <w:rsid w:val="003E76C5"/>
    <w:rsid w:val="003F567C"/>
    <w:rsid w:val="003F6199"/>
    <w:rsid w:val="0040706F"/>
    <w:rsid w:val="004119E2"/>
    <w:rsid w:val="004243B3"/>
    <w:rsid w:val="00432426"/>
    <w:rsid w:val="00432D15"/>
    <w:rsid w:val="004415F3"/>
    <w:rsid w:val="00447E1F"/>
    <w:rsid w:val="004552EA"/>
    <w:rsid w:val="00472C7E"/>
    <w:rsid w:val="00472CA7"/>
    <w:rsid w:val="00477BDB"/>
    <w:rsid w:val="004A01EB"/>
    <w:rsid w:val="004A55CC"/>
    <w:rsid w:val="004A791B"/>
    <w:rsid w:val="004B7462"/>
    <w:rsid w:val="004C055B"/>
    <w:rsid w:val="004C3886"/>
    <w:rsid w:val="004C606C"/>
    <w:rsid w:val="004D1F60"/>
    <w:rsid w:val="004E224C"/>
    <w:rsid w:val="004F2201"/>
    <w:rsid w:val="004F6AAA"/>
    <w:rsid w:val="00511400"/>
    <w:rsid w:val="005127EE"/>
    <w:rsid w:val="00517123"/>
    <w:rsid w:val="0053395F"/>
    <w:rsid w:val="00542267"/>
    <w:rsid w:val="00542DEB"/>
    <w:rsid w:val="00553427"/>
    <w:rsid w:val="00571690"/>
    <w:rsid w:val="005820C9"/>
    <w:rsid w:val="00584435"/>
    <w:rsid w:val="00592615"/>
    <w:rsid w:val="00593975"/>
    <w:rsid w:val="005961DB"/>
    <w:rsid w:val="00597245"/>
    <w:rsid w:val="005A673E"/>
    <w:rsid w:val="005C2EBF"/>
    <w:rsid w:val="005E2494"/>
    <w:rsid w:val="005F6369"/>
    <w:rsid w:val="00603467"/>
    <w:rsid w:val="00613698"/>
    <w:rsid w:val="00622CB6"/>
    <w:rsid w:val="00632FA6"/>
    <w:rsid w:val="006443D2"/>
    <w:rsid w:val="00654E49"/>
    <w:rsid w:val="006578D7"/>
    <w:rsid w:val="00673338"/>
    <w:rsid w:val="006C7C58"/>
    <w:rsid w:val="006D153D"/>
    <w:rsid w:val="006D41EC"/>
    <w:rsid w:val="006D4B09"/>
    <w:rsid w:val="006E23FA"/>
    <w:rsid w:val="006F0E7E"/>
    <w:rsid w:val="00725F73"/>
    <w:rsid w:val="00745D25"/>
    <w:rsid w:val="007506AE"/>
    <w:rsid w:val="00755123"/>
    <w:rsid w:val="00756F11"/>
    <w:rsid w:val="007571FD"/>
    <w:rsid w:val="0076248D"/>
    <w:rsid w:val="0078746D"/>
    <w:rsid w:val="00791BE0"/>
    <w:rsid w:val="007A3E1A"/>
    <w:rsid w:val="007A759F"/>
    <w:rsid w:val="007B5331"/>
    <w:rsid w:val="007C2C9D"/>
    <w:rsid w:val="007D3F16"/>
    <w:rsid w:val="007E35E2"/>
    <w:rsid w:val="007E3FC6"/>
    <w:rsid w:val="007E4D7B"/>
    <w:rsid w:val="007F0737"/>
    <w:rsid w:val="0080438D"/>
    <w:rsid w:val="00827B76"/>
    <w:rsid w:val="008338A0"/>
    <w:rsid w:val="0084535C"/>
    <w:rsid w:val="00846892"/>
    <w:rsid w:val="00874386"/>
    <w:rsid w:val="00882E09"/>
    <w:rsid w:val="0088571C"/>
    <w:rsid w:val="00886444"/>
    <w:rsid w:val="008A19E7"/>
    <w:rsid w:val="008B58B2"/>
    <w:rsid w:val="008D7013"/>
    <w:rsid w:val="008E1CC4"/>
    <w:rsid w:val="008F7E90"/>
    <w:rsid w:val="00910B5B"/>
    <w:rsid w:val="00912691"/>
    <w:rsid w:val="00917BBF"/>
    <w:rsid w:val="00921552"/>
    <w:rsid w:val="00922637"/>
    <w:rsid w:val="00927102"/>
    <w:rsid w:val="009578E1"/>
    <w:rsid w:val="00957B6E"/>
    <w:rsid w:val="00993C92"/>
    <w:rsid w:val="009A227B"/>
    <w:rsid w:val="009B50D1"/>
    <w:rsid w:val="009B5A65"/>
    <w:rsid w:val="009C580D"/>
    <w:rsid w:val="009C61C5"/>
    <w:rsid w:val="009F4B9D"/>
    <w:rsid w:val="00A022BC"/>
    <w:rsid w:val="00A12F4F"/>
    <w:rsid w:val="00A13B92"/>
    <w:rsid w:val="00A316D6"/>
    <w:rsid w:val="00A4447D"/>
    <w:rsid w:val="00A56F15"/>
    <w:rsid w:val="00A615CC"/>
    <w:rsid w:val="00A96349"/>
    <w:rsid w:val="00AA686C"/>
    <w:rsid w:val="00AC247A"/>
    <w:rsid w:val="00AD032B"/>
    <w:rsid w:val="00AD0441"/>
    <w:rsid w:val="00AE2840"/>
    <w:rsid w:val="00AF309C"/>
    <w:rsid w:val="00B02AEB"/>
    <w:rsid w:val="00B045E2"/>
    <w:rsid w:val="00B106C6"/>
    <w:rsid w:val="00B14DFB"/>
    <w:rsid w:val="00B25958"/>
    <w:rsid w:val="00B264F8"/>
    <w:rsid w:val="00B4140A"/>
    <w:rsid w:val="00B418A0"/>
    <w:rsid w:val="00B4772A"/>
    <w:rsid w:val="00B71A7A"/>
    <w:rsid w:val="00B74A26"/>
    <w:rsid w:val="00B774BD"/>
    <w:rsid w:val="00B87233"/>
    <w:rsid w:val="00BA5C36"/>
    <w:rsid w:val="00BB4209"/>
    <w:rsid w:val="00BB496C"/>
    <w:rsid w:val="00BC0AC6"/>
    <w:rsid w:val="00BD7C85"/>
    <w:rsid w:val="00BF754D"/>
    <w:rsid w:val="00C02722"/>
    <w:rsid w:val="00C110A6"/>
    <w:rsid w:val="00C12182"/>
    <w:rsid w:val="00C242D1"/>
    <w:rsid w:val="00C47D09"/>
    <w:rsid w:val="00C5556D"/>
    <w:rsid w:val="00C6023D"/>
    <w:rsid w:val="00C613FC"/>
    <w:rsid w:val="00C61BD1"/>
    <w:rsid w:val="00C63064"/>
    <w:rsid w:val="00C860BB"/>
    <w:rsid w:val="00C92F9A"/>
    <w:rsid w:val="00C93D29"/>
    <w:rsid w:val="00CA1B4C"/>
    <w:rsid w:val="00CA3CE4"/>
    <w:rsid w:val="00CB1016"/>
    <w:rsid w:val="00CF5B31"/>
    <w:rsid w:val="00CF6DBF"/>
    <w:rsid w:val="00D17C22"/>
    <w:rsid w:val="00D2021B"/>
    <w:rsid w:val="00D34878"/>
    <w:rsid w:val="00D3636E"/>
    <w:rsid w:val="00D43AA9"/>
    <w:rsid w:val="00D62BCE"/>
    <w:rsid w:val="00D76C0E"/>
    <w:rsid w:val="00D81E14"/>
    <w:rsid w:val="00DA33FE"/>
    <w:rsid w:val="00DD63E3"/>
    <w:rsid w:val="00DD7C1C"/>
    <w:rsid w:val="00DF2349"/>
    <w:rsid w:val="00DF287A"/>
    <w:rsid w:val="00E02186"/>
    <w:rsid w:val="00E033F3"/>
    <w:rsid w:val="00E05115"/>
    <w:rsid w:val="00E063C1"/>
    <w:rsid w:val="00E15BC3"/>
    <w:rsid w:val="00E24EB2"/>
    <w:rsid w:val="00E30643"/>
    <w:rsid w:val="00E41CC3"/>
    <w:rsid w:val="00E45E4C"/>
    <w:rsid w:val="00E47CF7"/>
    <w:rsid w:val="00E54047"/>
    <w:rsid w:val="00E725D6"/>
    <w:rsid w:val="00E81ECD"/>
    <w:rsid w:val="00E84CE0"/>
    <w:rsid w:val="00E8505A"/>
    <w:rsid w:val="00E879CE"/>
    <w:rsid w:val="00E900A5"/>
    <w:rsid w:val="00E917AE"/>
    <w:rsid w:val="00EC1696"/>
    <w:rsid w:val="00EC3E17"/>
    <w:rsid w:val="00EC7BB2"/>
    <w:rsid w:val="00EE1CFF"/>
    <w:rsid w:val="00F12A72"/>
    <w:rsid w:val="00F43B24"/>
    <w:rsid w:val="00F61950"/>
    <w:rsid w:val="00F627A6"/>
    <w:rsid w:val="00F75435"/>
    <w:rsid w:val="00F77AEE"/>
    <w:rsid w:val="00F860D4"/>
    <w:rsid w:val="00F91DBB"/>
    <w:rsid w:val="00F92813"/>
    <w:rsid w:val="00FA3546"/>
    <w:rsid w:val="00FA6E3C"/>
    <w:rsid w:val="00FB2E2C"/>
    <w:rsid w:val="00FD3E5A"/>
    <w:rsid w:val="00FE49E9"/>
    <w:rsid w:val="00FE7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5F6369"/>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922637"/>
    <w:pPr>
      <w:keepNext/>
      <w:numPr>
        <w:ilvl w:val="2"/>
        <w:numId w:val="16"/>
      </w:numPr>
      <w:spacing w:before="100" w:beforeAutospacing="1" w:after="240"/>
      <w:outlineLvl w:val="2"/>
    </w:pPr>
    <w:rPr>
      <w:rFonts w:ascii="Calibri Light" w:hAnsi="Calibri Light" w:cs="Calibri Light"/>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922637"/>
    <w:rPr>
      <w:rFonts w:ascii="Calibri Light" w:hAnsi="Calibri Light" w:cs="Calibri Light"/>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4"/>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5F6369"/>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922637"/>
    <w:pPr>
      <w:keepNext/>
      <w:numPr>
        <w:ilvl w:val="2"/>
        <w:numId w:val="16"/>
      </w:numPr>
      <w:spacing w:before="100" w:beforeAutospacing="1" w:after="240"/>
      <w:outlineLvl w:val="2"/>
    </w:pPr>
    <w:rPr>
      <w:rFonts w:ascii="Calibri Light" w:hAnsi="Calibri Light" w:cs="Calibri Light"/>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922637"/>
    <w:rPr>
      <w:rFonts w:ascii="Calibri Light" w:hAnsi="Calibri Light" w:cs="Calibri Light"/>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4"/>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3346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2018-12/standards-australia-memorandum-of-understanding-13-november-2018.pdf" TargetMode="External"/><Relationship Id="rId2" Type="http://schemas.openxmlformats.org/officeDocument/2006/relationships/hyperlink" Target="https://myosh.com/blog/2018/12/03/australian-standards-the-unfair-exchange/" TargetMode="External"/><Relationship Id="rId1" Type="http://schemas.openxmlformats.org/officeDocument/2006/relationships/hyperlink" Target="https://acncpubfilesprodstorage.blob.core.windows.net/public/3df88f57-39af-e811-a962-000d3ad24a0d-df5cf474-4b22-4eed-99f1-0bb272e778ea-Financial%20Report-34b6878c-4444-e911-a970-000d3ad24077-Standards_Australia_-_Financial_Overview_and_Report_-_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71B7-8F8F-468C-BDFB-4482E916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47</TotalTime>
  <Pages>11</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Rebekah Sarkoezy</cp:lastModifiedBy>
  <cp:revision>9</cp:revision>
  <cp:lastPrinted>2019-07-26T01:21:00Z</cp:lastPrinted>
  <dcterms:created xsi:type="dcterms:W3CDTF">2019-07-24T05:58:00Z</dcterms:created>
  <dcterms:modified xsi:type="dcterms:W3CDTF">2019-07-26T01:23:00Z</dcterms:modified>
</cp:coreProperties>
</file>