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6DB1C" w14:textId="5F6D4B23" w:rsidR="00C7127B" w:rsidRDefault="00C408DC" w:rsidP="00C7127B">
      <w:pPr>
        <w:spacing w:after="0"/>
        <w:rPr>
          <w:sz w:val="23"/>
          <w:szCs w:val="23"/>
        </w:rPr>
      </w:pPr>
      <w:r>
        <w:rPr>
          <w:sz w:val="23"/>
          <w:szCs w:val="23"/>
        </w:rPr>
        <w:t>1</w:t>
      </w:r>
      <w:r w:rsidR="002223B4">
        <w:rPr>
          <w:sz w:val="23"/>
          <w:szCs w:val="23"/>
        </w:rPr>
        <w:t>0</w:t>
      </w:r>
      <w:r>
        <w:rPr>
          <w:sz w:val="23"/>
          <w:szCs w:val="23"/>
        </w:rPr>
        <w:t xml:space="preserve"> November 2021</w:t>
      </w:r>
    </w:p>
    <w:p w14:paraId="2E4093D2" w14:textId="77777777" w:rsidR="00C7127B" w:rsidRDefault="00C7127B" w:rsidP="00C7127B">
      <w:pPr>
        <w:spacing w:after="0"/>
        <w:rPr>
          <w:sz w:val="23"/>
          <w:szCs w:val="23"/>
        </w:rPr>
      </w:pPr>
    </w:p>
    <w:p w14:paraId="21C81125" w14:textId="77777777" w:rsidR="00E3668A" w:rsidRPr="00E3668A" w:rsidRDefault="00E3668A" w:rsidP="00E3668A">
      <w:pPr>
        <w:spacing w:after="0"/>
        <w:rPr>
          <w:sz w:val="23"/>
          <w:szCs w:val="23"/>
        </w:rPr>
      </w:pPr>
      <w:r w:rsidRPr="00E3668A">
        <w:rPr>
          <w:sz w:val="23"/>
          <w:szCs w:val="23"/>
        </w:rPr>
        <w:t>Director, Online Safety Reform and Research Section</w:t>
      </w:r>
    </w:p>
    <w:p w14:paraId="13468027" w14:textId="77777777" w:rsidR="00E3668A" w:rsidRPr="00E3668A" w:rsidRDefault="00E3668A" w:rsidP="00E3668A">
      <w:pPr>
        <w:spacing w:after="0"/>
        <w:rPr>
          <w:sz w:val="23"/>
          <w:szCs w:val="23"/>
        </w:rPr>
      </w:pPr>
      <w:r w:rsidRPr="00E3668A">
        <w:rPr>
          <w:sz w:val="23"/>
          <w:szCs w:val="23"/>
        </w:rPr>
        <w:t>Department of Infrastructure, Transport, Regional Development and Communications</w:t>
      </w:r>
    </w:p>
    <w:p w14:paraId="12AF0521" w14:textId="77777777" w:rsidR="00E3668A" w:rsidRPr="00E3668A" w:rsidRDefault="00E3668A" w:rsidP="00E3668A">
      <w:pPr>
        <w:spacing w:after="0"/>
        <w:rPr>
          <w:sz w:val="23"/>
          <w:szCs w:val="23"/>
        </w:rPr>
      </w:pPr>
      <w:r w:rsidRPr="00E3668A">
        <w:rPr>
          <w:sz w:val="23"/>
          <w:szCs w:val="23"/>
        </w:rPr>
        <w:t>GPO Box 2154</w:t>
      </w:r>
    </w:p>
    <w:p w14:paraId="0F032D99" w14:textId="2C0A85F0" w:rsidR="00C7127B" w:rsidRDefault="00E3668A" w:rsidP="00E3668A">
      <w:pPr>
        <w:spacing w:after="0"/>
        <w:rPr>
          <w:sz w:val="23"/>
          <w:szCs w:val="23"/>
        </w:rPr>
      </w:pPr>
      <w:r w:rsidRPr="00E3668A">
        <w:rPr>
          <w:sz w:val="23"/>
          <w:szCs w:val="23"/>
        </w:rPr>
        <w:t>Canberra ACT 2601</w:t>
      </w:r>
    </w:p>
    <w:p w14:paraId="2AC11C2F" w14:textId="77777777" w:rsidR="00E3668A" w:rsidRDefault="00E3668A" w:rsidP="00E3668A">
      <w:pPr>
        <w:spacing w:after="0"/>
        <w:rPr>
          <w:sz w:val="23"/>
          <w:szCs w:val="23"/>
        </w:rPr>
      </w:pPr>
    </w:p>
    <w:p w14:paraId="74FCAE57" w14:textId="7823BB5E" w:rsidR="00E3668A" w:rsidRDefault="003F1C17" w:rsidP="008104AF">
      <w:pPr>
        <w:spacing w:after="0"/>
        <w:rPr>
          <w:color w:val="0000FF"/>
          <w:u w:val="single"/>
        </w:rPr>
      </w:pPr>
      <w:hyperlink r:id="rId8" w:history="1">
        <w:r w:rsidR="00E3668A" w:rsidRPr="0086430F">
          <w:rPr>
            <w:rStyle w:val="Hyperlink"/>
          </w:rPr>
          <w:t>OnlineSafety@infrastructure.gov.au</w:t>
        </w:r>
      </w:hyperlink>
    </w:p>
    <w:p w14:paraId="0DD803DB" w14:textId="77777777" w:rsidR="008104AF" w:rsidRPr="008104AF" w:rsidRDefault="008104AF" w:rsidP="008104AF">
      <w:pPr>
        <w:spacing w:after="0"/>
        <w:rPr>
          <w:rFonts w:cstheme="minorHAnsi"/>
        </w:rPr>
      </w:pPr>
    </w:p>
    <w:p w14:paraId="3A6F73E5" w14:textId="248693F1" w:rsidR="00DC5A46" w:rsidRDefault="00C7127B" w:rsidP="00945AE1">
      <w:pPr>
        <w:pStyle w:val="BodyText1"/>
      </w:pPr>
      <w:r w:rsidRPr="00945AE1">
        <w:t xml:space="preserve">ACCAN thanks the </w:t>
      </w:r>
      <w:r w:rsidR="00945AE1" w:rsidRPr="00945AE1">
        <w:t xml:space="preserve">Department of Infrastructure, Transport, Regional Development and Communications </w:t>
      </w:r>
      <w:r w:rsidRPr="00945AE1">
        <w:t xml:space="preserve">for the opportunity </w:t>
      </w:r>
      <w:r w:rsidR="008928DA">
        <w:t>to participate in consultation on the</w:t>
      </w:r>
      <w:r w:rsidRPr="00945AE1">
        <w:t xml:space="preserve"> </w:t>
      </w:r>
      <w:r w:rsidR="00DC5A46" w:rsidRPr="00DC5A46">
        <w:rPr>
          <w:i/>
          <w:iCs/>
        </w:rPr>
        <w:t>Online Safety (Basic Online Safety Expectations) Determination 2021</w:t>
      </w:r>
      <w:r w:rsidR="008928DA">
        <w:rPr>
          <w:i/>
          <w:iCs/>
        </w:rPr>
        <w:t xml:space="preserve"> </w:t>
      </w:r>
      <w:r w:rsidR="008928DA" w:rsidRPr="008928DA">
        <w:t>exposure draft</w:t>
      </w:r>
      <w:r w:rsidR="000879EF">
        <w:t xml:space="preserve"> (the Expectations)</w:t>
      </w:r>
      <w:r w:rsidR="00DC5A46">
        <w:t>.</w:t>
      </w:r>
      <w:r w:rsidR="00DC5A46" w:rsidRPr="00945AE1">
        <w:t xml:space="preserve"> </w:t>
      </w:r>
    </w:p>
    <w:p w14:paraId="29A1E46D" w14:textId="459075E5" w:rsidR="004C5E32" w:rsidRDefault="004C5E32" w:rsidP="00945AE1">
      <w:pPr>
        <w:pStyle w:val="BodyText1"/>
      </w:pPr>
      <w:r>
        <w:t>ACCAN welcomes the</w:t>
      </w:r>
      <w:r w:rsidR="00AA028E">
        <w:t xml:space="preserve"> release of the draft</w:t>
      </w:r>
      <w:r>
        <w:t xml:space="preserve"> </w:t>
      </w:r>
      <w:r w:rsidRPr="004C5E32">
        <w:t>Expectations</w:t>
      </w:r>
      <w:r w:rsidR="00AA028E">
        <w:t xml:space="preserve">, as determined by the Minister under Part 4 of the </w:t>
      </w:r>
      <w:r w:rsidR="00AA028E" w:rsidRPr="00AA028E">
        <w:rPr>
          <w:i/>
          <w:iCs/>
        </w:rPr>
        <w:t>Online Safety Act 2021</w:t>
      </w:r>
      <w:r w:rsidR="00AA028E">
        <w:t xml:space="preserve"> (the Act). We agree that it is essential to hold social media services, relevant electronic services and designated internet services to account and</w:t>
      </w:r>
      <w:r>
        <w:t xml:space="preserve"> “</w:t>
      </w:r>
      <w:r w:rsidRPr="004C5E32">
        <w:t>place greater responsibility on service providers to ensure they provide safer services to Australian end-users.</w:t>
      </w:r>
      <w:r w:rsidR="00E85992">
        <w:rPr>
          <w:rStyle w:val="FootnoteReference"/>
        </w:rPr>
        <w:t>”</w:t>
      </w:r>
    </w:p>
    <w:p w14:paraId="12A512A0" w14:textId="71701768" w:rsidR="00945AE1" w:rsidRPr="00945AE1" w:rsidRDefault="00E85992" w:rsidP="00945AE1">
      <w:pPr>
        <w:pStyle w:val="BodyText1"/>
      </w:pPr>
      <w:r>
        <w:t>S</w:t>
      </w:r>
      <w:r w:rsidR="00945AE1" w:rsidRPr="00945AE1">
        <w:t xml:space="preserve">ection 46 </w:t>
      </w:r>
      <w:r w:rsidR="00AA028E">
        <w:t xml:space="preserve">of the Act </w:t>
      </w:r>
      <w:r w:rsidR="00945AE1" w:rsidRPr="00945AE1">
        <w:t xml:space="preserve">requires the </w:t>
      </w:r>
      <w:r w:rsidR="0055070E">
        <w:t>E</w:t>
      </w:r>
      <w:r w:rsidR="00945AE1" w:rsidRPr="00945AE1">
        <w:t xml:space="preserve">xpectations to </w:t>
      </w:r>
      <w:r w:rsidR="00AA028E">
        <w:t>address</w:t>
      </w:r>
      <w:r w:rsidR="00945AE1" w:rsidRPr="00945AE1">
        <w:t xml:space="preserve">: </w:t>
      </w:r>
    </w:p>
    <w:p w14:paraId="0D46A5CE" w14:textId="5F653224" w:rsidR="00945AE1" w:rsidRPr="00945AE1" w:rsidRDefault="00945AE1" w:rsidP="00945AE1">
      <w:pPr>
        <w:pStyle w:val="ListParagraph"/>
      </w:pPr>
      <w:r w:rsidRPr="00945AE1">
        <w:t>Minimise cyber-bullying or abuse material targeted at a child or adult, non-consensual intimate images, Class 1 material, and abhorrent violent material</w:t>
      </w:r>
      <w:r>
        <w:t>.</w:t>
      </w:r>
    </w:p>
    <w:p w14:paraId="06AA9001" w14:textId="48418730" w:rsidR="00945AE1" w:rsidRPr="00945AE1" w:rsidRDefault="00945AE1" w:rsidP="00945AE1">
      <w:pPr>
        <w:pStyle w:val="ListParagraph"/>
      </w:pPr>
      <w:r w:rsidRPr="00945AE1">
        <w:t>Take reasonable steps to prevent children from accessing class 2 material</w:t>
      </w:r>
      <w:r>
        <w:t>.</w:t>
      </w:r>
    </w:p>
    <w:p w14:paraId="38E7A72B" w14:textId="762604F4" w:rsidR="00445B1D" w:rsidRPr="00945AE1" w:rsidRDefault="00945AE1" w:rsidP="00945AE1">
      <w:pPr>
        <w:pStyle w:val="ListParagraph"/>
      </w:pPr>
      <w:r w:rsidRPr="00945AE1">
        <w:t>Provide ways for people to make complaints about online content.</w:t>
      </w:r>
    </w:p>
    <w:p w14:paraId="2A04EC92" w14:textId="3F01A755" w:rsidR="00445B1D" w:rsidRPr="00945AE1" w:rsidRDefault="00AA028E" w:rsidP="00945AE1">
      <w:pPr>
        <w:pStyle w:val="BodyText1"/>
      </w:pPr>
      <w:r>
        <w:t>We note that, i</w:t>
      </w:r>
      <w:r w:rsidR="00445B1D" w:rsidRPr="00945AE1">
        <w:t xml:space="preserve">n addition to those core </w:t>
      </w:r>
      <w:r w:rsidR="0055070E">
        <w:t>E</w:t>
      </w:r>
      <w:r w:rsidR="00445B1D" w:rsidRPr="00945AE1">
        <w:t xml:space="preserve">xpectations set out in the Act, the draft determination released for public consultation adds eleven additional </w:t>
      </w:r>
      <w:r w:rsidR="0055070E">
        <w:t>E</w:t>
      </w:r>
      <w:r w:rsidR="00445B1D" w:rsidRPr="00945AE1">
        <w:t>xpectations, including:</w:t>
      </w:r>
    </w:p>
    <w:p w14:paraId="19F46F9D" w14:textId="77777777" w:rsidR="00445B1D" w:rsidRPr="00945AE1" w:rsidRDefault="00445B1D" w:rsidP="00945AE1">
      <w:pPr>
        <w:pStyle w:val="ListParagraph"/>
      </w:pPr>
      <w:r w:rsidRPr="00945AE1">
        <w:t>The provider of the service will take reasonable steps to proactively minimise the extent to which material or activity on the service is or may be unlawful or harmful.</w:t>
      </w:r>
    </w:p>
    <w:p w14:paraId="516A93F4" w14:textId="77777777" w:rsidR="00445B1D" w:rsidRPr="00945AE1" w:rsidRDefault="00445B1D" w:rsidP="00945AE1">
      <w:pPr>
        <w:pStyle w:val="ListParagraph"/>
      </w:pPr>
      <w:r w:rsidRPr="00945AE1">
        <w:t>The provider of the service will ensure that there is an employee or agent who is designated as the service’s contact person for the purposes of the Act.</w:t>
      </w:r>
    </w:p>
    <w:p w14:paraId="0843F1A9" w14:textId="77777777" w:rsidR="0055070E" w:rsidRDefault="00445B1D" w:rsidP="00945AE1">
      <w:pPr>
        <w:pStyle w:val="ListParagraph"/>
      </w:pPr>
      <w:r w:rsidRPr="00945AE1">
        <w:t>The provider of the service will keep records of reports and complaints about the material provided on the service for five years after the making of the report or complaint to which the record relates.</w:t>
      </w:r>
    </w:p>
    <w:p w14:paraId="16B03065" w14:textId="16C2591E" w:rsidR="00CC6067" w:rsidRDefault="00445B1D" w:rsidP="00945AE1">
      <w:pPr>
        <w:pStyle w:val="ListParagraph"/>
      </w:pPr>
      <w:r w:rsidRPr="00945AE1">
        <w:t>Pursuant to the Act, the e-Safety Commissioner may issue a notice or a declaration requiring the service, or class of service, to prepare reports detailing the extent of their compliance with the Expectations. Such reports may be required periodically or in regard to a specified period.</w:t>
      </w:r>
    </w:p>
    <w:p w14:paraId="2A0E2FAC" w14:textId="0E07BFC4" w:rsidR="00CC6067" w:rsidRPr="00CC6067" w:rsidRDefault="00CC6067" w:rsidP="00AA028E">
      <w:pPr>
        <w:spacing w:after="0"/>
      </w:pPr>
      <w:r>
        <w:br w:type="page"/>
      </w:r>
      <w:r w:rsidRPr="00CC6067">
        <w:rPr>
          <w:u w:val="single"/>
        </w:rPr>
        <w:lastRenderedPageBreak/>
        <w:t xml:space="preserve">Penalties </w:t>
      </w:r>
      <w:r>
        <w:rPr>
          <w:u w:val="single"/>
        </w:rPr>
        <w:t>and enforcement</w:t>
      </w:r>
      <w:r w:rsidRPr="00CC6067">
        <w:rPr>
          <w:u w:val="single"/>
        </w:rPr>
        <w:t xml:space="preserve"> </w:t>
      </w:r>
    </w:p>
    <w:p w14:paraId="6B8E10C4" w14:textId="0D13C0CB" w:rsidR="00337083" w:rsidRPr="00945AE1" w:rsidRDefault="000879EF" w:rsidP="00945AE1">
      <w:pPr>
        <w:pStyle w:val="BodyText1"/>
      </w:pPr>
      <w:r>
        <w:t>The measures imposed by the Expectations are a positive step towards</w:t>
      </w:r>
      <w:r w:rsidR="0055070E">
        <w:t xml:space="preserve"> increas</w:t>
      </w:r>
      <w:r>
        <w:t>ing online</w:t>
      </w:r>
      <w:r w:rsidR="0055070E">
        <w:t xml:space="preserve"> consumer protection.</w:t>
      </w:r>
      <w:r w:rsidR="0055070E" w:rsidRPr="00945AE1">
        <w:t xml:space="preserve"> </w:t>
      </w:r>
      <w:r w:rsidR="0055070E">
        <w:t>However, we submit that</w:t>
      </w:r>
      <w:r w:rsidR="00445B1D" w:rsidRPr="00945AE1">
        <w:t xml:space="preserve"> </w:t>
      </w:r>
      <w:r w:rsidR="00337083" w:rsidRPr="00945AE1">
        <w:t>the</w:t>
      </w:r>
      <w:r w:rsidR="00445B1D" w:rsidRPr="00945AE1">
        <w:t xml:space="preserve"> penalties for breach of these </w:t>
      </w:r>
      <w:r w:rsidR="0055070E">
        <w:t>E</w:t>
      </w:r>
      <w:r w:rsidR="00445B1D" w:rsidRPr="00945AE1">
        <w:t>xpectations</w:t>
      </w:r>
      <w:r w:rsidR="00337083" w:rsidRPr="00945AE1">
        <w:t xml:space="preserve"> seem inadequate to </w:t>
      </w:r>
      <w:r w:rsidR="0055070E">
        <w:t xml:space="preserve">incentivise service providers to actively prevent </w:t>
      </w:r>
      <w:r w:rsidR="00337083" w:rsidRPr="00945AE1">
        <w:t xml:space="preserve">unlawful </w:t>
      </w:r>
      <w:r w:rsidR="0055070E">
        <w:t xml:space="preserve">or harmful </w:t>
      </w:r>
      <w:r w:rsidR="00337083" w:rsidRPr="00945AE1">
        <w:t xml:space="preserve">online activity. </w:t>
      </w:r>
    </w:p>
    <w:p w14:paraId="51E7323F" w14:textId="77777777" w:rsidR="00157958" w:rsidRPr="00157958" w:rsidRDefault="00157958" w:rsidP="00157958">
      <w:pPr>
        <w:pStyle w:val="BodyText1"/>
        <w:spacing w:before="0" w:after="0"/>
        <w:rPr>
          <w:i/>
          <w:iCs/>
        </w:rPr>
      </w:pPr>
      <w:r w:rsidRPr="00157958">
        <w:rPr>
          <w:i/>
          <w:iCs/>
        </w:rPr>
        <w:t>Reputational Consequences</w:t>
      </w:r>
    </w:p>
    <w:p w14:paraId="518B7195" w14:textId="7D7A24EA" w:rsidR="00157958" w:rsidRDefault="00782AAC" w:rsidP="00945AE1">
      <w:pPr>
        <w:pStyle w:val="BodyText1"/>
      </w:pPr>
      <w:r w:rsidRPr="00945AE1">
        <w:t xml:space="preserve">ACCAN </w:t>
      </w:r>
      <w:r w:rsidR="00337083" w:rsidRPr="00945AE1">
        <w:t>note</w:t>
      </w:r>
      <w:r w:rsidRPr="00945AE1">
        <w:t>s</w:t>
      </w:r>
      <w:r w:rsidR="00337083" w:rsidRPr="00945AE1">
        <w:t xml:space="preserve"> that a </w:t>
      </w:r>
      <w:r w:rsidR="00445B1D" w:rsidRPr="00945AE1">
        <w:t xml:space="preserve">service </w:t>
      </w:r>
      <w:r w:rsidR="0055070E">
        <w:t xml:space="preserve">in breach of the Expectations </w:t>
      </w:r>
      <w:r w:rsidR="00445B1D" w:rsidRPr="00945AE1">
        <w:t>may potentially face “reputational consequences” arising from the e-Safety Commissioner’s power to</w:t>
      </w:r>
      <w:r w:rsidR="00337083" w:rsidRPr="00945AE1">
        <w:t xml:space="preserve"> </w:t>
      </w:r>
      <w:r w:rsidR="00445B1D" w:rsidRPr="00945AE1">
        <w:t xml:space="preserve">issue a statement (and publish the statement on their website) that the service did not comply with the </w:t>
      </w:r>
      <w:r w:rsidR="0055070E">
        <w:t>E</w:t>
      </w:r>
      <w:r w:rsidR="00445B1D" w:rsidRPr="00945AE1">
        <w:t xml:space="preserve">xpectations, the reporting requirements, or a notice or determination issued by the e-Safety Commissioner </w:t>
      </w:r>
      <w:r w:rsidR="00337083" w:rsidRPr="00945AE1">
        <w:t>regarding</w:t>
      </w:r>
      <w:r w:rsidR="00445B1D" w:rsidRPr="00945AE1">
        <w:t xml:space="preserve"> the Expectations.</w:t>
      </w:r>
    </w:p>
    <w:p w14:paraId="2BEE8ABE" w14:textId="744B8A95" w:rsidR="00157958" w:rsidRDefault="0055070E" w:rsidP="00945AE1">
      <w:pPr>
        <w:pStyle w:val="BodyText1"/>
      </w:pPr>
      <w:r>
        <w:t xml:space="preserve">However, </w:t>
      </w:r>
      <w:r w:rsidR="00F12282">
        <w:t>it is ACCAN’s assertion that</w:t>
      </w:r>
      <w:r>
        <w:t xml:space="preserve"> reputational damage is a weak </w:t>
      </w:r>
      <w:r w:rsidR="00A66C66">
        <w:t>form of penalty with minimal potential for enforcement</w:t>
      </w:r>
      <w:r>
        <w:t xml:space="preserve">. </w:t>
      </w:r>
      <w:r w:rsidR="00157958">
        <w:t>O</w:t>
      </w:r>
      <w:r w:rsidR="00F12282" w:rsidRPr="00945AE1">
        <w:t>rdinary consumers may not be aware of statements issued by the e</w:t>
      </w:r>
      <w:r w:rsidR="008B28E6">
        <w:t>-</w:t>
      </w:r>
      <w:r w:rsidR="00F12282" w:rsidRPr="00945AE1">
        <w:t>Safety Commissioner</w:t>
      </w:r>
      <w:r w:rsidR="00157958">
        <w:t>, so they</w:t>
      </w:r>
      <w:r w:rsidR="00055661">
        <w:t xml:space="preserve"> will have minimal impact on consumers’ opinion</w:t>
      </w:r>
      <w:r w:rsidR="00157958">
        <w:t>s</w:t>
      </w:r>
      <w:r w:rsidR="00055661">
        <w:t xml:space="preserve"> and the service’s reputation</w:t>
      </w:r>
      <w:r w:rsidR="00337083" w:rsidRPr="00945AE1">
        <w:t>.</w:t>
      </w:r>
    </w:p>
    <w:p w14:paraId="0DEAAF01" w14:textId="19431E57" w:rsidR="00337083" w:rsidRPr="00945AE1" w:rsidRDefault="00157958" w:rsidP="00945AE1">
      <w:pPr>
        <w:pStyle w:val="BodyText1"/>
      </w:pPr>
      <w:r>
        <w:t xml:space="preserve">Furthermore, there is little evidence to prove that reputational damage impacts the profitability of social media platforms like Facebook. </w:t>
      </w:r>
      <w:r w:rsidR="00337083" w:rsidRPr="00945AE1">
        <w:t>Facebook has faced multiple inquiries critical of its operations which have received global media attention</w:t>
      </w:r>
      <w:r w:rsidR="00EA6FF5">
        <w:t xml:space="preserve"> </w:t>
      </w:r>
      <w:r w:rsidR="009066AD">
        <w:t>and damaged its</w:t>
      </w:r>
      <w:r w:rsidR="00EA6FF5">
        <w:t xml:space="preserve"> reputation</w:t>
      </w:r>
      <w:r w:rsidR="009066AD">
        <w:t>, yet it</w:t>
      </w:r>
      <w:r w:rsidR="00337083" w:rsidRPr="00945AE1">
        <w:t xml:space="preserve"> continues to thrive as a digital platform without </w:t>
      </w:r>
      <w:r>
        <w:t xml:space="preserve">needing to </w:t>
      </w:r>
      <w:r w:rsidR="00782AAC" w:rsidRPr="00945AE1">
        <w:t>mak</w:t>
      </w:r>
      <w:r>
        <w:t>e</w:t>
      </w:r>
      <w:r w:rsidR="00337083" w:rsidRPr="00945AE1">
        <w:t xml:space="preserve"> substantial changes</w:t>
      </w:r>
      <w:r>
        <w:t xml:space="preserve"> to </w:t>
      </w:r>
      <w:r w:rsidR="00E92F09">
        <w:t>the way it operates</w:t>
      </w:r>
      <w:r w:rsidR="009066AD">
        <w:t xml:space="preserve">. </w:t>
      </w:r>
    </w:p>
    <w:p w14:paraId="79BAFC36" w14:textId="77777777" w:rsidR="00157958" w:rsidRPr="00157958" w:rsidRDefault="00157958" w:rsidP="00157958">
      <w:pPr>
        <w:pStyle w:val="BodyText1"/>
        <w:spacing w:before="0" w:after="0"/>
        <w:rPr>
          <w:i/>
          <w:iCs/>
        </w:rPr>
      </w:pPr>
      <w:r w:rsidRPr="00157958">
        <w:rPr>
          <w:i/>
          <w:iCs/>
        </w:rPr>
        <w:t>Civil Penalties</w:t>
      </w:r>
    </w:p>
    <w:p w14:paraId="74611ECF" w14:textId="76B430A4" w:rsidR="00066DC8" w:rsidRDefault="002966B4" w:rsidP="00066DC8">
      <w:pPr>
        <w:pStyle w:val="BodyText1"/>
      </w:pPr>
      <w:r>
        <w:t xml:space="preserve">A provider who fails to comply with a notice from the Commissioner to report on compliance with the Expectations </w:t>
      </w:r>
      <w:r w:rsidR="00066DC8">
        <w:t xml:space="preserve">may also be subject to </w:t>
      </w:r>
      <w:r w:rsidR="00066DC8" w:rsidRPr="00945AE1">
        <w:t>civil penalties</w:t>
      </w:r>
      <w:r w:rsidR="00066DC8">
        <w:t xml:space="preserve"> of </w:t>
      </w:r>
      <w:r w:rsidR="00066DC8" w:rsidRPr="00945AE1">
        <w:t>up to</w:t>
      </w:r>
      <w:r w:rsidR="00066DC8">
        <w:t xml:space="preserve"> </w:t>
      </w:r>
      <w:r w:rsidR="00066DC8" w:rsidRPr="00945AE1">
        <w:t>$111,000</w:t>
      </w:r>
      <w:r w:rsidR="00066DC8">
        <w:t>. However, this</w:t>
      </w:r>
      <w:r w:rsidR="00066DC8" w:rsidRPr="00945AE1">
        <w:t xml:space="preserve"> is a relatively small financial penalty for </w:t>
      </w:r>
      <w:r w:rsidR="00066DC8">
        <w:t>highly profitable</w:t>
      </w:r>
      <w:r w:rsidR="00066DC8" w:rsidRPr="00945AE1">
        <w:t xml:space="preserve"> </w:t>
      </w:r>
      <w:r w:rsidR="00066DC8">
        <w:t xml:space="preserve">social media services, relevant electronic services and designated internet services </w:t>
      </w:r>
      <w:r w:rsidR="00066DC8" w:rsidRPr="00945AE1">
        <w:t>and is unlikely to act as a disincentive.</w:t>
      </w:r>
    </w:p>
    <w:p w14:paraId="17ECEB86" w14:textId="57D233A0" w:rsidR="00ED575C" w:rsidRPr="00ED575C" w:rsidRDefault="00ED575C" w:rsidP="009D73E8">
      <w:pPr>
        <w:pStyle w:val="BodyText1"/>
        <w:spacing w:before="0" w:after="120"/>
        <w:rPr>
          <w:u w:val="single"/>
        </w:rPr>
      </w:pPr>
      <w:r w:rsidRPr="00ED575C">
        <w:rPr>
          <w:u w:val="single"/>
        </w:rPr>
        <w:t>Terminology</w:t>
      </w:r>
    </w:p>
    <w:p w14:paraId="1D8603FF" w14:textId="030F8A79" w:rsidR="00992543" w:rsidRDefault="00102468" w:rsidP="009D73E8">
      <w:pPr>
        <w:pStyle w:val="BodyText1"/>
        <w:spacing w:before="0" w:after="120"/>
      </w:pPr>
      <w:r>
        <w:t xml:space="preserve">ACCAN notes that the </w:t>
      </w:r>
      <w:r w:rsidR="00E85992">
        <w:t>Expectations</w:t>
      </w:r>
      <w:r>
        <w:t xml:space="preserve"> require</w:t>
      </w:r>
      <w:r w:rsidR="00163894" w:rsidRPr="00945AE1">
        <w:t xml:space="preserve"> a service provider </w:t>
      </w:r>
      <w:r>
        <w:t xml:space="preserve">to </w:t>
      </w:r>
      <w:r w:rsidR="00163894" w:rsidRPr="00945AE1">
        <w:t>“</w:t>
      </w:r>
      <w:r w:rsidR="00445B1D" w:rsidRPr="00945AE1">
        <w:t>take reasonable steps”</w:t>
      </w:r>
      <w:r w:rsidR="00E85992">
        <w:t xml:space="preserve"> to</w:t>
      </w:r>
      <w:r w:rsidR="009D73E8">
        <w:t>, among other things</w:t>
      </w:r>
      <w:r w:rsidR="00992543">
        <w:t>:</w:t>
      </w:r>
    </w:p>
    <w:p w14:paraId="3B1D284E" w14:textId="48DCA9B0" w:rsidR="00992543" w:rsidRDefault="00E85992" w:rsidP="00710189">
      <w:pPr>
        <w:pStyle w:val="ListParagraph"/>
        <w:spacing w:line="240" w:lineRule="auto"/>
        <w:ind w:left="714" w:hanging="357"/>
      </w:pPr>
      <w:r>
        <w:t>E</w:t>
      </w:r>
      <w:r w:rsidR="00992543" w:rsidRPr="00710189">
        <w:t xml:space="preserve">nsure </w:t>
      </w:r>
      <w:r w:rsidR="0084097F">
        <w:t xml:space="preserve">that end-users </w:t>
      </w:r>
      <w:r w:rsidR="00CC174B">
        <w:t>can</w:t>
      </w:r>
      <w:r w:rsidR="0084097F">
        <w:t xml:space="preserve"> use the service in a safe manner</w:t>
      </w:r>
      <w:r w:rsidR="00066DC8">
        <w:t>.</w:t>
      </w:r>
    </w:p>
    <w:p w14:paraId="3FBCBA9C" w14:textId="5E99CB35" w:rsidR="0084097F" w:rsidRPr="00710189" w:rsidRDefault="00E85992" w:rsidP="00710189">
      <w:pPr>
        <w:pStyle w:val="ListParagraph"/>
        <w:spacing w:line="240" w:lineRule="auto"/>
        <w:ind w:left="714" w:hanging="357"/>
      </w:pPr>
      <w:r>
        <w:t>P</w:t>
      </w:r>
      <w:r w:rsidR="0084097F">
        <w:t>roactively minimise the extent to which material or activity on the service is or may be unlawful or harmful</w:t>
      </w:r>
      <w:r w:rsidR="00066DC8">
        <w:t>.</w:t>
      </w:r>
    </w:p>
    <w:p w14:paraId="594699E8" w14:textId="4D159EFF" w:rsidR="00102468" w:rsidRPr="00710189" w:rsidRDefault="00E85992" w:rsidP="00710189">
      <w:pPr>
        <w:pStyle w:val="ListParagraph"/>
        <w:spacing w:line="240" w:lineRule="auto"/>
        <w:ind w:left="714" w:hanging="357"/>
      </w:pPr>
      <w:r>
        <w:t>M</w:t>
      </w:r>
      <w:r w:rsidR="00102468" w:rsidRPr="00710189">
        <w:t>inimise provision of certain material</w:t>
      </w:r>
      <w:r w:rsidR="00066DC8">
        <w:t>.</w:t>
      </w:r>
    </w:p>
    <w:p w14:paraId="7C1CC5FB" w14:textId="5181884F" w:rsidR="00E85992" w:rsidRDefault="00E85992" w:rsidP="00E85992">
      <w:pPr>
        <w:pStyle w:val="ListParagraph"/>
        <w:spacing w:line="240" w:lineRule="auto"/>
        <w:ind w:left="714" w:hanging="357"/>
      </w:pPr>
      <w:r>
        <w:t>P</w:t>
      </w:r>
      <w:r w:rsidR="00102468" w:rsidRPr="00710189">
        <w:t>revent access by children to class 2 material</w:t>
      </w:r>
      <w:r w:rsidR="00066DC8">
        <w:t>.</w:t>
      </w:r>
    </w:p>
    <w:p w14:paraId="115A5478" w14:textId="39AD7948" w:rsidR="00390D6E" w:rsidRDefault="00390D6E" w:rsidP="00945AE1">
      <w:pPr>
        <w:pStyle w:val="BodyText1"/>
      </w:pPr>
      <w:r>
        <w:t>W</w:t>
      </w:r>
      <w:r w:rsidR="004C5E32">
        <w:t>e understand that the intention</w:t>
      </w:r>
      <w:r w:rsidR="00E85992">
        <w:t xml:space="preserve"> </w:t>
      </w:r>
      <w:r w:rsidR="009D73E8">
        <w:t xml:space="preserve">of using the </w:t>
      </w:r>
      <w:r w:rsidR="00E85992">
        <w:t>terminology</w:t>
      </w:r>
      <w:r w:rsidR="004C5E32">
        <w:t xml:space="preserve"> </w:t>
      </w:r>
      <w:r w:rsidR="009D73E8">
        <w:t xml:space="preserve">“take reasonable steps” </w:t>
      </w:r>
      <w:r w:rsidR="004C5E32">
        <w:t xml:space="preserve">is to </w:t>
      </w:r>
      <w:r w:rsidR="004C5E32" w:rsidRPr="004C5E32">
        <w:t>provide flexibility for service providers to meet these Expectations</w:t>
      </w:r>
      <w:r w:rsidR="004C5E32">
        <w:t>, given the fact</w:t>
      </w:r>
      <w:r w:rsidR="004C5E32" w:rsidRPr="004C5E32">
        <w:t xml:space="preserve"> that traditional regulation may not suit the way content is created and delivered to users today</w:t>
      </w:r>
      <w:r>
        <w:t>.</w:t>
      </w:r>
    </w:p>
    <w:p w14:paraId="75A65712" w14:textId="5E3AF95C" w:rsidR="009D73E8" w:rsidRDefault="00390D6E" w:rsidP="00390D6E">
      <w:pPr>
        <w:pStyle w:val="BodyText1"/>
      </w:pPr>
      <w:r>
        <w:t xml:space="preserve">We also note that </w:t>
      </w:r>
      <w:r w:rsidR="00302AE9">
        <w:t xml:space="preserve">the Expectations provide </w:t>
      </w:r>
      <w:r w:rsidR="009D73E8">
        <w:t xml:space="preserve">guidance to services </w:t>
      </w:r>
      <w:r w:rsidR="00302AE9">
        <w:t>o</w:t>
      </w:r>
      <w:r w:rsidR="009D73E8">
        <w:t xml:space="preserve">n how to determine “reasonable steps” by requiring </w:t>
      </w:r>
      <w:r w:rsidR="00302AE9">
        <w:t>them</w:t>
      </w:r>
      <w:r w:rsidR="009D73E8">
        <w:t xml:space="preserve"> to</w:t>
      </w:r>
      <w:r>
        <w:t xml:space="preserve"> consult with the e</w:t>
      </w:r>
      <w:r w:rsidR="00CC174B">
        <w:t>-</w:t>
      </w:r>
      <w:r>
        <w:t xml:space="preserve">Safety Commissioner </w:t>
      </w:r>
      <w:r w:rsidR="009D73E8">
        <w:t>(section 7(1)</w:t>
      </w:r>
      <w:r w:rsidR="00302AE9">
        <w:t>)</w:t>
      </w:r>
      <w:r w:rsidR="009D73E8">
        <w:t xml:space="preserve">, </w:t>
      </w:r>
      <w:r w:rsidR="00302AE9">
        <w:t>as well as by including examples of “reasonable steps”</w:t>
      </w:r>
      <w:r w:rsidR="00302AE9" w:rsidRPr="00302AE9">
        <w:t xml:space="preserve"> </w:t>
      </w:r>
      <w:r w:rsidR="00302AE9">
        <w:t>for safe use, anonymous accounts, preventing children’s access to class 2 material in</w:t>
      </w:r>
      <w:r>
        <w:t xml:space="preserve"> </w:t>
      </w:r>
      <w:r w:rsidR="002C182A">
        <w:t>sections</w:t>
      </w:r>
      <w:r>
        <w:t xml:space="preserve"> </w:t>
      </w:r>
      <w:r w:rsidR="002C182A">
        <w:t>6(3), 9(2), 10(2)</w:t>
      </w:r>
      <w:r w:rsidR="009D73E8">
        <w:t xml:space="preserve"> and </w:t>
      </w:r>
      <w:r w:rsidR="002C182A">
        <w:t>12(2)</w:t>
      </w:r>
      <w:r w:rsidR="00302AE9">
        <w:t>.</w:t>
      </w:r>
    </w:p>
    <w:p w14:paraId="6E2B8C97" w14:textId="28E64F70" w:rsidR="002C182A" w:rsidRDefault="00390D6E" w:rsidP="00945AE1">
      <w:pPr>
        <w:pStyle w:val="BodyText1"/>
      </w:pPr>
      <w:r>
        <w:t>Despite th</w:t>
      </w:r>
      <w:r w:rsidR="002C182A">
        <w:t>is guidance</w:t>
      </w:r>
      <w:r>
        <w:t>,</w:t>
      </w:r>
      <w:r w:rsidR="008F493E">
        <w:t xml:space="preserve"> </w:t>
      </w:r>
      <w:r w:rsidR="00302AE9">
        <w:t xml:space="preserve">however, </w:t>
      </w:r>
      <w:r w:rsidR="008F493E">
        <w:t>we are concerned that “take reasonable steps” is a</w:t>
      </w:r>
      <w:r w:rsidR="008F493E" w:rsidRPr="00945AE1">
        <w:t xml:space="preserve"> </w:t>
      </w:r>
      <w:r w:rsidR="008F493E">
        <w:t xml:space="preserve">compliance </w:t>
      </w:r>
      <w:r w:rsidR="008F493E" w:rsidRPr="00945AE1">
        <w:t xml:space="preserve">measure open to relaxed </w:t>
      </w:r>
      <w:r w:rsidR="008F493E">
        <w:t xml:space="preserve">– and potentially ineffective - </w:t>
      </w:r>
      <w:r w:rsidR="008F493E" w:rsidRPr="00945AE1">
        <w:t>interpretation and implementation by service providers.</w:t>
      </w:r>
      <w:r w:rsidR="009D73E8">
        <w:t xml:space="preserve"> </w:t>
      </w:r>
      <w:r w:rsidR="002C182A">
        <w:t xml:space="preserve">The “reasonable steps” recommended in </w:t>
      </w:r>
      <w:r w:rsidR="009D73E8">
        <w:t>these sections</w:t>
      </w:r>
      <w:r w:rsidR="002C182A">
        <w:t xml:space="preserve"> are suggestions only, and not requirements.</w:t>
      </w:r>
      <w:r w:rsidR="002C182A" w:rsidRPr="00710189">
        <w:t xml:space="preserve"> </w:t>
      </w:r>
    </w:p>
    <w:p w14:paraId="3A46892F" w14:textId="758F53F5" w:rsidR="008D5BEA" w:rsidRDefault="00102468" w:rsidP="008D5BEA">
      <w:pPr>
        <w:pStyle w:val="BodyText1"/>
        <w:spacing w:before="0" w:after="120"/>
        <w:rPr>
          <w:u w:val="single"/>
        </w:rPr>
      </w:pPr>
      <w:r w:rsidRPr="00102468">
        <w:rPr>
          <w:u w:val="single"/>
        </w:rPr>
        <w:t>Accessibilit</w:t>
      </w:r>
      <w:r w:rsidR="009D73E8">
        <w:rPr>
          <w:u w:val="single"/>
        </w:rPr>
        <w:t xml:space="preserve">y </w:t>
      </w:r>
    </w:p>
    <w:p w14:paraId="32B8623B" w14:textId="5062AC4C" w:rsidR="00DF6819" w:rsidRDefault="005355CE" w:rsidP="00DF6819">
      <w:pPr>
        <w:pStyle w:val="BodyText1"/>
        <w:spacing w:before="0" w:after="120"/>
      </w:pPr>
      <w:r>
        <w:t>ACCAN also welcomes the Expectation in section 16 that service providers make complaints information, terms of use and policies readily accessible to end users.</w:t>
      </w:r>
      <w:r w:rsidR="001A5F33">
        <w:t xml:space="preserve"> ACCAN asserts that this </w:t>
      </w:r>
      <w:r w:rsidR="00CC174B">
        <w:t>’a</w:t>
      </w:r>
      <w:r w:rsidR="001A5F33">
        <w:t xml:space="preserve">ccessibility’ must also </w:t>
      </w:r>
      <w:r w:rsidR="00A9026A">
        <w:t xml:space="preserve">ensure that </w:t>
      </w:r>
      <w:r w:rsidR="001A5F33">
        <w:t>end-users with disability</w:t>
      </w:r>
      <w:r w:rsidR="00A9026A">
        <w:t xml:space="preserve"> are able to have equal access to </w:t>
      </w:r>
      <w:r w:rsidR="00CC174B">
        <w:t xml:space="preserve">this </w:t>
      </w:r>
      <w:r w:rsidR="00A9026A">
        <w:t xml:space="preserve">information and </w:t>
      </w:r>
      <w:r w:rsidR="00CC174B">
        <w:t xml:space="preserve">related </w:t>
      </w:r>
      <w:r w:rsidR="00A9026A">
        <w:t>services.</w:t>
      </w:r>
    </w:p>
    <w:p w14:paraId="30545C28" w14:textId="77777777" w:rsidR="00DF6819" w:rsidRDefault="00DF6819" w:rsidP="00DF6819">
      <w:pPr>
        <w:pStyle w:val="BodyText1"/>
        <w:spacing w:before="0" w:after="120"/>
      </w:pPr>
    </w:p>
    <w:p w14:paraId="1B2370FB" w14:textId="7048AABE" w:rsidR="009E2482" w:rsidRPr="00945AE1" w:rsidRDefault="00495D32" w:rsidP="00DF6819">
      <w:r>
        <w:t xml:space="preserve">In conclusion, </w:t>
      </w:r>
      <w:r w:rsidR="009E2482">
        <w:t>ACCAN is pleased to see</w:t>
      </w:r>
      <w:r w:rsidR="00DF6819">
        <w:t xml:space="preserve"> the Department strengthening the regulation </w:t>
      </w:r>
      <w:r w:rsidR="008B28E6">
        <w:t xml:space="preserve">to minimise the </w:t>
      </w:r>
      <w:r w:rsidR="00DF6819">
        <w:t>online harm consumers experience through misuse of social media and other electronic and online services. In particular, the development of Expectations for</w:t>
      </w:r>
      <w:r w:rsidR="009E2482">
        <w:t xml:space="preserve"> online services to </w:t>
      </w:r>
      <w:r w:rsidR="00DF6819">
        <w:t>systematically address consumer</w:t>
      </w:r>
      <w:r w:rsidR="009E2482">
        <w:t xml:space="preserve"> complaints</w:t>
      </w:r>
      <w:r w:rsidR="00DF6819">
        <w:t xml:space="preserve"> is a positive step. </w:t>
      </w:r>
    </w:p>
    <w:p w14:paraId="09D1765E" w14:textId="3C2EA225" w:rsidR="00C7127B" w:rsidRDefault="00DF6819" w:rsidP="00DF6819">
      <w:r>
        <w:t xml:space="preserve">However, </w:t>
      </w:r>
      <w:r w:rsidR="00495D32">
        <w:t xml:space="preserve">while ACCAN is pleased to see the Department taking action to protect children and adults from </w:t>
      </w:r>
      <w:r w:rsidR="00495D32" w:rsidRPr="00945AE1">
        <w:t>cyber-</w:t>
      </w:r>
      <w:r w:rsidR="00495D32">
        <w:t>bullying and online abuse</w:t>
      </w:r>
      <w:r w:rsidR="00495D32" w:rsidRPr="00945AE1">
        <w:t xml:space="preserve">, </w:t>
      </w:r>
      <w:r w:rsidR="00495D32">
        <w:t xml:space="preserve">pornographic and violent </w:t>
      </w:r>
      <w:proofErr w:type="gramStart"/>
      <w:r w:rsidR="00495D32">
        <w:t>material</w:t>
      </w:r>
      <w:proofErr w:type="gramEnd"/>
      <w:r w:rsidR="00495D32">
        <w:t xml:space="preserve"> and the sharing of </w:t>
      </w:r>
      <w:r w:rsidR="00495D32" w:rsidRPr="00945AE1">
        <w:t xml:space="preserve">non-consensual intimate images, </w:t>
      </w:r>
      <w:r w:rsidR="00495D32">
        <w:t xml:space="preserve">we feel that stronger penalties and enforcement </w:t>
      </w:r>
      <w:r w:rsidR="00CC174B">
        <w:t xml:space="preserve">actions </w:t>
      </w:r>
      <w:r w:rsidR="00495D32">
        <w:t xml:space="preserve">are needed </w:t>
      </w:r>
      <w:r>
        <w:t>in order to effectively enforce compliance by online services with the Expectations.</w:t>
      </w:r>
    </w:p>
    <w:p w14:paraId="6C90C1DC" w14:textId="77777777" w:rsidR="00DF6819" w:rsidRDefault="00DF6819" w:rsidP="00DF6819"/>
    <w:p w14:paraId="43B6B915" w14:textId="0AC78FD5" w:rsidR="00C7127B" w:rsidRDefault="00C7127B" w:rsidP="00945AE1">
      <w:pPr>
        <w:pStyle w:val="BodyText1"/>
      </w:pPr>
      <w:r>
        <w:t>Sincerely</w:t>
      </w:r>
    </w:p>
    <w:p w14:paraId="24E590A8" w14:textId="77777777" w:rsidR="00DF6819" w:rsidRDefault="00DF6819" w:rsidP="00945AE1">
      <w:pPr>
        <w:pStyle w:val="BodyText1"/>
      </w:pPr>
    </w:p>
    <w:p w14:paraId="6875AA05" w14:textId="365E40F7" w:rsidR="00C7127B" w:rsidRDefault="00DF6819" w:rsidP="00945AE1">
      <w:pPr>
        <w:pStyle w:val="BodyText1"/>
      </w:pPr>
      <w:r>
        <w:t>Wayne Hawkins</w:t>
      </w:r>
    </w:p>
    <w:p w14:paraId="32488D4D" w14:textId="5D651AF2" w:rsidR="00545597" w:rsidRDefault="00DF6819">
      <w:r>
        <w:t>Director of Inclusion</w:t>
      </w:r>
    </w:p>
    <w:sectPr w:rsidR="00545597" w:rsidSect="00C7127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B3067" w14:textId="77777777" w:rsidR="003F1C17" w:rsidRDefault="003F1C17" w:rsidP="00C7127B">
      <w:pPr>
        <w:spacing w:after="0" w:line="240" w:lineRule="auto"/>
      </w:pPr>
      <w:r>
        <w:separator/>
      </w:r>
    </w:p>
  </w:endnote>
  <w:endnote w:type="continuationSeparator" w:id="0">
    <w:p w14:paraId="7DB9D3C5" w14:textId="77777777" w:rsidR="003F1C17" w:rsidRDefault="003F1C17" w:rsidP="00C71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2D38A" w14:textId="77777777" w:rsidR="008B28E6" w:rsidRDefault="008B28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E976"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6667CA">
      <w:rPr>
        <w:noProof/>
      </w:rPr>
      <w:t>2</w:t>
    </w:r>
    <w:r w:rsidRPr="00C4251E">
      <w:rPr>
        <w:noProof/>
      </w:rPr>
      <w:fldChar w:fldCharType="end"/>
    </w:r>
  </w:p>
  <w:p w14:paraId="791A1713" w14:textId="77777777" w:rsidR="00C7127B" w:rsidRDefault="00C712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40E7" w14:textId="77777777" w:rsidR="00C7127B" w:rsidRDefault="00C7127B">
    <w:pPr>
      <w:pStyle w:val="Footer"/>
    </w:pPr>
    <w:r>
      <w:rPr>
        <w:noProof/>
      </w:rPr>
      <mc:AlternateContent>
        <mc:Choice Requires="wpg">
          <w:drawing>
            <wp:anchor distT="0" distB="0" distL="114300" distR="114300" simplePos="0" relativeHeight="251661312" behindDoc="1" locked="0" layoutInCell="1" allowOverlap="1" wp14:anchorId="35CB85CE" wp14:editId="5BD8F478">
              <wp:simplePos x="0" y="0"/>
              <wp:positionH relativeFrom="column">
                <wp:posOffset>-136525</wp:posOffset>
              </wp:positionH>
              <wp:positionV relativeFrom="paragraph">
                <wp:posOffset>-763270</wp:posOffset>
              </wp:positionV>
              <wp:extent cx="6971664" cy="1473199"/>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473199"/>
                        <a:chOff x="-49543" y="-160097"/>
                        <a:chExt cx="6971664" cy="1382617"/>
                      </a:xfrm>
                    </wpg:grpSpPr>
                    <wps:wsp>
                      <wps:cNvPr id="2" name="Text Box 2"/>
                      <wps:cNvSpPr txBox="1">
                        <a:spLocks noChangeArrowheads="1"/>
                      </wps:cNvSpPr>
                      <wps:spPr bwMode="auto">
                        <a:xfrm>
                          <a:off x="-49543" y="-160097"/>
                          <a:ext cx="6971664" cy="1382617"/>
                        </a:xfrm>
                        <a:prstGeom prst="rect">
                          <a:avLst/>
                        </a:prstGeom>
                        <a:noFill/>
                        <a:ln w="9525">
                          <a:noFill/>
                          <a:miter lim="800000"/>
                          <a:headEnd/>
                          <a:tailEnd/>
                        </a:ln>
                      </wps:spPr>
                      <wps:txbx>
                        <w:txbxContent>
                          <w:p w14:paraId="2D27881F" w14:textId="77777777" w:rsidR="00C7127B" w:rsidRPr="00E05115" w:rsidRDefault="00C7127B" w:rsidP="00C7127B">
                            <w:pPr>
                              <w:spacing w:after="0"/>
                              <w:rPr>
                                <w:color w:val="23B0E6"/>
                              </w:rPr>
                            </w:pPr>
                            <w:r w:rsidRPr="00E05115">
                              <w:rPr>
                                <w:color w:val="23B0E6"/>
                              </w:rPr>
                              <w:t>Australian Communications Consumer Action Network (ACCAN)</w:t>
                            </w:r>
                          </w:p>
                          <w:p w14:paraId="609DCFA6"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2133EA99" w14:textId="77777777" w:rsidR="00C7127B" w:rsidRPr="00E05115" w:rsidRDefault="00C7127B" w:rsidP="00C7127B">
                            <w:pPr>
                              <w:spacing w:after="0"/>
                              <w:rPr>
                                <w:i/>
                                <w:color w:val="23B0E6"/>
                              </w:rPr>
                            </w:pPr>
                          </w:p>
                          <w:p w14:paraId="5FBBBA82" w14:textId="77777777" w:rsidR="00C7127B" w:rsidRDefault="00C7127B" w:rsidP="00C7127B">
                            <w:pPr>
                              <w:spacing w:after="0"/>
                            </w:pPr>
                            <w:r>
                              <w:t>PO Box 639, Broadway NSW 2007</w:t>
                            </w:r>
                          </w:p>
                          <w:p w14:paraId="3FEEFFA4" w14:textId="77777777" w:rsidR="00C7127B" w:rsidRDefault="00C7127B" w:rsidP="00C7127B">
                            <w:pPr>
                              <w:spacing w:after="0"/>
                            </w:pPr>
                            <w:r>
                              <w:t xml:space="preserve">Tel: (02) 9288 4000 | Fax: (02) 9288 4019 | Contact us through the </w:t>
                            </w:r>
                            <w:hyperlink r:id="rId1" w:history="1">
                              <w:r w:rsidRPr="00FE6EAF">
                                <w:rPr>
                                  <w:rStyle w:val="Hyperlink"/>
                                </w:rPr>
                                <w:t>National Relay Service</w:t>
                              </w:r>
                            </w:hyperlink>
                          </w:p>
                          <w:p w14:paraId="4ED21E6E"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35CB85CE" id="Group 3" o:spid="_x0000_s1026" style="position:absolute;margin-left:-10.75pt;margin-top:-60.1pt;width:548.95pt;height:116pt;z-index:-251655168;mso-width-relative:margin;mso-height-relative:margin" coordorigin="-495,-1600" coordsize="69716,1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">
              <v:shapetype id="_x0000_t202" coordsize="21600,21600" o:spt="202" path="m,l,21600r21600,l21600,xe">
                <v:stroke joinstyle="miter"/>
                <v:path gradientshapeok="t" o:connecttype="rect"/>
              </v:shapetype>
              <v:shape id="Text Box 2" o:spid="_x0000_s1027" type="#_x0000_t202" style="position:absolute;left:-495;top:-1600;width:69716;height:13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2D27881F" w14:textId="77777777" w:rsidR="00C7127B" w:rsidRPr="00E05115" w:rsidRDefault="00C7127B" w:rsidP="00C7127B">
                      <w:pPr>
                        <w:spacing w:after="0"/>
                        <w:rPr>
                          <w:color w:val="23B0E6"/>
                        </w:rPr>
                      </w:pPr>
                      <w:r w:rsidRPr="00E05115">
                        <w:rPr>
                          <w:color w:val="23B0E6"/>
                        </w:rPr>
                        <w:t>Australian Communications Consumer Action Network (ACCAN)</w:t>
                      </w:r>
                    </w:p>
                    <w:p w14:paraId="609DCFA6" w14:textId="77777777" w:rsidR="00C7127B" w:rsidRDefault="00C7127B" w:rsidP="00C7127B">
                      <w:pPr>
                        <w:spacing w:after="0"/>
                        <w:rPr>
                          <w:i/>
                          <w:color w:val="23B0E6"/>
                        </w:rPr>
                      </w:pPr>
                      <w:r w:rsidRPr="00E05115">
                        <w:rPr>
                          <w:i/>
                          <w:color w:val="23B0E6"/>
                        </w:rPr>
                        <w:t xml:space="preserve">Australia’s peak </w:t>
                      </w:r>
                      <w:r>
                        <w:rPr>
                          <w:i/>
                          <w:color w:val="23B0E6"/>
                        </w:rPr>
                        <w:t>body representing communications consumers</w:t>
                      </w:r>
                    </w:p>
                    <w:p w14:paraId="2133EA99" w14:textId="77777777" w:rsidR="00C7127B" w:rsidRPr="00E05115" w:rsidRDefault="00C7127B" w:rsidP="00C7127B">
                      <w:pPr>
                        <w:spacing w:after="0"/>
                        <w:rPr>
                          <w:i/>
                          <w:color w:val="23B0E6"/>
                        </w:rPr>
                      </w:pPr>
                    </w:p>
                    <w:p w14:paraId="5FBBBA82" w14:textId="77777777" w:rsidR="00C7127B" w:rsidRDefault="00C7127B" w:rsidP="00C7127B">
                      <w:pPr>
                        <w:spacing w:after="0"/>
                      </w:pPr>
                      <w:r>
                        <w:t>PO Box 639, Broadway NSW 2007</w:t>
                      </w:r>
                    </w:p>
                    <w:p w14:paraId="3FEEFFA4" w14:textId="77777777" w:rsidR="00C7127B" w:rsidRDefault="00C7127B" w:rsidP="00C7127B">
                      <w:pPr>
                        <w:spacing w:after="0"/>
                      </w:pPr>
                      <w:r>
                        <w:t xml:space="preserve">Tel: (02) 9288 4000 | Fax: (02) 9288 4019 | Contact us through the </w:t>
                      </w:r>
                      <w:hyperlink r:id="rId2" w:history="1">
                        <w:r w:rsidRPr="00FE6EAF">
                          <w:rPr>
                            <w:rStyle w:val="Hyperlink"/>
                          </w:rPr>
                          <w:t>National Relay Service</w:t>
                        </w:r>
                      </w:hyperlink>
                    </w:p>
                    <w:p w14:paraId="4ED21E6E" w14:textId="77777777" w:rsidR="00C7127B" w:rsidRPr="00E05115" w:rsidRDefault="00C7127B" w:rsidP="00C7127B">
                      <w:pPr>
                        <w:spacing w:after="0"/>
                        <w:rPr>
                          <w:color w:val="23B0E6"/>
                        </w:rPr>
                      </w:pPr>
                      <w:r w:rsidRPr="00E05115">
                        <w:rPr>
                          <w:color w:val="23B0E6"/>
                        </w:rPr>
                        <w:t>www.accan.org.au | info@accan.org.au | twitter: @ACCAN_AU</w:t>
                      </w:r>
                      <w:r>
                        <w:rPr>
                          <w:color w:val="23B0E6"/>
                        </w:rPr>
                        <w:t xml:space="preserve"> | www.facebook.com/accanau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" strokecolor="#23b0e6" strokeweight="3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34934" w14:textId="77777777" w:rsidR="003F1C17" w:rsidRDefault="003F1C17" w:rsidP="00C7127B">
      <w:pPr>
        <w:spacing w:after="0" w:line="240" w:lineRule="auto"/>
      </w:pPr>
      <w:r>
        <w:separator/>
      </w:r>
    </w:p>
  </w:footnote>
  <w:footnote w:type="continuationSeparator" w:id="0">
    <w:p w14:paraId="28631F10" w14:textId="77777777" w:rsidR="003F1C17" w:rsidRDefault="003F1C17" w:rsidP="00C71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326F" w14:textId="77777777" w:rsidR="008B28E6" w:rsidRDefault="008B28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D002" w14:textId="77777777" w:rsidR="00C7127B" w:rsidRDefault="00C7127B">
    <w:pPr>
      <w:pStyle w:val="Header"/>
    </w:pPr>
    <w:r>
      <w:rPr>
        <w:noProof/>
      </w:rPr>
      <w:drawing>
        <wp:anchor distT="0" distB="0" distL="114300" distR="114300" simplePos="0" relativeHeight="251659264" behindDoc="1" locked="0" layoutInCell="1" allowOverlap="1" wp14:anchorId="0B6074A1" wp14:editId="0E6707A1">
          <wp:simplePos x="0" y="0"/>
          <wp:positionH relativeFrom="column">
            <wp:posOffset>4743450</wp:posOffset>
          </wp:positionH>
          <wp:positionV relativeFrom="paragraph">
            <wp:posOffset>180340</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2602" w14:textId="77777777" w:rsidR="00C7127B" w:rsidRDefault="00C7127B" w:rsidP="00C7127B">
    <w:pPr>
      <w:pStyle w:val="Header"/>
      <w:jc w:val="right"/>
    </w:pPr>
    <w:r>
      <w:rPr>
        <w:noProof/>
      </w:rPr>
      <w:drawing>
        <wp:anchor distT="0" distB="0" distL="114300" distR="114300" simplePos="0" relativeHeight="251663360" behindDoc="1" locked="0" layoutInCell="1" allowOverlap="1" wp14:anchorId="219C5560" wp14:editId="05840BF6">
          <wp:simplePos x="0" y="0"/>
          <wp:positionH relativeFrom="column">
            <wp:posOffset>4895850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045A5"/>
    <w:multiLevelType w:val="hybridMultilevel"/>
    <w:tmpl w:val="FB348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9828CB"/>
    <w:multiLevelType w:val="hybridMultilevel"/>
    <w:tmpl w:val="56E86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9401C0"/>
    <w:multiLevelType w:val="hybridMultilevel"/>
    <w:tmpl w:val="C8D8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892ACF"/>
    <w:multiLevelType w:val="hybridMultilevel"/>
    <w:tmpl w:val="1324B586"/>
    <w:lvl w:ilvl="0" w:tplc="0C090001">
      <w:start w:val="1"/>
      <w:numFmt w:val="bullet"/>
      <w:lvlText w:val=""/>
      <w:lvlJc w:val="left"/>
      <w:pPr>
        <w:ind w:left="1076" w:hanging="360"/>
      </w:pPr>
      <w:rPr>
        <w:rFonts w:ascii="Symbol" w:hAnsi="Symbol" w:hint="default"/>
      </w:rPr>
    </w:lvl>
    <w:lvl w:ilvl="1" w:tplc="0C090003" w:tentative="1">
      <w:start w:val="1"/>
      <w:numFmt w:val="bullet"/>
      <w:lvlText w:val="o"/>
      <w:lvlJc w:val="left"/>
      <w:pPr>
        <w:ind w:left="1796" w:hanging="360"/>
      </w:pPr>
      <w:rPr>
        <w:rFonts w:ascii="Courier New" w:hAnsi="Courier New" w:cs="Courier New" w:hint="default"/>
      </w:rPr>
    </w:lvl>
    <w:lvl w:ilvl="2" w:tplc="0C090005" w:tentative="1">
      <w:start w:val="1"/>
      <w:numFmt w:val="bullet"/>
      <w:lvlText w:val=""/>
      <w:lvlJc w:val="left"/>
      <w:pPr>
        <w:ind w:left="2516" w:hanging="360"/>
      </w:pPr>
      <w:rPr>
        <w:rFonts w:ascii="Wingdings" w:hAnsi="Wingdings" w:hint="default"/>
      </w:rPr>
    </w:lvl>
    <w:lvl w:ilvl="3" w:tplc="0C090001" w:tentative="1">
      <w:start w:val="1"/>
      <w:numFmt w:val="bullet"/>
      <w:lvlText w:val=""/>
      <w:lvlJc w:val="left"/>
      <w:pPr>
        <w:ind w:left="3236" w:hanging="360"/>
      </w:pPr>
      <w:rPr>
        <w:rFonts w:ascii="Symbol" w:hAnsi="Symbol" w:hint="default"/>
      </w:rPr>
    </w:lvl>
    <w:lvl w:ilvl="4" w:tplc="0C090003" w:tentative="1">
      <w:start w:val="1"/>
      <w:numFmt w:val="bullet"/>
      <w:lvlText w:val="o"/>
      <w:lvlJc w:val="left"/>
      <w:pPr>
        <w:ind w:left="3956" w:hanging="360"/>
      </w:pPr>
      <w:rPr>
        <w:rFonts w:ascii="Courier New" w:hAnsi="Courier New" w:cs="Courier New" w:hint="default"/>
      </w:rPr>
    </w:lvl>
    <w:lvl w:ilvl="5" w:tplc="0C090005" w:tentative="1">
      <w:start w:val="1"/>
      <w:numFmt w:val="bullet"/>
      <w:lvlText w:val=""/>
      <w:lvlJc w:val="left"/>
      <w:pPr>
        <w:ind w:left="4676" w:hanging="360"/>
      </w:pPr>
      <w:rPr>
        <w:rFonts w:ascii="Wingdings" w:hAnsi="Wingdings" w:hint="default"/>
      </w:rPr>
    </w:lvl>
    <w:lvl w:ilvl="6" w:tplc="0C090001" w:tentative="1">
      <w:start w:val="1"/>
      <w:numFmt w:val="bullet"/>
      <w:lvlText w:val=""/>
      <w:lvlJc w:val="left"/>
      <w:pPr>
        <w:ind w:left="5396" w:hanging="360"/>
      </w:pPr>
      <w:rPr>
        <w:rFonts w:ascii="Symbol" w:hAnsi="Symbol" w:hint="default"/>
      </w:rPr>
    </w:lvl>
    <w:lvl w:ilvl="7" w:tplc="0C090003" w:tentative="1">
      <w:start w:val="1"/>
      <w:numFmt w:val="bullet"/>
      <w:lvlText w:val="o"/>
      <w:lvlJc w:val="left"/>
      <w:pPr>
        <w:ind w:left="6116" w:hanging="360"/>
      </w:pPr>
      <w:rPr>
        <w:rFonts w:ascii="Courier New" w:hAnsi="Courier New" w:cs="Courier New" w:hint="default"/>
      </w:rPr>
    </w:lvl>
    <w:lvl w:ilvl="8" w:tplc="0C090005" w:tentative="1">
      <w:start w:val="1"/>
      <w:numFmt w:val="bullet"/>
      <w:lvlText w:val=""/>
      <w:lvlJc w:val="left"/>
      <w:pPr>
        <w:ind w:left="6836" w:hanging="360"/>
      </w:pPr>
      <w:rPr>
        <w:rFonts w:ascii="Wingdings" w:hAnsi="Wingdings" w:hint="default"/>
      </w:rPr>
    </w:lvl>
  </w:abstractNum>
  <w:abstractNum w:abstractNumId="4" w15:restartNumberingAfterBreak="0">
    <w:nsid w:val="718E2200"/>
    <w:multiLevelType w:val="multilevel"/>
    <w:tmpl w:val="250E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0B645B"/>
    <w:multiLevelType w:val="hybridMultilevel"/>
    <w:tmpl w:val="5C1AC3A0"/>
    <w:lvl w:ilvl="0" w:tplc="ABBA948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819"/>
    <w:rsid w:val="00055661"/>
    <w:rsid w:val="00066DC8"/>
    <w:rsid w:val="000879EF"/>
    <w:rsid w:val="00102468"/>
    <w:rsid w:val="00155FA9"/>
    <w:rsid w:val="00157958"/>
    <w:rsid w:val="00163894"/>
    <w:rsid w:val="001A5F33"/>
    <w:rsid w:val="002223B4"/>
    <w:rsid w:val="002966B4"/>
    <w:rsid w:val="002C182A"/>
    <w:rsid w:val="00302AE9"/>
    <w:rsid w:val="00337083"/>
    <w:rsid w:val="00390D6E"/>
    <w:rsid w:val="003C3482"/>
    <w:rsid w:val="003F1C17"/>
    <w:rsid w:val="004003A7"/>
    <w:rsid w:val="00445B1D"/>
    <w:rsid w:val="00495D32"/>
    <w:rsid w:val="004C5E32"/>
    <w:rsid w:val="005355CE"/>
    <w:rsid w:val="00545597"/>
    <w:rsid w:val="0055070E"/>
    <w:rsid w:val="0056649A"/>
    <w:rsid w:val="00594645"/>
    <w:rsid w:val="006667CA"/>
    <w:rsid w:val="00710189"/>
    <w:rsid w:val="00717AFB"/>
    <w:rsid w:val="00746B4A"/>
    <w:rsid w:val="00782AAC"/>
    <w:rsid w:val="00791B18"/>
    <w:rsid w:val="007A526A"/>
    <w:rsid w:val="007E792B"/>
    <w:rsid w:val="008104AF"/>
    <w:rsid w:val="0084097F"/>
    <w:rsid w:val="00873819"/>
    <w:rsid w:val="00874E98"/>
    <w:rsid w:val="008928DA"/>
    <w:rsid w:val="008B28E6"/>
    <w:rsid w:val="008D5BEA"/>
    <w:rsid w:val="008F493E"/>
    <w:rsid w:val="009066AD"/>
    <w:rsid w:val="00945AE1"/>
    <w:rsid w:val="00992543"/>
    <w:rsid w:val="009A299F"/>
    <w:rsid w:val="009D73E8"/>
    <w:rsid w:val="009E2482"/>
    <w:rsid w:val="00A46589"/>
    <w:rsid w:val="00A66C66"/>
    <w:rsid w:val="00A9026A"/>
    <w:rsid w:val="00AA028E"/>
    <w:rsid w:val="00AB0D59"/>
    <w:rsid w:val="00B87D16"/>
    <w:rsid w:val="00C408DC"/>
    <w:rsid w:val="00C7127B"/>
    <w:rsid w:val="00CC174B"/>
    <w:rsid w:val="00CC6067"/>
    <w:rsid w:val="00CF572F"/>
    <w:rsid w:val="00DC5A46"/>
    <w:rsid w:val="00DF6819"/>
    <w:rsid w:val="00E3668A"/>
    <w:rsid w:val="00E85992"/>
    <w:rsid w:val="00E92F09"/>
    <w:rsid w:val="00EA6FF5"/>
    <w:rsid w:val="00ED575C"/>
    <w:rsid w:val="00EF13A9"/>
    <w:rsid w:val="00F122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C150F"/>
  <w15:docId w15:val="{D88136AA-F886-4535-93FA-FD196C148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B18"/>
  </w:style>
  <w:style w:type="paragraph" w:styleId="Heading1">
    <w:name w:val="heading 1"/>
    <w:basedOn w:val="Normal"/>
    <w:link w:val="Heading1Char"/>
    <w:uiPriority w:val="9"/>
    <w:qFormat/>
    <w:rsid w:val="00E366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945AE1"/>
    <w:pPr>
      <w:spacing w:before="240"/>
    </w:pPr>
    <w:rPr>
      <w:rFonts w:ascii="Calibri" w:eastAsia="Calibri" w:hAnsi="Calibri" w:cs="Calibri"/>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NormalWeb">
    <w:name w:val="Normal (Web)"/>
    <w:basedOn w:val="Normal"/>
    <w:uiPriority w:val="99"/>
    <w:semiHidden/>
    <w:unhideWhenUsed/>
    <w:rsid w:val="00445B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BodyText1"/>
    <w:uiPriority w:val="34"/>
    <w:qFormat/>
    <w:rsid w:val="00945AE1"/>
    <w:pPr>
      <w:numPr>
        <w:numId w:val="6"/>
      </w:numPr>
      <w:spacing w:before="120" w:after="120"/>
    </w:pPr>
  </w:style>
  <w:style w:type="character" w:styleId="UnresolvedMention">
    <w:name w:val="Unresolved Mention"/>
    <w:basedOn w:val="DefaultParagraphFont"/>
    <w:uiPriority w:val="99"/>
    <w:semiHidden/>
    <w:unhideWhenUsed/>
    <w:rsid w:val="00E3668A"/>
    <w:rPr>
      <w:color w:val="605E5C"/>
      <w:shd w:val="clear" w:color="auto" w:fill="E1DFDD"/>
    </w:rPr>
  </w:style>
  <w:style w:type="character" w:customStyle="1" w:styleId="Heading1Char">
    <w:name w:val="Heading 1 Char"/>
    <w:basedOn w:val="DefaultParagraphFont"/>
    <w:link w:val="Heading1"/>
    <w:uiPriority w:val="9"/>
    <w:rsid w:val="00E3668A"/>
    <w:rPr>
      <w:rFonts w:ascii="Times New Roman" w:eastAsia="Times New Roman" w:hAnsi="Times New Roman" w:cs="Times New Roman"/>
      <w:b/>
      <w:bCs/>
      <w:kern w:val="36"/>
      <w:sz w:val="48"/>
      <w:szCs w:val="48"/>
    </w:rPr>
  </w:style>
  <w:style w:type="character" w:customStyle="1" w:styleId="field">
    <w:name w:val="field"/>
    <w:basedOn w:val="DefaultParagraphFont"/>
    <w:rsid w:val="00E3668A"/>
  </w:style>
  <w:style w:type="paragraph" w:styleId="FootnoteText">
    <w:name w:val="footnote text"/>
    <w:basedOn w:val="Normal"/>
    <w:link w:val="FootnoteTextChar"/>
    <w:uiPriority w:val="99"/>
    <w:semiHidden/>
    <w:unhideWhenUsed/>
    <w:rsid w:val="004C5E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E32"/>
    <w:rPr>
      <w:sz w:val="20"/>
      <w:szCs w:val="20"/>
    </w:rPr>
  </w:style>
  <w:style w:type="character" w:styleId="FootnoteReference">
    <w:name w:val="footnote reference"/>
    <w:basedOn w:val="DefaultParagraphFont"/>
    <w:uiPriority w:val="99"/>
    <w:semiHidden/>
    <w:unhideWhenUsed/>
    <w:rsid w:val="004C5E32"/>
    <w:rPr>
      <w:vertAlign w:val="superscript"/>
    </w:rPr>
  </w:style>
  <w:style w:type="character" w:styleId="CommentReference">
    <w:name w:val="annotation reference"/>
    <w:basedOn w:val="DefaultParagraphFont"/>
    <w:uiPriority w:val="99"/>
    <w:semiHidden/>
    <w:unhideWhenUsed/>
    <w:rsid w:val="003C3482"/>
    <w:rPr>
      <w:sz w:val="16"/>
      <w:szCs w:val="16"/>
    </w:rPr>
  </w:style>
  <w:style w:type="paragraph" w:styleId="CommentText">
    <w:name w:val="annotation text"/>
    <w:basedOn w:val="Normal"/>
    <w:link w:val="CommentTextChar"/>
    <w:uiPriority w:val="99"/>
    <w:semiHidden/>
    <w:unhideWhenUsed/>
    <w:rsid w:val="003C3482"/>
    <w:pPr>
      <w:spacing w:line="240" w:lineRule="auto"/>
    </w:pPr>
    <w:rPr>
      <w:sz w:val="20"/>
      <w:szCs w:val="20"/>
    </w:rPr>
  </w:style>
  <w:style w:type="character" w:customStyle="1" w:styleId="CommentTextChar">
    <w:name w:val="Comment Text Char"/>
    <w:basedOn w:val="DefaultParagraphFont"/>
    <w:link w:val="CommentText"/>
    <w:uiPriority w:val="99"/>
    <w:semiHidden/>
    <w:rsid w:val="003C3482"/>
    <w:rPr>
      <w:sz w:val="20"/>
      <w:szCs w:val="20"/>
    </w:rPr>
  </w:style>
  <w:style w:type="paragraph" w:styleId="CommentSubject">
    <w:name w:val="annotation subject"/>
    <w:basedOn w:val="CommentText"/>
    <w:next w:val="CommentText"/>
    <w:link w:val="CommentSubjectChar"/>
    <w:uiPriority w:val="99"/>
    <w:semiHidden/>
    <w:unhideWhenUsed/>
    <w:rsid w:val="003C3482"/>
    <w:rPr>
      <w:b/>
      <w:bCs/>
    </w:rPr>
  </w:style>
  <w:style w:type="character" w:customStyle="1" w:styleId="CommentSubjectChar">
    <w:name w:val="Comment Subject Char"/>
    <w:basedOn w:val="CommentTextChar"/>
    <w:link w:val="CommentSubject"/>
    <w:uiPriority w:val="99"/>
    <w:semiHidden/>
    <w:rsid w:val="003C34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 w:id="1590196883">
      <w:bodyDiv w:val="1"/>
      <w:marLeft w:val="0"/>
      <w:marRight w:val="0"/>
      <w:marTop w:val="0"/>
      <w:marBottom w:val="0"/>
      <w:divBdr>
        <w:top w:val="none" w:sz="0" w:space="0" w:color="auto"/>
        <w:left w:val="none" w:sz="0" w:space="0" w:color="auto"/>
        <w:bottom w:val="none" w:sz="0" w:space="0" w:color="auto"/>
        <w:right w:val="none" w:sz="0" w:space="0" w:color="auto"/>
      </w:divBdr>
    </w:div>
    <w:div w:id="192633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lineSafety@infrastructure.gov.au"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relayservice.gov.au/" TargetMode="External"/><Relationship Id="rId1" Type="http://schemas.openxmlformats.org/officeDocument/2006/relationships/hyperlink" Target="http://relayservic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whitelock\Desktop\ADMIN\Templates\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C1F362-3744-4177-982A-87F41D8C6DCA}">
  <ds:schemaRefs>
    <ds:schemaRef ds:uri="http://schemas.openxmlformats.org/officeDocument/2006/bibliography"/>
  </ds:schemaRefs>
</ds:datastoreItem>
</file>

<file path=customXml/itemProps2.xml><?xml version="1.0" encoding="utf-8"?>
<ds:datastoreItem xmlns:ds="http://schemas.openxmlformats.org/officeDocument/2006/customXml" ds:itemID="{F2384D71-8250-4B16-A06D-3FA7FC30F794}"/>
</file>

<file path=customXml/itemProps3.xml><?xml version="1.0" encoding="utf-8"?>
<ds:datastoreItem xmlns:ds="http://schemas.openxmlformats.org/officeDocument/2006/customXml" ds:itemID="{F8D6916A-4888-46CD-BD32-DA4B4CDB5C50}"/>
</file>

<file path=customXml/itemProps4.xml><?xml version="1.0" encoding="utf-8"?>
<ds:datastoreItem xmlns:ds="http://schemas.openxmlformats.org/officeDocument/2006/customXml" ds:itemID="{363C7993-281B-4CCF-9C2C-BB558AFEFDB7}"/>
</file>

<file path=docProps/app.xml><?xml version="1.0" encoding="utf-8"?>
<Properties xmlns="http://schemas.openxmlformats.org/officeDocument/2006/extended-properties" xmlns:vt="http://schemas.openxmlformats.org/officeDocument/2006/docPropsVTypes">
  <Template>Short Submission Template</Template>
  <TotalTime>12</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Whitelock</dc:creator>
  <cp:lastModifiedBy>Stephanie Whitelock</cp:lastModifiedBy>
  <cp:revision>3</cp:revision>
  <dcterms:created xsi:type="dcterms:W3CDTF">2021-11-09T00:07:00Z</dcterms:created>
  <dcterms:modified xsi:type="dcterms:W3CDTF">2021-11-09T12:33:00Z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