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2" w:rsidRPr="00E63BC2" w:rsidRDefault="00E63BC2" w:rsidP="00E63BC2">
      <w:pPr>
        <w:pStyle w:val="Heading1"/>
        <w:spacing w:before="0"/>
        <w:jc w:val="center"/>
        <w:rPr>
          <w:u w:val="single"/>
        </w:rPr>
      </w:pPr>
      <w:bookmarkStart w:id="0" w:name="_GoBack"/>
      <w:bookmarkEnd w:id="0"/>
      <w:r w:rsidRPr="00E63BC2">
        <w:rPr>
          <w:u w:val="single"/>
        </w:rPr>
        <w:t xml:space="preserve">Can you hear me? </w:t>
      </w:r>
    </w:p>
    <w:p w:rsidR="0035152D" w:rsidRPr="00E63BC2" w:rsidRDefault="00E63BC2" w:rsidP="00E63BC2">
      <w:pPr>
        <w:pStyle w:val="Heading1"/>
        <w:spacing w:before="0"/>
        <w:jc w:val="center"/>
        <w:rPr>
          <w:sz w:val="24"/>
          <w:szCs w:val="24"/>
        </w:rPr>
      </w:pPr>
      <w:r w:rsidRPr="00E63BC2">
        <w:rPr>
          <w:sz w:val="24"/>
          <w:szCs w:val="24"/>
        </w:rPr>
        <w:t>Ranking the customer service of Australia’s phone and internet companies</w:t>
      </w:r>
    </w:p>
    <w:p w:rsidR="006343FE" w:rsidRDefault="006343FE" w:rsidP="00E63BC2"/>
    <w:p w:rsidR="00E63BC2" w:rsidRDefault="00E63BC2" w:rsidP="00E63BC2">
      <w:r>
        <w:t>Customer service in the telecommunications industry can be a frustrating experience for consumers who</w:t>
      </w:r>
      <w:r w:rsidR="0020061D">
        <w:t xml:space="preserve"> want and</w:t>
      </w:r>
      <w:r>
        <w:t xml:space="preserve"> need to quickly and efficiently make contact with their provider. </w:t>
      </w:r>
    </w:p>
    <w:p w:rsidR="00E63BC2" w:rsidRDefault="00E63BC2" w:rsidP="00E63BC2">
      <w:r>
        <w:t>In</w:t>
      </w:r>
      <w:r w:rsidRPr="00465F76">
        <w:t xml:space="preserve"> 2016/17</w:t>
      </w:r>
      <w:r>
        <w:t xml:space="preserve"> the</w:t>
      </w:r>
      <w:r w:rsidRPr="00465F76">
        <w:t xml:space="preserve"> Telecommunications Industry Ombudsman (TIO)</w:t>
      </w:r>
      <w:r>
        <w:t xml:space="preserve"> received 158,016 complaints</w:t>
      </w:r>
      <w:r w:rsidR="00004216">
        <w:rPr>
          <w:rStyle w:val="FootnoteReference"/>
        </w:rPr>
        <w:footnoteReference w:id="1"/>
      </w:r>
      <w:r>
        <w:t>.</w:t>
      </w:r>
      <w:r w:rsidRPr="00465F76">
        <w:t xml:space="preserve"> </w:t>
      </w:r>
      <w:proofErr w:type="gramStart"/>
      <w:r w:rsidRPr="00465F76">
        <w:t>76,932 (48.7%) of these</w:t>
      </w:r>
      <w:r>
        <w:t xml:space="preserve"> complaints </w:t>
      </w:r>
      <w:r w:rsidR="008942E1">
        <w:t>related to</w:t>
      </w:r>
      <w:r>
        <w:t xml:space="preserve"> </w:t>
      </w:r>
      <w:r w:rsidRPr="00465F76">
        <w:t>customer service</w:t>
      </w:r>
      <w:r w:rsidR="00004216">
        <w:rPr>
          <w:rStyle w:val="FootnoteReference"/>
        </w:rPr>
        <w:footnoteReference w:id="2"/>
      </w:r>
      <w:r w:rsidRPr="00465F76">
        <w:t>.</w:t>
      </w:r>
      <w:proofErr w:type="gramEnd"/>
      <w:r w:rsidRPr="00465F76">
        <w:t xml:space="preserve"> </w:t>
      </w:r>
      <w:r w:rsidR="00282CDA">
        <w:t xml:space="preserve"> In the first 6 month</w:t>
      </w:r>
      <w:r w:rsidR="004420E1">
        <w:t>s</w:t>
      </w:r>
      <w:r w:rsidR="00282CDA">
        <w:t xml:space="preserve"> of 2017/18 a further 84,914 complaints were received by the TIO</w:t>
      </w:r>
      <w:r w:rsidR="00004216">
        <w:rPr>
          <w:rStyle w:val="FootnoteReference"/>
        </w:rPr>
        <w:footnoteReference w:id="3"/>
      </w:r>
      <w:r w:rsidR="00282CDA">
        <w:t>.</w:t>
      </w:r>
    </w:p>
    <w:p w:rsidR="00E63BC2" w:rsidRDefault="00E63BC2" w:rsidP="00E63BC2">
      <w:r>
        <w:t xml:space="preserve">To </w:t>
      </w:r>
      <w:r w:rsidR="004420E1">
        <w:t>discover</w:t>
      </w:r>
      <w:r>
        <w:t xml:space="preserve"> </w:t>
      </w:r>
      <w:r w:rsidR="007F6BC6">
        <w:t>the</w:t>
      </w:r>
      <w:r>
        <w:t xml:space="preserve"> aspects of customer service most in need of improvement, ACCAN surveyed 1,347 customers </w:t>
      </w:r>
      <w:r w:rsidR="0020061D">
        <w:t xml:space="preserve">of </w:t>
      </w:r>
      <w:r>
        <w:t>10 telecommunications providers</w:t>
      </w:r>
      <w:r>
        <w:rPr>
          <w:rStyle w:val="FootnoteReference"/>
        </w:rPr>
        <w:footnoteReference w:id="4"/>
      </w:r>
      <w:r>
        <w:t xml:space="preserve">. The screening process for the survey found that in the last 12 months, 51% of respondents had made contact with their provider, not including routine contact to pay a bill or top up an account. This suggests over half of telecommunications consumers have had an issue or query relating to their service.  </w:t>
      </w:r>
    </w:p>
    <w:p w:rsidR="00E63BC2" w:rsidRDefault="00E63BC2" w:rsidP="00C57FD4">
      <w:pPr>
        <w:pStyle w:val="Heading2"/>
      </w:pPr>
      <w:r>
        <w:t>Key findings</w:t>
      </w:r>
    </w:p>
    <w:p w:rsidR="00C57FD4" w:rsidRDefault="00C57FD4" w:rsidP="00C57FD4">
      <w:pPr>
        <w:spacing w:after="0" w:line="240" w:lineRule="auto"/>
        <w:rPr>
          <w:b/>
        </w:rPr>
      </w:pPr>
    </w:p>
    <w:p w:rsidR="00921A3F" w:rsidRDefault="00E63BC2" w:rsidP="00E63BC2">
      <w:r>
        <w:rPr>
          <w:b/>
        </w:rPr>
        <w:t xml:space="preserve">Don’t hold your breath for a </w:t>
      </w:r>
      <w:r w:rsidR="00C57FD4">
        <w:rPr>
          <w:b/>
        </w:rPr>
        <w:t xml:space="preserve">fast </w:t>
      </w:r>
      <w:r>
        <w:rPr>
          <w:b/>
        </w:rPr>
        <w:t>resolution:</w:t>
      </w:r>
      <w:r>
        <w:t xml:space="preserve"> </w:t>
      </w:r>
    </w:p>
    <w:p w:rsidR="00921A3F" w:rsidRDefault="00E63BC2" w:rsidP="00E63BC2">
      <w:r>
        <w:t>Respondents were unimpressed by the amount of time they spen</w:t>
      </w:r>
      <w:r w:rsidR="004420E1">
        <w:t>t</w:t>
      </w:r>
      <w:r>
        <w:t xml:space="preserve"> </w:t>
      </w:r>
      <w:r w:rsidR="00265C07">
        <w:t>trying to seek</w:t>
      </w:r>
      <w:r>
        <w:t xml:space="preserve"> a resolution to their enquiry or issue.</w:t>
      </w:r>
      <w:r w:rsidR="00921A3F">
        <w:t xml:space="preserve"> </w:t>
      </w:r>
      <w:r w:rsidR="001C06B5">
        <w:t>They gave an average ranking of 6.5 out of 10</w:t>
      </w:r>
      <w:r w:rsidR="00B35CD8">
        <w:rPr>
          <w:rStyle w:val="FootnoteReference"/>
        </w:rPr>
        <w:footnoteReference w:id="5"/>
      </w:r>
      <w:r w:rsidR="001C06B5">
        <w:t xml:space="preserve"> when asked about the timeliness of resolution by their telco.</w:t>
      </w:r>
      <w:r w:rsidR="00921A3F">
        <w:t xml:space="preserve"> In practice this translates to</w:t>
      </w:r>
      <w:r w:rsidR="00193A96">
        <w:t xml:space="preserve"> average</w:t>
      </w:r>
      <w:r w:rsidR="001C06B5">
        <w:t>s</w:t>
      </w:r>
      <w:r w:rsidR="00193A96">
        <w:t xml:space="preserve"> of</w:t>
      </w:r>
      <w:r w:rsidR="00921A3F">
        <w:t>:</w:t>
      </w:r>
    </w:p>
    <w:p w:rsidR="00E63BC2" w:rsidRPr="00921A3F" w:rsidRDefault="00921A3F" w:rsidP="00921A3F">
      <w:pPr>
        <w:pStyle w:val="ListParagraph"/>
        <w:numPr>
          <w:ilvl w:val="0"/>
          <w:numId w:val="1"/>
        </w:numPr>
      </w:pPr>
      <w:r w:rsidRPr="00921A3F">
        <w:rPr>
          <w:b/>
        </w:rPr>
        <w:t>2.6 contacts</w:t>
      </w:r>
      <w:r w:rsidR="00B35CD8">
        <w:rPr>
          <w:rStyle w:val="FootnoteReference"/>
          <w:b/>
        </w:rPr>
        <w:footnoteReference w:id="6"/>
      </w:r>
      <w:r>
        <w:rPr>
          <w:b/>
        </w:rPr>
        <w:t xml:space="preserve"> </w:t>
      </w:r>
      <w:r w:rsidR="0056784F" w:rsidRPr="0056784F">
        <w:t>initiated by the customer</w:t>
      </w:r>
      <w:r w:rsidR="0056784F">
        <w:rPr>
          <w:b/>
        </w:rPr>
        <w:t xml:space="preserve"> </w:t>
      </w:r>
      <w:r>
        <w:t>to talk to the provider (3 for Telstra customers)</w:t>
      </w:r>
      <w:r>
        <w:rPr>
          <w:b/>
        </w:rPr>
        <w:t xml:space="preserve"> </w:t>
      </w:r>
    </w:p>
    <w:p w:rsidR="00921A3F" w:rsidRDefault="00921A3F" w:rsidP="00921A3F">
      <w:pPr>
        <w:pStyle w:val="ListParagraph"/>
        <w:numPr>
          <w:ilvl w:val="0"/>
          <w:numId w:val="1"/>
        </w:numPr>
      </w:pPr>
      <w:r>
        <w:rPr>
          <w:b/>
        </w:rPr>
        <w:t>3 phone transfers</w:t>
      </w:r>
      <w:r w:rsidR="00B35CD8">
        <w:rPr>
          <w:rStyle w:val="FootnoteReference"/>
          <w:b/>
        </w:rPr>
        <w:footnoteReference w:id="7"/>
      </w:r>
      <w:r>
        <w:t xml:space="preserve"> </w:t>
      </w:r>
      <w:r w:rsidR="00A407B3">
        <w:t>before connecting</w:t>
      </w:r>
      <w:r w:rsidR="001C06B5">
        <w:t xml:space="preserve"> to </w:t>
      </w:r>
      <w:r>
        <w:t xml:space="preserve"> the right person/team</w:t>
      </w:r>
    </w:p>
    <w:p w:rsidR="00DB4475" w:rsidRDefault="00921A3F" w:rsidP="001376D4">
      <w:pPr>
        <w:pStyle w:val="ListParagraph"/>
        <w:numPr>
          <w:ilvl w:val="0"/>
          <w:numId w:val="1"/>
        </w:numPr>
      </w:pPr>
      <w:r w:rsidRPr="00921A3F">
        <w:rPr>
          <w:b/>
        </w:rPr>
        <w:t>13 days</w:t>
      </w:r>
      <w:r w:rsidR="00B35CD8">
        <w:rPr>
          <w:rStyle w:val="FootnoteReference"/>
          <w:b/>
        </w:rPr>
        <w:footnoteReference w:id="8"/>
      </w:r>
      <w:r>
        <w:t xml:space="preserve"> </w:t>
      </w:r>
      <w:r w:rsidR="00265C07">
        <w:t>seeking</w:t>
      </w:r>
      <w:r>
        <w:t xml:space="preserve"> a resolution</w:t>
      </w:r>
      <w:r w:rsidRPr="00921A3F">
        <w:t xml:space="preserve"> </w:t>
      </w:r>
      <w:r w:rsidRPr="00CA2CB3">
        <w:t>(</w:t>
      </w:r>
      <w:r>
        <w:t xml:space="preserve">however </w:t>
      </w:r>
      <w:r w:rsidR="00B35CD8">
        <w:t xml:space="preserve">Telstra, </w:t>
      </w:r>
      <w:r w:rsidRPr="00CA2CB3">
        <w:t xml:space="preserve">Belong, Activ8me and </w:t>
      </w:r>
      <w:proofErr w:type="spellStart"/>
      <w:r w:rsidRPr="00CA2CB3">
        <w:t>Skymesh</w:t>
      </w:r>
      <w:proofErr w:type="spellEnd"/>
      <w:r w:rsidRPr="00CA2CB3">
        <w:t xml:space="preserve"> customers, spend</w:t>
      </w:r>
      <w:r>
        <w:t xml:space="preserve"> an average of</w:t>
      </w:r>
      <w:r w:rsidRPr="00CA2CB3">
        <w:t xml:space="preserve"> </w:t>
      </w:r>
      <w:r w:rsidR="00F94F49">
        <w:t xml:space="preserve">15.4, 28.7, 37.6, </w:t>
      </w:r>
      <w:r w:rsidR="00D97BF1">
        <w:t xml:space="preserve">and </w:t>
      </w:r>
      <w:r w:rsidR="00F94F49">
        <w:t>35.5</w:t>
      </w:r>
      <w:r w:rsidR="00DB4475">
        <w:t xml:space="preserve"> </w:t>
      </w:r>
      <w:r>
        <w:t>days</w:t>
      </w:r>
      <w:r w:rsidRPr="00CA2CB3">
        <w:t xml:space="preserve"> respectively)</w:t>
      </w:r>
    </w:p>
    <w:p w:rsidR="00DB4475" w:rsidRDefault="009F4427" w:rsidP="001376D4">
      <w:pPr>
        <w:pStyle w:val="ListParagraph"/>
        <w:numPr>
          <w:ilvl w:val="0"/>
          <w:numId w:val="1"/>
        </w:numPr>
      </w:pPr>
      <w:r>
        <w:t>Activ8me and Telstra customers are significantly more likely (</w:t>
      </w:r>
      <w:r w:rsidR="00193A96">
        <w:t xml:space="preserve">on average </w:t>
      </w:r>
      <w:r>
        <w:t xml:space="preserve">46% and 24% respectively) to </w:t>
      </w:r>
      <w:r w:rsidR="0016093E">
        <w:t xml:space="preserve">find themselves </w:t>
      </w:r>
      <w:r>
        <w:t>spend</w:t>
      </w:r>
      <w:r w:rsidR="0016093E">
        <w:t>ing</w:t>
      </w:r>
      <w:r>
        <w:t xml:space="preserve"> </w:t>
      </w:r>
      <w:r w:rsidRPr="00DB4475">
        <w:rPr>
          <w:b/>
        </w:rPr>
        <w:t>over a month</w:t>
      </w:r>
      <w:r>
        <w:t xml:space="preserve"> trying to resolve a query/issue. </w:t>
      </w:r>
    </w:p>
    <w:p w:rsidR="001376D4" w:rsidRDefault="009F4427" w:rsidP="001376D4">
      <w:r>
        <w:t xml:space="preserve">And it gets worse. </w:t>
      </w:r>
      <w:r w:rsidR="001376D4" w:rsidRPr="00C57FD4">
        <w:t>19% of respondents</w:t>
      </w:r>
      <w:r w:rsidR="001376D4">
        <w:t xml:space="preserve"> reported their issue </w:t>
      </w:r>
      <w:r w:rsidR="008440FA">
        <w:t>to be</w:t>
      </w:r>
      <w:r w:rsidR="001376D4">
        <w:t xml:space="preserve"> </w:t>
      </w:r>
      <w:r w:rsidR="001376D4" w:rsidRPr="006343FE">
        <w:rPr>
          <w:b/>
        </w:rPr>
        <w:t>unresolved</w:t>
      </w:r>
      <w:r w:rsidR="001376D4">
        <w:t xml:space="preserve"> at the time of</w:t>
      </w:r>
      <w:r w:rsidR="008440FA">
        <w:t xml:space="preserve"> the survey</w:t>
      </w:r>
      <w:r w:rsidR="001376D4">
        <w:t xml:space="preserve">. Roughly half of these people were still actively seeking a </w:t>
      </w:r>
      <w:proofErr w:type="gramStart"/>
      <w:r w:rsidR="001376D4">
        <w:t>resolution,</w:t>
      </w:r>
      <w:proofErr w:type="gramEnd"/>
      <w:r w:rsidR="001376D4">
        <w:t xml:space="preserve"> the other h</w:t>
      </w:r>
      <w:r w:rsidR="00010C67">
        <w:t>alf had given up. Shockingly,</w:t>
      </w:r>
      <w:r w:rsidR="001376D4">
        <w:t xml:space="preserve"> those </w:t>
      </w:r>
      <w:r w:rsidR="00010C67">
        <w:t xml:space="preserve">still seeking a resolution reported it had taken an </w:t>
      </w:r>
      <w:r w:rsidR="00010C67">
        <w:rPr>
          <w:b/>
        </w:rPr>
        <w:t>average of 60 days to date</w:t>
      </w:r>
      <w:r w:rsidR="00B35CD8" w:rsidRPr="00DB4475">
        <w:rPr>
          <w:rStyle w:val="FootnoteReference"/>
        </w:rPr>
        <w:footnoteReference w:id="9"/>
      </w:r>
      <w:r w:rsidR="00010C67" w:rsidRPr="00DB4475">
        <w:t>.</w:t>
      </w:r>
      <w:r w:rsidR="00010C67">
        <w:t xml:space="preserve"> </w:t>
      </w:r>
    </w:p>
    <w:p w:rsidR="00D22A28" w:rsidRDefault="00D22A28" w:rsidP="00FF2650">
      <w:r w:rsidRPr="006343FE">
        <w:rPr>
          <w:b/>
        </w:rPr>
        <w:lastRenderedPageBreak/>
        <w:t>Some</w:t>
      </w:r>
      <w:r w:rsidR="0016093E">
        <w:rPr>
          <w:b/>
        </w:rPr>
        <w:t xml:space="preserve"> </w:t>
      </w:r>
      <w:r w:rsidRPr="006343FE">
        <w:rPr>
          <w:b/>
        </w:rPr>
        <w:t>things take longer than others…</w:t>
      </w:r>
    </w:p>
    <w:p w:rsidR="00FF2650" w:rsidRDefault="00B4532D" w:rsidP="00FF2650">
      <w:r>
        <w:t>T</w:t>
      </w:r>
      <w:r w:rsidR="00FF2650">
        <w:t xml:space="preserve">he time it takes to get a resolution can vary significantly depending on the type of enquiry or issue. Even those wanting to simply update their contact details </w:t>
      </w:r>
      <w:r w:rsidR="00D97BF1">
        <w:t>can experience a</w:t>
      </w:r>
      <w:r w:rsidR="00FF2650">
        <w:t xml:space="preserve"> painfully long</w:t>
      </w:r>
      <w:r w:rsidR="00D97BF1">
        <w:t xml:space="preserve"> wait</w:t>
      </w:r>
      <w:r w:rsidR="00FF2650">
        <w:t xml:space="preserve">- an average of 11.3 days. </w:t>
      </w:r>
      <w:r w:rsidR="00D97BF1">
        <w:t xml:space="preserve">The below graph illustrates the average time spent </w:t>
      </w:r>
      <w:r w:rsidR="00265C07">
        <w:t>trying to get a</w:t>
      </w:r>
      <w:r w:rsidR="00D97BF1">
        <w:t xml:space="preserve"> resolution</w:t>
      </w:r>
      <w:r w:rsidR="006343FE">
        <w:t xml:space="preserve"> </w:t>
      </w:r>
      <w:r w:rsidR="00D97BF1">
        <w:t xml:space="preserve">(for resolved and </w:t>
      </w:r>
      <w:r w:rsidR="006343FE">
        <w:t>un</w:t>
      </w:r>
      <w:r w:rsidR="00D97BF1">
        <w:t xml:space="preserve">resolved cases) for different issues. </w:t>
      </w:r>
    </w:p>
    <w:p w:rsidR="00FF2650" w:rsidRPr="00DB4475" w:rsidRDefault="0079178D" w:rsidP="00DB4475">
      <w:pPr>
        <w:pStyle w:val="Caption"/>
        <w:keepNext/>
        <w:keepLines/>
        <w:spacing w:line="240" w:lineRule="auto"/>
        <w:jc w:val="center"/>
        <w:rPr>
          <w:rFonts w:ascii="Arial" w:hAnsi="Arial" w:cs="Arial"/>
          <w:color w:val="404040" w:themeColor="text1" w:themeTint="BF"/>
          <w:sz w:val="20"/>
        </w:rPr>
      </w:pPr>
      <w:r w:rsidRPr="00DB4475">
        <w:rPr>
          <w:rFonts w:ascii="Arial" w:hAnsi="Arial" w:cs="Arial"/>
          <w:color w:val="404040" w:themeColor="text1" w:themeTint="BF"/>
          <w:sz w:val="20"/>
        </w:rPr>
        <w:t>Average days spent resolving different queries (resolved and unresolved cases)</w:t>
      </w:r>
    </w:p>
    <w:p w:rsidR="00FF2650" w:rsidRDefault="004A278D" w:rsidP="00E64603">
      <w:pPr>
        <w:jc w:val="center"/>
      </w:pPr>
      <w:r w:rsidRPr="00DD2462">
        <w:rPr>
          <w:noProof/>
          <w:lang w:eastAsia="en-AU"/>
        </w:rPr>
        <w:drawing>
          <wp:inline distT="0" distB="0" distL="0" distR="0" wp14:anchorId="53EEDBA8" wp14:editId="0D6D8E15">
            <wp:extent cx="5629275" cy="2676525"/>
            <wp:effectExtent l="0" t="0" r="9525" b="9525"/>
            <wp:docPr id="3" name="Chart 3" descr="graphical depiction of data described in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278D" w:rsidRPr="004A278D" w:rsidRDefault="004A278D" w:rsidP="00DB4475">
      <w:pPr>
        <w:jc w:val="center"/>
        <w:rPr>
          <w:b/>
          <w:i/>
          <w:sz w:val="16"/>
          <w:szCs w:val="16"/>
        </w:rPr>
      </w:pPr>
      <w:r w:rsidRPr="004A278D">
        <w:rPr>
          <w:b/>
          <w:i/>
          <w:sz w:val="16"/>
          <w:szCs w:val="16"/>
        </w:rPr>
        <w:t>(The yellow line illustrates average days- 21- across all providers)</w:t>
      </w:r>
    </w:p>
    <w:p w:rsidR="001376D4" w:rsidRDefault="005B4E48" w:rsidP="001376D4">
      <w:pPr>
        <w:rPr>
          <w:b/>
        </w:rPr>
      </w:pPr>
      <w:r>
        <w:rPr>
          <w:b/>
        </w:rPr>
        <w:t xml:space="preserve">Phone contact is preferred by most, </w:t>
      </w:r>
      <w:r w:rsidR="001376D4">
        <w:rPr>
          <w:b/>
        </w:rPr>
        <w:t xml:space="preserve">but don’t </w:t>
      </w:r>
      <w:r w:rsidR="00B441D7">
        <w:rPr>
          <w:b/>
        </w:rPr>
        <w:t>think</w:t>
      </w:r>
      <w:r w:rsidR="001376D4">
        <w:rPr>
          <w:b/>
        </w:rPr>
        <w:t xml:space="preserve"> it will be easy:</w:t>
      </w:r>
    </w:p>
    <w:p w:rsidR="00740417" w:rsidRDefault="005B4E48" w:rsidP="001376D4">
      <w:r>
        <w:t xml:space="preserve">A </w:t>
      </w:r>
      <w:r w:rsidR="00740417">
        <w:t xml:space="preserve">majority of respondents (66%) chose to </w:t>
      </w:r>
      <w:r w:rsidR="00E06FFE">
        <w:t>phon</w:t>
      </w:r>
      <w:r w:rsidR="00DB4475">
        <w:t>e</w:t>
      </w:r>
      <w:r w:rsidR="00740417">
        <w:t xml:space="preserve"> their provider (compared with 13% in person and 12% by online chat/message feature). </w:t>
      </w:r>
      <w:r w:rsidR="00C57FD4">
        <w:t>Despite</w:t>
      </w:r>
      <w:r w:rsidR="00740417">
        <w:t xml:space="preserve"> being the most popular method of contact, providers are not making it easy </w:t>
      </w:r>
      <w:r w:rsidR="00B4280E">
        <w:t xml:space="preserve">for their customers </w:t>
      </w:r>
      <w:r w:rsidR="00740417">
        <w:t xml:space="preserve">to get a resolution over the phone. </w:t>
      </w:r>
    </w:p>
    <w:p w:rsidR="00B35CD8" w:rsidRDefault="00740417" w:rsidP="003C07CE">
      <w:pPr>
        <w:pStyle w:val="ListParagraph"/>
        <w:numPr>
          <w:ilvl w:val="0"/>
          <w:numId w:val="3"/>
        </w:numPr>
      </w:pPr>
      <w:r w:rsidRPr="003C07CE">
        <w:rPr>
          <w:b/>
        </w:rPr>
        <w:t xml:space="preserve">Getting a resolution on first contact is hard over the phone: </w:t>
      </w:r>
      <w:r w:rsidR="0096568C">
        <w:t>O</w:t>
      </w:r>
      <w:r w:rsidRPr="00740417">
        <w:t>nly 5</w:t>
      </w:r>
      <w:r w:rsidR="00F94F49">
        <w:t>5</w:t>
      </w:r>
      <w:r w:rsidRPr="00740417">
        <w:t>%</w:t>
      </w:r>
      <w:r w:rsidR="00B35CD8">
        <w:rPr>
          <w:rStyle w:val="FootnoteReference"/>
        </w:rPr>
        <w:footnoteReference w:id="10"/>
      </w:r>
      <w:r>
        <w:t xml:space="preserve"> reported their issue to be resolved on the first phone contact </w:t>
      </w:r>
    </w:p>
    <w:p w:rsidR="00740417" w:rsidRDefault="00740417" w:rsidP="003C07CE">
      <w:pPr>
        <w:pStyle w:val="ListParagraph"/>
        <w:numPr>
          <w:ilvl w:val="0"/>
          <w:numId w:val="3"/>
        </w:numPr>
      </w:pPr>
      <w:r w:rsidRPr="003C07CE">
        <w:rPr>
          <w:b/>
        </w:rPr>
        <w:t>You’ll wait a long time for a resolution:</w:t>
      </w:r>
      <w:r>
        <w:t xml:space="preserve"> </w:t>
      </w:r>
      <w:r w:rsidR="0096568C">
        <w:t>For contact made via phone, the average time</w:t>
      </w:r>
      <w:r w:rsidR="00DC2DDF">
        <w:t>(for resolved and unresolved cases)</w:t>
      </w:r>
      <w:r w:rsidR="0096568C">
        <w:t xml:space="preserve"> spent </w:t>
      </w:r>
      <w:r w:rsidR="00265C07">
        <w:t>seeking</w:t>
      </w:r>
      <w:r w:rsidR="0096568C">
        <w:t xml:space="preserve"> a resolution is 23.3 days</w:t>
      </w:r>
      <w:r w:rsidR="000527E0">
        <w:rPr>
          <w:rStyle w:val="FootnoteReference"/>
        </w:rPr>
        <w:footnoteReference w:id="11"/>
      </w:r>
    </w:p>
    <w:p w:rsidR="0096568C" w:rsidRDefault="0096568C" w:rsidP="00740417">
      <w:pPr>
        <w:pStyle w:val="ListParagraph"/>
        <w:numPr>
          <w:ilvl w:val="0"/>
          <w:numId w:val="3"/>
        </w:numPr>
      </w:pPr>
      <w:r>
        <w:rPr>
          <w:b/>
        </w:rPr>
        <w:t>You’ll need to follow</w:t>
      </w:r>
      <w:r w:rsidRPr="0096568C">
        <w:rPr>
          <w:b/>
        </w:rPr>
        <w:t>-up:</w:t>
      </w:r>
      <w:r>
        <w:rPr>
          <w:b/>
        </w:rPr>
        <w:t xml:space="preserve"> </w:t>
      </w:r>
      <w:r>
        <w:t xml:space="preserve">Customers phoning their provider </w:t>
      </w:r>
      <w:r w:rsidR="00DC2DDF">
        <w:t xml:space="preserve">had </w:t>
      </w:r>
      <w:r>
        <w:t xml:space="preserve">to contact their provider on average 2.7 times </w:t>
      </w:r>
      <w:r w:rsidR="00DC2DDF">
        <w:t>to get a resolution</w:t>
      </w:r>
    </w:p>
    <w:p w:rsidR="0096568C" w:rsidRDefault="0096568C" w:rsidP="00740417">
      <w:pPr>
        <w:pStyle w:val="ListParagraph"/>
        <w:numPr>
          <w:ilvl w:val="0"/>
          <w:numId w:val="3"/>
        </w:numPr>
      </w:pPr>
      <w:r>
        <w:rPr>
          <w:b/>
        </w:rPr>
        <w:t>Wait times</w:t>
      </w:r>
      <w:r w:rsidR="00556F39">
        <w:rPr>
          <w:b/>
        </w:rPr>
        <w:t>-</w:t>
      </w:r>
      <w:r>
        <w:rPr>
          <w:b/>
        </w:rPr>
        <w:t xml:space="preserve"> assume they’re long:</w:t>
      </w:r>
      <w:r>
        <w:t xml:space="preserve"> </w:t>
      </w:r>
      <w:r>
        <w:rPr>
          <w:b/>
        </w:rPr>
        <w:t xml:space="preserve"> </w:t>
      </w:r>
      <w:r w:rsidR="00B4280E">
        <w:t xml:space="preserve">On calling their provider, less than half </w:t>
      </w:r>
      <w:r w:rsidR="007659AA">
        <w:t xml:space="preserve">(46%) </w:t>
      </w:r>
      <w:r w:rsidR="00B4280E">
        <w:t xml:space="preserve">of respondents reported being told the wait time to speak to someone. </w:t>
      </w:r>
      <w:r w:rsidR="0056784F">
        <w:t xml:space="preserve">On average, customers who call spend an </w:t>
      </w:r>
      <w:r w:rsidR="0056784F" w:rsidRPr="00B86D4E">
        <w:t>average of 1.2 hours</w:t>
      </w:r>
      <w:r w:rsidR="0056784F">
        <w:t xml:space="preserve"> on the phone before reachi</w:t>
      </w:r>
      <w:r w:rsidR="00E27C1F">
        <w:t>ng the right person to talk to</w:t>
      </w:r>
    </w:p>
    <w:p w:rsidR="0021148E" w:rsidRDefault="00594622" w:rsidP="0021148E">
      <w:pPr>
        <w:pStyle w:val="ListParagraph"/>
        <w:numPr>
          <w:ilvl w:val="0"/>
          <w:numId w:val="3"/>
        </w:numPr>
      </w:pPr>
      <w:r>
        <w:rPr>
          <w:b/>
        </w:rPr>
        <w:t xml:space="preserve">Requesting </w:t>
      </w:r>
      <w:r w:rsidR="008567AC">
        <w:rPr>
          <w:b/>
        </w:rPr>
        <w:t>a call-</w:t>
      </w:r>
      <w:r w:rsidR="008567AC" w:rsidRPr="008567AC">
        <w:rPr>
          <w:b/>
        </w:rPr>
        <w:t>back is risky:</w:t>
      </w:r>
      <w:r w:rsidR="00B62503">
        <w:t xml:space="preserve"> Less than half of respondents </w:t>
      </w:r>
      <w:r w:rsidR="00C960FF">
        <w:t xml:space="preserve">(48%) </w:t>
      </w:r>
      <w:r w:rsidR="00B62503">
        <w:t xml:space="preserve">contacting their provider by phone reported being offered a call back option instead of waiting on hold. When a call-back was </w:t>
      </w:r>
      <w:r>
        <w:t>requested</w:t>
      </w:r>
      <w:r w:rsidR="00B62503">
        <w:t>, 17% of respondents said they never received the call</w:t>
      </w:r>
      <w:r w:rsidR="000527E0">
        <w:rPr>
          <w:rStyle w:val="FootnoteReference"/>
        </w:rPr>
        <w:footnoteReference w:id="12"/>
      </w:r>
      <w:r w:rsidR="00B62503">
        <w:t>.</w:t>
      </w:r>
    </w:p>
    <w:p w:rsidR="00851B77" w:rsidRDefault="00851B77" w:rsidP="006343FE">
      <w:pPr>
        <w:ind w:left="360"/>
      </w:pPr>
    </w:p>
    <w:p w:rsidR="0021148E" w:rsidRDefault="0021148E" w:rsidP="006343FE">
      <w:pPr>
        <w:ind w:left="360"/>
      </w:pPr>
      <w:r>
        <w:lastRenderedPageBreak/>
        <w:t>The below graph illustrates the average hours spent on the phone by provider:</w:t>
      </w:r>
    </w:p>
    <w:p w:rsidR="00BA7C09" w:rsidRDefault="004D6B09" w:rsidP="006343FE">
      <w:pPr>
        <w:jc w:val="center"/>
        <w:rPr>
          <w:b/>
        </w:rPr>
      </w:pPr>
      <w:r>
        <w:rPr>
          <w:noProof/>
          <w:lang w:eastAsia="en-AU"/>
        </w:rPr>
        <w:drawing>
          <wp:inline distT="0" distB="0" distL="0" distR="0" wp14:anchorId="1103BF2B" wp14:editId="57C9A15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8DD" w:rsidRPr="006343FE" w:rsidRDefault="00976461" w:rsidP="00B86D4E">
      <w:pPr>
        <w:jc w:val="center"/>
        <w:rPr>
          <w:b/>
          <w:i/>
          <w:sz w:val="16"/>
          <w:szCs w:val="16"/>
        </w:rPr>
      </w:pPr>
      <w:r w:rsidRPr="006343FE">
        <w:rPr>
          <w:b/>
          <w:i/>
          <w:sz w:val="16"/>
          <w:szCs w:val="16"/>
        </w:rPr>
        <w:t xml:space="preserve">Note: Activ8me and </w:t>
      </w:r>
      <w:proofErr w:type="spellStart"/>
      <w:r w:rsidRPr="006343FE">
        <w:rPr>
          <w:b/>
          <w:i/>
          <w:sz w:val="16"/>
          <w:szCs w:val="16"/>
        </w:rPr>
        <w:t>Skymesh</w:t>
      </w:r>
      <w:proofErr w:type="spellEnd"/>
      <w:r w:rsidRPr="006343FE">
        <w:rPr>
          <w:b/>
          <w:i/>
          <w:sz w:val="16"/>
          <w:szCs w:val="16"/>
        </w:rPr>
        <w:t xml:space="preserve"> figures based on n=&lt;30</w:t>
      </w:r>
    </w:p>
    <w:p w:rsidR="008440FA" w:rsidRDefault="00BA7C09" w:rsidP="00BA7C09">
      <w:pPr>
        <w:rPr>
          <w:b/>
        </w:rPr>
      </w:pPr>
      <w:r>
        <w:rPr>
          <w:b/>
        </w:rPr>
        <w:t>How about other methods of contact</w:t>
      </w:r>
      <w:r w:rsidR="008440FA">
        <w:rPr>
          <w:b/>
        </w:rPr>
        <w:t>?</w:t>
      </w:r>
    </w:p>
    <w:p w:rsidR="00BA7C09" w:rsidRDefault="00BA7C09" w:rsidP="00BA7C09">
      <w:r>
        <w:t xml:space="preserve">Customers willing to </w:t>
      </w:r>
      <w:r w:rsidR="008440FA">
        <w:t>go to battle face to face</w:t>
      </w:r>
      <w:r>
        <w:t xml:space="preserve"> are far better off, but forget email as your inbox will be left hanging. </w:t>
      </w:r>
    </w:p>
    <w:p w:rsidR="00BA7C09" w:rsidRDefault="00BA7C09" w:rsidP="00BA7C09">
      <w:pPr>
        <w:pStyle w:val="ListParagraph"/>
        <w:numPr>
          <w:ilvl w:val="0"/>
          <w:numId w:val="5"/>
        </w:numPr>
      </w:pPr>
      <w:r>
        <w:t>By visiting a</w:t>
      </w:r>
      <w:r w:rsidRPr="00D22A28">
        <w:rPr>
          <w:b/>
        </w:rPr>
        <w:t xml:space="preserve"> </w:t>
      </w:r>
      <w:r w:rsidRPr="00D22A28">
        <w:rPr>
          <w:b/>
          <w:u w:val="single"/>
        </w:rPr>
        <w:t>store</w:t>
      </w:r>
      <w:r>
        <w:t>, you can get a significantly faster resolution with respondents waiting an</w:t>
      </w:r>
      <w:r w:rsidRPr="00B86D4E">
        <w:t xml:space="preserve"> average of 8 days </w:t>
      </w:r>
      <w:r>
        <w:t>and requiring</w:t>
      </w:r>
      <w:r w:rsidR="00CA2A73">
        <w:t xml:space="preserve"> an average of</w:t>
      </w:r>
      <w:r>
        <w:t xml:space="preserve"> </w:t>
      </w:r>
      <w:r w:rsidR="00C57FD4" w:rsidRPr="00B86D4E">
        <w:t>1.6</w:t>
      </w:r>
      <w:r w:rsidRPr="00B86D4E">
        <w:t xml:space="preserve"> contacts</w:t>
      </w:r>
      <w:r w:rsidR="003C22F2" w:rsidRPr="00B86D4E">
        <w:t xml:space="preserve">. </w:t>
      </w:r>
      <w:r w:rsidR="00FC48ED" w:rsidRPr="00B86D4E">
        <w:t>74%</w:t>
      </w:r>
      <w:r w:rsidR="00FC48ED">
        <w:t xml:space="preserve"> of those visiting a store reported getting a resolution on the first contact</w:t>
      </w:r>
      <w:r w:rsidR="00312F23">
        <w:rPr>
          <w:rStyle w:val="FootnoteReference"/>
        </w:rPr>
        <w:footnoteReference w:id="13"/>
      </w:r>
    </w:p>
    <w:p w:rsidR="00BA7C09" w:rsidRPr="00C57FD4" w:rsidRDefault="00BA7C09" w:rsidP="00BA7C09">
      <w:pPr>
        <w:pStyle w:val="ListParagraph"/>
        <w:numPr>
          <w:ilvl w:val="0"/>
          <w:numId w:val="5"/>
        </w:numPr>
      </w:pPr>
      <w:r>
        <w:t>Whil</w:t>
      </w:r>
      <w:r w:rsidR="00A407B3">
        <w:t>e not often chosen by</w:t>
      </w:r>
      <w:r w:rsidR="00B66F79">
        <w:t xml:space="preserve"> our</w:t>
      </w:r>
      <w:r w:rsidR="00A407B3">
        <w:t xml:space="preserve"> respondents, </w:t>
      </w:r>
      <w:r>
        <w:t xml:space="preserve"> using </w:t>
      </w:r>
      <w:r w:rsidRPr="00D22A28">
        <w:rPr>
          <w:b/>
          <w:u w:val="single"/>
        </w:rPr>
        <w:t>social media</w:t>
      </w:r>
      <w:r>
        <w:t xml:space="preserve"> such as Facebook to contact a provider will land you a resolution in about </w:t>
      </w:r>
      <w:r w:rsidRPr="00B86D4E">
        <w:t>15.5 days</w:t>
      </w:r>
      <w:r w:rsidR="00312F23" w:rsidRPr="00B86D4E">
        <w:rPr>
          <w:rStyle w:val="FootnoteReference"/>
        </w:rPr>
        <w:footnoteReference w:id="14"/>
      </w:r>
    </w:p>
    <w:p w:rsidR="00C57FD4" w:rsidRPr="00C57FD4" w:rsidRDefault="00C57FD4" w:rsidP="00BA7C09">
      <w:pPr>
        <w:pStyle w:val="ListParagraph"/>
        <w:numPr>
          <w:ilvl w:val="0"/>
          <w:numId w:val="5"/>
        </w:numPr>
      </w:pPr>
      <w:r w:rsidRPr="00D22A28">
        <w:rPr>
          <w:b/>
          <w:u w:val="single"/>
        </w:rPr>
        <w:t>Online chat or messenger feature</w:t>
      </w:r>
      <w:r>
        <w:t xml:space="preserve"> on the provider’s website</w:t>
      </w:r>
      <w:r w:rsidRPr="00C57FD4">
        <w:t xml:space="preserve"> </w:t>
      </w:r>
      <w:r w:rsidR="00CA2A73">
        <w:t>gets</w:t>
      </w:r>
      <w:r>
        <w:t xml:space="preserve"> a resolution in about 19.6 days. Customers choosing this option need to make contact on average </w:t>
      </w:r>
      <w:r w:rsidRPr="00B86D4E">
        <w:t>2.5 times</w:t>
      </w:r>
      <w:r w:rsidR="00FC48ED" w:rsidRPr="00B86D4E">
        <w:t>.</w:t>
      </w:r>
      <w:r w:rsidR="00FC48ED" w:rsidRPr="00A407B3">
        <w:t xml:space="preserve"> 60% of those using this</w:t>
      </w:r>
      <w:r w:rsidR="00FC48ED">
        <w:rPr>
          <w:b/>
        </w:rPr>
        <w:t xml:space="preserve"> </w:t>
      </w:r>
      <w:r w:rsidR="00FC48ED" w:rsidRPr="00A407B3">
        <w:t>option reported getting a resolution on first contact</w:t>
      </w:r>
      <w:r w:rsidR="00312F23">
        <w:rPr>
          <w:rStyle w:val="FootnoteReference"/>
        </w:rPr>
        <w:footnoteReference w:id="15"/>
      </w:r>
    </w:p>
    <w:p w:rsidR="00BA7C09" w:rsidRPr="008440FA" w:rsidRDefault="00BA7C09" w:rsidP="00BA7C09">
      <w:pPr>
        <w:pStyle w:val="ListParagraph"/>
        <w:numPr>
          <w:ilvl w:val="0"/>
          <w:numId w:val="5"/>
        </w:numPr>
      </w:pPr>
      <w:r w:rsidRPr="00D22A28">
        <w:rPr>
          <w:b/>
          <w:u w:val="single"/>
        </w:rPr>
        <w:t>Email</w:t>
      </w:r>
      <w:r>
        <w:t xml:space="preserve"> is by far the slowest way to get a resolution. Respondents reported having to wait </w:t>
      </w:r>
      <w:r w:rsidRPr="00BA7C09">
        <w:t>an</w:t>
      </w:r>
      <w:r w:rsidRPr="00462877">
        <w:rPr>
          <w:b/>
        </w:rPr>
        <w:t xml:space="preserve"> </w:t>
      </w:r>
      <w:r w:rsidRPr="008567AC">
        <w:t xml:space="preserve">average of </w:t>
      </w:r>
      <w:r w:rsidRPr="00B86D4E">
        <w:t>30 days</w:t>
      </w:r>
      <w:r w:rsidRPr="008567AC">
        <w:t xml:space="preserve"> for a resolution and needing to make </w:t>
      </w:r>
      <w:r w:rsidR="002E679F">
        <w:t xml:space="preserve">an average of </w:t>
      </w:r>
      <w:r w:rsidRPr="00B86D4E">
        <w:t>4.4 contacts</w:t>
      </w:r>
      <w:r w:rsidRPr="008567AC">
        <w:t xml:space="preserve"> to their provider</w:t>
      </w:r>
      <w:r w:rsidR="00312F23">
        <w:rPr>
          <w:rStyle w:val="FootnoteReference"/>
        </w:rPr>
        <w:footnoteReference w:id="16"/>
      </w:r>
    </w:p>
    <w:p w:rsidR="00564D8F" w:rsidRDefault="00564D8F" w:rsidP="00564D8F">
      <w:pPr>
        <w:rPr>
          <w:b/>
        </w:rPr>
      </w:pPr>
      <w:r>
        <w:rPr>
          <w:b/>
        </w:rPr>
        <w:t>Record-keeping leaves a lot to be desired (and a lot to be explained again and again</w:t>
      </w:r>
      <w:r w:rsidR="005D2D63">
        <w:rPr>
          <w:b/>
        </w:rPr>
        <w:t xml:space="preserve"> and again</w:t>
      </w:r>
      <w:r>
        <w:rPr>
          <w:b/>
        </w:rPr>
        <w:t>):</w:t>
      </w:r>
    </w:p>
    <w:p w:rsidR="008440FA" w:rsidRDefault="00564D8F" w:rsidP="00564D8F">
      <w:r>
        <w:t>Despite what may seem like an easy exercise (</w:t>
      </w:r>
      <w:r w:rsidR="00CA2A73">
        <w:t>recording key information</w:t>
      </w:r>
      <w:r w:rsidR="00B66F79">
        <w:t xml:space="preserve"> about the customer’s issue</w:t>
      </w:r>
      <w:r>
        <w:t xml:space="preserve">), providers are failing to keep adequate records. </w:t>
      </w:r>
    </w:p>
    <w:p w:rsidR="008440FA" w:rsidRDefault="00564D8F" w:rsidP="008440FA">
      <w:pPr>
        <w:pStyle w:val="ListParagraph"/>
        <w:numPr>
          <w:ilvl w:val="0"/>
          <w:numId w:val="6"/>
        </w:numPr>
      </w:pPr>
      <w:r w:rsidRPr="008440FA">
        <w:rPr>
          <w:b/>
        </w:rPr>
        <w:t xml:space="preserve">Over half (58%) </w:t>
      </w:r>
      <w:r w:rsidRPr="00B86D4E">
        <w:t>of respondents said they needed to re-provide</w:t>
      </w:r>
      <w:r w:rsidR="008440FA" w:rsidRPr="00B86D4E">
        <w:t xml:space="preserve"> some (34%) or most (24%) of</w:t>
      </w:r>
      <w:r w:rsidRPr="00B86D4E">
        <w:t xml:space="preserve"> the details of their issue on subsequent contacts.</w:t>
      </w:r>
      <w:r w:rsidRPr="008440FA">
        <w:rPr>
          <w:b/>
        </w:rPr>
        <w:t xml:space="preserve"> </w:t>
      </w:r>
      <w:r w:rsidR="008440FA">
        <w:t>This was a whopping 86% for Virgin customers</w:t>
      </w:r>
      <w:r w:rsidR="00CA7AC8">
        <w:rPr>
          <w:rStyle w:val="FootnoteReference"/>
        </w:rPr>
        <w:footnoteReference w:id="17"/>
      </w:r>
    </w:p>
    <w:p w:rsidR="005D2D63" w:rsidRPr="005D2D63" w:rsidRDefault="00B66F79" w:rsidP="008440FA">
      <w:pPr>
        <w:pStyle w:val="ListParagraph"/>
        <w:numPr>
          <w:ilvl w:val="0"/>
          <w:numId w:val="6"/>
        </w:numPr>
      </w:pPr>
      <w:r>
        <w:t>T</w:t>
      </w:r>
      <w:r w:rsidR="005D2D63">
        <w:t>hese respondents needed to re</w:t>
      </w:r>
      <w:r w:rsidR="004420E1">
        <w:t>-</w:t>
      </w:r>
      <w:r w:rsidR="005D2D63">
        <w:t xml:space="preserve">provide information </w:t>
      </w:r>
      <w:r>
        <w:t xml:space="preserve">an average of </w:t>
      </w:r>
      <w:r w:rsidR="005D2D63">
        <w:t xml:space="preserve"> </w:t>
      </w:r>
      <w:r w:rsidR="005D2D63" w:rsidRPr="00B86D4E">
        <w:rPr>
          <w:b/>
        </w:rPr>
        <w:t>3.7 times</w:t>
      </w:r>
    </w:p>
    <w:p w:rsidR="00213864" w:rsidRPr="005D2D63" w:rsidRDefault="00213864" w:rsidP="00213864">
      <w:pPr>
        <w:pStyle w:val="ListParagraph"/>
        <w:numPr>
          <w:ilvl w:val="0"/>
          <w:numId w:val="6"/>
        </w:numPr>
        <w:rPr>
          <w:b/>
        </w:rPr>
      </w:pPr>
      <w:r w:rsidRPr="005D2D63">
        <w:rPr>
          <w:b/>
        </w:rPr>
        <w:lastRenderedPageBreak/>
        <w:t>21%</w:t>
      </w:r>
      <w:r>
        <w:rPr>
          <w:b/>
        </w:rPr>
        <w:t xml:space="preserve"> </w:t>
      </w:r>
      <w:r w:rsidRPr="003C22F2">
        <w:t>were required to repeat information twice</w:t>
      </w:r>
      <w:r>
        <w:rPr>
          <w:rStyle w:val="FootnoteReference"/>
        </w:rPr>
        <w:footnoteReference w:id="18"/>
      </w:r>
    </w:p>
    <w:p w:rsidR="008440FA" w:rsidRPr="008440FA" w:rsidRDefault="008440FA" w:rsidP="008440FA">
      <w:pPr>
        <w:pStyle w:val="ListParagraph"/>
        <w:numPr>
          <w:ilvl w:val="0"/>
          <w:numId w:val="6"/>
        </w:numPr>
      </w:pPr>
      <w:r>
        <w:rPr>
          <w:b/>
        </w:rPr>
        <w:t xml:space="preserve">26% </w:t>
      </w:r>
      <w:r w:rsidR="00213864">
        <w:t>were required</w:t>
      </w:r>
      <w:r w:rsidRPr="00B86D4E">
        <w:t xml:space="preserve"> to repeat their case information</w:t>
      </w:r>
      <w:r>
        <w:rPr>
          <w:b/>
        </w:rPr>
        <w:t xml:space="preserve"> </w:t>
      </w:r>
      <w:r w:rsidR="00213864">
        <w:rPr>
          <w:b/>
        </w:rPr>
        <w:t xml:space="preserve">more than </w:t>
      </w:r>
      <w:r>
        <w:rPr>
          <w:b/>
        </w:rPr>
        <w:t>five times</w:t>
      </w:r>
      <w:r w:rsidR="00CA7AC8">
        <w:rPr>
          <w:rStyle w:val="FootnoteReference"/>
          <w:b/>
        </w:rPr>
        <w:footnoteReference w:id="19"/>
      </w:r>
    </w:p>
    <w:p w:rsidR="00564D8F" w:rsidRPr="00564D8F" w:rsidRDefault="00564D8F" w:rsidP="00564D8F">
      <w:pPr>
        <w:rPr>
          <w:b/>
        </w:rPr>
      </w:pPr>
      <w:r>
        <w:t xml:space="preserve">This </w:t>
      </w:r>
      <w:r w:rsidR="00CA2A73">
        <w:t xml:space="preserve">suggests </w:t>
      </w:r>
      <w:r>
        <w:t xml:space="preserve">poor record keeping and synchronisation across customer service teams. </w:t>
      </w:r>
    </w:p>
    <w:p w:rsidR="00564D8F" w:rsidRDefault="008440FA" w:rsidP="00564D8F">
      <w:pPr>
        <w:rPr>
          <w:b/>
        </w:rPr>
      </w:pPr>
      <w:r>
        <w:rPr>
          <w:b/>
        </w:rPr>
        <w:t>Thinking about escalating an issue or making a complaint? You’re in for a</w:t>
      </w:r>
      <w:r w:rsidR="005D2D63">
        <w:rPr>
          <w:b/>
        </w:rPr>
        <w:t xml:space="preserve"> bumpy</w:t>
      </w:r>
      <w:r>
        <w:rPr>
          <w:b/>
        </w:rPr>
        <w:t xml:space="preserve"> ride:</w:t>
      </w:r>
    </w:p>
    <w:p w:rsidR="008440FA" w:rsidRDefault="005D2D63" w:rsidP="00564D8F">
      <w:r>
        <w:t xml:space="preserve">30% of respondents reported escalating their issue </w:t>
      </w:r>
      <w:r w:rsidR="00CA2A73">
        <w:t>to a complaint</w:t>
      </w:r>
      <w:r w:rsidR="00CA7AC8">
        <w:rPr>
          <w:rStyle w:val="FootnoteReference"/>
        </w:rPr>
        <w:footnoteReference w:id="20"/>
      </w:r>
      <w:r w:rsidR="00CA2A73">
        <w:t xml:space="preserve"> </w:t>
      </w:r>
      <w:r>
        <w:t>(</w:t>
      </w:r>
      <w:r w:rsidR="00CA2A73">
        <w:t xml:space="preserve">either </w:t>
      </w:r>
      <w:r>
        <w:t>internally, or externally). Their experience was far from positive.</w:t>
      </w:r>
    </w:p>
    <w:p w:rsidR="005D2D63" w:rsidRDefault="005D2D63" w:rsidP="005D2D63">
      <w:pPr>
        <w:pStyle w:val="ListParagraph"/>
        <w:numPr>
          <w:ilvl w:val="0"/>
          <w:numId w:val="7"/>
        </w:numPr>
      </w:pPr>
      <w:r w:rsidRPr="00B86D4E">
        <w:rPr>
          <w:b/>
        </w:rPr>
        <w:t xml:space="preserve">More than half of respondents </w:t>
      </w:r>
      <w:r w:rsidR="00C960FF" w:rsidRPr="00B86D4E">
        <w:rPr>
          <w:b/>
        </w:rPr>
        <w:t>(55%)</w:t>
      </w:r>
      <w:r w:rsidR="00C960FF">
        <w:t xml:space="preserve"> </w:t>
      </w:r>
      <w:r>
        <w:t>who</w:t>
      </w:r>
      <w:r w:rsidR="00CA2A73">
        <w:t xml:space="preserve"> looked for information about how to </w:t>
      </w:r>
      <w:r>
        <w:t>lodge a complaint</w:t>
      </w:r>
      <w:r w:rsidR="00506267">
        <w:t xml:space="preserve"> with their provider</w:t>
      </w:r>
      <w:r>
        <w:t xml:space="preserve"> said </w:t>
      </w:r>
      <w:r w:rsidR="00EC390B">
        <w:t>the information</w:t>
      </w:r>
      <w:r>
        <w:t xml:space="preserve"> was difficult to find</w:t>
      </w:r>
      <w:r w:rsidR="00CA7AC8">
        <w:rPr>
          <w:rStyle w:val="FootnoteReference"/>
        </w:rPr>
        <w:footnoteReference w:id="21"/>
      </w:r>
      <w:r>
        <w:t xml:space="preserve"> </w:t>
      </w:r>
    </w:p>
    <w:p w:rsidR="001D4117" w:rsidRDefault="001D4117" w:rsidP="005D2D63">
      <w:pPr>
        <w:pStyle w:val="ListParagraph"/>
        <w:numPr>
          <w:ilvl w:val="0"/>
          <w:numId w:val="7"/>
        </w:numPr>
      </w:pPr>
      <w:r w:rsidRPr="00B86D4E">
        <w:rPr>
          <w:b/>
        </w:rPr>
        <w:t xml:space="preserve">Only </w:t>
      </w:r>
      <w:r w:rsidR="00506267" w:rsidRPr="00B86D4E">
        <w:rPr>
          <w:b/>
        </w:rPr>
        <w:t>1</w:t>
      </w:r>
      <w:r w:rsidR="007659AA">
        <w:rPr>
          <w:b/>
        </w:rPr>
        <w:t>8</w:t>
      </w:r>
      <w:r w:rsidRPr="00B86D4E">
        <w:rPr>
          <w:b/>
        </w:rPr>
        <w:t>%</w:t>
      </w:r>
      <w:r>
        <w:t xml:space="preserve"> of those who lodged a formal complaint with their provider </w:t>
      </w:r>
      <w:r w:rsidR="000542B3">
        <w:t>found t</w:t>
      </w:r>
      <w:r>
        <w:t xml:space="preserve">he experience </w:t>
      </w:r>
      <w:r w:rsidR="000542B3">
        <w:t>easy</w:t>
      </w:r>
      <w:r w:rsidR="005A4104">
        <w:rPr>
          <w:rStyle w:val="FootnoteReference"/>
        </w:rPr>
        <w:footnoteReference w:id="22"/>
      </w:r>
    </w:p>
    <w:p w:rsidR="005D2D63" w:rsidRDefault="001D4117" w:rsidP="005D2D63">
      <w:pPr>
        <w:pStyle w:val="ListParagraph"/>
        <w:numPr>
          <w:ilvl w:val="0"/>
          <w:numId w:val="7"/>
        </w:numPr>
      </w:pPr>
      <w:r>
        <w:t>Activ8me customers are significantly more likely</w:t>
      </w:r>
      <w:r w:rsidR="00FD5BEB">
        <w:t xml:space="preserve"> (59% versus 31% for all providers)</w:t>
      </w:r>
      <w:r>
        <w:t xml:space="preserve"> to lodge or want to lodge a formal complaint with their provider</w:t>
      </w:r>
      <w:r w:rsidR="00FD5BEB">
        <w:t>. Vodafone customers are least likely (to escalate a query or lodge or want to lodge a complaint with their provider (19% versus 31%)</w:t>
      </w:r>
      <w:r w:rsidR="005129AB">
        <w:rPr>
          <w:rStyle w:val="FootnoteReference"/>
        </w:rPr>
        <w:footnoteReference w:id="23"/>
      </w:r>
    </w:p>
    <w:p w:rsidR="001D4117" w:rsidRDefault="00EC390B" w:rsidP="005D2D63">
      <w:pPr>
        <w:pStyle w:val="ListParagraph"/>
        <w:numPr>
          <w:ilvl w:val="0"/>
          <w:numId w:val="7"/>
        </w:numPr>
      </w:pPr>
      <w:r>
        <w:t xml:space="preserve">Respondents were </w:t>
      </w:r>
      <w:r w:rsidRPr="00B86D4E">
        <w:t>more likely to have</w:t>
      </w:r>
      <w:r w:rsidR="001D4117" w:rsidRPr="00B86D4E">
        <w:t xml:space="preserve"> </w:t>
      </w:r>
      <w:r w:rsidR="00506267" w:rsidRPr="00B86D4E">
        <w:t xml:space="preserve">made a </w:t>
      </w:r>
      <w:r w:rsidR="00055981" w:rsidRPr="00B86D4E">
        <w:t xml:space="preserve">formal </w:t>
      </w:r>
      <w:r w:rsidR="00506267" w:rsidRPr="00B86D4E">
        <w:t>complaint</w:t>
      </w:r>
      <w:r w:rsidR="00506267">
        <w:t xml:space="preserve"> (either internally or externally)</w:t>
      </w:r>
      <w:r w:rsidR="001D4117">
        <w:t xml:space="preserve"> </w:t>
      </w:r>
      <w:r>
        <w:t>if they</w:t>
      </w:r>
      <w:r w:rsidR="00D704E0">
        <w:t>:</w:t>
      </w:r>
      <w:r w:rsidR="00D61CE6">
        <w:t xml:space="preserve"> made initial contact by phone</w:t>
      </w:r>
      <w:r w:rsidR="00D704E0">
        <w:t>; are</w:t>
      </w:r>
      <w:r w:rsidR="00A02C80">
        <w:t xml:space="preserve"> aged</w:t>
      </w:r>
      <w:r w:rsidR="00D704E0">
        <w:t xml:space="preserve"> 18-29</w:t>
      </w:r>
      <w:r w:rsidR="00A02C80">
        <w:t>;</w:t>
      </w:r>
      <w:r w:rsidR="00D61CE6">
        <w:t xml:space="preserve"> had</w:t>
      </w:r>
      <w:r w:rsidR="001D4117">
        <w:t xml:space="preserve"> to recontact their provider 5 or more times</w:t>
      </w:r>
      <w:r w:rsidR="00D704E0">
        <w:t>;</w:t>
      </w:r>
      <w:r w:rsidR="001D4117">
        <w:t xml:space="preserve"> </w:t>
      </w:r>
      <w:r w:rsidR="00D704E0">
        <w:t xml:space="preserve">did not have their </w:t>
      </w:r>
      <w:r w:rsidR="00D61CE6">
        <w:t xml:space="preserve">language requirements </w:t>
      </w:r>
      <w:r w:rsidR="00D704E0">
        <w:t>accommodated for.</w:t>
      </w:r>
    </w:p>
    <w:p w:rsidR="005D2D63" w:rsidRPr="001D4117" w:rsidRDefault="003C22F2" w:rsidP="005D2D63">
      <w:pPr>
        <w:tabs>
          <w:tab w:val="left" w:pos="7686"/>
        </w:tabs>
        <w:rPr>
          <w:b/>
        </w:rPr>
      </w:pPr>
      <w:r>
        <w:rPr>
          <w:b/>
        </w:rPr>
        <w:t>Providers are making it hard to take</w:t>
      </w:r>
      <w:r w:rsidR="001A1BEB">
        <w:rPr>
          <w:b/>
        </w:rPr>
        <w:t xml:space="preserve"> an issue to the </w:t>
      </w:r>
      <w:r w:rsidR="001D4117" w:rsidRPr="001D4117">
        <w:rPr>
          <w:b/>
        </w:rPr>
        <w:t>TIO</w:t>
      </w:r>
      <w:r w:rsidR="001A1BEB">
        <w:rPr>
          <w:b/>
        </w:rPr>
        <w:t>:</w:t>
      </w:r>
      <w:r w:rsidR="005D2D63" w:rsidRPr="001D4117">
        <w:rPr>
          <w:b/>
        </w:rPr>
        <w:tab/>
      </w:r>
    </w:p>
    <w:p w:rsidR="00FD5BEB" w:rsidRDefault="00FD5BEB" w:rsidP="00B86D4E">
      <w:pPr>
        <w:pStyle w:val="ListParagraph"/>
        <w:numPr>
          <w:ilvl w:val="0"/>
          <w:numId w:val="10"/>
        </w:numPr>
        <w:tabs>
          <w:tab w:val="left" w:pos="7686"/>
        </w:tabs>
      </w:pPr>
      <w:r w:rsidRPr="00B86D4E">
        <w:rPr>
          <w:b/>
        </w:rPr>
        <w:t>24% of respondents</w:t>
      </w:r>
      <w:r>
        <w:t xml:space="preserve"> lodged or wanted to lodge a formal complaint with the TIO. This is significantly higher for Activ8me (51%) and Belong (41%) customers. Vodafone customers are significantly less likely</w:t>
      </w:r>
      <w:r w:rsidR="000542B3">
        <w:t xml:space="preserve"> (13%)</w:t>
      </w:r>
      <w:r>
        <w:t xml:space="preserve"> to lodge </w:t>
      </w:r>
      <w:r w:rsidR="000542B3">
        <w:t>or want to lodge a complaint with the TIO</w:t>
      </w:r>
      <w:r w:rsidR="007000E0">
        <w:rPr>
          <w:rStyle w:val="FootnoteReference"/>
        </w:rPr>
        <w:footnoteReference w:id="24"/>
      </w:r>
      <w:r w:rsidR="000542B3">
        <w:t xml:space="preserve"> </w:t>
      </w:r>
    </w:p>
    <w:p w:rsidR="009F71BD" w:rsidRPr="007D7118" w:rsidRDefault="009F71BD" w:rsidP="009F71BD">
      <w:pPr>
        <w:pStyle w:val="ListParagraph"/>
        <w:numPr>
          <w:ilvl w:val="0"/>
          <w:numId w:val="10"/>
        </w:numPr>
        <w:tabs>
          <w:tab w:val="left" w:pos="7686"/>
        </w:tabs>
        <w:rPr>
          <w:sz w:val="24"/>
          <w:szCs w:val="24"/>
        </w:rPr>
      </w:pPr>
      <w:r>
        <w:rPr>
          <w:sz w:val="24"/>
          <w:szCs w:val="24"/>
        </w:rPr>
        <w:t>Only 3% of these people proceeded with lodging a complaint with the TIO. The survey revealed two potential reasons for such a small number going ahead:</w:t>
      </w:r>
    </w:p>
    <w:p w:rsidR="005D2D63" w:rsidRDefault="001D4117" w:rsidP="005D2D63">
      <w:pPr>
        <w:pStyle w:val="ListParagraph"/>
        <w:numPr>
          <w:ilvl w:val="0"/>
          <w:numId w:val="8"/>
        </w:numPr>
        <w:tabs>
          <w:tab w:val="left" w:pos="7686"/>
        </w:tabs>
      </w:pPr>
      <w:r w:rsidRPr="00B86D4E">
        <w:rPr>
          <w:b/>
        </w:rPr>
        <w:t>48%</w:t>
      </w:r>
      <w:r>
        <w:t xml:space="preserve"> of those who either wanted to or had complained to the TIO reported it was difficult to find information from their provider about how to do so</w:t>
      </w:r>
      <w:r w:rsidR="007000E0">
        <w:rPr>
          <w:rStyle w:val="FootnoteReference"/>
        </w:rPr>
        <w:footnoteReference w:id="25"/>
      </w:r>
    </w:p>
    <w:p w:rsidR="001D4117" w:rsidRDefault="001D4117" w:rsidP="005D2D63">
      <w:pPr>
        <w:pStyle w:val="ListParagraph"/>
        <w:numPr>
          <w:ilvl w:val="0"/>
          <w:numId w:val="8"/>
        </w:numPr>
        <w:tabs>
          <w:tab w:val="left" w:pos="7686"/>
        </w:tabs>
      </w:pPr>
      <w:r>
        <w:t>Of those</w:t>
      </w:r>
      <w:r w:rsidRPr="00462877">
        <w:t xml:space="preserve"> who escalated their query with their provider or lodged a formal complaint with either the provider or TIO, </w:t>
      </w:r>
      <w:r w:rsidRPr="00B86D4E">
        <w:rPr>
          <w:b/>
        </w:rPr>
        <w:t>32%</w:t>
      </w:r>
      <w:r w:rsidRPr="00462877">
        <w:t xml:space="preserve"> said their provider discouraged them from taking the matter to the TIO</w:t>
      </w:r>
      <w:r w:rsidR="000542B3">
        <w:t xml:space="preserve"> (63% for Amaysim and 48% for Optus). </w:t>
      </w:r>
      <w:r w:rsidR="0066220C">
        <w:t xml:space="preserve">A good note for </w:t>
      </w:r>
      <w:r w:rsidR="000542B3">
        <w:t>Telstra</w:t>
      </w:r>
      <w:r w:rsidR="00A02C80">
        <w:t xml:space="preserve"> - </w:t>
      </w:r>
      <w:r w:rsidR="0066220C">
        <w:t>their</w:t>
      </w:r>
      <w:r w:rsidR="000542B3">
        <w:t xml:space="preserve"> customers are less likely to feel discouraged (19%)</w:t>
      </w:r>
      <w:r w:rsidR="00274447">
        <w:rPr>
          <w:rStyle w:val="FootnoteReference"/>
        </w:rPr>
        <w:footnoteReference w:id="26"/>
      </w:r>
    </w:p>
    <w:p w:rsidR="009F71BD" w:rsidRDefault="009F71BD" w:rsidP="00564D8F">
      <w:r>
        <w:t xml:space="preserve">Whilst these findings are concerning, </w:t>
      </w:r>
      <w:r w:rsidRPr="00594A38">
        <w:rPr>
          <w:sz w:val="24"/>
          <w:szCs w:val="24"/>
        </w:rPr>
        <w:t>they identify a need for further research to properly understand, firstly why people are not taking a complaint to the TIO when they intended to, and secondly why they felt discouraged by their provider to do so.</w:t>
      </w:r>
    </w:p>
    <w:p w:rsidR="005D2D63" w:rsidRPr="005D2D63" w:rsidRDefault="00EA38DC" w:rsidP="00564D8F">
      <w:r>
        <w:t>T</w:t>
      </w:r>
      <w:r w:rsidR="006B70B9">
        <w:t xml:space="preserve">he high level of complaints to the TIO shows consumers </w:t>
      </w:r>
      <w:r>
        <w:t>are s</w:t>
      </w:r>
      <w:r w:rsidR="005B4E48">
        <w:t>o frustrated that they</w:t>
      </w:r>
      <w:r>
        <w:t xml:space="preserve"> overcome these barriers and </w:t>
      </w:r>
      <w:r w:rsidR="005B4E48">
        <w:t xml:space="preserve">are prepared to </w:t>
      </w:r>
      <w:r>
        <w:t>pursue their complaint, suggesting serious levels of unhappiness with their telco when things go wrong</w:t>
      </w:r>
      <w:r w:rsidR="00055981">
        <w:t>.</w:t>
      </w:r>
      <w:r w:rsidR="001E2DE7">
        <w:rPr>
          <w:rStyle w:val="FootnoteReference"/>
        </w:rPr>
        <w:footnoteReference w:id="27"/>
      </w:r>
    </w:p>
    <w:p w:rsidR="007260F0" w:rsidRDefault="007260F0" w:rsidP="001376D4">
      <w:pPr>
        <w:rPr>
          <w:b/>
        </w:rPr>
      </w:pPr>
      <w:r>
        <w:rPr>
          <w:b/>
        </w:rPr>
        <w:lastRenderedPageBreak/>
        <w:t>It’s no surprise that expectations are low:</w:t>
      </w:r>
    </w:p>
    <w:p w:rsidR="007260F0" w:rsidRDefault="009F71BD" w:rsidP="001376D4">
      <w:r w:rsidRPr="00594A38">
        <w:rPr>
          <w:sz w:val="24"/>
          <w:szCs w:val="24"/>
        </w:rPr>
        <w:t xml:space="preserve">Survey results indicate that some customers are having a positive and easy customer service experience, but there are still many who are having a poor experience. </w:t>
      </w:r>
      <w:r w:rsidRPr="007D7118">
        <w:rPr>
          <w:sz w:val="24"/>
          <w:szCs w:val="24"/>
        </w:rPr>
        <w:t>Respondents were asked to rank their customer service experience against their expectations</w:t>
      </w:r>
      <w:r w:rsidR="007260F0">
        <w:t>:</w:t>
      </w:r>
    </w:p>
    <w:p w:rsidR="007260F0" w:rsidRDefault="007260F0" w:rsidP="009F71BD">
      <w:pPr>
        <w:pStyle w:val="ListParagraph"/>
        <w:numPr>
          <w:ilvl w:val="0"/>
          <w:numId w:val="9"/>
        </w:numPr>
      </w:pPr>
      <w:r>
        <w:t xml:space="preserve">In considering the overall experience, </w:t>
      </w:r>
      <w:r w:rsidRPr="009F71BD">
        <w:rPr>
          <w:b/>
        </w:rPr>
        <w:t>60% of respondents</w:t>
      </w:r>
      <w:r>
        <w:t xml:space="preserve"> said it was in line with what they expected</w:t>
      </w:r>
      <w:r w:rsidR="00945FC4">
        <w:rPr>
          <w:rStyle w:val="FootnoteReference"/>
        </w:rPr>
        <w:footnoteReference w:id="28"/>
      </w:r>
      <w:r>
        <w:t xml:space="preserve">. </w:t>
      </w:r>
      <w:r w:rsidR="00595590">
        <w:t xml:space="preserve"> </w:t>
      </w:r>
      <w:r w:rsidR="001A1BEB" w:rsidRPr="009F71BD">
        <w:rPr>
          <w:b/>
        </w:rPr>
        <w:t>46% of respondents</w:t>
      </w:r>
      <w:r w:rsidR="001A1BEB">
        <w:t xml:space="preserve"> said that the time it took to get a resolution (on average 13 days, or 60 days and counting for those still waiting) was in line with their expectations. </w:t>
      </w:r>
      <w:r w:rsidR="001A1BEB" w:rsidRPr="009F71BD">
        <w:rPr>
          <w:b/>
        </w:rPr>
        <w:t>Only 13%</w:t>
      </w:r>
      <w:r w:rsidR="001A1BEB">
        <w:t xml:space="preserve"> said the time it took was shorter than expected</w:t>
      </w:r>
      <w:r w:rsidR="00E97093">
        <w:rPr>
          <w:rStyle w:val="FootnoteReference"/>
        </w:rPr>
        <w:footnoteReference w:id="29"/>
      </w:r>
    </w:p>
    <w:p w:rsidR="001A1BEB" w:rsidRDefault="001A1BEB" w:rsidP="007260F0">
      <w:pPr>
        <w:pStyle w:val="ListParagraph"/>
        <w:numPr>
          <w:ilvl w:val="0"/>
          <w:numId w:val="9"/>
        </w:numPr>
      </w:pPr>
      <w:r w:rsidRPr="00B86D4E">
        <w:rPr>
          <w:b/>
        </w:rPr>
        <w:t>46%</w:t>
      </w:r>
      <w:r>
        <w:t xml:space="preserve"> said that the time they spent on the phone trying to get a resolution (on average 1.2 hours) was in line with what they expected</w:t>
      </w:r>
      <w:r w:rsidR="00E97093">
        <w:rPr>
          <w:rStyle w:val="FootnoteReference"/>
        </w:rPr>
        <w:footnoteReference w:id="30"/>
      </w:r>
    </w:p>
    <w:p w:rsidR="007260F0" w:rsidRDefault="007260F0" w:rsidP="007260F0">
      <w:r>
        <w:t xml:space="preserve">In light of these results, it is </w:t>
      </w:r>
      <w:r w:rsidR="00A02C80">
        <w:t>fair</w:t>
      </w:r>
      <w:r>
        <w:t xml:space="preserve"> to say that telecommunications consumers </w:t>
      </w:r>
      <w:r w:rsidR="0047523E">
        <w:t xml:space="preserve">may </w:t>
      </w:r>
      <w:r>
        <w:t>have grown accustomed to poor customer service from their providers.</w:t>
      </w:r>
    </w:p>
    <w:p w:rsidR="00AE73D7" w:rsidRPr="0037340B" w:rsidRDefault="00AE73D7" w:rsidP="007260F0">
      <w:pPr>
        <w:rPr>
          <w:b/>
        </w:rPr>
      </w:pPr>
      <w:r w:rsidRPr="0037340B">
        <w:rPr>
          <w:b/>
        </w:rPr>
        <w:t>Choosing a provider based on customer service:</w:t>
      </w:r>
    </w:p>
    <w:p w:rsidR="00B62C84" w:rsidRDefault="00AE73D7" w:rsidP="007260F0">
      <w:r w:rsidRPr="00B62C84">
        <w:t xml:space="preserve">The results paint a bleak picture for those wanting </w:t>
      </w:r>
      <w:r w:rsidR="00BC5F72">
        <w:t>quality</w:t>
      </w:r>
      <w:r w:rsidR="00BC5F72" w:rsidRPr="00B62C84">
        <w:t xml:space="preserve"> </w:t>
      </w:r>
      <w:r w:rsidRPr="00B62C84">
        <w:t xml:space="preserve">customer service from their provider. Based on the survey results there are no outstanding providers when it comes to customer service. </w:t>
      </w:r>
    </w:p>
    <w:p w:rsidR="00AE73D7" w:rsidRPr="00B62C84" w:rsidRDefault="00AE73D7" w:rsidP="007260F0">
      <w:r w:rsidRPr="00B62C84">
        <w:t xml:space="preserve">Vodafone however </w:t>
      </w:r>
      <w:r w:rsidR="00396DD4" w:rsidRPr="00B62C84">
        <w:t xml:space="preserve">consistently </w:t>
      </w:r>
      <w:r w:rsidRPr="00B62C84">
        <w:t xml:space="preserve">performed above average across many </w:t>
      </w:r>
      <w:r w:rsidR="00396DD4" w:rsidRPr="00B62C84">
        <w:t xml:space="preserve">elements </w:t>
      </w:r>
      <w:r w:rsidR="0051796D" w:rsidRPr="00B62C84">
        <w:t>(</w:t>
      </w:r>
      <w:r w:rsidR="00827A44" w:rsidRPr="00B62C84">
        <w:t xml:space="preserve">for example Vodafone </w:t>
      </w:r>
      <w:r w:rsidR="0051796D" w:rsidRPr="00B62C84">
        <w:t xml:space="preserve">customers spend on average less time (6.2 days) </w:t>
      </w:r>
      <w:r w:rsidR="00265C07">
        <w:t>seeking</w:t>
      </w:r>
      <w:r w:rsidR="0051796D" w:rsidRPr="00B62C84">
        <w:t xml:space="preserve"> a resolution, </w:t>
      </w:r>
      <w:r w:rsidR="0037524F" w:rsidRPr="00B62C84">
        <w:t xml:space="preserve">are more likely to get a resolution on first contact, require less contacts, </w:t>
      </w:r>
      <w:r w:rsidR="00353FAA" w:rsidRPr="00B62C84">
        <w:t xml:space="preserve">and </w:t>
      </w:r>
      <w:r w:rsidR="0051796D" w:rsidRPr="00B62C84">
        <w:t xml:space="preserve">are </w:t>
      </w:r>
      <w:r w:rsidRPr="00B62C84">
        <w:t xml:space="preserve">less likely </w:t>
      </w:r>
      <w:r w:rsidR="00353FAA" w:rsidRPr="00B62C84">
        <w:t>to take a complaint to the TIO</w:t>
      </w:r>
      <w:r w:rsidR="0037524F" w:rsidRPr="00B62C84">
        <w:t>)</w:t>
      </w:r>
      <w:r w:rsidR="00353FAA" w:rsidRPr="00B62C84">
        <w:t xml:space="preserve">. </w:t>
      </w:r>
      <w:r w:rsidR="0037524F" w:rsidRPr="00B62C84">
        <w:t>Virgin also performed well but is not long for this world</w:t>
      </w:r>
      <w:r w:rsidR="0042467D">
        <w:rPr>
          <w:rStyle w:val="FootnoteReference"/>
        </w:rPr>
        <w:footnoteReference w:id="31"/>
      </w:r>
      <w:r w:rsidR="0037524F" w:rsidRPr="00B62C84">
        <w:t xml:space="preserve">. </w:t>
      </w:r>
    </w:p>
    <w:p w:rsidR="00353FAA" w:rsidRDefault="00353FAA" w:rsidP="007260F0">
      <w:r w:rsidRPr="00B62C84">
        <w:t>Telstra on the other hand performed poorly and well below average across many metrics.  Telstra customers are significantly more likely to: contact the</w:t>
      </w:r>
      <w:r w:rsidR="00213864">
        <w:t>ir</w:t>
      </w:r>
      <w:r w:rsidRPr="00B62C84">
        <w:t xml:space="preserve"> provider about an issue; </w:t>
      </w:r>
      <w:r w:rsidR="00B86D4E">
        <w:t>contact the</w:t>
      </w:r>
      <w:r w:rsidR="00213864">
        <w:t>ir</w:t>
      </w:r>
      <w:r w:rsidRPr="00B62C84">
        <w:t xml:space="preserve"> provider more times</w:t>
      </w:r>
      <w:r w:rsidR="00E06FFE">
        <w:t xml:space="preserve"> about an issue</w:t>
      </w:r>
      <w:r w:rsidRPr="00B62C84">
        <w:t xml:space="preserve">; spend over a month </w:t>
      </w:r>
      <w:r w:rsidR="00265C07">
        <w:t>trying to get</w:t>
      </w:r>
      <w:r w:rsidRPr="00B62C84">
        <w:t xml:space="preserve"> a resolution compared with customers of other providers. Telstra staff are reportedly less knowledgeable</w:t>
      </w:r>
      <w:r w:rsidR="0020061D" w:rsidRPr="00B62C84">
        <w:t>, less</w:t>
      </w:r>
      <w:r w:rsidR="00B62C84">
        <w:t xml:space="preserve"> </w:t>
      </w:r>
      <w:r w:rsidRPr="00B62C84">
        <w:t xml:space="preserve">able to provide accurate and relevant information, </w:t>
      </w:r>
      <w:r w:rsidR="0020061D" w:rsidRPr="00B62C84">
        <w:t xml:space="preserve">and </w:t>
      </w:r>
      <w:r w:rsidRPr="00B62C84">
        <w:t>less likely to res</w:t>
      </w:r>
      <w:r w:rsidR="00B62C84">
        <w:t xml:space="preserve">olve an issue on first contact. </w:t>
      </w:r>
    </w:p>
    <w:p w:rsidR="00B62C84" w:rsidRDefault="00EA38DC" w:rsidP="007260F0">
      <w:r>
        <w:t>The</w:t>
      </w:r>
      <w:r w:rsidR="00E97093">
        <w:t xml:space="preserve"> graph </w:t>
      </w:r>
      <w:r>
        <w:t xml:space="preserve">below </w:t>
      </w:r>
      <w:r w:rsidR="00595590">
        <w:t xml:space="preserve">shows </w:t>
      </w:r>
      <w:r w:rsidR="00E97093">
        <w:t xml:space="preserve">the percentage of customers for each provider who rated their experience as </w:t>
      </w:r>
      <w:r w:rsidR="00E06FFE">
        <w:t>positive</w:t>
      </w:r>
      <w:r w:rsidR="00B72696">
        <w:rPr>
          <w:rStyle w:val="FootnoteReference"/>
        </w:rPr>
        <w:footnoteReference w:id="32"/>
      </w:r>
      <w:r w:rsidR="00E97093">
        <w:t xml:space="preserve">. </w:t>
      </w:r>
      <w:r w:rsidR="00BC5F72">
        <w:t xml:space="preserve">Virgin customers </w:t>
      </w:r>
      <w:r w:rsidR="0042467D">
        <w:t>were</w:t>
      </w:r>
      <w:r w:rsidR="00BC5F72">
        <w:t xml:space="preserve"> most positive about the customer service they received</w:t>
      </w:r>
      <w:r w:rsidR="0042467D">
        <w:t>, followed by Vodafone customers</w:t>
      </w:r>
      <w:r w:rsidR="00BC5F72">
        <w:t xml:space="preserve">. </w:t>
      </w:r>
      <w:proofErr w:type="spellStart"/>
      <w:r w:rsidR="00BC5F72">
        <w:t>Skymesh</w:t>
      </w:r>
      <w:proofErr w:type="spellEnd"/>
      <w:r w:rsidR="00BC5F72">
        <w:t xml:space="preserve">, Telstra, Optus, Activ8me and Belong all scored </w:t>
      </w:r>
      <w:proofErr w:type="gramStart"/>
      <w:r w:rsidR="00BC5F72">
        <w:t>low,</w:t>
      </w:r>
      <w:proofErr w:type="gramEnd"/>
      <w:r w:rsidR="00BC5F72">
        <w:t xml:space="preserve"> with less than half their customers feeling positive about the customer service they received. </w:t>
      </w:r>
    </w:p>
    <w:p w:rsidR="008720D3" w:rsidRDefault="008720D3" w:rsidP="008720D3">
      <w:pPr>
        <w:jc w:val="center"/>
      </w:pPr>
      <w:r>
        <w:rPr>
          <w:noProof/>
          <w:lang w:eastAsia="en-AU"/>
        </w:rPr>
        <w:lastRenderedPageBreak/>
        <w:drawing>
          <wp:inline distT="0" distB="0" distL="0" distR="0" wp14:anchorId="59BEBDD2" wp14:editId="5A15ED7C">
            <wp:extent cx="5267326" cy="3314701"/>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408A" w:rsidRDefault="0013408A" w:rsidP="007260F0">
      <w:pPr>
        <w:rPr>
          <w:b/>
        </w:rPr>
      </w:pPr>
      <w:r>
        <w:rPr>
          <w:b/>
        </w:rPr>
        <w:t>What can you do?</w:t>
      </w:r>
    </w:p>
    <w:p w:rsidR="0013408A" w:rsidRDefault="0013408A" w:rsidP="007260F0">
      <w:r>
        <w:t>If like many of the respondents to this survey you have experienced long wait times, shoddy record keeping, difficult complaint processes and overall poor customer service from your provider, then don’t feel you have to settle. Make sure to hold your provider to account by lodging a formal complaint with them and/or taking your issue to the TIO</w:t>
      </w:r>
      <w:r w:rsidR="00BC5F72">
        <w:rPr>
          <w:rStyle w:val="FootnoteReference"/>
        </w:rPr>
        <w:footnoteReference w:id="33"/>
      </w:r>
      <w:r>
        <w:t>.</w:t>
      </w:r>
    </w:p>
    <w:p w:rsidR="0013408A" w:rsidRPr="0013408A" w:rsidRDefault="0013408A" w:rsidP="007260F0">
      <w:r>
        <w:t>If you are truly fed up with poor customer service from your provider, then you could consider switching</w:t>
      </w:r>
      <w:r w:rsidR="00E06FFE">
        <w:t xml:space="preserve"> to another provider. Check out the </w:t>
      </w:r>
      <w:hyperlink r:id="rId12" w:history="1">
        <w:r w:rsidR="00E06FFE" w:rsidRPr="007659AA">
          <w:rPr>
            <w:rStyle w:val="Hyperlink"/>
          </w:rPr>
          <w:t>finder</w:t>
        </w:r>
      </w:hyperlink>
      <w:r w:rsidR="00E06FFE">
        <w:t xml:space="preserve"> and </w:t>
      </w:r>
      <w:hyperlink r:id="rId13" w:history="1">
        <w:r w:rsidR="00E06FFE" w:rsidRPr="007659AA">
          <w:rPr>
            <w:rStyle w:val="Hyperlink"/>
          </w:rPr>
          <w:t>Whistle Out</w:t>
        </w:r>
      </w:hyperlink>
      <w:r w:rsidR="00E06FFE">
        <w:t xml:space="preserve"> websites to compare current offers</w:t>
      </w:r>
      <w:r w:rsidR="00DB4475">
        <w:t>, and ask friends and family for advice</w:t>
      </w:r>
      <w:r>
        <w:t xml:space="preserve">. </w:t>
      </w:r>
    </w:p>
    <w:sectPr w:rsidR="0013408A" w:rsidRPr="0013408A" w:rsidSect="001A1BE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51" w:rsidRDefault="003C2A51" w:rsidP="00E63BC2">
      <w:pPr>
        <w:spacing w:after="0" w:line="240" w:lineRule="auto"/>
      </w:pPr>
      <w:r>
        <w:separator/>
      </w:r>
    </w:p>
  </w:endnote>
  <w:endnote w:type="continuationSeparator" w:id="0">
    <w:p w:rsidR="003C2A51" w:rsidRDefault="003C2A51" w:rsidP="00E6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22044"/>
      <w:docPartObj>
        <w:docPartGallery w:val="Page Numbers (Bottom of Page)"/>
        <w:docPartUnique/>
      </w:docPartObj>
    </w:sdtPr>
    <w:sdtEndPr>
      <w:rPr>
        <w:noProof/>
      </w:rPr>
    </w:sdtEndPr>
    <w:sdtContent>
      <w:p w:rsidR="00004216" w:rsidRDefault="00004216">
        <w:pPr>
          <w:pStyle w:val="Footer"/>
          <w:jc w:val="right"/>
        </w:pPr>
        <w:r>
          <w:fldChar w:fldCharType="begin"/>
        </w:r>
        <w:r>
          <w:instrText xml:space="preserve"> PAGE   \* MERGEFORMAT </w:instrText>
        </w:r>
        <w:r>
          <w:fldChar w:fldCharType="separate"/>
        </w:r>
        <w:r w:rsidR="00223EA3">
          <w:rPr>
            <w:noProof/>
          </w:rPr>
          <w:t>1</w:t>
        </w:r>
        <w:r>
          <w:rPr>
            <w:noProof/>
          </w:rPr>
          <w:fldChar w:fldCharType="end"/>
        </w:r>
      </w:p>
    </w:sdtContent>
  </w:sdt>
  <w:p w:rsidR="00004216" w:rsidRDefault="0000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51" w:rsidRDefault="003C2A51" w:rsidP="00E63BC2">
      <w:pPr>
        <w:spacing w:after="0" w:line="240" w:lineRule="auto"/>
      </w:pPr>
      <w:r>
        <w:separator/>
      </w:r>
    </w:p>
  </w:footnote>
  <w:footnote w:type="continuationSeparator" w:id="0">
    <w:p w:rsidR="003C2A51" w:rsidRDefault="003C2A51" w:rsidP="00E63BC2">
      <w:pPr>
        <w:spacing w:after="0" w:line="240" w:lineRule="auto"/>
      </w:pPr>
      <w:r>
        <w:continuationSeparator/>
      </w:r>
    </w:p>
  </w:footnote>
  <w:footnote w:id="1">
    <w:p w:rsidR="00004216" w:rsidRPr="006343FE" w:rsidRDefault="00004216">
      <w:pPr>
        <w:pStyle w:val="FootnoteText"/>
        <w:rPr>
          <w:lang w:val="en-US"/>
        </w:rPr>
      </w:pPr>
      <w:r>
        <w:rPr>
          <w:rStyle w:val="FootnoteReference"/>
        </w:rPr>
        <w:footnoteRef/>
      </w:r>
      <w:r>
        <w:t xml:space="preserve"> </w:t>
      </w:r>
      <w:r>
        <w:rPr>
          <w:lang w:val="en-US"/>
        </w:rPr>
        <w:t xml:space="preserve">TIO 2017, 2016-2017 Annual Report: </w:t>
      </w:r>
      <w:hyperlink r:id="rId1" w:history="1">
        <w:r w:rsidRPr="00881DD7">
          <w:rPr>
            <w:rStyle w:val="Hyperlink"/>
            <w:lang w:val="en-US"/>
          </w:rPr>
          <w:t>http://www.tio.com.au/__data/assets/pdf_file/0018/250911/Telecommunications-Industry-Ombudsman-Annual-Report-2017.pdf</w:t>
        </w:r>
      </w:hyperlink>
      <w:r>
        <w:rPr>
          <w:lang w:val="en-US"/>
        </w:rPr>
        <w:t>, p.28</w:t>
      </w:r>
    </w:p>
  </w:footnote>
  <w:footnote w:id="2">
    <w:p w:rsidR="00004216" w:rsidRPr="006343FE" w:rsidRDefault="00004216">
      <w:pPr>
        <w:pStyle w:val="FootnoteText"/>
        <w:rPr>
          <w:lang w:val="en-US"/>
        </w:rPr>
      </w:pPr>
      <w:r>
        <w:rPr>
          <w:rStyle w:val="FootnoteReference"/>
        </w:rPr>
        <w:footnoteRef/>
      </w:r>
      <w:r>
        <w:t xml:space="preserve"> Ibid, p.29</w:t>
      </w:r>
    </w:p>
  </w:footnote>
  <w:footnote w:id="3">
    <w:p w:rsidR="006343FE" w:rsidRPr="006343FE" w:rsidRDefault="00004216">
      <w:pPr>
        <w:pStyle w:val="FootnoteText"/>
        <w:rPr>
          <w:lang w:val="en-US"/>
        </w:rPr>
      </w:pPr>
      <w:r>
        <w:rPr>
          <w:rStyle w:val="FootnoteReference"/>
        </w:rPr>
        <w:footnoteRef/>
      </w:r>
      <w:r>
        <w:t xml:space="preserve"> </w:t>
      </w:r>
      <w:r>
        <w:rPr>
          <w:lang w:val="en-US"/>
        </w:rPr>
        <w:t xml:space="preserve">TIO 2018, July-December 2017 six month update: </w:t>
      </w:r>
      <w:hyperlink r:id="rId2" w:history="1">
        <w:r w:rsidR="006343FE" w:rsidRPr="0007123E">
          <w:rPr>
            <w:rStyle w:val="Hyperlink"/>
            <w:lang w:val="en-US"/>
          </w:rPr>
          <w:t>http://www.tio.com.au/__data/assets/pdf_file/0003/254937/Telecommunications-Industry-Ombudsman-Six-Month-Update-Jul-to-Dec-2017.pdf</w:t>
        </w:r>
      </w:hyperlink>
      <w:r>
        <w:rPr>
          <w:lang w:val="en-US"/>
        </w:rPr>
        <w:t>, p.p.9</w:t>
      </w:r>
    </w:p>
  </w:footnote>
  <w:footnote w:id="4">
    <w:p w:rsidR="006978E7" w:rsidRDefault="00E63BC2" w:rsidP="00E63BC2">
      <w:pPr>
        <w:pStyle w:val="FootnoteText"/>
      </w:pPr>
      <w:r>
        <w:rPr>
          <w:rStyle w:val="FootnoteReference"/>
        </w:rPr>
        <w:footnoteRef/>
      </w:r>
      <w:r>
        <w:t xml:space="preserve"> The providers were: Telstra, TPG/</w:t>
      </w:r>
      <w:proofErr w:type="spellStart"/>
      <w:r>
        <w:t>iiNET</w:t>
      </w:r>
      <w:proofErr w:type="spellEnd"/>
      <w:r>
        <w:t>, Vodafone, Optus, Virgin, Dodo/</w:t>
      </w:r>
      <w:proofErr w:type="spellStart"/>
      <w:r>
        <w:t>iPrimus</w:t>
      </w:r>
      <w:proofErr w:type="spellEnd"/>
      <w:r>
        <w:t xml:space="preserve">, </w:t>
      </w:r>
      <w:proofErr w:type="spellStart"/>
      <w:r>
        <w:t>Amaysim</w:t>
      </w:r>
      <w:proofErr w:type="spellEnd"/>
      <w:r>
        <w:t xml:space="preserve">, Belong, Activ8me and </w:t>
      </w:r>
      <w:proofErr w:type="spellStart"/>
      <w:r>
        <w:t>Skymesh</w:t>
      </w:r>
      <w:proofErr w:type="spellEnd"/>
      <w:r>
        <w:t>. For the breakdown in completed interviews acros</w:t>
      </w:r>
      <w:r w:rsidR="006978E7">
        <w:t xml:space="preserve">s providers see the full report: </w:t>
      </w:r>
      <w:hyperlink r:id="rId3" w:history="1">
        <w:r w:rsidR="006978E7" w:rsidRPr="007C0483">
          <w:rPr>
            <w:rStyle w:val="Hyperlink"/>
          </w:rPr>
          <w:t>http://accan.org.au/our-work/research/1523-can-you-hear-me-ranking-the-customer-service-of-australia-s-phone-and-internet-companies</w:t>
        </w:r>
      </w:hyperlink>
    </w:p>
  </w:footnote>
  <w:footnote w:id="5">
    <w:p w:rsidR="00B35CD8" w:rsidRPr="00E64603" w:rsidRDefault="00B35CD8">
      <w:pPr>
        <w:pStyle w:val="FootnoteText"/>
        <w:rPr>
          <w:lang w:val="en-US"/>
        </w:rPr>
      </w:pPr>
      <w:r>
        <w:rPr>
          <w:rStyle w:val="FootnoteReference"/>
        </w:rPr>
        <w:footnoteRef/>
      </w:r>
      <w:r>
        <w:t xml:space="preserve"> </w:t>
      </w:r>
      <w:r>
        <w:rPr>
          <w:lang w:val="en-US"/>
        </w:rPr>
        <w:t xml:space="preserve">See figure 43 in the report </w:t>
      </w:r>
    </w:p>
  </w:footnote>
  <w:footnote w:id="6">
    <w:p w:rsidR="00B35CD8" w:rsidRPr="00E64603" w:rsidRDefault="00B35CD8">
      <w:pPr>
        <w:pStyle w:val="FootnoteText"/>
        <w:rPr>
          <w:lang w:val="en-US"/>
        </w:rPr>
      </w:pPr>
      <w:r>
        <w:rPr>
          <w:rStyle w:val="FootnoteReference"/>
        </w:rPr>
        <w:footnoteRef/>
      </w:r>
      <w:r>
        <w:t xml:space="preserve"> </w:t>
      </w:r>
      <w:r>
        <w:rPr>
          <w:lang w:val="en-US"/>
        </w:rPr>
        <w:t xml:space="preserve">See figure 69 </w:t>
      </w:r>
      <w:r w:rsidR="00E64603">
        <w:rPr>
          <w:lang w:val="en-US"/>
        </w:rPr>
        <w:t xml:space="preserve">ibid </w:t>
      </w:r>
    </w:p>
  </w:footnote>
  <w:footnote w:id="7">
    <w:p w:rsidR="00B35CD8" w:rsidRPr="00E64603" w:rsidRDefault="00B35CD8">
      <w:pPr>
        <w:pStyle w:val="FootnoteText"/>
        <w:rPr>
          <w:lang w:val="en-US"/>
        </w:rPr>
      </w:pPr>
      <w:r>
        <w:rPr>
          <w:rStyle w:val="FootnoteReference"/>
        </w:rPr>
        <w:footnoteRef/>
      </w:r>
      <w:r>
        <w:t xml:space="preserve"> </w:t>
      </w:r>
      <w:r>
        <w:rPr>
          <w:lang w:val="en-US"/>
        </w:rPr>
        <w:t>See figure 54 i</w:t>
      </w:r>
      <w:r w:rsidR="00E64603">
        <w:rPr>
          <w:lang w:val="en-US"/>
        </w:rPr>
        <w:t xml:space="preserve">bid </w:t>
      </w:r>
    </w:p>
  </w:footnote>
  <w:footnote w:id="8">
    <w:p w:rsidR="00B35CD8" w:rsidRPr="00E64603" w:rsidRDefault="00B35CD8">
      <w:pPr>
        <w:pStyle w:val="FootnoteText"/>
        <w:rPr>
          <w:lang w:val="en-US"/>
        </w:rPr>
      </w:pPr>
      <w:r>
        <w:rPr>
          <w:rStyle w:val="FootnoteReference"/>
        </w:rPr>
        <w:footnoteRef/>
      </w:r>
      <w:r>
        <w:t xml:space="preserve"> </w:t>
      </w:r>
      <w:proofErr w:type="gramStart"/>
      <w:r w:rsidR="006343FE">
        <w:t>B</w:t>
      </w:r>
      <w:proofErr w:type="spellStart"/>
      <w:r w:rsidR="006343FE">
        <w:rPr>
          <w:lang w:val="en-US"/>
        </w:rPr>
        <w:t>ased</w:t>
      </w:r>
      <w:proofErr w:type="spellEnd"/>
      <w:r w:rsidR="006343FE">
        <w:rPr>
          <w:lang w:val="en-US"/>
        </w:rPr>
        <w:t xml:space="preserve"> on resolved cases only</w:t>
      </w:r>
      <w:r w:rsidR="004420E1">
        <w:rPr>
          <w:lang w:val="en-US"/>
        </w:rPr>
        <w:t>.</w:t>
      </w:r>
      <w:proofErr w:type="gramEnd"/>
      <w:r w:rsidR="006343FE">
        <w:rPr>
          <w:lang w:val="en-US"/>
        </w:rPr>
        <w:t xml:space="preserve"> </w:t>
      </w:r>
      <w:r>
        <w:rPr>
          <w:lang w:val="en-US"/>
        </w:rPr>
        <w:t>See figure 46 i</w:t>
      </w:r>
      <w:r w:rsidR="00E64603">
        <w:rPr>
          <w:lang w:val="en-US"/>
        </w:rPr>
        <w:t xml:space="preserve">bid </w:t>
      </w:r>
    </w:p>
  </w:footnote>
  <w:footnote w:id="9">
    <w:p w:rsidR="00B35CD8" w:rsidRPr="00E64603" w:rsidRDefault="00B35CD8">
      <w:pPr>
        <w:pStyle w:val="FootnoteText"/>
        <w:rPr>
          <w:lang w:val="en-US"/>
        </w:rPr>
      </w:pPr>
      <w:r>
        <w:rPr>
          <w:rStyle w:val="FootnoteReference"/>
        </w:rPr>
        <w:footnoteRef/>
      </w:r>
      <w:r>
        <w:t xml:space="preserve"> </w:t>
      </w:r>
      <w:r>
        <w:rPr>
          <w:lang w:val="en-US"/>
        </w:rPr>
        <w:t xml:space="preserve">See figure 7 </w:t>
      </w:r>
      <w:r w:rsidR="00E64603">
        <w:rPr>
          <w:lang w:val="en-US"/>
        </w:rPr>
        <w:t xml:space="preserve">ibid </w:t>
      </w:r>
    </w:p>
  </w:footnote>
  <w:footnote w:id="10">
    <w:p w:rsidR="00B35CD8" w:rsidRPr="00D20CF9" w:rsidRDefault="00B35CD8">
      <w:pPr>
        <w:pStyle w:val="FootnoteText"/>
        <w:rPr>
          <w:lang w:val="en-US"/>
        </w:rPr>
      </w:pPr>
      <w:r>
        <w:rPr>
          <w:rStyle w:val="FootnoteReference"/>
        </w:rPr>
        <w:footnoteRef/>
      </w:r>
      <w:r>
        <w:t xml:space="preserve"> </w:t>
      </w:r>
      <w:r w:rsidR="00C20A38">
        <w:rPr>
          <w:lang w:val="en-US"/>
        </w:rPr>
        <w:t>See figure 11</w:t>
      </w:r>
      <w:r>
        <w:rPr>
          <w:lang w:val="en-US"/>
        </w:rPr>
        <w:t xml:space="preserve"> in the report </w:t>
      </w:r>
    </w:p>
  </w:footnote>
  <w:footnote w:id="11">
    <w:p w:rsidR="000527E0" w:rsidRPr="00D20CF9" w:rsidRDefault="000527E0">
      <w:pPr>
        <w:pStyle w:val="FootnoteText"/>
        <w:rPr>
          <w:lang w:val="en-US"/>
        </w:rPr>
      </w:pPr>
      <w:r>
        <w:rPr>
          <w:rStyle w:val="FootnoteReference"/>
        </w:rPr>
        <w:footnoteRef/>
      </w:r>
      <w:r>
        <w:t xml:space="preserve"> </w:t>
      </w:r>
      <w:r w:rsidR="00C20A38">
        <w:rPr>
          <w:lang w:val="en-US"/>
        </w:rPr>
        <w:t>Ibid</w:t>
      </w:r>
    </w:p>
  </w:footnote>
  <w:footnote w:id="12">
    <w:p w:rsidR="000527E0" w:rsidRPr="00D20CF9" w:rsidRDefault="000527E0">
      <w:pPr>
        <w:pStyle w:val="FootnoteText"/>
        <w:rPr>
          <w:lang w:val="en-US"/>
        </w:rPr>
      </w:pPr>
      <w:r>
        <w:rPr>
          <w:rStyle w:val="FootnoteReference"/>
        </w:rPr>
        <w:footnoteRef/>
      </w:r>
      <w:r>
        <w:t xml:space="preserve"> </w:t>
      </w:r>
      <w:r>
        <w:rPr>
          <w:lang w:val="en-US"/>
        </w:rPr>
        <w:t xml:space="preserve">See figure </w:t>
      </w:r>
      <w:r w:rsidR="00C960FF">
        <w:rPr>
          <w:lang w:val="en-US"/>
        </w:rPr>
        <w:t>64</w:t>
      </w:r>
      <w:r>
        <w:rPr>
          <w:lang w:val="en-US"/>
        </w:rPr>
        <w:t xml:space="preserve"> and figure 25 </w:t>
      </w:r>
      <w:r w:rsidR="0021148E">
        <w:rPr>
          <w:lang w:val="en-US"/>
        </w:rPr>
        <w:t>ibid</w:t>
      </w:r>
    </w:p>
  </w:footnote>
  <w:footnote w:id="13">
    <w:p w:rsidR="00312F23" w:rsidRPr="006343FE" w:rsidRDefault="00312F23">
      <w:pPr>
        <w:pStyle w:val="FootnoteText"/>
        <w:rPr>
          <w:lang w:val="en-US"/>
        </w:rPr>
      </w:pPr>
      <w:r>
        <w:rPr>
          <w:rStyle w:val="FootnoteReference"/>
        </w:rPr>
        <w:footnoteRef/>
      </w:r>
      <w:r>
        <w:t xml:space="preserve"> </w:t>
      </w:r>
      <w:r>
        <w:rPr>
          <w:lang w:val="en-US"/>
        </w:rPr>
        <w:t>See figure 11 in the report</w:t>
      </w:r>
    </w:p>
  </w:footnote>
  <w:footnote w:id="14">
    <w:p w:rsidR="00312F23" w:rsidRPr="006343FE" w:rsidRDefault="00312F23">
      <w:pPr>
        <w:pStyle w:val="FootnoteText"/>
        <w:rPr>
          <w:lang w:val="en-US"/>
        </w:rPr>
      </w:pPr>
      <w:r>
        <w:rPr>
          <w:rStyle w:val="FootnoteReference"/>
        </w:rPr>
        <w:footnoteRef/>
      </w:r>
      <w:r>
        <w:t xml:space="preserve"> </w:t>
      </w:r>
      <w:r>
        <w:rPr>
          <w:lang w:val="en-US"/>
        </w:rPr>
        <w:t>Ibid. Note results are</w:t>
      </w:r>
      <w:r w:rsidR="00E34610">
        <w:rPr>
          <w:lang w:val="en-US"/>
        </w:rPr>
        <w:t xml:space="preserve"> based on a sample size</w:t>
      </w:r>
      <w:r>
        <w:rPr>
          <w:lang w:val="en-US"/>
        </w:rPr>
        <w:t xml:space="preserve"> less than n=30</w:t>
      </w:r>
    </w:p>
  </w:footnote>
  <w:footnote w:id="15">
    <w:p w:rsidR="00312F23" w:rsidRPr="006343FE" w:rsidRDefault="00312F23">
      <w:pPr>
        <w:pStyle w:val="FootnoteText"/>
        <w:rPr>
          <w:lang w:val="en-US"/>
        </w:rPr>
      </w:pPr>
      <w:r>
        <w:rPr>
          <w:rStyle w:val="FootnoteReference"/>
        </w:rPr>
        <w:footnoteRef/>
      </w:r>
      <w:r>
        <w:t xml:space="preserve"> </w:t>
      </w:r>
      <w:r>
        <w:rPr>
          <w:lang w:val="en-US"/>
        </w:rPr>
        <w:t>Ibid</w:t>
      </w:r>
    </w:p>
  </w:footnote>
  <w:footnote w:id="16">
    <w:p w:rsidR="00312F23" w:rsidRPr="006343FE" w:rsidRDefault="00312F23">
      <w:pPr>
        <w:pStyle w:val="FootnoteText"/>
        <w:rPr>
          <w:lang w:val="en-US"/>
        </w:rPr>
      </w:pPr>
      <w:r>
        <w:rPr>
          <w:rStyle w:val="FootnoteReference"/>
        </w:rPr>
        <w:footnoteRef/>
      </w:r>
      <w:r>
        <w:t xml:space="preserve"> </w:t>
      </w:r>
      <w:r>
        <w:rPr>
          <w:lang w:val="en-US"/>
        </w:rPr>
        <w:t>Ibid</w:t>
      </w:r>
    </w:p>
  </w:footnote>
  <w:footnote w:id="17">
    <w:p w:rsidR="00CA7AC8" w:rsidRPr="006343FE" w:rsidRDefault="00CA7AC8">
      <w:pPr>
        <w:pStyle w:val="FootnoteText"/>
        <w:rPr>
          <w:lang w:val="en-US"/>
        </w:rPr>
      </w:pPr>
      <w:r>
        <w:rPr>
          <w:rStyle w:val="FootnoteReference"/>
        </w:rPr>
        <w:footnoteRef/>
      </w:r>
      <w:r>
        <w:t xml:space="preserve"> </w:t>
      </w:r>
      <w:r>
        <w:rPr>
          <w:lang w:val="en-US"/>
        </w:rPr>
        <w:t>See figure 27 ibid</w:t>
      </w:r>
    </w:p>
  </w:footnote>
  <w:footnote w:id="18">
    <w:p w:rsidR="00213864" w:rsidRPr="00D20CF9" w:rsidRDefault="00213864" w:rsidP="00213864">
      <w:pPr>
        <w:pStyle w:val="FootnoteText"/>
        <w:rPr>
          <w:lang w:val="en-US"/>
        </w:rPr>
      </w:pPr>
      <w:r>
        <w:rPr>
          <w:rStyle w:val="FootnoteReference"/>
        </w:rPr>
        <w:footnoteRef/>
      </w:r>
      <w:r>
        <w:t xml:space="preserve"> </w:t>
      </w:r>
      <w:r>
        <w:rPr>
          <w:lang w:val="en-US"/>
        </w:rPr>
        <w:t>See figure 28 in the report</w:t>
      </w:r>
    </w:p>
  </w:footnote>
  <w:footnote w:id="19">
    <w:p w:rsidR="00CA7AC8" w:rsidRPr="006343FE" w:rsidRDefault="00CA7AC8">
      <w:pPr>
        <w:pStyle w:val="FootnoteText"/>
        <w:rPr>
          <w:lang w:val="en-US"/>
        </w:rPr>
      </w:pPr>
      <w:r>
        <w:rPr>
          <w:rStyle w:val="FootnoteReference"/>
        </w:rPr>
        <w:footnoteRef/>
      </w:r>
      <w:r>
        <w:t xml:space="preserve"> </w:t>
      </w:r>
      <w:r>
        <w:rPr>
          <w:lang w:val="en-US"/>
        </w:rPr>
        <w:t>See figure 28 ibid</w:t>
      </w:r>
    </w:p>
  </w:footnote>
  <w:footnote w:id="20">
    <w:p w:rsidR="00CA7AC8" w:rsidRPr="00D20CF9" w:rsidRDefault="00CA7AC8">
      <w:pPr>
        <w:pStyle w:val="FootnoteText"/>
        <w:rPr>
          <w:lang w:val="en-US"/>
        </w:rPr>
      </w:pPr>
      <w:r>
        <w:rPr>
          <w:rStyle w:val="FootnoteReference"/>
        </w:rPr>
        <w:footnoteRef/>
      </w:r>
      <w:r>
        <w:t xml:space="preserve"> </w:t>
      </w:r>
      <w:r>
        <w:rPr>
          <w:lang w:val="en-US"/>
        </w:rPr>
        <w:t>See figure 33 ibid</w:t>
      </w:r>
    </w:p>
  </w:footnote>
  <w:footnote w:id="21">
    <w:p w:rsidR="00CA7AC8" w:rsidRPr="00D20CF9" w:rsidRDefault="00CA7AC8">
      <w:pPr>
        <w:pStyle w:val="FootnoteText"/>
        <w:rPr>
          <w:lang w:val="en-US"/>
        </w:rPr>
      </w:pPr>
      <w:r>
        <w:rPr>
          <w:rStyle w:val="FootnoteReference"/>
        </w:rPr>
        <w:footnoteRef/>
      </w:r>
      <w:r>
        <w:t xml:space="preserve"> </w:t>
      </w:r>
      <w:r w:rsidR="005A4104">
        <w:t>See figure 36 ibid</w:t>
      </w:r>
    </w:p>
  </w:footnote>
  <w:footnote w:id="22">
    <w:p w:rsidR="005A4104" w:rsidRPr="00D20CF9" w:rsidRDefault="005A4104">
      <w:pPr>
        <w:pStyle w:val="FootnoteText"/>
        <w:rPr>
          <w:lang w:val="en-US"/>
        </w:rPr>
      </w:pPr>
      <w:r>
        <w:rPr>
          <w:rStyle w:val="FootnoteReference"/>
        </w:rPr>
        <w:footnoteRef/>
      </w:r>
      <w:r>
        <w:t xml:space="preserve"> </w:t>
      </w:r>
      <w:r w:rsidR="007659AA">
        <w:rPr>
          <w:lang w:val="en-US"/>
        </w:rPr>
        <w:t>See figure 36</w:t>
      </w:r>
      <w:r>
        <w:rPr>
          <w:lang w:val="en-US"/>
        </w:rPr>
        <w:t xml:space="preserve"> ibid</w:t>
      </w:r>
    </w:p>
  </w:footnote>
  <w:footnote w:id="23">
    <w:p w:rsidR="005129AB" w:rsidRPr="00D20CF9" w:rsidRDefault="005129AB">
      <w:pPr>
        <w:pStyle w:val="FootnoteText"/>
        <w:rPr>
          <w:lang w:val="en-US"/>
        </w:rPr>
      </w:pPr>
      <w:r>
        <w:rPr>
          <w:rStyle w:val="FootnoteReference"/>
        </w:rPr>
        <w:footnoteRef/>
      </w:r>
      <w:r>
        <w:t xml:space="preserve"> </w:t>
      </w:r>
      <w:r>
        <w:rPr>
          <w:lang w:val="en-US"/>
        </w:rPr>
        <w:t>See figure 34 ibid</w:t>
      </w:r>
    </w:p>
  </w:footnote>
  <w:footnote w:id="24">
    <w:p w:rsidR="007000E0" w:rsidRPr="00D20CF9" w:rsidRDefault="007000E0">
      <w:pPr>
        <w:pStyle w:val="FootnoteText"/>
        <w:rPr>
          <w:lang w:val="en-US"/>
        </w:rPr>
      </w:pPr>
      <w:r>
        <w:rPr>
          <w:rStyle w:val="FootnoteReference"/>
        </w:rPr>
        <w:footnoteRef/>
      </w:r>
      <w:r>
        <w:t xml:space="preserve"> </w:t>
      </w:r>
      <w:r>
        <w:rPr>
          <w:lang w:val="en-US"/>
        </w:rPr>
        <w:t>Ibid</w:t>
      </w:r>
    </w:p>
  </w:footnote>
  <w:footnote w:id="25">
    <w:p w:rsidR="007000E0" w:rsidRPr="00D20CF9" w:rsidRDefault="007000E0">
      <w:pPr>
        <w:pStyle w:val="FootnoteText"/>
        <w:rPr>
          <w:lang w:val="en-US"/>
        </w:rPr>
      </w:pPr>
      <w:r>
        <w:rPr>
          <w:rStyle w:val="FootnoteReference"/>
        </w:rPr>
        <w:footnoteRef/>
      </w:r>
      <w:r>
        <w:t xml:space="preserve"> See figure 37 in the report</w:t>
      </w:r>
    </w:p>
  </w:footnote>
  <w:footnote w:id="26">
    <w:p w:rsidR="00274447" w:rsidRPr="00D20CF9" w:rsidRDefault="00274447">
      <w:pPr>
        <w:pStyle w:val="FootnoteText"/>
        <w:rPr>
          <w:lang w:val="en-US"/>
        </w:rPr>
      </w:pPr>
      <w:r>
        <w:rPr>
          <w:rStyle w:val="FootnoteReference"/>
        </w:rPr>
        <w:footnoteRef/>
      </w:r>
      <w:r>
        <w:t xml:space="preserve"> </w:t>
      </w:r>
      <w:r>
        <w:rPr>
          <w:lang w:val="en-US"/>
        </w:rPr>
        <w:t>See figure 35 ibid</w:t>
      </w:r>
    </w:p>
  </w:footnote>
  <w:footnote w:id="27">
    <w:p w:rsidR="002C7BCF" w:rsidRPr="00D20CF9" w:rsidRDefault="001E2DE7">
      <w:pPr>
        <w:pStyle w:val="FootnoteText"/>
        <w:rPr>
          <w:sz w:val="18"/>
          <w:szCs w:val="18"/>
        </w:rPr>
      </w:pPr>
      <w:r>
        <w:rPr>
          <w:rStyle w:val="FootnoteReference"/>
        </w:rPr>
        <w:footnoteRef/>
      </w:r>
      <w:r>
        <w:t xml:space="preserve"> </w:t>
      </w:r>
      <w:hyperlink r:id="rId4" w:history="1">
        <w:r w:rsidR="002C7BCF" w:rsidRPr="007C0483">
          <w:rPr>
            <w:rStyle w:val="Hyperlink"/>
            <w:sz w:val="18"/>
            <w:szCs w:val="18"/>
          </w:rPr>
          <w:t>https://www.tio.com.au/__data/assets/pdf_file/0003/254937/Telecommunications-Industry-Ombudsman-Six-Month-Update-Jul-to-Dec-2017.pdf</w:t>
        </w:r>
      </w:hyperlink>
    </w:p>
  </w:footnote>
  <w:footnote w:id="28">
    <w:p w:rsidR="00945FC4" w:rsidRPr="00D20CF9" w:rsidRDefault="00945FC4">
      <w:pPr>
        <w:pStyle w:val="FootnoteText"/>
        <w:rPr>
          <w:lang w:val="en-US"/>
        </w:rPr>
      </w:pPr>
      <w:r>
        <w:rPr>
          <w:rStyle w:val="FootnoteReference"/>
        </w:rPr>
        <w:footnoteRef/>
      </w:r>
      <w:r>
        <w:t xml:space="preserve"> See figure 78 in the report</w:t>
      </w:r>
    </w:p>
  </w:footnote>
  <w:footnote w:id="29">
    <w:p w:rsidR="00E97093" w:rsidRPr="00961232" w:rsidRDefault="00E97093" w:rsidP="00E97093">
      <w:pPr>
        <w:pStyle w:val="FootnoteText"/>
        <w:rPr>
          <w:lang w:val="en-US"/>
        </w:rPr>
      </w:pPr>
      <w:r>
        <w:rPr>
          <w:rStyle w:val="FootnoteReference"/>
        </w:rPr>
        <w:footnoteRef/>
      </w:r>
      <w:r>
        <w:t xml:space="preserve"> </w:t>
      </w:r>
      <w:r>
        <w:rPr>
          <w:lang w:val="en-US"/>
        </w:rPr>
        <w:t>See figure 79 ibid</w:t>
      </w:r>
    </w:p>
  </w:footnote>
  <w:footnote w:id="30">
    <w:p w:rsidR="00E97093" w:rsidRPr="00E06FFE" w:rsidRDefault="00E97093">
      <w:pPr>
        <w:pStyle w:val="FootnoteText"/>
        <w:rPr>
          <w:lang w:val="en-US"/>
        </w:rPr>
      </w:pPr>
      <w:r>
        <w:rPr>
          <w:rStyle w:val="FootnoteReference"/>
        </w:rPr>
        <w:footnoteRef/>
      </w:r>
      <w:r>
        <w:t xml:space="preserve"> </w:t>
      </w:r>
      <w:r>
        <w:rPr>
          <w:lang w:val="en-US"/>
        </w:rPr>
        <w:t>See figure 80 ibid</w:t>
      </w:r>
    </w:p>
  </w:footnote>
  <w:footnote w:id="31">
    <w:p w:rsidR="0042467D" w:rsidRDefault="0042467D">
      <w:pPr>
        <w:pStyle w:val="FootnoteText"/>
      </w:pPr>
      <w:r>
        <w:rPr>
          <w:rStyle w:val="FootnoteReference"/>
        </w:rPr>
        <w:footnoteRef/>
      </w:r>
      <w:r>
        <w:t xml:space="preserve"> </w:t>
      </w:r>
      <w:hyperlink r:id="rId5" w:history="1">
        <w:r w:rsidRPr="0042467D">
          <w:rPr>
            <w:rStyle w:val="Hyperlink"/>
          </w:rPr>
          <w:t>https://www.itnews.com.au/news/optus-will-progressively-close-virgin-mobile-491591</w:t>
        </w:r>
      </w:hyperlink>
    </w:p>
  </w:footnote>
  <w:footnote w:id="32">
    <w:p w:rsidR="00B72696" w:rsidRPr="00B72696" w:rsidRDefault="00B72696" w:rsidP="00B72696">
      <w:r>
        <w:rPr>
          <w:rStyle w:val="FootnoteReference"/>
        </w:rPr>
        <w:footnoteRef/>
      </w:r>
      <w:r>
        <w:t xml:space="preserve"> </w:t>
      </w:r>
      <w:r w:rsidRPr="00B72696">
        <w:rPr>
          <w:sz w:val="20"/>
          <w:szCs w:val="20"/>
          <w:lang w:val="en-US"/>
        </w:rPr>
        <w:t>Respondents were asked to rate on a scale of one (extremely negative) to 10 (extremely positive) their overall experience of their provider’s customer service. Graph portrays % of customers for each provider who rated their experience as positive (8-10).</w:t>
      </w:r>
      <w:r w:rsidRPr="00B72696">
        <w:t xml:space="preserve"> </w:t>
      </w:r>
    </w:p>
    <w:p w:rsidR="00B72696" w:rsidRPr="00B72696" w:rsidRDefault="00B72696">
      <w:pPr>
        <w:pStyle w:val="FootnoteText"/>
        <w:rPr>
          <w:lang w:val="en-US"/>
        </w:rPr>
      </w:pPr>
    </w:p>
  </w:footnote>
  <w:footnote w:id="33">
    <w:p w:rsidR="00BC5F72" w:rsidRPr="00BC5F72" w:rsidRDefault="00BC5F72">
      <w:pPr>
        <w:pStyle w:val="FootnoteText"/>
        <w:rPr>
          <w:lang w:val="en-US"/>
        </w:rPr>
      </w:pPr>
      <w:r>
        <w:rPr>
          <w:rStyle w:val="FootnoteReference"/>
        </w:rPr>
        <w:footnoteRef/>
      </w:r>
      <w:r>
        <w:t xml:space="preserve"> </w:t>
      </w:r>
      <w:r>
        <w:rPr>
          <w:lang w:val="en-US"/>
        </w:rPr>
        <w:t xml:space="preserve">To make a complaint to the TIO head to their website: </w:t>
      </w:r>
      <w:hyperlink r:id="rId6" w:history="1">
        <w:r w:rsidRPr="0007123E">
          <w:rPr>
            <w:rStyle w:val="Hyperlink"/>
            <w:lang w:val="en-US"/>
          </w:rPr>
          <w:t>http://www.tio.com.au/consumers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DB9"/>
    <w:multiLevelType w:val="hybridMultilevel"/>
    <w:tmpl w:val="73C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824BA"/>
    <w:multiLevelType w:val="hybridMultilevel"/>
    <w:tmpl w:val="540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07FB7"/>
    <w:multiLevelType w:val="hybridMultilevel"/>
    <w:tmpl w:val="CC2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87290"/>
    <w:multiLevelType w:val="hybridMultilevel"/>
    <w:tmpl w:val="7A2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A0170"/>
    <w:multiLevelType w:val="hybridMultilevel"/>
    <w:tmpl w:val="8E5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13C5E"/>
    <w:multiLevelType w:val="hybridMultilevel"/>
    <w:tmpl w:val="4A9EF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A64466"/>
    <w:multiLevelType w:val="hybridMultilevel"/>
    <w:tmpl w:val="6486E9A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52D33C78"/>
    <w:multiLevelType w:val="hybridMultilevel"/>
    <w:tmpl w:val="2C6E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56A23"/>
    <w:multiLevelType w:val="hybridMultilevel"/>
    <w:tmpl w:val="F836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B06B8"/>
    <w:multiLevelType w:val="hybridMultilevel"/>
    <w:tmpl w:val="CF7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9"/>
  </w:num>
  <w:num w:numId="6">
    <w:abstractNumId w:val="1"/>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2"/>
    <w:rsid w:val="00004216"/>
    <w:rsid w:val="00010C67"/>
    <w:rsid w:val="000240D6"/>
    <w:rsid w:val="00026FC5"/>
    <w:rsid w:val="000527E0"/>
    <w:rsid w:val="000542B3"/>
    <w:rsid w:val="00055981"/>
    <w:rsid w:val="00075CDE"/>
    <w:rsid w:val="000B46A4"/>
    <w:rsid w:val="000E5988"/>
    <w:rsid w:val="0013408A"/>
    <w:rsid w:val="001376D4"/>
    <w:rsid w:val="0016093E"/>
    <w:rsid w:val="00193A96"/>
    <w:rsid w:val="0019666E"/>
    <w:rsid w:val="001A1BEB"/>
    <w:rsid w:val="001C06B5"/>
    <w:rsid w:val="001D4117"/>
    <w:rsid w:val="001E2DE7"/>
    <w:rsid w:val="001F3082"/>
    <w:rsid w:val="001F7F31"/>
    <w:rsid w:val="0020061D"/>
    <w:rsid w:val="002018DD"/>
    <w:rsid w:val="0021148E"/>
    <w:rsid w:val="00213864"/>
    <w:rsid w:val="00223EA3"/>
    <w:rsid w:val="00265C07"/>
    <w:rsid w:val="00274447"/>
    <w:rsid w:val="00282CDA"/>
    <w:rsid w:val="002C7BCF"/>
    <w:rsid w:val="002D4EA5"/>
    <w:rsid w:val="002E679F"/>
    <w:rsid w:val="002E6CC1"/>
    <w:rsid w:val="002F50FA"/>
    <w:rsid w:val="00312F23"/>
    <w:rsid w:val="00353FAA"/>
    <w:rsid w:val="0037340B"/>
    <w:rsid w:val="0037524F"/>
    <w:rsid w:val="00390AFE"/>
    <w:rsid w:val="00396DD4"/>
    <w:rsid w:val="003C07CE"/>
    <w:rsid w:val="003C22F2"/>
    <w:rsid w:val="003C2A51"/>
    <w:rsid w:val="00424233"/>
    <w:rsid w:val="0042467D"/>
    <w:rsid w:val="004420E1"/>
    <w:rsid w:val="00464DEF"/>
    <w:rsid w:val="004709B8"/>
    <w:rsid w:val="00473D4B"/>
    <w:rsid w:val="0047523E"/>
    <w:rsid w:val="0048122B"/>
    <w:rsid w:val="004A278D"/>
    <w:rsid w:val="004D6B09"/>
    <w:rsid w:val="00506267"/>
    <w:rsid w:val="005129AB"/>
    <w:rsid w:val="0051796D"/>
    <w:rsid w:val="00555A79"/>
    <w:rsid w:val="00556F39"/>
    <w:rsid w:val="00564D8F"/>
    <w:rsid w:val="0056784F"/>
    <w:rsid w:val="0058629A"/>
    <w:rsid w:val="00594622"/>
    <w:rsid w:val="00594A38"/>
    <w:rsid w:val="00595590"/>
    <w:rsid w:val="005A4104"/>
    <w:rsid w:val="005B4E48"/>
    <w:rsid w:val="005C62C3"/>
    <w:rsid w:val="005D2D63"/>
    <w:rsid w:val="00614D94"/>
    <w:rsid w:val="006343FE"/>
    <w:rsid w:val="0066220C"/>
    <w:rsid w:val="006978E7"/>
    <w:rsid w:val="006B70B9"/>
    <w:rsid w:val="006D2E1D"/>
    <w:rsid w:val="007000E0"/>
    <w:rsid w:val="007260F0"/>
    <w:rsid w:val="00740417"/>
    <w:rsid w:val="0074416B"/>
    <w:rsid w:val="007659AA"/>
    <w:rsid w:val="0079178D"/>
    <w:rsid w:val="007F6BC6"/>
    <w:rsid w:val="00827703"/>
    <w:rsid w:val="00827A44"/>
    <w:rsid w:val="008440FA"/>
    <w:rsid w:val="00851B77"/>
    <w:rsid w:val="008567AC"/>
    <w:rsid w:val="008707E5"/>
    <w:rsid w:val="008720D3"/>
    <w:rsid w:val="00873761"/>
    <w:rsid w:val="008874B4"/>
    <w:rsid w:val="008942E1"/>
    <w:rsid w:val="00921A3F"/>
    <w:rsid w:val="00945390"/>
    <w:rsid w:val="00945FC4"/>
    <w:rsid w:val="00964C85"/>
    <w:rsid w:val="0096568C"/>
    <w:rsid w:val="00976461"/>
    <w:rsid w:val="009F4427"/>
    <w:rsid w:val="009F71BD"/>
    <w:rsid w:val="00A02C80"/>
    <w:rsid w:val="00A407B3"/>
    <w:rsid w:val="00A51428"/>
    <w:rsid w:val="00AC1FFE"/>
    <w:rsid w:val="00AE73D7"/>
    <w:rsid w:val="00B35CD8"/>
    <w:rsid w:val="00B4280E"/>
    <w:rsid w:val="00B441D7"/>
    <w:rsid w:val="00B4532D"/>
    <w:rsid w:val="00B62503"/>
    <w:rsid w:val="00B62C84"/>
    <w:rsid w:val="00B66F79"/>
    <w:rsid w:val="00B72696"/>
    <w:rsid w:val="00B77B99"/>
    <w:rsid w:val="00B8544A"/>
    <w:rsid w:val="00B86D4E"/>
    <w:rsid w:val="00BA7C09"/>
    <w:rsid w:val="00BA7D19"/>
    <w:rsid w:val="00BC5F72"/>
    <w:rsid w:val="00BE2FAA"/>
    <w:rsid w:val="00BF33F6"/>
    <w:rsid w:val="00C14B74"/>
    <w:rsid w:val="00C20A38"/>
    <w:rsid w:val="00C258F6"/>
    <w:rsid w:val="00C45E2F"/>
    <w:rsid w:val="00C50D2D"/>
    <w:rsid w:val="00C57FD4"/>
    <w:rsid w:val="00C83789"/>
    <w:rsid w:val="00C960FF"/>
    <w:rsid w:val="00CA27B2"/>
    <w:rsid w:val="00CA2A73"/>
    <w:rsid w:val="00CA7AC8"/>
    <w:rsid w:val="00CD6C65"/>
    <w:rsid w:val="00D20CF9"/>
    <w:rsid w:val="00D22A28"/>
    <w:rsid w:val="00D61CE6"/>
    <w:rsid w:val="00D63DC5"/>
    <w:rsid w:val="00D704E0"/>
    <w:rsid w:val="00D97BF1"/>
    <w:rsid w:val="00DA7F76"/>
    <w:rsid w:val="00DB4475"/>
    <w:rsid w:val="00DC2DDF"/>
    <w:rsid w:val="00DD7160"/>
    <w:rsid w:val="00E06FFE"/>
    <w:rsid w:val="00E27C1F"/>
    <w:rsid w:val="00E34610"/>
    <w:rsid w:val="00E62C20"/>
    <w:rsid w:val="00E63BC2"/>
    <w:rsid w:val="00E64603"/>
    <w:rsid w:val="00E97093"/>
    <w:rsid w:val="00EA38DC"/>
    <w:rsid w:val="00EC390B"/>
    <w:rsid w:val="00F94F49"/>
    <w:rsid w:val="00FB24E3"/>
    <w:rsid w:val="00FC48ED"/>
    <w:rsid w:val="00FD51EC"/>
    <w:rsid w:val="00FD5BEB"/>
    <w:rsid w:val="00F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6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7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2"/>
    <w:rPr>
      <w:rFonts w:asciiTheme="majorHAnsi" w:eastAsiaTheme="majorEastAsia" w:hAnsiTheme="majorHAnsi" w:cstheme="majorBidi"/>
      <w:b/>
      <w:bCs/>
      <w:color w:val="365F91" w:themeColor="accent1" w:themeShade="BF"/>
      <w:sz w:val="28"/>
      <w:szCs w:val="28"/>
      <w:lang w:val="en-AU"/>
    </w:rPr>
  </w:style>
  <w:style w:type="paragraph" w:styleId="FootnoteText">
    <w:name w:val="footnote text"/>
    <w:basedOn w:val="Normal"/>
    <w:link w:val="FootnoteTextChar"/>
    <w:uiPriority w:val="99"/>
    <w:unhideWhenUsed/>
    <w:rsid w:val="00E63BC2"/>
    <w:pPr>
      <w:spacing w:after="0" w:line="240" w:lineRule="auto"/>
    </w:pPr>
    <w:rPr>
      <w:sz w:val="20"/>
      <w:szCs w:val="20"/>
    </w:rPr>
  </w:style>
  <w:style w:type="character" w:customStyle="1" w:styleId="FootnoteTextChar">
    <w:name w:val="Footnote Text Char"/>
    <w:basedOn w:val="DefaultParagraphFont"/>
    <w:link w:val="FootnoteText"/>
    <w:uiPriority w:val="99"/>
    <w:rsid w:val="00E63BC2"/>
    <w:rPr>
      <w:sz w:val="20"/>
      <w:szCs w:val="20"/>
      <w:lang w:val="en-AU"/>
    </w:rPr>
  </w:style>
  <w:style w:type="character" w:styleId="FootnoteReference">
    <w:name w:val="footnote reference"/>
    <w:basedOn w:val="DefaultParagraphFont"/>
    <w:uiPriority w:val="99"/>
    <w:unhideWhenUsed/>
    <w:rsid w:val="00E63BC2"/>
    <w:rPr>
      <w:vertAlign w:val="superscript"/>
    </w:rPr>
  </w:style>
  <w:style w:type="paragraph" w:styleId="ListParagraph">
    <w:name w:val="List Paragraph"/>
    <w:basedOn w:val="Normal"/>
    <w:uiPriority w:val="34"/>
    <w:qFormat/>
    <w:rsid w:val="00921A3F"/>
    <w:pPr>
      <w:ind w:left="720"/>
      <w:contextualSpacing/>
    </w:pPr>
  </w:style>
  <w:style w:type="character" w:styleId="CommentReference">
    <w:name w:val="annotation reference"/>
    <w:basedOn w:val="DefaultParagraphFont"/>
    <w:uiPriority w:val="99"/>
    <w:semiHidden/>
    <w:unhideWhenUsed/>
    <w:rsid w:val="00740417"/>
    <w:rPr>
      <w:sz w:val="16"/>
      <w:szCs w:val="16"/>
    </w:rPr>
  </w:style>
  <w:style w:type="paragraph" w:styleId="CommentText">
    <w:name w:val="annotation text"/>
    <w:basedOn w:val="Normal"/>
    <w:link w:val="CommentTextChar"/>
    <w:uiPriority w:val="99"/>
    <w:semiHidden/>
    <w:unhideWhenUsed/>
    <w:rsid w:val="00740417"/>
    <w:pPr>
      <w:spacing w:line="240" w:lineRule="auto"/>
    </w:pPr>
    <w:rPr>
      <w:sz w:val="20"/>
      <w:szCs w:val="20"/>
    </w:rPr>
  </w:style>
  <w:style w:type="character" w:customStyle="1" w:styleId="CommentTextChar">
    <w:name w:val="Comment Text Char"/>
    <w:basedOn w:val="DefaultParagraphFont"/>
    <w:link w:val="CommentText"/>
    <w:uiPriority w:val="99"/>
    <w:semiHidden/>
    <w:rsid w:val="00740417"/>
    <w:rPr>
      <w:sz w:val="20"/>
      <w:szCs w:val="20"/>
      <w:lang w:val="en-AU"/>
    </w:rPr>
  </w:style>
  <w:style w:type="paragraph" w:styleId="CommentSubject">
    <w:name w:val="annotation subject"/>
    <w:basedOn w:val="CommentText"/>
    <w:next w:val="CommentText"/>
    <w:link w:val="CommentSubjectChar"/>
    <w:uiPriority w:val="99"/>
    <w:semiHidden/>
    <w:unhideWhenUsed/>
    <w:rsid w:val="00740417"/>
    <w:rPr>
      <w:b/>
      <w:bCs/>
    </w:rPr>
  </w:style>
  <w:style w:type="character" w:customStyle="1" w:styleId="CommentSubjectChar">
    <w:name w:val="Comment Subject Char"/>
    <w:basedOn w:val="CommentTextChar"/>
    <w:link w:val="CommentSubject"/>
    <w:uiPriority w:val="99"/>
    <w:semiHidden/>
    <w:rsid w:val="00740417"/>
    <w:rPr>
      <w:b/>
      <w:bCs/>
      <w:sz w:val="20"/>
      <w:szCs w:val="20"/>
      <w:lang w:val="en-AU"/>
    </w:rPr>
  </w:style>
  <w:style w:type="paragraph" w:styleId="BalloonText">
    <w:name w:val="Balloon Text"/>
    <w:basedOn w:val="Normal"/>
    <w:link w:val="BalloonTextChar"/>
    <w:uiPriority w:val="99"/>
    <w:semiHidden/>
    <w:unhideWhenUsed/>
    <w:rsid w:val="0074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17"/>
    <w:rPr>
      <w:rFonts w:ascii="Tahoma" w:hAnsi="Tahoma" w:cs="Tahoma"/>
      <w:sz w:val="16"/>
      <w:szCs w:val="16"/>
      <w:lang w:val="en-AU"/>
    </w:rPr>
  </w:style>
  <w:style w:type="character" w:customStyle="1" w:styleId="Heading2Char">
    <w:name w:val="Heading 2 Char"/>
    <w:basedOn w:val="DefaultParagraphFont"/>
    <w:link w:val="Heading2"/>
    <w:uiPriority w:val="9"/>
    <w:rsid w:val="00C57FD4"/>
    <w:rPr>
      <w:rFonts w:asciiTheme="majorHAnsi" w:eastAsiaTheme="majorEastAsia" w:hAnsiTheme="majorHAnsi" w:cstheme="majorBidi"/>
      <w:b/>
      <w:bCs/>
      <w:color w:val="4F81BD" w:themeColor="accent1"/>
      <w:sz w:val="26"/>
      <w:szCs w:val="26"/>
      <w:lang w:val="en-AU"/>
    </w:rPr>
  </w:style>
  <w:style w:type="paragraph" w:styleId="Caption">
    <w:name w:val="caption"/>
    <w:basedOn w:val="Normal"/>
    <w:next w:val="Normal"/>
    <w:uiPriority w:val="99"/>
    <w:qFormat/>
    <w:rsid w:val="00FF2650"/>
    <w:pPr>
      <w:spacing w:before="120" w:after="120" w:line="360" w:lineRule="auto"/>
      <w:ind w:right="851"/>
      <w:jc w:val="both"/>
    </w:pPr>
    <w:rPr>
      <w:rFonts w:ascii="Tahoma" w:eastAsia="Times New Roman" w:hAnsi="Tahoma" w:cs="Tahoma"/>
      <w:b/>
      <w:bCs/>
      <w:lang w:val="en-GB"/>
    </w:rPr>
  </w:style>
  <w:style w:type="paragraph" w:styleId="EndnoteText">
    <w:name w:val="endnote text"/>
    <w:basedOn w:val="Normal"/>
    <w:link w:val="EndnoteTextChar"/>
    <w:uiPriority w:val="99"/>
    <w:semiHidden/>
    <w:unhideWhenUsed/>
    <w:rsid w:val="00B35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CD8"/>
    <w:rPr>
      <w:sz w:val="20"/>
      <w:szCs w:val="20"/>
      <w:lang w:val="en-AU"/>
    </w:rPr>
  </w:style>
  <w:style w:type="character" w:styleId="EndnoteReference">
    <w:name w:val="endnote reference"/>
    <w:basedOn w:val="DefaultParagraphFont"/>
    <w:uiPriority w:val="99"/>
    <w:semiHidden/>
    <w:unhideWhenUsed/>
    <w:rsid w:val="00B35CD8"/>
    <w:rPr>
      <w:vertAlign w:val="superscript"/>
    </w:rPr>
  </w:style>
  <w:style w:type="paragraph" w:styleId="Revision">
    <w:name w:val="Revision"/>
    <w:hidden/>
    <w:uiPriority w:val="99"/>
    <w:semiHidden/>
    <w:rsid w:val="00BA7D19"/>
    <w:pPr>
      <w:spacing w:after="0" w:line="240" w:lineRule="auto"/>
    </w:pPr>
    <w:rPr>
      <w:lang w:val="en-AU"/>
    </w:rPr>
  </w:style>
  <w:style w:type="paragraph" w:styleId="Header">
    <w:name w:val="header"/>
    <w:basedOn w:val="Normal"/>
    <w:link w:val="HeaderChar"/>
    <w:uiPriority w:val="99"/>
    <w:unhideWhenUsed/>
    <w:rsid w:val="0000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16"/>
    <w:rPr>
      <w:lang w:val="en-AU"/>
    </w:rPr>
  </w:style>
  <w:style w:type="paragraph" w:styleId="Footer">
    <w:name w:val="footer"/>
    <w:basedOn w:val="Normal"/>
    <w:link w:val="FooterChar"/>
    <w:uiPriority w:val="99"/>
    <w:unhideWhenUsed/>
    <w:rsid w:val="0000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16"/>
    <w:rPr>
      <w:lang w:val="en-AU"/>
    </w:rPr>
  </w:style>
  <w:style w:type="character" w:styleId="Hyperlink">
    <w:name w:val="Hyperlink"/>
    <w:basedOn w:val="DefaultParagraphFont"/>
    <w:uiPriority w:val="99"/>
    <w:unhideWhenUsed/>
    <w:rsid w:val="00004216"/>
    <w:rPr>
      <w:color w:val="0000FF" w:themeColor="hyperlink"/>
      <w:u w:val="single"/>
    </w:rPr>
  </w:style>
  <w:style w:type="character" w:styleId="FollowedHyperlink">
    <w:name w:val="FollowedHyperlink"/>
    <w:basedOn w:val="DefaultParagraphFont"/>
    <w:uiPriority w:val="99"/>
    <w:semiHidden/>
    <w:unhideWhenUsed/>
    <w:rsid w:val="000042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6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7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C2"/>
    <w:rPr>
      <w:rFonts w:asciiTheme="majorHAnsi" w:eastAsiaTheme="majorEastAsia" w:hAnsiTheme="majorHAnsi" w:cstheme="majorBidi"/>
      <w:b/>
      <w:bCs/>
      <w:color w:val="365F91" w:themeColor="accent1" w:themeShade="BF"/>
      <w:sz w:val="28"/>
      <w:szCs w:val="28"/>
      <w:lang w:val="en-AU"/>
    </w:rPr>
  </w:style>
  <w:style w:type="paragraph" w:styleId="FootnoteText">
    <w:name w:val="footnote text"/>
    <w:basedOn w:val="Normal"/>
    <w:link w:val="FootnoteTextChar"/>
    <w:uiPriority w:val="99"/>
    <w:unhideWhenUsed/>
    <w:rsid w:val="00E63BC2"/>
    <w:pPr>
      <w:spacing w:after="0" w:line="240" w:lineRule="auto"/>
    </w:pPr>
    <w:rPr>
      <w:sz w:val="20"/>
      <w:szCs w:val="20"/>
    </w:rPr>
  </w:style>
  <w:style w:type="character" w:customStyle="1" w:styleId="FootnoteTextChar">
    <w:name w:val="Footnote Text Char"/>
    <w:basedOn w:val="DefaultParagraphFont"/>
    <w:link w:val="FootnoteText"/>
    <w:uiPriority w:val="99"/>
    <w:rsid w:val="00E63BC2"/>
    <w:rPr>
      <w:sz w:val="20"/>
      <w:szCs w:val="20"/>
      <w:lang w:val="en-AU"/>
    </w:rPr>
  </w:style>
  <w:style w:type="character" w:styleId="FootnoteReference">
    <w:name w:val="footnote reference"/>
    <w:basedOn w:val="DefaultParagraphFont"/>
    <w:uiPriority w:val="99"/>
    <w:unhideWhenUsed/>
    <w:rsid w:val="00E63BC2"/>
    <w:rPr>
      <w:vertAlign w:val="superscript"/>
    </w:rPr>
  </w:style>
  <w:style w:type="paragraph" w:styleId="ListParagraph">
    <w:name w:val="List Paragraph"/>
    <w:basedOn w:val="Normal"/>
    <w:uiPriority w:val="34"/>
    <w:qFormat/>
    <w:rsid w:val="00921A3F"/>
    <w:pPr>
      <w:ind w:left="720"/>
      <w:contextualSpacing/>
    </w:pPr>
  </w:style>
  <w:style w:type="character" w:styleId="CommentReference">
    <w:name w:val="annotation reference"/>
    <w:basedOn w:val="DefaultParagraphFont"/>
    <w:uiPriority w:val="99"/>
    <w:semiHidden/>
    <w:unhideWhenUsed/>
    <w:rsid w:val="00740417"/>
    <w:rPr>
      <w:sz w:val="16"/>
      <w:szCs w:val="16"/>
    </w:rPr>
  </w:style>
  <w:style w:type="paragraph" w:styleId="CommentText">
    <w:name w:val="annotation text"/>
    <w:basedOn w:val="Normal"/>
    <w:link w:val="CommentTextChar"/>
    <w:uiPriority w:val="99"/>
    <w:semiHidden/>
    <w:unhideWhenUsed/>
    <w:rsid w:val="00740417"/>
    <w:pPr>
      <w:spacing w:line="240" w:lineRule="auto"/>
    </w:pPr>
    <w:rPr>
      <w:sz w:val="20"/>
      <w:szCs w:val="20"/>
    </w:rPr>
  </w:style>
  <w:style w:type="character" w:customStyle="1" w:styleId="CommentTextChar">
    <w:name w:val="Comment Text Char"/>
    <w:basedOn w:val="DefaultParagraphFont"/>
    <w:link w:val="CommentText"/>
    <w:uiPriority w:val="99"/>
    <w:semiHidden/>
    <w:rsid w:val="00740417"/>
    <w:rPr>
      <w:sz w:val="20"/>
      <w:szCs w:val="20"/>
      <w:lang w:val="en-AU"/>
    </w:rPr>
  </w:style>
  <w:style w:type="paragraph" w:styleId="CommentSubject">
    <w:name w:val="annotation subject"/>
    <w:basedOn w:val="CommentText"/>
    <w:next w:val="CommentText"/>
    <w:link w:val="CommentSubjectChar"/>
    <w:uiPriority w:val="99"/>
    <w:semiHidden/>
    <w:unhideWhenUsed/>
    <w:rsid w:val="00740417"/>
    <w:rPr>
      <w:b/>
      <w:bCs/>
    </w:rPr>
  </w:style>
  <w:style w:type="character" w:customStyle="1" w:styleId="CommentSubjectChar">
    <w:name w:val="Comment Subject Char"/>
    <w:basedOn w:val="CommentTextChar"/>
    <w:link w:val="CommentSubject"/>
    <w:uiPriority w:val="99"/>
    <w:semiHidden/>
    <w:rsid w:val="00740417"/>
    <w:rPr>
      <w:b/>
      <w:bCs/>
      <w:sz w:val="20"/>
      <w:szCs w:val="20"/>
      <w:lang w:val="en-AU"/>
    </w:rPr>
  </w:style>
  <w:style w:type="paragraph" w:styleId="BalloonText">
    <w:name w:val="Balloon Text"/>
    <w:basedOn w:val="Normal"/>
    <w:link w:val="BalloonTextChar"/>
    <w:uiPriority w:val="99"/>
    <w:semiHidden/>
    <w:unhideWhenUsed/>
    <w:rsid w:val="0074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17"/>
    <w:rPr>
      <w:rFonts w:ascii="Tahoma" w:hAnsi="Tahoma" w:cs="Tahoma"/>
      <w:sz w:val="16"/>
      <w:szCs w:val="16"/>
      <w:lang w:val="en-AU"/>
    </w:rPr>
  </w:style>
  <w:style w:type="character" w:customStyle="1" w:styleId="Heading2Char">
    <w:name w:val="Heading 2 Char"/>
    <w:basedOn w:val="DefaultParagraphFont"/>
    <w:link w:val="Heading2"/>
    <w:uiPriority w:val="9"/>
    <w:rsid w:val="00C57FD4"/>
    <w:rPr>
      <w:rFonts w:asciiTheme="majorHAnsi" w:eastAsiaTheme="majorEastAsia" w:hAnsiTheme="majorHAnsi" w:cstheme="majorBidi"/>
      <w:b/>
      <w:bCs/>
      <w:color w:val="4F81BD" w:themeColor="accent1"/>
      <w:sz w:val="26"/>
      <w:szCs w:val="26"/>
      <w:lang w:val="en-AU"/>
    </w:rPr>
  </w:style>
  <w:style w:type="paragraph" w:styleId="Caption">
    <w:name w:val="caption"/>
    <w:basedOn w:val="Normal"/>
    <w:next w:val="Normal"/>
    <w:uiPriority w:val="99"/>
    <w:qFormat/>
    <w:rsid w:val="00FF2650"/>
    <w:pPr>
      <w:spacing w:before="120" w:after="120" w:line="360" w:lineRule="auto"/>
      <w:ind w:right="851"/>
      <w:jc w:val="both"/>
    </w:pPr>
    <w:rPr>
      <w:rFonts w:ascii="Tahoma" w:eastAsia="Times New Roman" w:hAnsi="Tahoma" w:cs="Tahoma"/>
      <w:b/>
      <w:bCs/>
      <w:lang w:val="en-GB"/>
    </w:rPr>
  </w:style>
  <w:style w:type="paragraph" w:styleId="EndnoteText">
    <w:name w:val="endnote text"/>
    <w:basedOn w:val="Normal"/>
    <w:link w:val="EndnoteTextChar"/>
    <w:uiPriority w:val="99"/>
    <w:semiHidden/>
    <w:unhideWhenUsed/>
    <w:rsid w:val="00B35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CD8"/>
    <w:rPr>
      <w:sz w:val="20"/>
      <w:szCs w:val="20"/>
      <w:lang w:val="en-AU"/>
    </w:rPr>
  </w:style>
  <w:style w:type="character" w:styleId="EndnoteReference">
    <w:name w:val="endnote reference"/>
    <w:basedOn w:val="DefaultParagraphFont"/>
    <w:uiPriority w:val="99"/>
    <w:semiHidden/>
    <w:unhideWhenUsed/>
    <w:rsid w:val="00B35CD8"/>
    <w:rPr>
      <w:vertAlign w:val="superscript"/>
    </w:rPr>
  </w:style>
  <w:style w:type="paragraph" w:styleId="Revision">
    <w:name w:val="Revision"/>
    <w:hidden/>
    <w:uiPriority w:val="99"/>
    <w:semiHidden/>
    <w:rsid w:val="00BA7D19"/>
    <w:pPr>
      <w:spacing w:after="0" w:line="240" w:lineRule="auto"/>
    </w:pPr>
    <w:rPr>
      <w:lang w:val="en-AU"/>
    </w:rPr>
  </w:style>
  <w:style w:type="paragraph" w:styleId="Header">
    <w:name w:val="header"/>
    <w:basedOn w:val="Normal"/>
    <w:link w:val="HeaderChar"/>
    <w:uiPriority w:val="99"/>
    <w:unhideWhenUsed/>
    <w:rsid w:val="0000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16"/>
    <w:rPr>
      <w:lang w:val="en-AU"/>
    </w:rPr>
  </w:style>
  <w:style w:type="paragraph" w:styleId="Footer">
    <w:name w:val="footer"/>
    <w:basedOn w:val="Normal"/>
    <w:link w:val="FooterChar"/>
    <w:uiPriority w:val="99"/>
    <w:unhideWhenUsed/>
    <w:rsid w:val="0000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16"/>
    <w:rPr>
      <w:lang w:val="en-AU"/>
    </w:rPr>
  </w:style>
  <w:style w:type="character" w:styleId="Hyperlink">
    <w:name w:val="Hyperlink"/>
    <w:basedOn w:val="DefaultParagraphFont"/>
    <w:uiPriority w:val="99"/>
    <w:unhideWhenUsed/>
    <w:rsid w:val="00004216"/>
    <w:rPr>
      <w:color w:val="0000FF" w:themeColor="hyperlink"/>
      <w:u w:val="single"/>
    </w:rPr>
  </w:style>
  <w:style w:type="character" w:styleId="FollowedHyperlink">
    <w:name w:val="FollowedHyperlink"/>
    <w:basedOn w:val="DefaultParagraphFont"/>
    <w:uiPriority w:val="99"/>
    <w:semiHidden/>
    <w:unhideWhenUsed/>
    <w:rsid w:val="00004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istleout.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nder.com.au/tel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ccan.org.au/our-work/research/1523-can-you-hear-me-ranking-the-customer-service-of-australia-s-phone-and-internet-companies" TargetMode="External"/><Relationship Id="rId2" Type="http://schemas.openxmlformats.org/officeDocument/2006/relationships/hyperlink" Target="http://www.tio.com.au/__data/assets/pdf_file/0003/254937/Telecommunications-Industry-Ombudsman-Six-Month-Update-Jul-to-Dec-2017.pdf" TargetMode="External"/><Relationship Id="rId1" Type="http://schemas.openxmlformats.org/officeDocument/2006/relationships/hyperlink" Target="http://www.tio.com.au/__data/assets/pdf_file/0018/250911/Telecommunications-Industry-Ombudsman-Annual-Report-2017.pdf" TargetMode="External"/><Relationship Id="rId6" Type="http://schemas.openxmlformats.org/officeDocument/2006/relationships/hyperlink" Target="http://www.tio.com.au/consumers" TargetMode="External"/><Relationship Id="rId5" Type="http://schemas.openxmlformats.org/officeDocument/2006/relationships/hyperlink" Target="https://www.itnews.com.au/news/optus-will-progressively-close-virgin-mobile-491591" TargetMode="External"/><Relationship Id="rId4" Type="http://schemas.openxmlformats.org/officeDocument/2006/relationships/hyperlink" Target="https://www.tio.com.au/__data/assets/pdf_file/0003/254937/Telecommunications-Industry-Ombudsman-Six-Month-Update-Jul-to-Dec-2017.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eremay.Mateo\Documents\Clients\ACCAN\Data%20file\Final%20data%2015-Mar\Output\Crosstabs\ACCAN0001%20-%20Crosstabs%20-%20weighted%20age%20gender%20location%20and%20TOTAL%20MARKET%20SHARE%20-%20n=1347%2021-Mar%20JM%20working%20file%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827924003448541E-2"/>
          <c:y val="6.1232370490468223E-2"/>
          <c:w val="0.85615443715167372"/>
          <c:h val="0.61148740309440441"/>
        </c:manualLayout>
      </c:layout>
      <c:barChart>
        <c:barDir val="col"/>
        <c:grouping val="clustered"/>
        <c:varyColors val="0"/>
        <c:ser>
          <c:idx val="0"/>
          <c:order val="0"/>
          <c:spPr>
            <a:solidFill>
              <a:srgbClr val="0070C0"/>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'B1. Thinking  by BANNER'!$Z$44:$Z$52</c:f>
              <c:strCache>
                <c:ptCount val="9"/>
                <c:pt idx="0">
                  <c:v>Change or renewal of plan (or data pack)</c:v>
                </c:pt>
                <c:pt idx="1">
                  <c:v>Update contact details</c:v>
                </c:pt>
                <c:pt idx="2">
                  <c:v>General enquiry about your account / plan / contract</c:v>
                </c:pt>
                <c:pt idx="3">
                  <c:v>Migrating services to new address</c:v>
                </c:pt>
                <c:pt idx="4">
                  <c:v>Some other reason (please specify)</c:v>
                </c:pt>
                <c:pt idx="5">
                  <c:v>Billing enquiry / Billing issue</c:v>
                </c:pt>
                <c:pt idx="6">
                  <c:v>Service issue or outage</c:v>
                </c:pt>
                <c:pt idx="7">
                  <c:v>Roaming, usage overseas</c:v>
                </c:pt>
                <c:pt idx="8">
                  <c:v>Equipment issue</c:v>
                </c:pt>
              </c:strCache>
            </c:strRef>
          </c:cat>
          <c:val>
            <c:numRef>
              <c:f>'B1. Thinking  by BANNER'!$AA$44:$AA$52</c:f>
              <c:numCache>
                <c:formatCode>0.0</c:formatCode>
                <c:ptCount val="9"/>
                <c:pt idx="0">
                  <c:v>10.371122239402778</c:v>
                </c:pt>
                <c:pt idx="1">
                  <c:v>11.322684065763889</c:v>
                </c:pt>
                <c:pt idx="2">
                  <c:v>19.734932119805556</c:v>
                </c:pt>
                <c:pt idx="3">
                  <c:v>24.07564178426389</c:v>
                </c:pt>
                <c:pt idx="4">
                  <c:v>28.07939723571528</c:v>
                </c:pt>
                <c:pt idx="5">
                  <c:v>28.095062122993056</c:v>
                </c:pt>
                <c:pt idx="6">
                  <c:v>28.139692555423608</c:v>
                </c:pt>
                <c:pt idx="7">
                  <c:v>31.096518701402776</c:v>
                </c:pt>
                <c:pt idx="8">
                  <c:v>32.988704095958333</c:v>
                </c:pt>
              </c:numCache>
            </c:numRef>
          </c:val>
        </c:ser>
        <c:dLbls>
          <c:showLegendKey val="0"/>
          <c:showVal val="0"/>
          <c:showCatName val="0"/>
          <c:showSerName val="0"/>
          <c:showPercent val="0"/>
          <c:showBubbleSize val="0"/>
        </c:dLbls>
        <c:gapWidth val="30"/>
        <c:axId val="43485440"/>
        <c:axId val="43534208"/>
      </c:barChart>
      <c:catAx>
        <c:axId val="43485440"/>
        <c:scaling>
          <c:orientation val="minMax"/>
        </c:scaling>
        <c:delete val="0"/>
        <c:axPos val="b"/>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43534208"/>
        <c:crosses val="autoZero"/>
        <c:auto val="1"/>
        <c:lblAlgn val="ctr"/>
        <c:lblOffset val="100"/>
        <c:noMultiLvlLbl val="0"/>
      </c:catAx>
      <c:valAx>
        <c:axId val="43534208"/>
        <c:scaling>
          <c:orientation val="minMax"/>
        </c:scaling>
        <c:delete val="1"/>
        <c:axPos val="l"/>
        <c:numFmt formatCode="0.0" sourceLinked="1"/>
        <c:majorTickMark val="out"/>
        <c:minorTickMark val="none"/>
        <c:tickLblPos val="nextTo"/>
        <c:crossAx val="43485440"/>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Sheet2!$A$10</c:f>
              <c:strCache>
                <c:ptCount val="1"/>
                <c:pt idx="0">
                  <c:v>Average hours spent on phone</c:v>
                </c:pt>
              </c:strCache>
            </c:strRef>
          </c:tx>
          <c:invertIfNegative val="0"/>
          <c:cat>
            <c:strRef>
              <c:f>Sheet2!$B$1:$K$9</c:f>
              <c:strCache>
                <c:ptCount val="10"/>
                <c:pt idx="0">
                  <c:v>Telstra</c:v>
                </c:pt>
                <c:pt idx="1">
                  <c:v>TPG/iiNET</c:v>
                </c:pt>
                <c:pt idx="2">
                  <c:v>Belong</c:v>
                </c:pt>
                <c:pt idx="3">
                  <c:v>Skymesh</c:v>
                </c:pt>
                <c:pt idx="4">
                  <c:v>Optus</c:v>
                </c:pt>
                <c:pt idx="5">
                  <c:v>Amaysim</c:v>
                </c:pt>
                <c:pt idx="6">
                  <c:v>Vodafone</c:v>
                </c:pt>
                <c:pt idx="7">
                  <c:v>Dodo / iPrimus</c:v>
                </c:pt>
                <c:pt idx="8">
                  <c:v>Virgin</c:v>
                </c:pt>
                <c:pt idx="9">
                  <c:v>Activ8me</c:v>
                </c:pt>
              </c:strCache>
            </c:strRef>
          </c:cat>
          <c:val>
            <c:numRef>
              <c:f>Sheet2!$B$10:$K$10</c:f>
              <c:numCache>
                <c:formatCode>General</c:formatCode>
                <c:ptCount val="10"/>
                <c:pt idx="0">
                  <c:v>1.3</c:v>
                </c:pt>
                <c:pt idx="1">
                  <c:v>1.3</c:v>
                </c:pt>
                <c:pt idx="2">
                  <c:v>1.3</c:v>
                </c:pt>
                <c:pt idx="3">
                  <c:v>1.2</c:v>
                </c:pt>
                <c:pt idx="4">
                  <c:v>1</c:v>
                </c:pt>
                <c:pt idx="5">
                  <c:v>1</c:v>
                </c:pt>
                <c:pt idx="6">
                  <c:v>0.8</c:v>
                </c:pt>
                <c:pt idx="7">
                  <c:v>0.8</c:v>
                </c:pt>
                <c:pt idx="8">
                  <c:v>0.5</c:v>
                </c:pt>
                <c:pt idx="9">
                  <c:v>0.4</c:v>
                </c:pt>
              </c:numCache>
            </c:numRef>
          </c:val>
        </c:ser>
        <c:dLbls>
          <c:showLegendKey val="0"/>
          <c:showVal val="0"/>
          <c:showCatName val="0"/>
          <c:showSerName val="0"/>
          <c:showPercent val="0"/>
          <c:showBubbleSize val="0"/>
        </c:dLbls>
        <c:gapWidth val="150"/>
        <c:axId val="44614784"/>
        <c:axId val="44616704"/>
      </c:barChart>
      <c:catAx>
        <c:axId val="44614784"/>
        <c:scaling>
          <c:orientation val="minMax"/>
        </c:scaling>
        <c:delete val="0"/>
        <c:axPos val="b"/>
        <c:majorTickMark val="out"/>
        <c:minorTickMark val="none"/>
        <c:tickLblPos val="nextTo"/>
        <c:crossAx val="44616704"/>
        <c:crosses val="autoZero"/>
        <c:auto val="1"/>
        <c:lblAlgn val="ctr"/>
        <c:lblOffset val="100"/>
        <c:noMultiLvlLbl val="0"/>
      </c:catAx>
      <c:valAx>
        <c:axId val="44616704"/>
        <c:scaling>
          <c:orientation val="minMax"/>
        </c:scaling>
        <c:delete val="0"/>
        <c:axPos val="l"/>
        <c:majorGridlines/>
        <c:numFmt formatCode="General" sourceLinked="1"/>
        <c:majorTickMark val="out"/>
        <c:minorTickMark val="none"/>
        <c:tickLblPos val="nextTo"/>
        <c:crossAx val="44614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Positive Customer Service Experience</a:t>
            </a:r>
          </a:p>
        </c:rich>
      </c:tx>
      <c:overlay val="0"/>
    </c:title>
    <c:autoTitleDeleted val="0"/>
    <c:plotArea>
      <c:layout/>
      <c:barChart>
        <c:barDir val="col"/>
        <c:grouping val="clustered"/>
        <c:varyColors val="1"/>
        <c:ser>
          <c:idx val="0"/>
          <c:order val="0"/>
          <c:invertIfNegative val="0"/>
          <c:dLbls>
            <c:showLegendKey val="0"/>
            <c:showVal val="1"/>
            <c:showCatName val="0"/>
            <c:showSerName val="0"/>
            <c:showPercent val="0"/>
            <c:showBubbleSize val="0"/>
            <c:showLeaderLines val="0"/>
          </c:dLbls>
          <c:cat>
            <c:strRef>
              <c:f>'[Chart in Microsoft Word]Sheet1'!$A$1:$J$1</c:f>
              <c:strCache>
                <c:ptCount val="10"/>
                <c:pt idx="0">
                  <c:v>Virgin</c:v>
                </c:pt>
                <c:pt idx="1">
                  <c:v>Vodafone</c:v>
                </c:pt>
                <c:pt idx="2">
                  <c:v>TPG / iiNET</c:v>
                </c:pt>
                <c:pt idx="3">
                  <c:v>Amaysim</c:v>
                </c:pt>
                <c:pt idx="4">
                  <c:v>Dodo / iPrimus</c:v>
                </c:pt>
                <c:pt idx="5">
                  <c:v>Skymesh</c:v>
                </c:pt>
                <c:pt idx="6">
                  <c:v>Telstra</c:v>
                </c:pt>
                <c:pt idx="7">
                  <c:v>Optus</c:v>
                </c:pt>
                <c:pt idx="8">
                  <c:v>Activ8me</c:v>
                </c:pt>
                <c:pt idx="9">
                  <c:v>Belong</c:v>
                </c:pt>
              </c:strCache>
            </c:strRef>
          </c:cat>
          <c:val>
            <c:numRef>
              <c:f>'[Chart in Microsoft Word]Sheet1'!$A$2:$J$2</c:f>
              <c:numCache>
                <c:formatCode>0%</c:formatCode>
                <c:ptCount val="10"/>
                <c:pt idx="0">
                  <c:v>0.7</c:v>
                </c:pt>
                <c:pt idx="1">
                  <c:v>0.61</c:v>
                </c:pt>
                <c:pt idx="2">
                  <c:v>0.54</c:v>
                </c:pt>
                <c:pt idx="3">
                  <c:v>0.53</c:v>
                </c:pt>
                <c:pt idx="4">
                  <c:v>0.52</c:v>
                </c:pt>
                <c:pt idx="5">
                  <c:v>0.46</c:v>
                </c:pt>
                <c:pt idx="6">
                  <c:v>0.43</c:v>
                </c:pt>
                <c:pt idx="7">
                  <c:v>0.42</c:v>
                </c:pt>
                <c:pt idx="8">
                  <c:v>0.36</c:v>
                </c:pt>
                <c:pt idx="9">
                  <c:v>0.36</c:v>
                </c:pt>
              </c:numCache>
            </c:numRef>
          </c:val>
        </c:ser>
        <c:dLbls>
          <c:showLegendKey val="0"/>
          <c:showVal val="0"/>
          <c:showCatName val="0"/>
          <c:showSerName val="0"/>
          <c:showPercent val="0"/>
          <c:showBubbleSize val="0"/>
        </c:dLbls>
        <c:gapWidth val="150"/>
        <c:axId val="53392896"/>
        <c:axId val="53394432"/>
      </c:barChart>
      <c:catAx>
        <c:axId val="53392896"/>
        <c:scaling>
          <c:orientation val="minMax"/>
        </c:scaling>
        <c:delete val="0"/>
        <c:axPos val="b"/>
        <c:majorTickMark val="none"/>
        <c:minorTickMark val="none"/>
        <c:tickLblPos val="nextTo"/>
        <c:crossAx val="53394432"/>
        <c:crosses val="autoZero"/>
        <c:auto val="1"/>
        <c:lblAlgn val="ctr"/>
        <c:lblOffset val="100"/>
        <c:noMultiLvlLbl val="0"/>
      </c:catAx>
      <c:valAx>
        <c:axId val="53394432"/>
        <c:scaling>
          <c:orientation val="minMax"/>
        </c:scaling>
        <c:delete val="0"/>
        <c:axPos val="l"/>
        <c:majorGridlines/>
        <c:numFmt formatCode="0%" sourceLinked="1"/>
        <c:majorTickMark val="none"/>
        <c:minorTickMark val="none"/>
        <c:tickLblPos val="nextTo"/>
        <c:crossAx val="5339289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0.01104</cdr:x>
      <cdr:y>0.30365</cdr:y>
    </cdr:from>
    <cdr:to>
      <cdr:x>1</cdr:x>
      <cdr:y>0.31158</cdr:y>
    </cdr:to>
    <cdr:cxnSp macro="">
      <cdr:nvCxnSpPr>
        <cdr:cNvPr id="2" name="Straight Connector 1"/>
        <cdr:cNvCxnSpPr/>
      </cdr:nvCxnSpPr>
      <cdr:spPr>
        <a:xfrm xmlns:a="http://schemas.openxmlformats.org/drawingml/2006/main">
          <a:off x="62745" y="692590"/>
          <a:ext cx="5563984" cy="18107"/>
        </a:xfrm>
        <a:prstGeom xmlns:a="http://schemas.openxmlformats.org/drawingml/2006/main" prst="line">
          <a:avLst/>
        </a:prstGeom>
        <a:ln xmlns:a="http://schemas.openxmlformats.org/drawingml/2006/main" w="28575">
          <a:solidFill>
            <a:srgbClr val="FFC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D738-69AD-4AE6-8772-ED5B8723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Martin James</cp:lastModifiedBy>
  <cp:revision>2</cp:revision>
  <cp:lastPrinted>2018-06-26T07:49:00Z</cp:lastPrinted>
  <dcterms:created xsi:type="dcterms:W3CDTF">2018-07-22T23:35:00Z</dcterms:created>
  <dcterms:modified xsi:type="dcterms:W3CDTF">2018-07-22T23:35:00Z</dcterms:modified>
</cp:coreProperties>
</file>