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E07B" w14:textId="77777777" w:rsidR="00A24D2D" w:rsidRPr="00271C01" w:rsidRDefault="00A24D2D" w:rsidP="00D67FB7">
      <w:pPr>
        <w:spacing w:before="240"/>
        <w:rPr>
          <w:rFonts w:ascii="Arial" w:hAnsi="Arial" w:cs="Arial"/>
        </w:rPr>
      </w:pPr>
    </w:p>
    <w:p w14:paraId="457B377C" w14:textId="77777777" w:rsidR="00BF38B7" w:rsidRPr="00271C01" w:rsidRDefault="00BF38B7" w:rsidP="00D67FB7">
      <w:pPr>
        <w:spacing w:before="240"/>
        <w:rPr>
          <w:rFonts w:ascii="Arial" w:hAnsi="Arial" w:cs="Arial"/>
        </w:rPr>
      </w:pPr>
    </w:p>
    <w:p w14:paraId="17B78DEF" w14:textId="459BEB5D" w:rsidR="003C4796" w:rsidRPr="00271C01" w:rsidRDefault="0056638C" w:rsidP="00D67FB7">
      <w:pPr>
        <w:spacing w:before="240"/>
        <w:rPr>
          <w:rFonts w:ascii="Arial" w:hAnsi="Arial" w:cs="Arial"/>
        </w:rPr>
      </w:pPr>
      <w:r>
        <w:rPr>
          <w:rFonts w:ascii="Arial" w:hAnsi="Arial" w:cs="Arial"/>
        </w:rPr>
        <w:t>20</w:t>
      </w:r>
      <w:r w:rsidR="00D44AE2" w:rsidRPr="00271C01">
        <w:rPr>
          <w:rFonts w:ascii="Arial" w:hAnsi="Arial" w:cs="Arial"/>
        </w:rPr>
        <w:t xml:space="preserve"> January 2020</w:t>
      </w:r>
    </w:p>
    <w:p w14:paraId="77CCBF2C" w14:textId="77777777" w:rsidR="00F01575" w:rsidRPr="00271C01" w:rsidRDefault="00F01575" w:rsidP="00F01575">
      <w:pPr>
        <w:spacing w:after="0" w:line="240" w:lineRule="auto"/>
        <w:rPr>
          <w:rFonts w:ascii="Arial" w:hAnsi="Arial" w:cs="Arial"/>
        </w:rPr>
      </w:pPr>
      <w:r w:rsidRPr="00271C01">
        <w:rPr>
          <w:rFonts w:ascii="Arial" w:hAnsi="Arial" w:cs="Arial"/>
        </w:rPr>
        <w:t>The Manager</w:t>
      </w:r>
    </w:p>
    <w:p w14:paraId="04CEE16A" w14:textId="77777777" w:rsidR="00F01575" w:rsidRPr="00271C01" w:rsidRDefault="00F01575" w:rsidP="00F01575">
      <w:pPr>
        <w:spacing w:after="0" w:line="240" w:lineRule="auto"/>
        <w:rPr>
          <w:rFonts w:ascii="Arial" w:hAnsi="Arial" w:cs="Arial"/>
        </w:rPr>
      </w:pPr>
      <w:r w:rsidRPr="00271C01">
        <w:rPr>
          <w:rFonts w:ascii="Arial" w:hAnsi="Arial" w:cs="Arial"/>
        </w:rPr>
        <w:t>Strategy and Projects Section</w:t>
      </w:r>
    </w:p>
    <w:p w14:paraId="0FAA5EAD" w14:textId="77777777" w:rsidR="00F01575" w:rsidRPr="00271C01" w:rsidRDefault="00F01575" w:rsidP="00F01575">
      <w:pPr>
        <w:spacing w:after="0" w:line="240" w:lineRule="auto"/>
        <w:rPr>
          <w:rFonts w:ascii="Arial" w:hAnsi="Arial" w:cs="Arial"/>
        </w:rPr>
      </w:pPr>
      <w:r w:rsidRPr="00271C01">
        <w:rPr>
          <w:rFonts w:ascii="Arial" w:hAnsi="Arial" w:cs="Arial"/>
        </w:rPr>
        <w:t>Australian Communications and Media Authority</w:t>
      </w:r>
    </w:p>
    <w:p w14:paraId="15FECB0C" w14:textId="77777777" w:rsidR="00F01575" w:rsidRPr="00271C01" w:rsidRDefault="00F01575" w:rsidP="00F01575">
      <w:pPr>
        <w:spacing w:after="0" w:line="240" w:lineRule="auto"/>
        <w:rPr>
          <w:rFonts w:ascii="Arial" w:hAnsi="Arial" w:cs="Arial"/>
        </w:rPr>
      </w:pPr>
      <w:r w:rsidRPr="00271C01">
        <w:rPr>
          <w:rFonts w:ascii="Arial" w:hAnsi="Arial" w:cs="Arial"/>
        </w:rPr>
        <w:t xml:space="preserve">Law Courts </w:t>
      </w:r>
    </w:p>
    <w:p w14:paraId="6AC047AD" w14:textId="77777777" w:rsidR="001B6F8C" w:rsidRDefault="00F01575" w:rsidP="001B6F8C">
      <w:pPr>
        <w:spacing w:after="0" w:line="240" w:lineRule="auto"/>
        <w:rPr>
          <w:rFonts w:ascii="Arial" w:hAnsi="Arial" w:cs="Arial"/>
        </w:rPr>
      </w:pPr>
      <w:r w:rsidRPr="00271C01">
        <w:rPr>
          <w:rFonts w:ascii="Arial" w:hAnsi="Arial" w:cs="Arial"/>
        </w:rPr>
        <w:t>Melbourne VIC 8010</w:t>
      </w:r>
    </w:p>
    <w:p w14:paraId="062F0E35" w14:textId="77777777" w:rsidR="006B109C" w:rsidRPr="00271C01" w:rsidRDefault="006B109C" w:rsidP="001B6F8C">
      <w:pPr>
        <w:spacing w:after="0" w:line="240" w:lineRule="auto"/>
        <w:rPr>
          <w:rFonts w:ascii="Arial" w:hAnsi="Arial" w:cs="Arial"/>
        </w:rPr>
      </w:pPr>
    </w:p>
    <w:p w14:paraId="6D8A9A27" w14:textId="77777777" w:rsidR="000A75C9" w:rsidRPr="006B109C" w:rsidRDefault="007224BF" w:rsidP="006B109C">
      <w:pPr>
        <w:pStyle w:val="CommentText"/>
        <w:rPr>
          <w:rFonts w:ascii="Arial" w:eastAsia="Calibri" w:hAnsi="Arial" w:cs="Arial"/>
          <w:color w:val="000000"/>
          <w:sz w:val="22"/>
          <w:szCs w:val="22"/>
          <w:lang w:eastAsia="en-US"/>
        </w:rPr>
      </w:pPr>
      <w:r w:rsidRPr="006B109C">
        <w:rPr>
          <w:rFonts w:ascii="Arial" w:eastAsia="Calibri" w:hAnsi="Arial" w:cs="Arial"/>
          <w:color w:val="000000"/>
          <w:sz w:val="22"/>
          <w:szCs w:val="22"/>
          <w:lang w:eastAsia="en-US"/>
        </w:rPr>
        <w:t>The Australian Communications Consumer Action Network (ACCAN)</w:t>
      </w:r>
      <w:r w:rsidR="00AD6BA1" w:rsidRPr="006B109C">
        <w:rPr>
          <w:rFonts w:ascii="Arial" w:eastAsia="Calibri" w:hAnsi="Arial" w:cs="Arial"/>
          <w:color w:val="000000"/>
          <w:sz w:val="22"/>
          <w:szCs w:val="22"/>
          <w:lang w:eastAsia="en-US"/>
        </w:rPr>
        <w:t xml:space="preserve">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w:t>
      </w:r>
    </w:p>
    <w:p w14:paraId="7948AFFE" w14:textId="77777777" w:rsidR="007224BF" w:rsidRPr="006B109C" w:rsidRDefault="007224BF" w:rsidP="006B109C">
      <w:pPr>
        <w:pStyle w:val="CommentText"/>
        <w:rPr>
          <w:rFonts w:ascii="Arial" w:eastAsia="Calibri" w:hAnsi="Arial" w:cs="Arial"/>
          <w:color w:val="000000"/>
          <w:sz w:val="22"/>
          <w:szCs w:val="22"/>
          <w:lang w:eastAsia="en-US"/>
        </w:rPr>
      </w:pPr>
      <w:r w:rsidRPr="006B109C">
        <w:rPr>
          <w:rFonts w:ascii="Arial" w:eastAsia="Calibri" w:hAnsi="Arial" w:cs="Arial"/>
          <w:color w:val="000000"/>
          <w:sz w:val="22"/>
          <w:szCs w:val="22"/>
          <w:lang w:eastAsia="en-US"/>
        </w:rPr>
        <w:t>ACCAN thanks the Australian Communications and Media Authority for the opportunity to make a submission in response to the Draft Telecommunications (Mobile Number Pre-Porting Additional Identity Verification) Industry Standard 2020.</w:t>
      </w:r>
    </w:p>
    <w:p w14:paraId="74949DC7" w14:textId="59437A58" w:rsidR="005714C5" w:rsidRPr="006B109C" w:rsidRDefault="007224BF" w:rsidP="006B109C">
      <w:pPr>
        <w:pStyle w:val="CommentText"/>
        <w:rPr>
          <w:rFonts w:ascii="Arial" w:eastAsia="Calibri" w:hAnsi="Arial" w:cs="Arial"/>
          <w:color w:val="000000"/>
          <w:sz w:val="22"/>
          <w:szCs w:val="22"/>
          <w:lang w:eastAsia="en-US"/>
        </w:rPr>
      </w:pPr>
      <w:r w:rsidRPr="006B109C">
        <w:rPr>
          <w:rFonts w:ascii="Arial" w:eastAsia="Calibri" w:hAnsi="Arial" w:cs="Arial"/>
          <w:color w:val="000000"/>
          <w:sz w:val="22"/>
          <w:szCs w:val="22"/>
          <w:lang w:eastAsia="en-US"/>
        </w:rPr>
        <w:t xml:space="preserve">ACCAN is aware of numerous reports by victims of fraudulent number porting which reinforce the need for stronger protections. </w:t>
      </w:r>
      <w:r w:rsidR="005714C5" w:rsidRPr="006B109C">
        <w:rPr>
          <w:rFonts w:ascii="Arial" w:eastAsia="Calibri" w:hAnsi="Arial" w:cs="Arial"/>
          <w:color w:val="000000"/>
          <w:sz w:val="22"/>
          <w:szCs w:val="22"/>
          <w:lang w:eastAsia="en-US"/>
        </w:rPr>
        <w:t xml:space="preserve">One Telstra customer reported to ACCAN that </w:t>
      </w:r>
      <w:r w:rsidR="008E4E48" w:rsidRPr="006B109C">
        <w:rPr>
          <w:rFonts w:ascii="Arial" w:eastAsia="Calibri" w:hAnsi="Arial" w:cs="Arial"/>
          <w:color w:val="000000"/>
          <w:sz w:val="22"/>
          <w:szCs w:val="22"/>
          <w:lang w:eastAsia="en-US"/>
        </w:rPr>
        <w:t>he</w:t>
      </w:r>
      <w:r w:rsidR="005714C5" w:rsidRPr="006B109C">
        <w:rPr>
          <w:rFonts w:ascii="Arial" w:eastAsia="Calibri" w:hAnsi="Arial" w:cs="Arial"/>
          <w:color w:val="000000"/>
          <w:sz w:val="22"/>
          <w:szCs w:val="22"/>
          <w:lang w:eastAsia="en-US"/>
        </w:rPr>
        <w:t xml:space="preserve"> only knew </w:t>
      </w:r>
      <w:r w:rsidR="008E4E48" w:rsidRPr="006B109C">
        <w:rPr>
          <w:rFonts w:ascii="Arial" w:eastAsia="Calibri" w:hAnsi="Arial" w:cs="Arial"/>
          <w:color w:val="000000"/>
          <w:sz w:val="22"/>
          <w:szCs w:val="22"/>
          <w:lang w:eastAsia="en-US"/>
        </w:rPr>
        <w:t>his</w:t>
      </w:r>
      <w:r w:rsidR="005714C5" w:rsidRPr="006B109C">
        <w:rPr>
          <w:rFonts w:ascii="Arial" w:eastAsia="Calibri" w:hAnsi="Arial" w:cs="Arial"/>
          <w:color w:val="000000"/>
          <w:sz w:val="22"/>
          <w:szCs w:val="22"/>
          <w:lang w:eastAsia="en-US"/>
        </w:rPr>
        <w:t xml:space="preserve"> mobile number had been fraudulently ported after noticing his phone had been on ‘SOS only’ for 3-4 hours. He received no </w:t>
      </w:r>
      <w:r w:rsidR="005E1A41" w:rsidRPr="006B109C">
        <w:rPr>
          <w:rFonts w:ascii="Arial" w:eastAsia="Calibri" w:hAnsi="Arial" w:cs="Arial"/>
          <w:color w:val="000000"/>
          <w:sz w:val="22"/>
          <w:szCs w:val="22"/>
          <w:lang w:eastAsia="en-US"/>
        </w:rPr>
        <w:t xml:space="preserve">authentication </w:t>
      </w:r>
      <w:r w:rsidR="005714C5" w:rsidRPr="006B109C">
        <w:rPr>
          <w:rFonts w:ascii="Arial" w:eastAsia="Calibri" w:hAnsi="Arial" w:cs="Arial"/>
          <w:color w:val="000000"/>
          <w:sz w:val="22"/>
          <w:szCs w:val="22"/>
          <w:lang w:eastAsia="en-US"/>
        </w:rPr>
        <w:t xml:space="preserve">SMS from Telstra prior to the port taking place, and using stolen credit card and social media </w:t>
      </w:r>
      <w:r w:rsidRPr="006B109C">
        <w:rPr>
          <w:rFonts w:ascii="Arial" w:eastAsia="Calibri" w:hAnsi="Arial" w:cs="Arial"/>
          <w:color w:val="000000"/>
          <w:sz w:val="22"/>
          <w:szCs w:val="22"/>
          <w:lang w:eastAsia="en-US"/>
        </w:rPr>
        <w:t>information</w:t>
      </w:r>
      <w:r w:rsidR="005714C5" w:rsidRPr="006B109C">
        <w:rPr>
          <w:rFonts w:ascii="Arial" w:eastAsia="Calibri" w:hAnsi="Arial" w:cs="Arial"/>
          <w:color w:val="000000"/>
          <w:sz w:val="22"/>
          <w:szCs w:val="22"/>
          <w:lang w:eastAsia="en-US"/>
        </w:rPr>
        <w:t xml:space="preserve"> the fraudster reset the customers’ email passwords, accessed confidential personal documents saved in his email accounts and activated the customers’ stolen credit card. It took the customer four hours to have Telstra reverse the port and add extra security protocols to the account, even after which the fraudster was able to place a diversion on the customer’s number without providing extra security information due to lax practices on the part of the retail service provider.</w:t>
      </w:r>
      <w:r w:rsidRPr="006B109C">
        <w:rPr>
          <w:rFonts w:ascii="Arial" w:eastAsia="Calibri" w:hAnsi="Arial" w:cs="Arial"/>
          <w:color w:val="000000"/>
          <w:sz w:val="22"/>
          <w:szCs w:val="22"/>
          <w:lang w:eastAsia="en-US"/>
        </w:rPr>
        <w:t xml:space="preserve"> This suggests that the current methods of identity verification, including two-factor authentication, are inadequate to prevent fraudulent number porting.</w:t>
      </w:r>
    </w:p>
    <w:p w14:paraId="0475DAE6" w14:textId="77777777" w:rsidR="00685ACD" w:rsidRPr="00271C01" w:rsidRDefault="00685ACD" w:rsidP="00D67FB7">
      <w:pPr>
        <w:pStyle w:val="BodyText1"/>
        <w:spacing w:before="240"/>
      </w:pPr>
      <w:r w:rsidRPr="00271C01">
        <w:t xml:space="preserve">ACCAN will address each of the specific issues for comment. </w:t>
      </w:r>
    </w:p>
    <w:p w14:paraId="385B69EB" w14:textId="77777777" w:rsidR="00F800FE" w:rsidRPr="00271C01" w:rsidRDefault="00036489" w:rsidP="00271C01">
      <w:pPr>
        <w:pStyle w:val="BodyText1"/>
        <w:numPr>
          <w:ilvl w:val="0"/>
          <w:numId w:val="4"/>
        </w:numPr>
        <w:spacing w:after="120" w:line="240" w:lineRule="auto"/>
        <w:ind w:left="357" w:hanging="357"/>
        <w:rPr>
          <w:u w:val="single"/>
        </w:rPr>
      </w:pPr>
      <w:r w:rsidRPr="00271C01">
        <w:rPr>
          <w:u w:val="single"/>
        </w:rPr>
        <w:t>New verification processes</w:t>
      </w:r>
    </w:p>
    <w:p w14:paraId="25FB3756" w14:textId="77777777" w:rsidR="0035466B" w:rsidRPr="00271C01" w:rsidRDefault="0035466B" w:rsidP="00B416B9">
      <w:pPr>
        <w:pStyle w:val="BodyText1"/>
        <w:spacing w:before="240"/>
        <w:rPr>
          <w:b/>
          <w:i/>
        </w:rPr>
      </w:pPr>
      <w:r w:rsidRPr="00271C01">
        <w:rPr>
          <w:b/>
          <w:i/>
        </w:rPr>
        <w:t>Are there issues in relation to the proposed processes and their utility to meet the objectives?</w:t>
      </w:r>
    </w:p>
    <w:p w14:paraId="3186A55A" w14:textId="77777777" w:rsidR="00C077CC" w:rsidRPr="00271C01" w:rsidRDefault="00C077CC" w:rsidP="00271C01">
      <w:pPr>
        <w:pStyle w:val="BodyText1"/>
        <w:spacing w:after="120" w:line="240" w:lineRule="auto"/>
        <w:rPr>
          <w:i/>
          <w:u w:val="single"/>
        </w:rPr>
      </w:pPr>
      <w:r w:rsidRPr="00271C01">
        <w:rPr>
          <w:i/>
          <w:u w:val="single"/>
        </w:rPr>
        <w:t xml:space="preserve">Two-factor authentication </w:t>
      </w:r>
    </w:p>
    <w:p w14:paraId="15822FA3" w14:textId="03B1D88B" w:rsidR="000D5B3D" w:rsidRPr="00880D5E" w:rsidRDefault="00E6635A" w:rsidP="00880D5E">
      <w:pPr>
        <w:pStyle w:val="CommentText"/>
        <w:rPr>
          <w:rFonts w:ascii="Arial" w:eastAsia="Calibri" w:hAnsi="Arial" w:cs="Arial"/>
          <w:color w:val="000000"/>
          <w:sz w:val="22"/>
          <w:szCs w:val="22"/>
          <w:lang w:eastAsia="en-US"/>
        </w:rPr>
      </w:pPr>
      <w:r w:rsidRPr="00880D5E">
        <w:rPr>
          <w:rFonts w:ascii="Arial" w:eastAsia="Calibri" w:hAnsi="Arial" w:cs="Arial"/>
          <w:color w:val="000000"/>
          <w:sz w:val="22"/>
          <w:szCs w:val="22"/>
          <w:lang w:eastAsia="en-US"/>
        </w:rPr>
        <w:t xml:space="preserve">ACCAN agrees that </w:t>
      </w:r>
      <w:r w:rsidR="006624C2" w:rsidRPr="00880D5E">
        <w:rPr>
          <w:rFonts w:ascii="Arial" w:eastAsia="Calibri" w:hAnsi="Arial" w:cs="Arial"/>
          <w:color w:val="000000"/>
          <w:sz w:val="22"/>
          <w:szCs w:val="22"/>
          <w:lang w:eastAsia="en-US"/>
        </w:rPr>
        <w:t xml:space="preserve">secure customer </w:t>
      </w:r>
      <w:r w:rsidRPr="00880D5E">
        <w:rPr>
          <w:rFonts w:ascii="Arial" w:eastAsia="Calibri" w:hAnsi="Arial" w:cs="Arial"/>
          <w:color w:val="000000"/>
          <w:sz w:val="22"/>
          <w:szCs w:val="22"/>
          <w:lang w:eastAsia="en-US"/>
        </w:rPr>
        <w:t xml:space="preserve">identity verification must take place prior to </w:t>
      </w:r>
      <w:r w:rsidR="000D5B3D" w:rsidRPr="00880D5E">
        <w:rPr>
          <w:rFonts w:ascii="Arial" w:eastAsia="Calibri" w:hAnsi="Arial" w:cs="Arial"/>
          <w:color w:val="000000"/>
          <w:sz w:val="22"/>
          <w:szCs w:val="22"/>
          <w:lang w:eastAsia="en-US"/>
        </w:rPr>
        <w:t>t</w:t>
      </w:r>
      <w:r w:rsidRPr="00880D5E">
        <w:rPr>
          <w:rFonts w:ascii="Arial" w:eastAsia="Calibri" w:hAnsi="Arial" w:cs="Arial"/>
          <w:color w:val="000000"/>
          <w:sz w:val="22"/>
          <w:szCs w:val="22"/>
          <w:lang w:eastAsia="en-US"/>
        </w:rPr>
        <w:t xml:space="preserve">he port of a mobile service number and that the gaining carriage service provider </w:t>
      </w:r>
      <w:r w:rsidR="000D5B3D" w:rsidRPr="00880D5E">
        <w:rPr>
          <w:rFonts w:ascii="Arial" w:eastAsia="Calibri" w:hAnsi="Arial" w:cs="Arial"/>
          <w:color w:val="000000"/>
          <w:sz w:val="22"/>
          <w:szCs w:val="22"/>
          <w:lang w:eastAsia="en-US"/>
        </w:rPr>
        <w:t xml:space="preserve">should use </w:t>
      </w:r>
      <w:r w:rsidR="006624C2" w:rsidRPr="00880D5E">
        <w:rPr>
          <w:rFonts w:ascii="Arial" w:eastAsia="Calibri" w:hAnsi="Arial" w:cs="Arial"/>
          <w:color w:val="000000"/>
          <w:sz w:val="22"/>
          <w:szCs w:val="22"/>
          <w:lang w:eastAsia="en-US"/>
        </w:rPr>
        <w:t xml:space="preserve">two-factor </w:t>
      </w:r>
      <w:r w:rsidR="004E7F60" w:rsidRPr="00880D5E">
        <w:rPr>
          <w:rFonts w:ascii="Arial" w:eastAsia="Calibri" w:hAnsi="Arial" w:cs="Arial"/>
          <w:color w:val="000000"/>
          <w:sz w:val="22"/>
          <w:szCs w:val="22"/>
          <w:lang w:eastAsia="en-US"/>
        </w:rPr>
        <w:t>authentication</w:t>
      </w:r>
      <w:r w:rsidRPr="00880D5E">
        <w:rPr>
          <w:rFonts w:ascii="Arial" w:eastAsia="Calibri" w:hAnsi="Arial" w:cs="Arial"/>
          <w:color w:val="000000"/>
          <w:sz w:val="22"/>
          <w:szCs w:val="22"/>
          <w:lang w:eastAsia="en-US"/>
        </w:rPr>
        <w:t xml:space="preserve"> processes </w:t>
      </w:r>
      <w:r w:rsidR="006624C2" w:rsidRPr="00880D5E">
        <w:rPr>
          <w:rFonts w:ascii="Arial" w:eastAsia="Calibri" w:hAnsi="Arial" w:cs="Arial"/>
          <w:color w:val="000000"/>
          <w:sz w:val="22"/>
          <w:szCs w:val="22"/>
          <w:lang w:eastAsia="en-US"/>
        </w:rPr>
        <w:t>to confirm customer approval before a number is</w:t>
      </w:r>
      <w:r w:rsidRPr="00880D5E">
        <w:rPr>
          <w:rFonts w:ascii="Arial" w:eastAsia="Calibri" w:hAnsi="Arial" w:cs="Arial"/>
          <w:color w:val="000000"/>
          <w:sz w:val="22"/>
          <w:szCs w:val="22"/>
          <w:lang w:eastAsia="en-US"/>
        </w:rPr>
        <w:t xml:space="preserve"> port</w:t>
      </w:r>
      <w:r w:rsidR="006624C2" w:rsidRPr="00880D5E">
        <w:rPr>
          <w:rFonts w:ascii="Arial" w:eastAsia="Calibri" w:hAnsi="Arial" w:cs="Arial"/>
          <w:color w:val="000000"/>
          <w:sz w:val="22"/>
          <w:szCs w:val="22"/>
          <w:lang w:eastAsia="en-US"/>
        </w:rPr>
        <w:t>ed</w:t>
      </w:r>
      <w:r w:rsidR="000D5B3D" w:rsidRPr="00880D5E">
        <w:rPr>
          <w:rFonts w:ascii="Arial" w:eastAsia="Calibri" w:hAnsi="Arial" w:cs="Arial"/>
          <w:color w:val="000000"/>
          <w:sz w:val="22"/>
          <w:szCs w:val="22"/>
          <w:lang w:eastAsia="en-US"/>
        </w:rPr>
        <w:t>.</w:t>
      </w:r>
      <w:r w:rsidR="006624C2" w:rsidRPr="00880D5E">
        <w:rPr>
          <w:rFonts w:ascii="Arial" w:eastAsia="Calibri" w:hAnsi="Arial" w:cs="Arial"/>
          <w:color w:val="000000"/>
          <w:sz w:val="22"/>
          <w:szCs w:val="22"/>
          <w:lang w:eastAsia="en-US"/>
        </w:rPr>
        <w:t xml:space="preserve"> However, ACCAN is aware that fraudsters have been able to bypass the use of two-factor authentication in the past, and that </w:t>
      </w:r>
      <w:r w:rsidR="007224BF" w:rsidRPr="00880D5E">
        <w:rPr>
          <w:rFonts w:ascii="Arial" w:eastAsia="Calibri" w:hAnsi="Arial" w:cs="Arial"/>
          <w:color w:val="000000"/>
          <w:sz w:val="22"/>
          <w:szCs w:val="22"/>
          <w:lang w:eastAsia="en-US"/>
        </w:rPr>
        <w:t>i</w:t>
      </w:r>
      <w:r w:rsidR="006624C2" w:rsidRPr="00880D5E">
        <w:rPr>
          <w:rFonts w:ascii="Arial" w:eastAsia="Calibri" w:hAnsi="Arial" w:cs="Arial"/>
          <w:color w:val="000000"/>
          <w:sz w:val="22"/>
          <w:szCs w:val="22"/>
          <w:lang w:eastAsia="en-US"/>
        </w:rPr>
        <w:t xml:space="preserve">t is therefore essential that only strictly secure forms of verification are used </w:t>
      </w:r>
      <w:r w:rsidR="007224BF" w:rsidRPr="00880D5E">
        <w:rPr>
          <w:rFonts w:ascii="Arial" w:eastAsia="Calibri" w:hAnsi="Arial" w:cs="Arial"/>
          <w:color w:val="000000"/>
          <w:sz w:val="22"/>
          <w:szCs w:val="22"/>
          <w:lang w:eastAsia="en-US"/>
        </w:rPr>
        <w:t>to effectively prevent</w:t>
      </w:r>
      <w:r w:rsidR="006624C2" w:rsidRPr="00880D5E">
        <w:rPr>
          <w:rFonts w:ascii="Arial" w:eastAsia="Calibri" w:hAnsi="Arial" w:cs="Arial"/>
          <w:color w:val="000000"/>
          <w:sz w:val="22"/>
          <w:szCs w:val="22"/>
          <w:lang w:eastAsia="en-US"/>
        </w:rPr>
        <w:t xml:space="preserve"> fraudulent number porting. </w:t>
      </w:r>
    </w:p>
    <w:p w14:paraId="3E6A2DB2" w14:textId="01A3FA6C" w:rsidR="0058224D" w:rsidRPr="00271C01" w:rsidRDefault="006624C2" w:rsidP="00271C01">
      <w:pPr>
        <w:pStyle w:val="CommentText"/>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lastRenderedPageBreak/>
        <w:t xml:space="preserve">It is </w:t>
      </w:r>
      <w:r w:rsidR="00280E2C" w:rsidRPr="00271C01">
        <w:rPr>
          <w:rFonts w:ascii="Arial" w:eastAsia="Calibri" w:hAnsi="Arial" w:cs="Arial"/>
          <w:color w:val="000000"/>
          <w:sz w:val="22"/>
          <w:szCs w:val="22"/>
          <w:lang w:eastAsia="en-US"/>
        </w:rPr>
        <w:t>crucial that</w:t>
      </w:r>
      <w:r w:rsidR="0023472B" w:rsidRPr="00271C01">
        <w:rPr>
          <w:rFonts w:ascii="Arial" w:eastAsia="Calibri" w:hAnsi="Arial" w:cs="Arial"/>
          <w:color w:val="000000"/>
          <w:sz w:val="22"/>
          <w:szCs w:val="22"/>
          <w:lang w:eastAsia="en-US"/>
        </w:rPr>
        <w:t xml:space="preserve"> the forms of identity verification that are used can only be genu</w:t>
      </w:r>
      <w:r w:rsidR="00280E2C" w:rsidRPr="00271C01">
        <w:rPr>
          <w:rFonts w:ascii="Arial" w:eastAsia="Calibri" w:hAnsi="Arial" w:cs="Arial"/>
          <w:color w:val="000000"/>
          <w:sz w:val="22"/>
          <w:szCs w:val="22"/>
          <w:lang w:eastAsia="en-US"/>
        </w:rPr>
        <w:t>inely verified by account holders in order to effectively prevent</w:t>
      </w:r>
      <w:r w:rsidR="0023472B" w:rsidRPr="00271C01">
        <w:rPr>
          <w:rFonts w:ascii="Arial" w:eastAsia="Calibri" w:hAnsi="Arial" w:cs="Arial"/>
          <w:color w:val="000000"/>
          <w:sz w:val="22"/>
          <w:szCs w:val="22"/>
          <w:lang w:eastAsia="en-US"/>
        </w:rPr>
        <w:t xml:space="preserve"> fraudulent number porting</w:t>
      </w:r>
      <w:r w:rsidRPr="00271C01">
        <w:rPr>
          <w:rFonts w:ascii="Arial" w:eastAsia="Calibri" w:hAnsi="Arial" w:cs="Arial"/>
          <w:color w:val="000000"/>
          <w:sz w:val="22"/>
          <w:szCs w:val="22"/>
          <w:lang w:eastAsia="en-US"/>
        </w:rPr>
        <w:t xml:space="preserve">. </w:t>
      </w:r>
      <w:r w:rsidR="00290F9B" w:rsidRPr="00271C01">
        <w:rPr>
          <w:rFonts w:ascii="Arial" w:eastAsia="Calibri" w:hAnsi="Arial" w:cs="Arial"/>
          <w:color w:val="000000"/>
          <w:sz w:val="22"/>
          <w:szCs w:val="22"/>
          <w:lang w:eastAsia="en-US"/>
        </w:rPr>
        <w:t>For example</w:t>
      </w:r>
      <w:r w:rsidR="0058224D" w:rsidRPr="00271C01">
        <w:rPr>
          <w:rFonts w:ascii="Arial" w:eastAsia="Calibri" w:hAnsi="Arial" w:cs="Arial"/>
          <w:color w:val="000000"/>
          <w:sz w:val="22"/>
          <w:szCs w:val="22"/>
          <w:lang w:eastAsia="en-US"/>
        </w:rPr>
        <w:t>, a</w:t>
      </w:r>
      <w:r w:rsidRPr="00271C01">
        <w:rPr>
          <w:rFonts w:ascii="Arial" w:eastAsia="Calibri" w:hAnsi="Arial" w:cs="Arial"/>
          <w:color w:val="000000"/>
          <w:sz w:val="22"/>
          <w:szCs w:val="22"/>
          <w:lang w:eastAsia="en-US"/>
        </w:rPr>
        <w:t xml:space="preserve"> two-step authentication process built into an app on a smartphone </w:t>
      </w:r>
      <w:r w:rsidR="0058224D" w:rsidRPr="00271C01">
        <w:rPr>
          <w:rFonts w:ascii="Arial" w:eastAsia="Calibri" w:hAnsi="Arial" w:cs="Arial"/>
          <w:color w:val="000000"/>
          <w:sz w:val="22"/>
          <w:szCs w:val="22"/>
          <w:lang w:eastAsia="en-US"/>
        </w:rPr>
        <w:t xml:space="preserve">controlled only by the owner of the mobile phone account, </w:t>
      </w:r>
      <w:r w:rsidRPr="00271C01">
        <w:rPr>
          <w:rFonts w:ascii="Arial" w:eastAsia="Calibri" w:hAnsi="Arial" w:cs="Arial"/>
          <w:color w:val="000000"/>
          <w:sz w:val="22"/>
          <w:szCs w:val="22"/>
          <w:lang w:eastAsia="en-US"/>
        </w:rPr>
        <w:t xml:space="preserve">rather than attached to a </w:t>
      </w:r>
      <w:r w:rsidR="0058224D" w:rsidRPr="00271C01">
        <w:rPr>
          <w:rFonts w:ascii="Arial" w:eastAsia="Calibri" w:hAnsi="Arial" w:cs="Arial"/>
          <w:color w:val="000000"/>
          <w:sz w:val="22"/>
          <w:szCs w:val="22"/>
          <w:lang w:eastAsia="en-US"/>
        </w:rPr>
        <w:t xml:space="preserve">portable </w:t>
      </w:r>
      <w:r w:rsidRPr="00271C01">
        <w:rPr>
          <w:rFonts w:ascii="Arial" w:eastAsia="Calibri" w:hAnsi="Arial" w:cs="Arial"/>
          <w:color w:val="000000"/>
          <w:sz w:val="22"/>
          <w:szCs w:val="22"/>
          <w:lang w:eastAsia="en-US"/>
        </w:rPr>
        <w:t xml:space="preserve">phone number – for example, </w:t>
      </w:r>
      <w:proofErr w:type="spellStart"/>
      <w:r w:rsidRPr="00271C01">
        <w:rPr>
          <w:rFonts w:ascii="Arial" w:eastAsia="Calibri" w:hAnsi="Arial" w:cs="Arial"/>
          <w:color w:val="000000"/>
          <w:sz w:val="22"/>
          <w:szCs w:val="22"/>
          <w:lang w:eastAsia="en-US"/>
        </w:rPr>
        <w:t>Authy</w:t>
      </w:r>
      <w:proofErr w:type="spellEnd"/>
      <w:r w:rsidRPr="00271C01">
        <w:rPr>
          <w:rFonts w:ascii="Arial" w:eastAsia="Calibri" w:hAnsi="Arial" w:cs="Arial"/>
          <w:color w:val="000000"/>
          <w:sz w:val="22"/>
          <w:szCs w:val="22"/>
          <w:lang w:eastAsia="en-US"/>
        </w:rPr>
        <w:t xml:space="preserve"> – would provide a more secure method of authorisation.</w:t>
      </w:r>
    </w:p>
    <w:p w14:paraId="0A67E953" w14:textId="799FAEB0" w:rsidR="00ED77F8" w:rsidRPr="00271C01" w:rsidRDefault="00436C1C" w:rsidP="00271C01">
      <w:pPr>
        <w:pStyle w:val="CommentText"/>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 xml:space="preserve">ACCAN </w:t>
      </w:r>
      <w:r w:rsidR="00D758FB" w:rsidRPr="00271C01">
        <w:rPr>
          <w:rFonts w:ascii="Arial" w:eastAsia="Calibri" w:hAnsi="Arial" w:cs="Arial"/>
          <w:color w:val="000000"/>
          <w:sz w:val="22"/>
          <w:szCs w:val="22"/>
          <w:lang w:eastAsia="en-US"/>
        </w:rPr>
        <w:t>notes</w:t>
      </w:r>
      <w:r w:rsidRPr="00271C01">
        <w:rPr>
          <w:rFonts w:ascii="Arial" w:eastAsia="Calibri" w:hAnsi="Arial" w:cs="Arial"/>
          <w:color w:val="000000"/>
          <w:sz w:val="22"/>
          <w:szCs w:val="22"/>
          <w:lang w:eastAsia="en-US"/>
        </w:rPr>
        <w:t xml:space="preserve"> that</w:t>
      </w:r>
      <w:r w:rsidR="00C077CC" w:rsidRPr="00271C01">
        <w:rPr>
          <w:rFonts w:ascii="Arial" w:eastAsia="Calibri" w:hAnsi="Arial" w:cs="Arial"/>
          <w:color w:val="000000"/>
          <w:sz w:val="22"/>
          <w:szCs w:val="22"/>
          <w:lang w:eastAsia="en-US"/>
        </w:rPr>
        <w:t xml:space="preserve"> t</w:t>
      </w:r>
      <w:r w:rsidR="00ED77F8" w:rsidRPr="00271C01">
        <w:rPr>
          <w:rFonts w:ascii="Arial" w:eastAsia="Calibri" w:hAnsi="Arial" w:cs="Arial"/>
          <w:color w:val="000000"/>
          <w:sz w:val="22"/>
          <w:szCs w:val="22"/>
          <w:lang w:eastAsia="en-US"/>
        </w:rPr>
        <w:t>he wording of 8(2) - that “at least one” of the specified identity verification processes be used by a carriage service provider, in order to confirm the initiating person is the rights of use ho</w:t>
      </w:r>
      <w:r w:rsidRPr="00271C01">
        <w:rPr>
          <w:rFonts w:ascii="Arial" w:eastAsia="Calibri" w:hAnsi="Arial" w:cs="Arial"/>
          <w:color w:val="000000"/>
          <w:sz w:val="22"/>
          <w:szCs w:val="22"/>
          <w:lang w:eastAsia="en-US"/>
        </w:rPr>
        <w:t xml:space="preserve">lder before porting the number – indicates </w:t>
      </w:r>
      <w:r w:rsidR="00ED77F8" w:rsidRPr="00271C01">
        <w:rPr>
          <w:rFonts w:ascii="Arial" w:eastAsia="Calibri" w:hAnsi="Arial" w:cs="Arial"/>
          <w:color w:val="000000"/>
          <w:sz w:val="22"/>
          <w:szCs w:val="22"/>
          <w:lang w:eastAsia="en-US"/>
        </w:rPr>
        <w:t xml:space="preserve">that </w:t>
      </w:r>
      <w:r w:rsidRPr="00271C01">
        <w:rPr>
          <w:rFonts w:ascii="Arial" w:eastAsia="Calibri" w:hAnsi="Arial" w:cs="Arial"/>
          <w:color w:val="000000"/>
          <w:sz w:val="22"/>
          <w:szCs w:val="22"/>
          <w:lang w:eastAsia="en-US"/>
        </w:rPr>
        <w:t xml:space="preserve">in fact a single form of identity </w:t>
      </w:r>
      <w:r w:rsidR="00ED77F8" w:rsidRPr="00271C01">
        <w:rPr>
          <w:rFonts w:ascii="Arial" w:eastAsia="Calibri" w:hAnsi="Arial" w:cs="Arial"/>
          <w:color w:val="000000"/>
          <w:sz w:val="22"/>
          <w:szCs w:val="22"/>
          <w:lang w:eastAsia="en-US"/>
        </w:rPr>
        <w:t xml:space="preserve">verification </w:t>
      </w:r>
      <w:r w:rsidR="0058224D" w:rsidRPr="00271C01">
        <w:rPr>
          <w:rFonts w:ascii="Arial" w:eastAsia="Calibri" w:hAnsi="Arial" w:cs="Arial"/>
          <w:color w:val="000000"/>
          <w:sz w:val="22"/>
          <w:szCs w:val="22"/>
          <w:lang w:eastAsia="en-US"/>
        </w:rPr>
        <w:t>could potentially</w:t>
      </w:r>
      <w:r w:rsidR="00ED77F8" w:rsidRPr="00271C01">
        <w:rPr>
          <w:rFonts w:ascii="Arial" w:eastAsia="Calibri" w:hAnsi="Arial" w:cs="Arial"/>
          <w:color w:val="000000"/>
          <w:sz w:val="22"/>
          <w:szCs w:val="22"/>
          <w:lang w:eastAsia="en-US"/>
        </w:rPr>
        <w:t xml:space="preserve"> </w:t>
      </w:r>
      <w:r w:rsidR="000650A1" w:rsidRPr="00271C01">
        <w:rPr>
          <w:rFonts w:ascii="Arial" w:eastAsia="Calibri" w:hAnsi="Arial" w:cs="Arial"/>
          <w:color w:val="000000"/>
          <w:sz w:val="22"/>
          <w:szCs w:val="22"/>
          <w:lang w:eastAsia="en-US"/>
        </w:rPr>
        <w:t xml:space="preserve">be </w:t>
      </w:r>
      <w:r w:rsidR="00ED77F8" w:rsidRPr="00271C01">
        <w:rPr>
          <w:rFonts w:ascii="Arial" w:eastAsia="Calibri" w:hAnsi="Arial" w:cs="Arial"/>
          <w:color w:val="000000"/>
          <w:sz w:val="22"/>
          <w:szCs w:val="22"/>
          <w:lang w:eastAsia="en-US"/>
        </w:rPr>
        <w:t>used</w:t>
      </w:r>
      <w:r w:rsidR="00E6635A" w:rsidRPr="00271C01">
        <w:rPr>
          <w:rFonts w:ascii="Arial" w:eastAsia="Calibri" w:hAnsi="Arial" w:cs="Arial"/>
          <w:color w:val="000000"/>
          <w:sz w:val="22"/>
          <w:szCs w:val="22"/>
          <w:lang w:eastAsia="en-US"/>
        </w:rPr>
        <w:t xml:space="preserve"> </w:t>
      </w:r>
      <w:r w:rsidRPr="00271C01">
        <w:rPr>
          <w:rFonts w:ascii="Arial" w:eastAsia="Calibri" w:hAnsi="Arial" w:cs="Arial"/>
          <w:color w:val="000000"/>
          <w:sz w:val="22"/>
          <w:szCs w:val="22"/>
          <w:lang w:eastAsia="en-US"/>
        </w:rPr>
        <w:t>before porting begins. ACCAN is concerned that this process</w:t>
      </w:r>
      <w:r w:rsidR="00E6635A" w:rsidRPr="00271C01">
        <w:rPr>
          <w:rFonts w:ascii="Arial" w:eastAsia="Calibri" w:hAnsi="Arial" w:cs="Arial"/>
          <w:color w:val="000000"/>
          <w:sz w:val="22"/>
          <w:szCs w:val="22"/>
          <w:lang w:eastAsia="en-US"/>
        </w:rPr>
        <w:t xml:space="preserve"> would </w:t>
      </w:r>
      <w:r w:rsidRPr="00271C01">
        <w:rPr>
          <w:rFonts w:ascii="Arial" w:eastAsia="Calibri" w:hAnsi="Arial" w:cs="Arial"/>
          <w:color w:val="000000"/>
          <w:sz w:val="22"/>
          <w:szCs w:val="22"/>
          <w:lang w:eastAsia="en-US"/>
        </w:rPr>
        <w:t xml:space="preserve">be </w:t>
      </w:r>
      <w:r w:rsidR="00E6635A" w:rsidRPr="00271C01">
        <w:rPr>
          <w:rFonts w:ascii="Arial" w:eastAsia="Calibri" w:hAnsi="Arial" w:cs="Arial"/>
          <w:color w:val="000000"/>
          <w:sz w:val="22"/>
          <w:szCs w:val="22"/>
          <w:lang w:eastAsia="en-US"/>
        </w:rPr>
        <w:t>inadequate to securely verify an account holder’s identity</w:t>
      </w:r>
      <w:r w:rsidR="00D758FB" w:rsidRPr="00271C01">
        <w:rPr>
          <w:rFonts w:ascii="Arial" w:eastAsia="Calibri" w:hAnsi="Arial" w:cs="Arial"/>
          <w:color w:val="000000"/>
          <w:sz w:val="22"/>
          <w:szCs w:val="22"/>
          <w:lang w:eastAsia="en-US"/>
        </w:rPr>
        <w:t xml:space="preserve"> prior to number porting being implemented</w:t>
      </w:r>
      <w:r w:rsidR="00ED77F8" w:rsidRPr="00271C01">
        <w:rPr>
          <w:rFonts w:ascii="Arial" w:eastAsia="Calibri" w:hAnsi="Arial" w:cs="Arial"/>
          <w:color w:val="000000"/>
          <w:sz w:val="22"/>
          <w:szCs w:val="22"/>
          <w:lang w:eastAsia="en-US"/>
        </w:rPr>
        <w:t>.</w:t>
      </w:r>
    </w:p>
    <w:p w14:paraId="4F6EB898" w14:textId="77777777" w:rsidR="00C077CC" w:rsidRPr="00271C01" w:rsidRDefault="00C077CC" w:rsidP="00271C01">
      <w:pPr>
        <w:pStyle w:val="BodyText1"/>
        <w:spacing w:after="120" w:line="240" w:lineRule="auto"/>
        <w:rPr>
          <w:i/>
          <w:u w:val="single"/>
        </w:rPr>
      </w:pPr>
      <w:r w:rsidRPr="00271C01">
        <w:rPr>
          <w:i/>
          <w:u w:val="single"/>
        </w:rPr>
        <w:t>SMS</w:t>
      </w:r>
    </w:p>
    <w:p w14:paraId="1BF305FE" w14:textId="77777777" w:rsidR="00290F9B" w:rsidRPr="00271C01" w:rsidRDefault="00203831" w:rsidP="00271C01">
      <w:pPr>
        <w:pStyle w:val="CommentText"/>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SMS has been</w:t>
      </w:r>
      <w:r w:rsidR="00C077CC" w:rsidRPr="00271C01">
        <w:rPr>
          <w:rFonts w:ascii="Arial" w:eastAsia="Calibri" w:hAnsi="Arial" w:cs="Arial"/>
          <w:color w:val="000000"/>
          <w:sz w:val="22"/>
          <w:szCs w:val="22"/>
          <w:lang w:eastAsia="en-US"/>
        </w:rPr>
        <w:t xml:space="preserve"> repeatedly</w:t>
      </w:r>
      <w:r w:rsidRPr="00271C01">
        <w:rPr>
          <w:rFonts w:ascii="Arial" w:eastAsia="Calibri" w:hAnsi="Arial" w:cs="Arial"/>
          <w:color w:val="000000"/>
          <w:sz w:val="22"/>
          <w:szCs w:val="22"/>
          <w:lang w:eastAsia="en-US"/>
        </w:rPr>
        <w:t xml:space="preserve"> reported</w:t>
      </w:r>
      <w:r w:rsidR="00C077CC" w:rsidRPr="00271C01">
        <w:rPr>
          <w:rFonts w:ascii="Arial" w:eastAsia="Calibri" w:hAnsi="Arial" w:cs="Arial"/>
          <w:color w:val="000000"/>
          <w:sz w:val="22"/>
          <w:szCs w:val="22"/>
          <w:lang w:eastAsia="en-US"/>
        </w:rPr>
        <w:t xml:space="preserve"> by consumers</w:t>
      </w:r>
      <w:r w:rsidRPr="00271C01">
        <w:rPr>
          <w:rFonts w:ascii="Arial" w:eastAsia="Calibri" w:hAnsi="Arial" w:cs="Arial"/>
          <w:color w:val="000000"/>
          <w:sz w:val="22"/>
          <w:szCs w:val="22"/>
          <w:lang w:eastAsia="en-US"/>
        </w:rPr>
        <w:t xml:space="preserve"> to be a</w:t>
      </w:r>
      <w:r w:rsidR="00813839" w:rsidRPr="00271C01">
        <w:rPr>
          <w:rFonts w:ascii="Arial" w:eastAsia="Calibri" w:hAnsi="Arial" w:cs="Arial"/>
          <w:color w:val="000000"/>
          <w:sz w:val="22"/>
          <w:szCs w:val="22"/>
          <w:lang w:eastAsia="en-US"/>
        </w:rPr>
        <w:t>n</w:t>
      </w:r>
      <w:r w:rsidRPr="00271C01">
        <w:rPr>
          <w:rFonts w:ascii="Arial" w:eastAsia="Calibri" w:hAnsi="Arial" w:cs="Arial"/>
          <w:color w:val="000000"/>
          <w:sz w:val="22"/>
          <w:szCs w:val="22"/>
          <w:lang w:eastAsia="en-US"/>
        </w:rPr>
        <w:t xml:space="preserve"> insecure method of identity verification, </w:t>
      </w:r>
      <w:r w:rsidR="00DB776C" w:rsidRPr="00271C01">
        <w:rPr>
          <w:rFonts w:ascii="Arial" w:eastAsia="Calibri" w:hAnsi="Arial" w:cs="Arial"/>
          <w:color w:val="000000"/>
          <w:sz w:val="22"/>
          <w:szCs w:val="22"/>
          <w:lang w:eastAsia="en-US"/>
        </w:rPr>
        <w:t xml:space="preserve">initially </w:t>
      </w:r>
      <w:r w:rsidRPr="00271C01">
        <w:rPr>
          <w:rFonts w:ascii="Arial" w:eastAsia="Calibri" w:hAnsi="Arial" w:cs="Arial"/>
          <w:color w:val="000000"/>
          <w:sz w:val="22"/>
          <w:szCs w:val="22"/>
          <w:lang w:eastAsia="en-US"/>
        </w:rPr>
        <w:t>adopted by the banks and inappropriate for adoption by telecommunications</w:t>
      </w:r>
      <w:r w:rsidR="005A04B6" w:rsidRPr="00271C01">
        <w:rPr>
          <w:rFonts w:ascii="Arial" w:eastAsia="Calibri" w:hAnsi="Arial" w:cs="Arial"/>
          <w:color w:val="000000"/>
          <w:sz w:val="22"/>
          <w:szCs w:val="22"/>
          <w:lang w:eastAsia="en-US"/>
        </w:rPr>
        <w:t xml:space="preserve"> providers</w:t>
      </w:r>
      <w:r w:rsidRPr="00271C01">
        <w:rPr>
          <w:rFonts w:ascii="Arial" w:eastAsia="Calibri" w:hAnsi="Arial" w:cs="Arial"/>
          <w:color w:val="000000"/>
          <w:sz w:val="22"/>
          <w:szCs w:val="22"/>
          <w:lang w:eastAsia="en-US"/>
        </w:rPr>
        <w:t>.</w:t>
      </w:r>
      <w:r w:rsidR="00EC2EBA" w:rsidRPr="00271C01">
        <w:rPr>
          <w:rStyle w:val="FootnoteReference"/>
        </w:rPr>
        <w:footnoteReference w:id="1"/>
      </w:r>
      <w:r w:rsidRPr="00271C01">
        <w:rPr>
          <w:rFonts w:ascii="Arial" w:eastAsia="Calibri" w:hAnsi="Arial" w:cs="Arial"/>
          <w:color w:val="000000"/>
          <w:sz w:val="22"/>
          <w:szCs w:val="22"/>
          <w:lang w:eastAsia="en-US"/>
        </w:rPr>
        <w:t xml:space="preserve"> </w:t>
      </w:r>
      <w:r w:rsidR="00813839" w:rsidRPr="00271C01">
        <w:rPr>
          <w:rFonts w:ascii="Arial" w:eastAsia="Calibri" w:hAnsi="Arial" w:cs="Arial"/>
          <w:color w:val="000000"/>
          <w:sz w:val="22"/>
          <w:szCs w:val="22"/>
          <w:lang w:eastAsia="en-US"/>
        </w:rPr>
        <w:t xml:space="preserve">For example, where </w:t>
      </w:r>
      <w:r w:rsidR="000E313E" w:rsidRPr="00271C01">
        <w:rPr>
          <w:rFonts w:ascii="Arial" w:eastAsia="Calibri" w:hAnsi="Arial" w:cs="Arial"/>
          <w:color w:val="000000"/>
          <w:sz w:val="22"/>
          <w:szCs w:val="22"/>
          <w:lang w:eastAsia="en-US"/>
        </w:rPr>
        <w:t>two-</w:t>
      </w:r>
      <w:r w:rsidR="00813839" w:rsidRPr="00271C01">
        <w:rPr>
          <w:rFonts w:ascii="Arial" w:eastAsia="Calibri" w:hAnsi="Arial" w:cs="Arial"/>
          <w:color w:val="000000"/>
          <w:sz w:val="22"/>
          <w:szCs w:val="22"/>
          <w:lang w:eastAsia="en-US"/>
        </w:rPr>
        <w:t xml:space="preserve">factor authentication messages are sent via SMS, </w:t>
      </w:r>
      <w:r w:rsidR="007E44E5" w:rsidRPr="00271C01">
        <w:rPr>
          <w:rFonts w:ascii="Arial" w:eastAsia="Calibri" w:hAnsi="Arial" w:cs="Arial"/>
          <w:color w:val="000000"/>
          <w:sz w:val="22"/>
          <w:szCs w:val="22"/>
          <w:lang w:eastAsia="en-US"/>
        </w:rPr>
        <w:t>and</w:t>
      </w:r>
      <w:r w:rsidR="00813839" w:rsidRPr="00271C01">
        <w:rPr>
          <w:rFonts w:ascii="Arial" w:eastAsia="Calibri" w:hAnsi="Arial" w:cs="Arial"/>
          <w:color w:val="000000"/>
          <w:sz w:val="22"/>
          <w:szCs w:val="22"/>
          <w:lang w:eastAsia="en-US"/>
        </w:rPr>
        <w:t xml:space="preserve"> phone number </w:t>
      </w:r>
      <w:r w:rsidR="007E44E5" w:rsidRPr="00271C01">
        <w:rPr>
          <w:rFonts w:ascii="Arial" w:eastAsia="Calibri" w:hAnsi="Arial" w:cs="Arial"/>
          <w:color w:val="000000"/>
          <w:sz w:val="22"/>
          <w:szCs w:val="22"/>
          <w:lang w:eastAsia="en-US"/>
        </w:rPr>
        <w:t xml:space="preserve">porting </w:t>
      </w:r>
      <w:r w:rsidR="00813839" w:rsidRPr="00271C01">
        <w:rPr>
          <w:rFonts w:ascii="Arial" w:eastAsia="Calibri" w:hAnsi="Arial" w:cs="Arial"/>
          <w:color w:val="000000"/>
          <w:sz w:val="22"/>
          <w:szCs w:val="22"/>
          <w:lang w:eastAsia="en-US"/>
        </w:rPr>
        <w:t xml:space="preserve">has already </w:t>
      </w:r>
      <w:r w:rsidR="007E44E5" w:rsidRPr="00271C01">
        <w:rPr>
          <w:rFonts w:ascii="Arial" w:eastAsia="Calibri" w:hAnsi="Arial" w:cs="Arial"/>
          <w:color w:val="000000"/>
          <w:sz w:val="22"/>
          <w:szCs w:val="22"/>
          <w:lang w:eastAsia="en-US"/>
        </w:rPr>
        <w:t>begun</w:t>
      </w:r>
      <w:r w:rsidR="00DB776C" w:rsidRPr="00271C01">
        <w:rPr>
          <w:rFonts w:ascii="Arial" w:eastAsia="Calibri" w:hAnsi="Arial" w:cs="Arial"/>
          <w:color w:val="000000"/>
          <w:sz w:val="22"/>
          <w:szCs w:val="22"/>
          <w:lang w:eastAsia="en-US"/>
        </w:rPr>
        <w:t xml:space="preserve"> without proper authentication and approval </w:t>
      </w:r>
      <w:r w:rsidR="00365FBA" w:rsidRPr="00271C01">
        <w:rPr>
          <w:rFonts w:ascii="Arial" w:eastAsia="Calibri" w:hAnsi="Arial" w:cs="Arial"/>
          <w:color w:val="000000"/>
          <w:sz w:val="22"/>
          <w:szCs w:val="22"/>
          <w:lang w:eastAsia="en-US"/>
        </w:rPr>
        <w:t>of the identi</w:t>
      </w:r>
      <w:r w:rsidR="005A04B6" w:rsidRPr="00271C01">
        <w:rPr>
          <w:rFonts w:ascii="Arial" w:eastAsia="Calibri" w:hAnsi="Arial" w:cs="Arial"/>
          <w:color w:val="000000"/>
          <w:sz w:val="22"/>
          <w:szCs w:val="22"/>
          <w:lang w:eastAsia="en-US"/>
        </w:rPr>
        <w:t>t</w:t>
      </w:r>
      <w:r w:rsidR="00365FBA" w:rsidRPr="00271C01">
        <w:rPr>
          <w:rFonts w:ascii="Arial" w:eastAsia="Calibri" w:hAnsi="Arial" w:cs="Arial"/>
          <w:color w:val="000000"/>
          <w:sz w:val="22"/>
          <w:szCs w:val="22"/>
          <w:lang w:eastAsia="en-US"/>
        </w:rPr>
        <w:t>y of</w:t>
      </w:r>
      <w:r w:rsidR="00DB776C" w:rsidRPr="00271C01">
        <w:rPr>
          <w:rFonts w:ascii="Arial" w:eastAsia="Calibri" w:hAnsi="Arial" w:cs="Arial"/>
          <w:color w:val="000000"/>
          <w:sz w:val="22"/>
          <w:szCs w:val="22"/>
          <w:lang w:eastAsia="en-US"/>
        </w:rPr>
        <w:t xml:space="preserve"> account holder</w:t>
      </w:r>
      <w:r w:rsidR="00B963E6" w:rsidRPr="00271C01">
        <w:rPr>
          <w:rFonts w:ascii="Arial" w:eastAsia="Calibri" w:hAnsi="Arial" w:cs="Arial"/>
          <w:color w:val="000000"/>
          <w:sz w:val="22"/>
          <w:szCs w:val="22"/>
          <w:lang w:eastAsia="en-US"/>
        </w:rPr>
        <w:t xml:space="preserve">, the fraudster </w:t>
      </w:r>
      <w:r w:rsidR="00DB776C" w:rsidRPr="00271C01">
        <w:rPr>
          <w:rFonts w:ascii="Arial" w:eastAsia="Calibri" w:hAnsi="Arial" w:cs="Arial"/>
          <w:color w:val="000000"/>
          <w:sz w:val="22"/>
          <w:szCs w:val="22"/>
          <w:lang w:eastAsia="en-US"/>
        </w:rPr>
        <w:t>receives</w:t>
      </w:r>
      <w:r w:rsidR="007E44E5" w:rsidRPr="00271C01">
        <w:rPr>
          <w:rFonts w:ascii="Arial" w:eastAsia="Calibri" w:hAnsi="Arial" w:cs="Arial"/>
          <w:color w:val="000000"/>
          <w:sz w:val="22"/>
          <w:szCs w:val="22"/>
          <w:lang w:eastAsia="en-US"/>
        </w:rPr>
        <w:t xml:space="preserve"> the two-</w:t>
      </w:r>
      <w:r w:rsidR="00813839" w:rsidRPr="00271C01">
        <w:rPr>
          <w:rFonts w:ascii="Arial" w:eastAsia="Calibri" w:hAnsi="Arial" w:cs="Arial"/>
          <w:color w:val="000000"/>
          <w:sz w:val="22"/>
          <w:szCs w:val="22"/>
          <w:lang w:eastAsia="en-US"/>
        </w:rPr>
        <w:t xml:space="preserve">factor authentication </w:t>
      </w:r>
      <w:r w:rsidR="00516345" w:rsidRPr="00271C01">
        <w:rPr>
          <w:rFonts w:ascii="Arial" w:eastAsia="Calibri" w:hAnsi="Arial" w:cs="Arial"/>
          <w:color w:val="000000"/>
          <w:sz w:val="22"/>
          <w:szCs w:val="22"/>
          <w:lang w:eastAsia="en-US"/>
        </w:rPr>
        <w:t>SMS</w:t>
      </w:r>
      <w:r w:rsidR="00813839" w:rsidRPr="00271C01">
        <w:rPr>
          <w:rFonts w:ascii="Arial" w:eastAsia="Calibri" w:hAnsi="Arial" w:cs="Arial"/>
          <w:color w:val="000000"/>
          <w:sz w:val="22"/>
          <w:szCs w:val="22"/>
          <w:lang w:eastAsia="en-US"/>
        </w:rPr>
        <w:t xml:space="preserve"> </w:t>
      </w:r>
      <w:r w:rsidR="0058224D" w:rsidRPr="00271C01">
        <w:rPr>
          <w:rFonts w:ascii="Arial" w:eastAsia="Calibri" w:hAnsi="Arial" w:cs="Arial"/>
          <w:color w:val="000000"/>
          <w:sz w:val="22"/>
          <w:szCs w:val="22"/>
          <w:lang w:eastAsia="en-US"/>
        </w:rPr>
        <w:t xml:space="preserve">message </w:t>
      </w:r>
      <w:r w:rsidR="00813839" w:rsidRPr="00271C01">
        <w:rPr>
          <w:rFonts w:ascii="Arial" w:eastAsia="Calibri" w:hAnsi="Arial" w:cs="Arial"/>
          <w:color w:val="000000"/>
          <w:sz w:val="22"/>
          <w:szCs w:val="22"/>
          <w:lang w:eastAsia="en-US"/>
        </w:rPr>
        <w:t xml:space="preserve">as opposed </w:t>
      </w:r>
      <w:r w:rsidR="00516345" w:rsidRPr="00271C01">
        <w:rPr>
          <w:rFonts w:ascii="Arial" w:eastAsia="Calibri" w:hAnsi="Arial" w:cs="Arial"/>
          <w:color w:val="000000"/>
          <w:sz w:val="22"/>
          <w:szCs w:val="22"/>
          <w:lang w:eastAsia="en-US"/>
        </w:rPr>
        <w:t>to the genuine account holder</w:t>
      </w:r>
      <w:r w:rsidR="00813839" w:rsidRPr="00271C01">
        <w:rPr>
          <w:rFonts w:ascii="Arial" w:eastAsia="Calibri" w:hAnsi="Arial" w:cs="Arial"/>
          <w:color w:val="000000"/>
          <w:sz w:val="22"/>
          <w:szCs w:val="22"/>
          <w:lang w:eastAsia="en-US"/>
        </w:rPr>
        <w:t>.</w:t>
      </w:r>
      <w:r w:rsidR="00EF2FE5" w:rsidRPr="00271C01">
        <w:rPr>
          <w:rStyle w:val="FootnoteReference"/>
        </w:rPr>
        <w:footnoteReference w:id="2"/>
      </w:r>
    </w:p>
    <w:p w14:paraId="04E4E21C" w14:textId="1E46F300" w:rsidR="00925C63" w:rsidRPr="00271C01" w:rsidRDefault="002E4D86" w:rsidP="00271C01">
      <w:pPr>
        <w:pStyle w:val="CommentText"/>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Other forms of phishing</w:t>
      </w:r>
      <w:r w:rsidR="00313393" w:rsidRPr="00271C01">
        <w:rPr>
          <w:rStyle w:val="FootnoteReference"/>
        </w:rPr>
        <w:footnoteReference w:id="3"/>
      </w:r>
      <w:r w:rsidRPr="00271C01">
        <w:rPr>
          <w:rFonts w:ascii="Arial" w:eastAsia="Calibri" w:hAnsi="Arial" w:cs="Arial"/>
          <w:color w:val="000000"/>
          <w:sz w:val="22"/>
          <w:szCs w:val="22"/>
          <w:lang w:eastAsia="en-US"/>
        </w:rPr>
        <w:t xml:space="preserve"> </w:t>
      </w:r>
      <w:r w:rsidR="00313393" w:rsidRPr="00271C01">
        <w:rPr>
          <w:rFonts w:ascii="Arial" w:eastAsia="Calibri" w:hAnsi="Arial" w:cs="Arial"/>
          <w:color w:val="000000"/>
          <w:sz w:val="22"/>
          <w:szCs w:val="22"/>
          <w:lang w:eastAsia="en-US"/>
        </w:rPr>
        <w:t>and spoofing</w:t>
      </w:r>
      <w:r w:rsidR="00313393" w:rsidRPr="00271C01">
        <w:rPr>
          <w:rStyle w:val="FootnoteReference"/>
        </w:rPr>
        <w:footnoteReference w:id="4"/>
      </w:r>
      <w:r w:rsidR="00313393" w:rsidRPr="00271C01">
        <w:rPr>
          <w:rFonts w:ascii="Arial" w:eastAsia="Calibri" w:hAnsi="Arial" w:cs="Arial"/>
          <w:color w:val="000000"/>
          <w:sz w:val="22"/>
          <w:szCs w:val="22"/>
          <w:lang w:eastAsia="en-US"/>
        </w:rPr>
        <w:t xml:space="preserve"> </w:t>
      </w:r>
      <w:r w:rsidRPr="00271C01">
        <w:rPr>
          <w:rFonts w:ascii="Arial" w:eastAsia="Calibri" w:hAnsi="Arial" w:cs="Arial"/>
          <w:color w:val="000000"/>
          <w:sz w:val="22"/>
          <w:szCs w:val="22"/>
          <w:lang w:eastAsia="en-US"/>
        </w:rPr>
        <w:t xml:space="preserve">also make it possible </w:t>
      </w:r>
      <w:r w:rsidR="00313393" w:rsidRPr="00271C01">
        <w:rPr>
          <w:rFonts w:ascii="Arial" w:eastAsia="Calibri" w:hAnsi="Arial" w:cs="Arial"/>
          <w:color w:val="000000"/>
          <w:sz w:val="22"/>
          <w:szCs w:val="22"/>
          <w:lang w:eastAsia="en-US"/>
        </w:rPr>
        <w:t xml:space="preserve">for scammers </w:t>
      </w:r>
      <w:r w:rsidRPr="00271C01">
        <w:rPr>
          <w:rFonts w:ascii="Arial" w:eastAsia="Calibri" w:hAnsi="Arial" w:cs="Arial"/>
          <w:color w:val="000000"/>
          <w:sz w:val="22"/>
          <w:szCs w:val="22"/>
          <w:lang w:eastAsia="en-US"/>
        </w:rPr>
        <w:t xml:space="preserve">to </w:t>
      </w:r>
      <w:r w:rsidR="00313393" w:rsidRPr="00271C01">
        <w:rPr>
          <w:rFonts w:ascii="Arial" w:eastAsia="Calibri" w:hAnsi="Arial" w:cs="Arial"/>
          <w:color w:val="000000"/>
          <w:sz w:val="22"/>
          <w:szCs w:val="22"/>
          <w:lang w:eastAsia="en-US"/>
        </w:rPr>
        <w:t>intercept SMS two-fac</w:t>
      </w:r>
      <w:r w:rsidR="00290F9B" w:rsidRPr="00271C01">
        <w:rPr>
          <w:rFonts w:ascii="Arial" w:eastAsia="Calibri" w:hAnsi="Arial" w:cs="Arial"/>
          <w:color w:val="000000"/>
          <w:sz w:val="22"/>
          <w:szCs w:val="22"/>
          <w:lang w:eastAsia="en-US"/>
        </w:rPr>
        <w:t>tor authentication</w:t>
      </w:r>
      <w:r w:rsidR="00313393" w:rsidRPr="00271C01">
        <w:rPr>
          <w:rFonts w:ascii="Arial" w:eastAsia="Calibri" w:hAnsi="Arial" w:cs="Arial"/>
          <w:color w:val="000000"/>
          <w:sz w:val="22"/>
          <w:szCs w:val="22"/>
          <w:lang w:eastAsia="en-US"/>
        </w:rPr>
        <w:t xml:space="preserve">, </w:t>
      </w:r>
      <w:r w:rsidRPr="00271C01">
        <w:rPr>
          <w:rFonts w:ascii="Arial" w:eastAsia="Calibri" w:hAnsi="Arial" w:cs="Arial"/>
          <w:color w:val="000000"/>
          <w:sz w:val="22"/>
          <w:szCs w:val="22"/>
          <w:lang w:eastAsia="en-US"/>
        </w:rPr>
        <w:t>rendering</w:t>
      </w:r>
      <w:r w:rsidR="00B963E6" w:rsidRPr="00271C01">
        <w:rPr>
          <w:rFonts w:ascii="Arial" w:eastAsia="Calibri" w:hAnsi="Arial" w:cs="Arial"/>
          <w:color w:val="000000"/>
          <w:sz w:val="22"/>
          <w:szCs w:val="22"/>
          <w:lang w:eastAsia="en-US"/>
        </w:rPr>
        <w:t xml:space="preserve"> SMS as a form of identity authentication </w:t>
      </w:r>
      <w:r w:rsidR="00313393" w:rsidRPr="00271C01">
        <w:rPr>
          <w:rFonts w:ascii="Arial" w:eastAsia="Calibri" w:hAnsi="Arial" w:cs="Arial"/>
          <w:color w:val="000000"/>
          <w:sz w:val="22"/>
          <w:szCs w:val="22"/>
          <w:lang w:eastAsia="en-US"/>
        </w:rPr>
        <w:t>highly ineffective to prevent fraudulent number porting</w:t>
      </w:r>
      <w:r w:rsidR="00925C63" w:rsidRPr="00271C01">
        <w:rPr>
          <w:rFonts w:ascii="Arial" w:eastAsia="Calibri" w:hAnsi="Arial" w:cs="Arial"/>
          <w:color w:val="000000"/>
          <w:sz w:val="22"/>
          <w:szCs w:val="22"/>
          <w:lang w:eastAsia="en-US"/>
        </w:rPr>
        <w:t>.</w:t>
      </w:r>
    </w:p>
    <w:p w14:paraId="20D5DFF8" w14:textId="7011001F" w:rsidR="002E4D86" w:rsidRPr="00271C01" w:rsidRDefault="002E4D86" w:rsidP="00271C01">
      <w:pPr>
        <w:pStyle w:val="CommentText"/>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To balance the need for an additional factor of authentication wi</w:t>
      </w:r>
      <w:r w:rsidR="00313393" w:rsidRPr="00271C01">
        <w:rPr>
          <w:rFonts w:ascii="Arial" w:eastAsia="Calibri" w:hAnsi="Arial" w:cs="Arial"/>
          <w:color w:val="000000"/>
          <w:sz w:val="22"/>
          <w:szCs w:val="22"/>
          <w:lang w:eastAsia="en-US"/>
        </w:rPr>
        <w:t xml:space="preserve">th the ease of SMS verification, ACCAN submits that another </w:t>
      </w:r>
      <w:r w:rsidRPr="00271C01">
        <w:rPr>
          <w:rFonts w:ascii="Arial" w:eastAsia="Calibri" w:hAnsi="Arial" w:cs="Arial"/>
          <w:color w:val="000000"/>
          <w:sz w:val="22"/>
          <w:szCs w:val="22"/>
          <w:lang w:eastAsia="en-US"/>
        </w:rPr>
        <w:t xml:space="preserve">layer of protection is needed which will not affect a customer’s existing user experience. There are several alternatives to SMS </w:t>
      </w:r>
      <w:r w:rsidR="00313393" w:rsidRPr="00271C01">
        <w:rPr>
          <w:rFonts w:ascii="Arial" w:eastAsia="Calibri" w:hAnsi="Arial" w:cs="Arial"/>
          <w:color w:val="000000"/>
          <w:sz w:val="22"/>
          <w:szCs w:val="22"/>
          <w:lang w:eastAsia="en-US"/>
        </w:rPr>
        <w:t xml:space="preserve">two-factor authentication </w:t>
      </w:r>
      <w:r w:rsidRPr="00271C01">
        <w:rPr>
          <w:rFonts w:ascii="Arial" w:eastAsia="Calibri" w:hAnsi="Arial" w:cs="Arial"/>
          <w:color w:val="000000"/>
          <w:sz w:val="22"/>
          <w:szCs w:val="22"/>
          <w:lang w:eastAsia="en-US"/>
        </w:rPr>
        <w:t>that are worth considering, including:</w:t>
      </w:r>
    </w:p>
    <w:p w14:paraId="47FDFEB1" w14:textId="4D71EDD5" w:rsidR="002E4D86" w:rsidRPr="00271C01" w:rsidRDefault="00820B96" w:rsidP="006F7376">
      <w:pPr>
        <w:pStyle w:val="ListParagraph"/>
        <w:numPr>
          <w:ilvl w:val="0"/>
          <w:numId w:val="12"/>
        </w:numPr>
        <w:spacing w:after="120" w:line="240" w:lineRule="auto"/>
        <w:ind w:left="357"/>
        <w:rPr>
          <w:rFonts w:ascii="Arial" w:eastAsia="Calibri" w:hAnsi="Arial" w:cs="Arial"/>
          <w:color w:val="000000"/>
          <w:lang w:eastAsia="en-US"/>
        </w:rPr>
      </w:pPr>
      <w:hyperlink r:id="rId9" w:history="1">
        <w:r w:rsidR="002E4D86" w:rsidRPr="00271C01">
          <w:rPr>
            <w:rFonts w:ascii="Arial" w:eastAsia="Calibri" w:hAnsi="Arial" w:cs="Arial"/>
            <w:color w:val="000000"/>
            <w:lang w:eastAsia="en-US"/>
          </w:rPr>
          <w:t>Hardware</w:t>
        </w:r>
        <w:r w:rsidR="00313393" w:rsidRPr="00271C01">
          <w:rPr>
            <w:rFonts w:ascii="Arial" w:eastAsia="Calibri" w:hAnsi="Arial" w:cs="Arial"/>
            <w:color w:val="000000"/>
            <w:lang w:eastAsia="en-US"/>
          </w:rPr>
          <w:t xml:space="preserve"> authentication</w:t>
        </w:r>
        <w:r w:rsidR="002E4D86" w:rsidRPr="00271C01">
          <w:rPr>
            <w:rFonts w:ascii="Arial" w:eastAsia="Calibri" w:hAnsi="Arial" w:cs="Arial"/>
            <w:color w:val="000000"/>
            <w:lang w:eastAsia="en-US"/>
          </w:rPr>
          <w:t xml:space="preserve"> tokens</w:t>
        </w:r>
      </w:hyperlink>
      <w:r w:rsidR="002E4D86" w:rsidRPr="00271C01">
        <w:rPr>
          <w:rFonts w:ascii="Arial" w:eastAsia="Calibri" w:hAnsi="Arial" w:cs="Arial"/>
          <w:color w:val="000000"/>
          <w:lang w:eastAsia="en-US"/>
        </w:rPr>
        <w:t xml:space="preserve"> – </w:t>
      </w:r>
      <w:r w:rsidR="00313393" w:rsidRPr="00271C01">
        <w:rPr>
          <w:rFonts w:ascii="Arial" w:eastAsia="Calibri" w:hAnsi="Arial" w:cs="Arial"/>
          <w:color w:val="000000"/>
          <w:lang w:eastAsia="en-US"/>
        </w:rPr>
        <w:t xml:space="preserve">Hardware authentication relies on a dedicated physical device to grant access. Along with their password, users will also have to input a random token code generated by the device. Logins will fail without the code.  The physical nature of this method does have the potential for </w:t>
      </w:r>
      <w:r w:rsidR="00925C63" w:rsidRPr="00271C01">
        <w:rPr>
          <w:rFonts w:ascii="Arial" w:eastAsia="Calibri" w:hAnsi="Arial" w:cs="Arial"/>
          <w:color w:val="000000"/>
          <w:lang w:eastAsia="en-US"/>
        </w:rPr>
        <w:t>devices to be lost and stolen b</w:t>
      </w:r>
      <w:r w:rsidR="00313393" w:rsidRPr="00271C01">
        <w:rPr>
          <w:rFonts w:ascii="Arial" w:eastAsia="Calibri" w:hAnsi="Arial" w:cs="Arial"/>
          <w:color w:val="000000"/>
          <w:lang w:eastAsia="en-US"/>
        </w:rPr>
        <w:t xml:space="preserve">ut it does address many of the security issues inherent to SMS-based </w:t>
      </w:r>
      <w:r w:rsidR="00925C63" w:rsidRPr="00271C01">
        <w:rPr>
          <w:rFonts w:ascii="Arial" w:eastAsia="Calibri" w:hAnsi="Arial" w:cs="Arial"/>
          <w:color w:val="000000"/>
          <w:lang w:eastAsia="en-US"/>
        </w:rPr>
        <w:t>two-factor authentication</w:t>
      </w:r>
      <w:r w:rsidR="00313393" w:rsidRPr="00271C01">
        <w:rPr>
          <w:rFonts w:ascii="Arial" w:eastAsia="Calibri" w:hAnsi="Arial" w:cs="Arial"/>
          <w:color w:val="000000"/>
          <w:lang w:eastAsia="en-US"/>
        </w:rPr>
        <w:t>.</w:t>
      </w:r>
    </w:p>
    <w:p w14:paraId="5C0337CA" w14:textId="77777777" w:rsidR="00925C63" w:rsidRPr="00271C01" w:rsidRDefault="00925C63" w:rsidP="006F7376">
      <w:pPr>
        <w:pStyle w:val="ListParagraph"/>
        <w:spacing w:after="120" w:line="240" w:lineRule="auto"/>
        <w:ind w:left="357"/>
        <w:rPr>
          <w:rFonts w:ascii="Arial" w:eastAsia="Calibri" w:hAnsi="Arial" w:cs="Arial"/>
          <w:color w:val="000000"/>
          <w:lang w:eastAsia="en-US"/>
        </w:rPr>
      </w:pPr>
    </w:p>
    <w:p w14:paraId="12F0F606" w14:textId="246C66FC" w:rsidR="00925C63" w:rsidRPr="00271C01" w:rsidRDefault="00313393" w:rsidP="006F7376">
      <w:pPr>
        <w:pStyle w:val="ListParagraph"/>
        <w:numPr>
          <w:ilvl w:val="0"/>
          <w:numId w:val="12"/>
        </w:numPr>
        <w:spacing w:after="120" w:line="240" w:lineRule="auto"/>
        <w:ind w:left="357"/>
        <w:rPr>
          <w:rFonts w:ascii="Arial" w:eastAsia="Calibri" w:hAnsi="Arial" w:cs="Arial"/>
          <w:color w:val="000000"/>
          <w:lang w:eastAsia="en-US"/>
        </w:rPr>
      </w:pPr>
      <w:r w:rsidRPr="00271C01">
        <w:rPr>
          <w:rFonts w:ascii="Arial" w:eastAsia="Calibri" w:hAnsi="Arial" w:cs="Arial"/>
          <w:color w:val="000000"/>
          <w:lang w:eastAsia="en-US"/>
        </w:rPr>
        <w:t xml:space="preserve">Software authentication tokens </w:t>
      </w:r>
      <w:r w:rsidR="00925C63" w:rsidRPr="00271C01">
        <w:rPr>
          <w:rFonts w:ascii="Arial" w:eastAsia="Calibri" w:hAnsi="Arial" w:cs="Arial"/>
          <w:color w:val="000000"/>
          <w:lang w:eastAsia="en-US"/>
        </w:rPr>
        <w:t>– Software authentication does not require a physical device and</w:t>
      </w:r>
      <w:r w:rsidRPr="00271C01">
        <w:rPr>
          <w:rFonts w:ascii="Arial" w:eastAsia="Calibri" w:hAnsi="Arial" w:cs="Arial"/>
          <w:color w:val="000000"/>
          <w:lang w:eastAsia="en-US"/>
        </w:rPr>
        <w:t xml:space="preserve"> token codes are generated with a mobile application. </w:t>
      </w:r>
      <w:r w:rsidR="00925C63" w:rsidRPr="00271C01">
        <w:rPr>
          <w:rFonts w:ascii="Arial" w:eastAsia="Calibri" w:hAnsi="Arial" w:cs="Arial"/>
          <w:color w:val="000000"/>
          <w:lang w:eastAsia="en-US"/>
        </w:rPr>
        <w:t>This software doe</w:t>
      </w:r>
      <w:r w:rsidRPr="00271C01">
        <w:rPr>
          <w:rFonts w:ascii="Arial" w:eastAsia="Calibri" w:hAnsi="Arial" w:cs="Arial"/>
          <w:color w:val="000000"/>
          <w:lang w:eastAsia="en-US"/>
        </w:rPr>
        <w:t xml:space="preserve">s not </w:t>
      </w:r>
      <w:r w:rsidR="00925C63" w:rsidRPr="00271C01">
        <w:rPr>
          <w:rFonts w:ascii="Arial" w:eastAsia="Calibri" w:hAnsi="Arial" w:cs="Arial"/>
          <w:color w:val="000000"/>
          <w:lang w:eastAsia="en-US"/>
        </w:rPr>
        <w:t>rely</w:t>
      </w:r>
      <w:r w:rsidRPr="00271C01">
        <w:rPr>
          <w:rFonts w:ascii="Arial" w:eastAsia="Calibri" w:hAnsi="Arial" w:cs="Arial"/>
          <w:color w:val="000000"/>
          <w:lang w:eastAsia="en-US"/>
        </w:rPr>
        <w:t xml:space="preserve"> on SMS or the phone network for authentication, eliminating the inherent flaws in SMS-based </w:t>
      </w:r>
      <w:r w:rsidR="00925C63" w:rsidRPr="00271C01">
        <w:rPr>
          <w:rFonts w:ascii="Arial" w:eastAsia="Calibri" w:hAnsi="Arial" w:cs="Arial"/>
          <w:color w:val="000000"/>
          <w:lang w:eastAsia="en-US"/>
        </w:rPr>
        <w:t>two-factor authentication</w:t>
      </w:r>
      <w:r w:rsidRPr="00271C01">
        <w:rPr>
          <w:rFonts w:ascii="Arial" w:eastAsia="Calibri" w:hAnsi="Arial" w:cs="Arial"/>
          <w:color w:val="000000"/>
          <w:lang w:eastAsia="en-US"/>
        </w:rPr>
        <w:t>.</w:t>
      </w:r>
      <w:r w:rsidR="00925C63" w:rsidRPr="00271C01">
        <w:rPr>
          <w:rStyle w:val="FootnoteReference"/>
          <w:rFonts w:ascii="Arial" w:eastAsia="Calibri" w:hAnsi="Arial" w:cs="Arial"/>
          <w:color w:val="000000"/>
          <w:lang w:eastAsia="en-US"/>
        </w:rPr>
        <w:footnoteReference w:id="5"/>
      </w:r>
    </w:p>
    <w:p w14:paraId="65AC75D5" w14:textId="009224B8" w:rsidR="00203831" w:rsidRPr="00271C01" w:rsidRDefault="005714C5" w:rsidP="006F7376">
      <w:pPr>
        <w:pStyle w:val="CommentText"/>
        <w:spacing w:before="24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ACCAN submits that m</w:t>
      </w:r>
      <w:r w:rsidR="00813839" w:rsidRPr="00271C01">
        <w:rPr>
          <w:rFonts w:ascii="Arial" w:eastAsia="Calibri" w:hAnsi="Arial" w:cs="Arial"/>
          <w:color w:val="000000"/>
          <w:sz w:val="22"/>
          <w:szCs w:val="22"/>
          <w:lang w:eastAsia="en-US"/>
        </w:rPr>
        <w:t>ore stringent methods of personal authentication</w:t>
      </w:r>
      <w:r w:rsidR="003E391C" w:rsidRPr="00271C01">
        <w:rPr>
          <w:rFonts w:ascii="Arial" w:eastAsia="Calibri" w:hAnsi="Arial" w:cs="Arial"/>
          <w:color w:val="000000"/>
          <w:sz w:val="22"/>
          <w:szCs w:val="22"/>
          <w:lang w:eastAsia="en-US"/>
        </w:rPr>
        <w:t xml:space="preserve"> </w:t>
      </w:r>
      <w:r w:rsidR="00290F9B" w:rsidRPr="00271C01">
        <w:rPr>
          <w:rFonts w:ascii="Arial" w:eastAsia="Calibri" w:hAnsi="Arial" w:cs="Arial"/>
          <w:color w:val="000000"/>
          <w:sz w:val="22"/>
          <w:szCs w:val="22"/>
          <w:lang w:eastAsia="en-US"/>
        </w:rPr>
        <w:t xml:space="preserve">than SMS messages, </w:t>
      </w:r>
      <w:r w:rsidR="003E391C" w:rsidRPr="00271C01">
        <w:rPr>
          <w:rFonts w:ascii="Arial" w:eastAsia="Calibri" w:hAnsi="Arial" w:cs="Arial"/>
          <w:color w:val="000000"/>
          <w:sz w:val="22"/>
          <w:szCs w:val="22"/>
          <w:lang w:eastAsia="en-US"/>
        </w:rPr>
        <w:t>which are less vulnerable to phishing, spoofing and hacking</w:t>
      </w:r>
      <w:r w:rsidR="00290F9B" w:rsidRPr="00271C01">
        <w:rPr>
          <w:rFonts w:ascii="Arial" w:eastAsia="Calibri" w:hAnsi="Arial" w:cs="Arial"/>
          <w:color w:val="000000"/>
          <w:sz w:val="22"/>
          <w:szCs w:val="22"/>
          <w:lang w:eastAsia="en-US"/>
        </w:rPr>
        <w:t>,</w:t>
      </w:r>
      <w:r w:rsidR="00925C63" w:rsidRPr="00271C01">
        <w:rPr>
          <w:rFonts w:ascii="Arial" w:eastAsia="Calibri" w:hAnsi="Arial" w:cs="Arial"/>
          <w:color w:val="000000"/>
          <w:sz w:val="22"/>
          <w:szCs w:val="22"/>
          <w:lang w:eastAsia="en-US"/>
        </w:rPr>
        <w:t xml:space="preserve"> </w:t>
      </w:r>
      <w:r w:rsidR="003E391C" w:rsidRPr="00271C01">
        <w:rPr>
          <w:rFonts w:ascii="Arial" w:eastAsia="Calibri" w:hAnsi="Arial" w:cs="Arial"/>
          <w:color w:val="000000"/>
          <w:sz w:val="22"/>
          <w:szCs w:val="22"/>
          <w:lang w:eastAsia="en-US"/>
        </w:rPr>
        <w:t>need to be used</w:t>
      </w:r>
      <w:r w:rsidR="00DB776C" w:rsidRPr="00271C01">
        <w:rPr>
          <w:rFonts w:ascii="Arial" w:eastAsia="Calibri" w:hAnsi="Arial" w:cs="Arial"/>
          <w:color w:val="000000"/>
          <w:sz w:val="22"/>
          <w:szCs w:val="22"/>
          <w:lang w:eastAsia="en-US"/>
        </w:rPr>
        <w:t xml:space="preserve"> to </w:t>
      </w:r>
      <w:r w:rsidR="003E391C" w:rsidRPr="00271C01">
        <w:rPr>
          <w:rFonts w:ascii="Arial" w:eastAsia="Calibri" w:hAnsi="Arial" w:cs="Arial"/>
          <w:color w:val="000000"/>
          <w:sz w:val="22"/>
          <w:szCs w:val="22"/>
          <w:lang w:eastAsia="en-US"/>
        </w:rPr>
        <w:t xml:space="preserve">effectively </w:t>
      </w:r>
      <w:r w:rsidR="00DB776C" w:rsidRPr="00271C01">
        <w:rPr>
          <w:rFonts w:ascii="Arial" w:eastAsia="Calibri" w:hAnsi="Arial" w:cs="Arial"/>
          <w:color w:val="000000"/>
          <w:sz w:val="22"/>
          <w:szCs w:val="22"/>
          <w:lang w:eastAsia="en-US"/>
        </w:rPr>
        <w:t xml:space="preserve">prevent </w:t>
      </w:r>
      <w:r w:rsidR="003E391C" w:rsidRPr="00271C01">
        <w:rPr>
          <w:rFonts w:ascii="Arial" w:eastAsia="Calibri" w:hAnsi="Arial" w:cs="Arial"/>
          <w:color w:val="000000"/>
          <w:sz w:val="22"/>
          <w:szCs w:val="22"/>
          <w:lang w:eastAsia="en-US"/>
        </w:rPr>
        <w:t>fraudulent number porting activity</w:t>
      </w:r>
      <w:r w:rsidR="00DB776C" w:rsidRPr="00271C01">
        <w:rPr>
          <w:rFonts w:ascii="Arial" w:eastAsia="Calibri" w:hAnsi="Arial" w:cs="Arial"/>
          <w:color w:val="000000"/>
          <w:sz w:val="22"/>
          <w:szCs w:val="22"/>
          <w:lang w:eastAsia="en-US"/>
        </w:rPr>
        <w:t>.</w:t>
      </w:r>
      <w:r w:rsidR="00813839" w:rsidRPr="00271C01">
        <w:rPr>
          <w:rFonts w:ascii="Arial" w:eastAsia="Calibri" w:hAnsi="Arial" w:cs="Arial"/>
          <w:color w:val="000000"/>
          <w:sz w:val="22"/>
          <w:szCs w:val="22"/>
          <w:lang w:eastAsia="en-US"/>
        </w:rPr>
        <w:t xml:space="preserve"> </w:t>
      </w:r>
    </w:p>
    <w:p w14:paraId="24316BAF" w14:textId="77777777" w:rsidR="008A1B59" w:rsidRPr="00271C01" w:rsidRDefault="008A1B59" w:rsidP="00271C01">
      <w:pPr>
        <w:pStyle w:val="BodyText1"/>
        <w:spacing w:after="120" w:line="240" w:lineRule="auto"/>
        <w:rPr>
          <w:i/>
          <w:u w:val="single"/>
        </w:rPr>
      </w:pPr>
      <w:r w:rsidRPr="00271C01">
        <w:rPr>
          <w:i/>
          <w:u w:val="single"/>
        </w:rPr>
        <w:t>Biometric</w:t>
      </w:r>
    </w:p>
    <w:p w14:paraId="16FCE35B" w14:textId="60CEDFE1" w:rsidR="008A1B59" w:rsidRPr="00271C01" w:rsidRDefault="008A1B59" w:rsidP="00271C01">
      <w:pPr>
        <w:pStyle w:val="CommentText"/>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 xml:space="preserve">Biometric </w:t>
      </w:r>
      <w:r w:rsidR="00B963E6" w:rsidRPr="00271C01">
        <w:rPr>
          <w:rFonts w:ascii="Arial" w:eastAsia="Calibri" w:hAnsi="Arial" w:cs="Arial"/>
          <w:color w:val="000000"/>
          <w:sz w:val="22"/>
          <w:szCs w:val="22"/>
          <w:lang w:eastAsia="en-US"/>
        </w:rPr>
        <w:t xml:space="preserve">data </w:t>
      </w:r>
      <w:r w:rsidRPr="00271C01">
        <w:rPr>
          <w:rFonts w:ascii="Arial" w:eastAsia="Calibri" w:hAnsi="Arial" w:cs="Arial"/>
          <w:color w:val="000000"/>
          <w:sz w:val="22"/>
          <w:szCs w:val="22"/>
          <w:lang w:eastAsia="en-US"/>
        </w:rPr>
        <w:t>offers a highly secure method of identity verification.</w:t>
      </w:r>
      <w:r w:rsidR="00BE7146" w:rsidRPr="00271C01">
        <w:rPr>
          <w:rFonts w:ascii="Arial" w:eastAsia="Calibri" w:hAnsi="Arial" w:cs="Arial"/>
          <w:color w:val="000000"/>
          <w:sz w:val="22"/>
          <w:szCs w:val="22"/>
          <w:lang w:eastAsia="en-US"/>
        </w:rPr>
        <w:t xml:space="preserve"> ACCAN submits that a form of biometric verification should be </w:t>
      </w:r>
      <w:r w:rsidR="000A7A5C" w:rsidRPr="00271C01">
        <w:rPr>
          <w:rFonts w:ascii="Arial" w:eastAsia="Calibri" w:hAnsi="Arial" w:cs="Arial"/>
          <w:color w:val="000000"/>
          <w:sz w:val="22"/>
          <w:szCs w:val="22"/>
          <w:lang w:eastAsia="en-US"/>
        </w:rPr>
        <w:t>offered to customers</w:t>
      </w:r>
      <w:r w:rsidR="00BE7146" w:rsidRPr="00271C01">
        <w:rPr>
          <w:rFonts w:ascii="Arial" w:eastAsia="Calibri" w:hAnsi="Arial" w:cs="Arial"/>
          <w:color w:val="000000"/>
          <w:sz w:val="22"/>
          <w:szCs w:val="22"/>
          <w:lang w:eastAsia="en-US"/>
        </w:rPr>
        <w:t xml:space="preserve"> as one</w:t>
      </w:r>
      <w:r w:rsidR="00B963E6" w:rsidRPr="00271C01">
        <w:rPr>
          <w:rFonts w:ascii="Arial" w:eastAsia="Calibri" w:hAnsi="Arial" w:cs="Arial"/>
          <w:color w:val="000000"/>
          <w:sz w:val="22"/>
          <w:szCs w:val="22"/>
          <w:lang w:eastAsia="en-US"/>
        </w:rPr>
        <w:t xml:space="preserve"> of the two forms of </w:t>
      </w:r>
      <w:r w:rsidR="00B963E6" w:rsidRPr="00271C01">
        <w:rPr>
          <w:rFonts w:ascii="Arial" w:eastAsia="Calibri" w:hAnsi="Arial" w:cs="Arial"/>
          <w:color w:val="000000"/>
          <w:sz w:val="22"/>
          <w:szCs w:val="22"/>
          <w:lang w:eastAsia="en-US"/>
        </w:rPr>
        <w:lastRenderedPageBreak/>
        <w:t>identification used in the two-factor authentication process</w:t>
      </w:r>
      <w:r w:rsidR="00BE7146" w:rsidRPr="00271C01">
        <w:rPr>
          <w:rFonts w:ascii="Arial" w:eastAsia="Calibri" w:hAnsi="Arial" w:cs="Arial"/>
          <w:color w:val="000000"/>
          <w:sz w:val="22"/>
          <w:szCs w:val="22"/>
          <w:lang w:eastAsia="en-US"/>
        </w:rPr>
        <w:t>.</w:t>
      </w:r>
      <w:r w:rsidR="007915EB" w:rsidRPr="00271C01">
        <w:rPr>
          <w:rFonts w:ascii="Arial" w:eastAsia="Calibri" w:hAnsi="Arial" w:cs="Arial"/>
          <w:color w:val="000000"/>
          <w:sz w:val="22"/>
          <w:szCs w:val="22"/>
          <w:lang w:eastAsia="en-US"/>
        </w:rPr>
        <w:t xml:space="preserve"> </w:t>
      </w:r>
      <w:r w:rsidR="005A04B6" w:rsidRPr="00271C01">
        <w:rPr>
          <w:rFonts w:ascii="Arial" w:eastAsia="Calibri" w:hAnsi="Arial" w:cs="Arial"/>
          <w:color w:val="000000"/>
          <w:sz w:val="22"/>
          <w:szCs w:val="22"/>
          <w:lang w:eastAsia="en-US"/>
        </w:rPr>
        <w:t>However, i</w:t>
      </w:r>
      <w:r w:rsidR="008A01DE" w:rsidRPr="00271C01">
        <w:rPr>
          <w:rFonts w:ascii="Arial" w:eastAsia="Calibri" w:hAnsi="Arial" w:cs="Arial"/>
          <w:color w:val="000000"/>
          <w:sz w:val="22"/>
          <w:szCs w:val="22"/>
          <w:lang w:eastAsia="en-US"/>
        </w:rPr>
        <w:t xml:space="preserve">t is important that use of biometrics should remain optional as it raises significant privacy concerns for some individuals and should not become effectively mandatory. </w:t>
      </w:r>
    </w:p>
    <w:p w14:paraId="7EAAD82C" w14:textId="77777777" w:rsidR="00545A2D" w:rsidRPr="00271C01" w:rsidRDefault="00545A2D" w:rsidP="00271C01">
      <w:pPr>
        <w:pStyle w:val="BodyText1"/>
        <w:spacing w:after="120" w:line="240" w:lineRule="auto"/>
        <w:rPr>
          <w:i/>
          <w:u w:val="single"/>
        </w:rPr>
      </w:pPr>
      <w:r w:rsidRPr="00271C01">
        <w:rPr>
          <w:i/>
          <w:u w:val="single"/>
        </w:rPr>
        <w:t>Documentation</w:t>
      </w:r>
    </w:p>
    <w:p w14:paraId="557CCAF5" w14:textId="77777777" w:rsidR="008C6344" w:rsidRPr="00271C01" w:rsidRDefault="00545A2D" w:rsidP="006F7376">
      <w:pPr>
        <w:pStyle w:val="CommentText"/>
        <w:spacing w:after="12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 xml:space="preserve">The second tier of verification outlined in 8(3), which allows for documentary evidence to verify the identity of the person seeking </w:t>
      </w:r>
      <w:proofErr w:type="gramStart"/>
      <w:r w:rsidRPr="00271C01">
        <w:rPr>
          <w:rFonts w:ascii="Arial" w:eastAsia="Calibri" w:hAnsi="Arial" w:cs="Arial"/>
          <w:color w:val="000000"/>
          <w:sz w:val="22"/>
          <w:szCs w:val="22"/>
          <w:lang w:eastAsia="en-US"/>
        </w:rPr>
        <w:t>to have</w:t>
      </w:r>
      <w:proofErr w:type="gramEnd"/>
      <w:r w:rsidRPr="00271C01">
        <w:rPr>
          <w:rFonts w:ascii="Arial" w:eastAsia="Calibri" w:hAnsi="Arial" w:cs="Arial"/>
          <w:color w:val="000000"/>
          <w:sz w:val="22"/>
          <w:szCs w:val="22"/>
          <w:lang w:eastAsia="en-US"/>
        </w:rPr>
        <w:t xml:space="preserve"> their mobile service number ported “where the gaining provider is unable to confirm that the initiating person is the rights of use holder”, </w:t>
      </w:r>
      <w:r w:rsidR="00DB3FA1" w:rsidRPr="00271C01">
        <w:rPr>
          <w:rFonts w:ascii="Arial" w:eastAsia="Calibri" w:hAnsi="Arial" w:cs="Arial"/>
          <w:color w:val="000000"/>
          <w:sz w:val="22"/>
          <w:szCs w:val="22"/>
          <w:lang w:eastAsia="en-US"/>
        </w:rPr>
        <w:t xml:space="preserve">has the potential to </w:t>
      </w:r>
      <w:r w:rsidRPr="00271C01">
        <w:rPr>
          <w:rFonts w:ascii="Arial" w:eastAsia="Calibri" w:hAnsi="Arial" w:cs="Arial"/>
          <w:color w:val="000000"/>
          <w:sz w:val="22"/>
          <w:szCs w:val="22"/>
          <w:lang w:eastAsia="en-US"/>
        </w:rPr>
        <w:t>undermine the stringency of the verification procedures outlined in 8(2).</w:t>
      </w:r>
    </w:p>
    <w:p w14:paraId="195EFCA8" w14:textId="014F2730" w:rsidR="00516770" w:rsidRPr="00271C01" w:rsidRDefault="008C6344" w:rsidP="006F7376">
      <w:pPr>
        <w:pStyle w:val="CommentText"/>
        <w:spacing w:after="12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ACCAN submits that consideration should be given to situations wh</w:t>
      </w:r>
      <w:r w:rsidR="00D86BE2" w:rsidRPr="00271C01">
        <w:rPr>
          <w:rFonts w:ascii="Arial" w:eastAsia="Calibri" w:hAnsi="Arial" w:cs="Arial"/>
          <w:color w:val="000000"/>
          <w:sz w:val="22"/>
          <w:szCs w:val="22"/>
          <w:lang w:eastAsia="en-US"/>
        </w:rPr>
        <w:t>en</w:t>
      </w:r>
      <w:r w:rsidRPr="00271C01">
        <w:rPr>
          <w:rFonts w:ascii="Arial" w:eastAsia="Calibri" w:hAnsi="Arial" w:cs="Arial"/>
          <w:color w:val="000000"/>
          <w:sz w:val="22"/>
          <w:szCs w:val="22"/>
          <w:lang w:eastAsia="en-US"/>
        </w:rPr>
        <w:t xml:space="preserve"> </w:t>
      </w:r>
      <w:r w:rsidR="00216B63" w:rsidRPr="00271C01">
        <w:rPr>
          <w:rFonts w:ascii="Arial" w:eastAsia="Calibri" w:hAnsi="Arial" w:cs="Arial"/>
          <w:color w:val="000000"/>
          <w:sz w:val="22"/>
          <w:szCs w:val="22"/>
          <w:lang w:eastAsia="en-US"/>
        </w:rPr>
        <w:t xml:space="preserve">confidential documents such as passports and birth certificates </w:t>
      </w:r>
      <w:r w:rsidR="00516770" w:rsidRPr="00271C01">
        <w:rPr>
          <w:rFonts w:ascii="Arial" w:eastAsia="Calibri" w:hAnsi="Arial" w:cs="Arial"/>
          <w:color w:val="000000"/>
          <w:sz w:val="22"/>
          <w:szCs w:val="22"/>
          <w:lang w:eastAsia="en-US"/>
        </w:rPr>
        <w:t>have been</w:t>
      </w:r>
      <w:r w:rsidR="00216B63" w:rsidRPr="00271C01">
        <w:rPr>
          <w:rFonts w:ascii="Arial" w:eastAsia="Calibri" w:hAnsi="Arial" w:cs="Arial"/>
          <w:color w:val="000000"/>
          <w:sz w:val="22"/>
          <w:szCs w:val="22"/>
          <w:lang w:eastAsia="en-US"/>
        </w:rPr>
        <w:t xml:space="preserve"> stored in email accounts by customers, and </w:t>
      </w:r>
      <w:r w:rsidRPr="00271C01">
        <w:rPr>
          <w:rFonts w:ascii="Arial" w:eastAsia="Calibri" w:hAnsi="Arial" w:cs="Arial"/>
          <w:color w:val="000000"/>
          <w:sz w:val="22"/>
          <w:szCs w:val="22"/>
          <w:lang w:eastAsia="en-US"/>
        </w:rPr>
        <w:t xml:space="preserve">hackers have secured fraudulent access to </w:t>
      </w:r>
      <w:r w:rsidR="00216B63" w:rsidRPr="00271C01">
        <w:rPr>
          <w:rFonts w:ascii="Arial" w:eastAsia="Calibri" w:hAnsi="Arial" w:cs="Arial"/>
          <w:color w:val="000000"/>
          <w:sz w:val="22"/>
          <w:szCs w:val="22"/>
          <w:lang w:eastAsia="en-US"/>
        </w:rPr>
        <w:t xml:space="preserve">those </w:t>
      </w:r>
      <w:r w:rsidRPr="00271C01">
        <w:rPr>
          <w:rFonts w:ascii="Arial" w:eastAsia="Calibri" w:hAnsi="Arial" w:cs="Arial"/>
          <w:color w:val="000000"/>
          <w:sz w:val="22"/>
          <w:szCs w:val="22"/>
          <w:lang w:eastAsia="en-US"/>
        </w:rPr>
        <w:t>customers</w:t>
      </w:r>
      <w:r w:rsidR="00954F3A" w:rsidRPr="00271C01">
        <w:rPr>
          <w:rFonts w:ascii="Arial" w:eastAsia="Calibri" w:hAnsi="Arial" w:cs="Arial"/>
          <w:color w:val="000000"/>
          <w:sz w:val="22"/>
          <w:szCs w:val="22"/>
          <w:lang w:eastAsia="en-US"/>
        </w:rPr>
        <w:t>’</w:t>
      </w:r>
      <w:r w:rsidRPr="00271C01">
        <w:rPr>
          <w:rFonts w:ascii="Arial" w:eastAsia="Calibri" w:hAnsi="Arial" w:cs="Arial"/>
          <w:color w:val="000000"/>
          <w:sz w:val="22"/>
          <w:szCs w:val="22"/>
          <w:lang w:eastAsia="en-US"/>
        </w:rPr>
        <w:t xml:space="preserve"> email accounts</w:t>
      </w:r>
      <w:r w:rsidR="00ED25D8" w:rsidRPr="00271C01">
        <w:rPr>
          <w:rFonts w:ascii="Arial" w:eastAsia="Calibri" w:hAnsi="Arial" w:cs="Arial"/>
          <w:color w:val="000000"/>
          <w:sz w:val="22"/>
          <w:szCs w:val="22"/>
          <w:lang w:eastAsia="en-US"/>
        </w:rPr>
        <w:t xml:space="preserve">. In such circumstances, documentary evidence </w:t>
      </w:r>
      <w:r w:rsidR="00516770" w:rsidRPr="00271C01">
        <w:rPr>
          <w:rFonts w:ascii="Arial" w:eastAsia="Calibri" w:hAnsi="Arial" w:cs="Arial"/>
          <w:color w:val="000000"/>
          <w:sz w:val="22"/>
          <w:szCs w:val="22"/>
          <w:lang w:eastAsia="en-US"/>
        </w:rPr>
        <w:t xml:space="preserve">can be fraudulently obtained and used </w:t>
      </w:r>
      <w:r w:rsidR="00ED25D8" w:rsidRPr="00271C01">
        <w:rPr>
          <w:rFonts w:ascii="Arial" w:eastAsia="Calibri" w:hAnsi="Arial" w:cs="Arial"/>
          <w:color w:val="000000"/>
          <w:sz w:val="22"/>
          <w:szCs w:val="22"/>
          <w:lang w:eastAsia="en-US"/>
        </w:rPr>
        <w:t>as proof of identity</w:t>
      </w:r>
      <w:r w:rsidR="00516770" w:rsidRPr="00271C01">
        <w:rPr>
          <w:rFonts w:ascii="Arial" w:eastAsia="Calibri" w:hAnsi="Arial" w:cs="Arial"/>
          <w:color w:val="000000"/>
          <w:sz w:val="22"/>
          <w:szCs w:val="22"/>
          <w:lang w:eastAsia="en-US"/>
        </w:rPr>
        <w:t xml:space="preserve">. </w:t>
      </w:r>
    </w:p>
    <w:p w14:paraId="7B340013" w14:textId="388934F6" w:rsidR="00BD2376" w:rsidRPr="00271C01" w:rsidRDefault="00954F3A" w:rsidP="006F7376">
      <w:pPr>
        <w:pStyle w:val="CommentText"/>
        <w:spacing w:after="12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In these situations</w:t>
      </w:r>
      <w:r w:rsidR="00516770" w:rsidRPr="00271C01">
        <w:rPr>
          <w:rFonts w:ascii="Arial" w:eastAsia="Calibri" w:hAnsi="Arial" w:cs="Arial"/>
          <w:color w:val="000000"/>
          <w:sz w:val="22"/>
          <w:szCs w:val="22"/>
          <w:lang w:eastAsia="en-US"/>
        </w:rPr>
        <w:t xml:space="preserve">, while documentary evidence might be used as one factor of authentication, the second authentication factor might need to be more secure while still user-friendly – for example, use of hardware or software authentication tokens or biometric data – to prevent fraudulent number porting. </w:t>
      </w:r>
    </w:p>
    <w:p w14:paraId="14F3CEEB" w14:textId="77777777" w:rsidR="0035466B" w:rsidRPr="00271C01" w:rsidRDefault="0035466B" w:rsidP="00B416B9">
      <w:pPr>
        <w:pStyle w:val="BodyText1"/>
        <w:spacing w:before="240"/>
        <w:rPr>
          <w:b/>
          <w:i/>
        </w:rPr>
      </w:pPr>
      <w:r w:rsidRPr="00271C01">
        <w:rPr>
          <w:b/>
          <w:i/>
        </w:rPr>
        <w:t>Are there additional processes that should be considered?</w:t>
      </w:r>
    </w:p>
    <w:p w14:paraId="33BF1295" w14:textId="4262FBF1" w:rsidR="00967943" w:rsidRPr="00271C01" w:rsidRDefault="00967943" w:rsidP="006F7376">
      <w:pPr>
        <w:pStyle w:val="CommentText"/>
        <w:spacing w:after="12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ACCAN questions whether the draft standard provides too much flexibility in terms of methods of identity authentication that can be used by mobile carriage service providers to effectively prevent fraudulent number porting.</w:t>
      </w:r>
    </w:p>
    <w:p w14:paraId="6855C424" w14:textId="6A682796" w:rsidR="00BD2376" w:rsidRPr="00271C01" w:rsidRDefault="00BD2376" w:rsidP="006F7376">
      <w:pPr>
        <w:pStyle w:val="CommentText"/>
        <w:spacing w:after="12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ACCAN</w:t>
      </w:r>
      <w:r w:rsidR="00967943" w:rsidRPr="00271C01">
        <w:rPr>
          <w:rFonts w:ascii="Arial" w:eastAsia="Calibri" w:hAnsi="Arial" w:cs="Arial"/>
          <w:color w:val="000000"/>
          <w:sz w:val="22"/>
          <w:szCs w:val="22"/>
          <w:lang w:eastAsia="en-US"/>
        </w:rPr>
        <w:t xml:space="preserve"> also</w:t>
      </w:r>
      <w:r w:rsidRPr="00271C01">
        <w:rPr>
          <w:rFonts w:ascii="Arial" w:eastAsia="Calibri" w:hAnsi="Arial" w:cs="Arial"/>
          <w:color w:val="000000"/>
          <w:sz w:val="22"/>
          <w:szCs w:val="22"/>
          <w:lang w:eastAsia="en-US"/>
        </w:rPr>
        <w:t xml:space="preserve"> </w:t>
      </w:r>
      <w:r w:rsidR="005A04B6" w:rsidRPr="00271C01">
        <w:rPr>
          <w:rFonts w:ascii="Arial" w:eastAsia="Calibri" w:hAnsi="Arial" w:cs="Arial"/>
          <w:color w:val="000000"/>
          <w:sz w:val="22"/>
          <w:szCs w:val="22"/>
          <w:lang w:eastAsia="en-US"/>
        </w:rPr>
        <w:t>has</w:t>
      </w:r>
      <w:r w:rsidRPr="00271C01">
        <w:rPr>
          <w:rFonts w:ascii="Arial" w:eastAsia="Calibri" w:hAnsi="Arial" w:cs="Arial"/>
          <w:color w:val="000000"/>
          <w:sz w:val="22"/>
          <w:szCs w:val="22"/>
          <w:lang w:eastAsia="en-US"/>
        </w:rPr>
        <w:t xml:space="preserve"> concerns about the method by which the test in 8(5) is satisfied – i.e. by what criteria is the “the gaining mobile service provider…satisfied that, in relation to the mobile service number which is the subject of the porting request, the initiating person is the customer for that mobile service number or the authorised representative of that customer.”</w:t>
      </w:r>
    </w:p>
    <w:p w14:paraId="3D5290D0" w14:textId="6306EDE4" w:rsidR="005714C5" w:rsidRPr="00271C01" w:rsidRDefault="005714C5" w:rsidP="006F7376">
      <w:pPr>
        <w:pStyle w:val="CommentText"/>
        <w:spacing w:after="12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ACCAN is aware that there have been instances where customers’ numbers have been ported even where they have not provided the six digit verification code sent to them via SMS to the gaining mobile service provider.</w:t>
      </w:r>
      <w:r w:rsidRPr="00271C01">
        <w:rPr>
          <w:rStyle w:val="FootnoteReference"/>
          <w:rFonts w:ascii="Arial" w:eastAsia="Calibri" w:hAnsi="Arial" w:cs="Arial"/>
          <w:color w:val="000000"/>
          <w:sz w:val="22"/>
          <w:szCs w:val="22"/>
          <w:lang w:eastAsia="en-US"/>
        </w:rPr>
        <w:footnoteReference w:id="6"/>
      </w:r>
      <w:r w:rsidRPr="00271C01">
        <w:rPr>
          <w:rFonts w:ascii="Arial" w:eastAsia="Calibri" w:hAnsi="Arial" w:cs="Arial"/>
          <w:color w:val="000000"/>
          <w:sz w:val="22"/>
          <w:szCs w:val="22"/>
          <w:lang w:eastAsia="en-US"/>
        </w:rPr>
        <w:t xml:space="preserve"> This suggests that the necessary security protocols to verify authentication are not being followed. Imposing penalties </w:t>
      </w:r>
      <w:r w:rsidR="009F0D7A" w:rsidRPr="00271C01">
        <w:rPr>
          <w:rFonts w:ascii="Arial" w:eastAsia="Calibri" w:hAnsi="Arial" w:cs="Arial"/>
          <w:color w:val="000000"/>
          <w:sz w:val="22"/>
          <w:szCs w:val="22"/>
          <w:lang w:eastAsia="en-US"/>
        </w:rPr>
        <w:t xml:space="preserve">for infringement </w:t>
      </w:r>
      <w:r w:rsidRPr="00271C01">
        <w:rPr>
          <w:rFonts w:ascii="Arial" w:eastAsia="Calibri" w:hAnsi="Arial" w:cs="Arial"/>
          <w:color w:val="000000"/>
          <w:sz w:val="22"/>
          <w:szCs w:val="22"/>
          <w:lang w:eastAsia="en-US"/>
        </w:rPr>
        <w:t>on both the losing and gaining carriage service providers</w:t>
      </w:r>
      <w:r w:rsidR="009F0D7A" w:rsidRPr="00271C01">
        <w:rPr>
          <w:rFonts w:ascii="Arial" w:eastAsia="Calibri" w:hAnsi="Arial" w:cs="Arial"/>
          <w:color w:val="000000"/>
          <w:sz w:val="22"/>
          <w:szCs w:val="22"/>
          <w:lang w:eastAsia="en-US"/>
        </w:rPr>
        <w:t xml:space="preserve"> – for example, fines - </w:t>
      </w:r>
      <w:r w:rsidR="000A7A5C" w:rsidRPr="00271C01">
        <w:rPr>
          <w:rFonts w:ascii="Arial" w:eastAsia="Calibri" w:hAnsi="Arial" w:cs="Arial"/>
          <w:color w:val="000000"/>
          <w:sz w:val="22"/>
          <w:szCs w:val="22"/>
          <w:lang w:eastAsia="en-US"/>
        </w:rPr>
        <w:t>in cases where</w:t>
      </w:r>
      <w:r w:rsidRPr="00271C01">
        <w:rPr>
          <w:rFonts w:ascii="Arial" w:eastAsia="Calibri" w:hAnsi="Arial" w:cs="Arial"/>
          <w:color w:val="000000"/>
          <w:sz w:val="22"/>
          <w:szCs w:val="22"/>
          <w:lang w:eastAsia="en-US"/>
        </w:rPr>
        <w:t xml:space="preserve"> rigorous authentication processes </w:t>
      </w:r>
      <w:r w:rsidR="000A7A5C" w:rsidRPr="00271C01">
        <w:rPr>
          <w:rFonts w:ascii="Arial" w:eastAsia="Calibri" w:hAnsi="Arial" w:cs="Arial"/>
          <w:color w:val="000000"/>
          <w:sz w:val="22"/>
          <w:szCs w:val="22"/>
          <w:lang w:eastAsia="en-US"/>
        </w:rPr>
        <w:t>have</w:t>
      </w:r>
      <w:r w:rsidRPr="00271C01">
        <w:rPr>
          <w:rFonts w:ascii="Arial" w:eastAsia="Calibri" w:hAnsi="Arial" w:cs="Arial"/>
          <w:color w:val="000000"/>
          <w:sz w:val="22"/>
          <w:szCs w:val="22"/>
          <w:lang w:eastAsia="en-US"/>
        </w:rPr>
        <w:t xml:space="preserve"> not </w:t>
      </w:r>
      <w:r w:rsidR="000A7A5C" w:rsidRPr="00271C01">
        <w:rPr>
          <w:rFonts w:ascii="Arial" w:eastAsia="Calibri" w:hAnsi="Arial" w:cs="Arial"/>
          <w:color w:val="000000"/>
          <w:sz w:val="22"/>
          <w:szCs w:val="22"/>
          <w:lang w:eastAsia="en-US"/>
        </w:rPr>
        <w:t>be</w:t>
      </w:r>
      <w:r w:rsidR="00D13C27" w:rsidRPr="00271C01">
        <w:rPr>
          <w:rFonts w:ascii="Arial" w:eastAsia="Calibri" w:hAnsi="Arial" w:cs="Arial"/>
          <w:color w:val="000000"/>
          <w:sz w:val="22"/>
          <w:szCs w:val="22"/>
          <w:lang w:eastAsia="en-US"/>
        </w:rPr>
        <w:t>e</w:t>
      </w:r>
      <w:r w:rsidR="000A7A5C" w:rsidRPr="00271C01">
        <w:rPr>
          <w:rFonts w:ascii="Arial" w:eastAsia="Calibri" w:hAnsi="Arial" w:cs="Arial"/>
          <w:color w:val="000000"/>
          <w:sz w:val="22"/>
          <w:szCs w:val="22"/>
          <w:lang w:eastAsia="en-US"/>
        </w:rPr>
        <w:t xml:space="preserve">n </w:t>
      </w:r>
      <w:r w:rsidRPr="00271C01">
        <w:rPr>
          <w:rFonts w:ascii="Arial" w:eastAsia="Calibri" w:hAnsi="Arial" w:cs="Arial"/>
          <w:color w:val="000000"/>
          <w:sz w:val="22"/>
          <w:szCs w:val="22"/>
          <w:lang w:eastAsia="en-US"/>
        </w:rPr>
        <w:t xml:space="preserve">followed would act as a deterrent </w:t>
      </w:r>
      <w:r w:rsidR="000A7A5C" w:rsidRPr="00271C01">
        <w:rPr>
          <w:rFonts w:ascii="Arial" w:eastAsia="Calibri" w:hAnsi="Arial" w:cs="Arial"/>
          <w:color w:val="000000"/>
          <w:sz w:val="22"/>
          <w:szCs w:val="22"/>
          <w:lang w:eastAsia="en-US"/>
        </w:rPr>
        <w:t>to lax identity verification practices.</w:t>
      </w:r>
    </w:p>
    <w:p w14:paraId="2F340088" w14:textId="06D3DABC" w:rsidR="00954F3A" w:rsidRPr="00271C01" w:rsidRDefault="00954F3A" w:rsidP="006F7376">
      <w:pPr>
        <w:pStyle w:val="CommentText"/>
        <w:spacing w:after="12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B</w:t>
      </w:r>
      <w:r w:rsidR="00A90488" w:rsidRPr="00271C01">
        <w:rPr>
          <w:rFonts w:ascii="Arial" w:eastAsia="Calibri" w:hAnsi="Arial" w:cs="Arial"/>
          <w:color w:val="000000"/>
          <w:sz w:val="22"/>
          <w:szCs w:val="22"/>
          <w:lang w:eastAsia="en-US"/>
        </w:rPr>
        <w:t xml:space="preserve">oosted identity checks should be a default obligation on telecommunications providers to prevent fraudulent number porting. This is an option that can be requested by consumers on a case-by-case basis but is often only requested by victims after they have been targeted in a number porting scam. </w:t>
      </w:r>
    </w:p>
    <w:p w14:paraId="2BE57B58" w14:textId="77777777" w:rsidR="000C383F" w:rsidRPr="00271C01" w:rsidRDefault="00D805F6" w:rsidP="006F7376">
      <w:pPr>
        <w:pStyle w:val="CommentText"/>
        <w:spacing w:after="12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A</w:t>
      </w:r>
      <w:r w:rsidR="006769DB" w:rsidRPr="00271C01">
        <w:rPr>
          <w:rFonts w:ascii="Arial" w:eastAsia="Calibri" w:hAnsi="Arial" w:cs="Arial"/>
          <w:color w:val="000000"/>
          <w:sz w:val="22"/>
          <w:szCs w:val="22"/>
          <w:lang w:eastAsia="en-US"/>
        </w:rPr>
        <w:t xml:space="preserve">lthough </w:t>
      </w:r>
      <w:r w:rsidR="00967943" w:rsidRPr="00271C01">
        <w:rPr>
          <w:rFonts w:ascii="Arial" w:eastAsia="Calibri" w:hAnsi="Arial" w:cs="Arial"/>
          <w:color w:val="000000"/>
          <w:sz w:val="22"/>
          <w:szCs w:val="22"/>
          <w:lang w:eastAsia="en-US"/>
        </w:rPr>
        <w:t xml:space="preserve">the authentication methods suggested by ACCAN in this submission – for example, </w:t>
      </w:r>
      <w:r w:rsidR="006769DB" w:rsidRPr="00271C01">
        <w:rPr>
          <w:rFonts w:ascii="Arial" w:eastAsia="Calibri" w:hAnsi="Arial" w:cs="Arial"/>
          <w:color w:val="000000"/>
          <w:sz w:val="22"/>
          <w:szCs w:val="22"/>
          <w:lang w:eastAsia="en-US"/>
        </w:rPr>
        <w:t>a two-step authentication process built into an app on a smartphone, use o</w:t>
      </w:r>
      <w:r w:rsidR="00954F3A" w:rsidRPr="00271C01">
        <w:rPr>
          <w:rFonts w:ascii="Arial" w:eastAsia="Calibri" w:hAnsi="Arial" w:cs="Arial"/>
          <w:color w:val="000000"/>
          <w:sz w:val="22"/>
          <w:szCs w:val="22"/>
          <w:lang w:eastAsia="en-US"/>
        </w:rPr>
        <w:t xml:space="preserve">f </w:t>
      </w:r>
      <w:r w:rsidR="00967943" w:rsidRPr="00271C01">
        <w:rPr>
          <w:rFonts w:ascii="Arial" w:eastAsia="Calibri" w:hAnsi="Arial" w:cs="Arial"/>
          <w:color w:val="000000"/>
          <w:sz w:val="22"/>
          <w:szCs w:val="22"/>
          <w:lang w:eastAsia="en-US"/>
        </w:rPr>
        <w:t xml:space="preserve">hardware and/or software </w:t>
      </w:r>
      <w:r w:rsidR="00954F3A" w:rsidRPr="00271C01">
        <w:rPr>
          <w:rFonts w:ascii="Arial" w:eastAsia="Calibri" w:hAnsi="Arial" w:cs="Arial"/>
          <w:color w:val="000000"/>
          <w:sz w:val="22"/>
          <w:szCs w:val="22"/>
          <w:lang w:eastAsia="en-US"/>
        </w:rPr>
        <w:t xml:space="preserve">authentication tokens </w:t>
      </w:r>
      <w:r w:rsidR="006769DB" w:rsidRPr="00271C01">
        <w:rPr>
          <w:rFonts w:ascii="Arial" w:eastAsia="Calibri" w:hAnsi="Arial" w:cs="Arial"/>
          <w:color w:val="000000"/>
          <w:sz w:val="22"/>
          <w:szCs w:val="22"/>
          <w:lang w:eastAsia="en-US"/>
        </w:rPr>
        <w:t xml:space="preserve">and </w:t>
      </w:r>
      <w:r w:rsidR="00967943" w:rsidRPr="00271C01">
        <w:rPr>
          <w:rFonts w:ascii="Arial" w:eastAsia="Calibri" w:hAnsi="Arial" w:cs="Arial"/>
          <w:color w:val="000000"/>
          <w:sz w:val="22"/>
          <w:szCs w:val="22"/>
          <w:lang w:eastAsia="en-US"/>
        </w:rPr>
        <w:t>(</w:t>
      </w:r>
      <w:r w:rsidR="008A01DE" w:rsidRPr="00271C01">
        <w:rPr>
          <w:rFonts w:ascii="Arial" w:eastAsia="Calibri" w:hAnsi="Arial" w:cs="Arial"/>
          <w:color w:val="000000"/>
          <w:sz w:val="22"/>
          <w:szCs w:val="22"/>
          <w:lang w:eastAsia="en-US"/>
        </w:rPr>
        <w:t>optionally</w:t>
      </w:r>
      <w:r w:rsidR="00967943" w:rsidRPr="00271C01">
        <w:rPr>
          <w:rFonts w:ascii="Arial" w:eastAsia="Calibri" w:hAnsi="Arial" w:cs="Arial"/>
          <w:color w:val="000000"/>
          <w:sz w:val="22"/>
          <w:szCs w:val="22"/>
          <w:lang w:eastAsia="en-US"/>
        </w:rPr>
        <w:t xml:space="preserve">) </w:t>
      </w:r>
      <w:r w:rsidR="006769DB" w:rsidRPr="00271C01">
        <w:rPr>
          <w:rFonts w:ascii="Arial" w:eastAsia="Calibri" w:hAnsi="Arial" w:cs="Arial"/>
          <w:color w:val="000000"/>
          <w:sz w:val="22"/>
          <w:szCs w:val="22"/>
          <w:lang w:eastAsia="en-US"/>
        </w:rPr>
        <w:t xml:space="preserve">biometric data </w:t>
      </w:r>
      <w:r w:rsidR="00967943" w:rsidRPr="00271C01">
        <w:rPr>
          <w:rFonts w:ascii="Arial" w:eastAsia="Calibri" w:hAnsi="Arial" w:cs="Arial"/>
          <w:color w:val="000000"/>
          <w:sz w:val="22"/>
          <w:szCs w:val="22"/>
          <w:lang w:eastAsia="en-US"/>
        </w:rPr>
        <w:t xml:space="preserve">- </w:t>
      </w:r>
      <w:r w:rsidR="006769DB" w:rsidRPr="00271C01">
        <w:rPr>
          <w:rFonts w:ascii="Arial" w:eastAsia="Calibri" w:hAnsi="Arial" w:cs="Arial"/>
          <w:color w:val="000000"/>
          <w:sz w:val="22"/>
          <w:szCs w:val="22"/>
          <w:lang w:eastAsia="en-US"/>
        </w:rPr>
        <w:t xml:space="preserve">offer state-of-the-art solutions to protect customers from fraudulent mobile number porting at this point in time, </w:t>
      </w:r>
      <w:r w:rsidRPr="00271C01">
        <w:rPr>
          <w:rFonts w:ascii="Arial" w:eastAsia="Calibri" w:hAnsi="Arial" w:cs="Arial"/>
          <w:color w:val="000000"/>
          <w:sz w:val="22"/>
          <w:szCs w:val="22"/>
          <w:lang w:eastAsia="en-US"/>
        </w:rPr>
        <w:t>fraudsters will continue to devise new ways to port numbers if it is to their advantage.</w:t>
      </w:r>
    </w:p>
    <w:p w14:paraId="0E7C50C3" w14:textId="7EA99C88" w:rsidR="00634DFB" w:rsidRPr="00271C01" w:rsidRDefault="00D805F6" w:rsidP="006F7376">
      <w:pPr>
        <w:spacing w:after="120" w:line="240" w:lineRule="auto"/>
        <w:rPr>
          <w:rFonts w:ascii="Arial" w:eastAsia="Calibri" w:hAnsi="Arial" w:cs="Arial"/>
          <w:color w:val="000000"/>
          <w:lang w:eastAsia="en-US"/>
        </w:rPr>
      </w:pPr>
      <w:r w:rsidRPr="00271C01">
        <w:rPr>
          <w:rFonts w:ascii="Arial" w:eastAsia="Calibri" w:hAnsi="Arial" w:cs="Arial"/>
          <w:color w:val="000000"/>
          <w:lang w:eastAsia="en-US"/>
        </w:rPr>
        <w:t xml:space="preserve">ACCAN notes </w:t>
      </w:r>
      <w:r w:rsidR="006769DB" w:rsidRPr="00271C01">
        <w:rPr>
          <w:rFonts w:ascii="Arial" w:eastAsia="Calibri" w:hAnsi="Arial" w:cs="Arial"/>
          <w:color w:val="000000"/>
          <w:lang w:eastAsia="en-US"/>
        </w:rPr>
        <w:t>it is vital that the technology used by mobile carriage service providers to prevent fraudulent mobile number porting is constantly updated</w:t>
      </w:r>
      <w:r w:rsidR="000C383F" w:rsidRPr="00271C01">
        <w:rPr>
          <w:rFonts w:ascii="Arial" w:eastAsia="Calibri" w:hAnsi="Arial" w:cs="Arial"/>
          <w:color w:val="000000"/>
          <w:lang w:eastAsia="en-US"/>
        </w:rPr>
        <w:t xml:space="preserve"> to provide gold standard information and cyber security, </w:t>
      </w:r>
      <w:r w:rsidR="00AC2796" w:rsidRPr="00271C01">
        <w:rPr>
          <w:rFonts w:ascii="Arial" w:eastAsia="Calibri" w:hAnsi="Arial" w:cs="Arial"/>
          <w:color w:val="000000"/>
          <w:lang w:eastAsia="en-US"/>
        </w:rPr>
        <w:t>particularly in the context of the rollout of 5G technology</w:t>
      </w:r>
      <w:r w:rsidR="000C383F" w:rsidRPr="00271C01">
        <w:rPr>
          <w:rFonts w:ascii="Arial" w:eastAsia="Calibri" w:hAnsi="Arial" w:cs="Arial"/>
          <w:color w:val="000000"/>
          <w:lang w:eastAsia="en-US"/>
        </w:rPr>
        <w:t xml:space="preserve">. 5G </w:t>
      </w:r>
      <w:proofErr w:type="gramStart"/>
      <w:r w:rsidR="000C383F" w:rsidRPr="00271C01">
        <w:rPr>
          <w:rFonts w:ascii="Arial" w:eastAsia="Calibri" w:hAnsi="Arial" w:cs="Arial"/>
          <w:color w:val="000000"/>
          <w:lang w:eastAsia="en-US"/>
        </w:rPr>
        <w:t>technology</w:t>
      </w:r>
      <w:proofErr w:type="gramEnd"/>
      <w:r w:rsidR="000C383F" w:rsidRPr="00271C01">
        <w:rPr>
          <w:rFonts w:ascii="Arial" w:eastAsia="Calibri" w:hAnsi="Arial" w:cs="Arial"/>
          <w:color w:val="000000"/>
          <w:lang w:eastAsia="en-US"/>
        </w:rPr>
        <w:t xml:space="preserve"> will generate and collect more personal data, enable the proliferation of interconnected devices and increase the risk of exposing personal data to harm. </w:t>
      </w:r>
    </w:p>
    <w:p w14:paraId="52331318" w14:textId="77777777" w:rsidR="001B6F8C" w:rsidRPr="00271C01" w:rsidRDefault="001B6F8C" w:rsidP="00D23C48">
      <w:pPr>
        <w:pStyle w:val="BodyText1"/>
        <w:numPr>
          <w:ilvl w:val="0"/>
          <w:numId w:val="4"/>
        </w:numPr>
        <w:spacing w:before="240" w:after="120" w:line="240" w:lineRule="auto"/>
        <w:ind w:left="357" w:hanging="357"/>
        <w:rPr>
          <w:u w:val="single"/>
        </w:rPr>
      </w:pPr>
      <w:r w:rsidRPr="00271C01">
        <w:rPr>
          <w:u w:val="single"/>
        </w:rPr>
        <w:lastRenderedPageBreak/>
        <w:t>Application to customer types</w:t>
      </w:r>
    </w:p>
    <w:p w14:paraId="0F295C6A" w14:textId="4A456D9F" w:rsidR="00465B4B" w:rsidRPr="00B416B9" w:rsidRDefault="0035466B" w:rsidP="0056638C">
      <w:pPr>
        <w:pStyle w:val="BodyText1"/>
        <w:spacing w:before="240"/>
        <w:rPr>
          <w:b/>
          <w:i/>
        </w:rPr>
      </w:pPr>
      <w:r w:rsidRPr="00271C01">
        <w:rPr>
          <w:b/>
          <w:i/>
        </w:rPr>
        <w:t>Should some customers have specific processes applied to them?</w:t>
      </w:r>
      <w:r w:rsidR="000722C3" w:rsidRPr="00271C01">
        <w:rPr>
          <w:b/>
          <w:i/>
        </w:rPr>
        <w:t xml:space="preserve"> </w:t>
      </w:r>
      <w:r w:rsidRPr="00271C01">
        <w:rPr>
          <w:b/>
          <w:i/>
        </w:rPr>
        <w:t>The ACMA is interested in feedback on how the additional identity verification measures proposed will work where authorised representative arrangements are in place.</w:t>
      </w:r>
      <w:bookmarkStart w:id="0" w:name="_GoBack"/>
      <w:bookmarkEnd w:id="0"/>
    </w:p>
    <w:p w14:paraId="40CB1730" w14:textId="037E5F8D" w:rsidR="00465B4B" w:rsidRPr="00271C01" w:rsidRDefault="00465B4B" w:rsidP="00B416B9">
      <w:pPr>
        <w:pStyle w:val="CommentText"/>
        <w:spacing w:before="24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 xml:space="preserve">ACCAN notes that there is a multitude of methods telecommunications companies use in dealing with authorised representatives, and few of them are consistent with the </w:t>
      </w:r>
      <w:r w:rsidRPr="00B416B9">
        <w:rPr>
          <w:rFonts w:ascii="Arial" w:eastAsia="Calibri" w:hAnsi="Arial" w:cs="Arial"/>
          <w:color w:val="000000"/>
          <w:sz w:val="22"/>
          <w:szCs w:val="22"/>
          <w:lang w:eastAsia="en-US"/>
        </w:rPr>
        <w:t>Telecommunications Consumer Protections Code</w:t>
      </w:r>
      <w:r w:rsidRPr="00271C01">
        <w:rPr>
          <w:rFonts w:ascii="Arial" w:eastAsia="Calibri" w:hAnsi="Arial" w:cs="Arial"/>
          <w:color w:val="000000"/>
          <w:sz w:val="22"/>
          <w:szCs w:val="22"/>
          <w:lang w:eastAsia="en-US"/>
        </w:rPr>
        <w:t xml:space="preserve"> (TCP Code) or ACCC Debt Collection Guidelines. The complications around the issue of authorised representatives acting on behalf of customers demonstrate the need for a uniform and consistent approach to appointing and dealing with authorised representatives.</w:t>
      </w:r>
    </w:p>
    <w:p w14:paraId="700E527C" w14:textId="6C7E3FFB" w:rsidR="00465B4B" w:rsidRPr="00B416B9" w:rsidRDefault="004C3066" w:rsidP="00B416B9">
      <w:pPr>
        <w:pStyle w:val="CommentText"/>
        <w:spacing w:before="240"/>
        <w:rPr>
          <w:rFonts w:ascii="Arial" w:eastAsia="Calibri" w:hAnsi="Arial" w:cs="Arial"/>
          <w:color w:val="000000"/>
          <w:sz w:val="22"/>
          <w:szCs w:val="22"/>
          <w:lang w:eastAsia="en-US"/>
        </w:rPr>
      </w:pPr>
      <w:r w:rsidRPr="00B416B9">
        <w:rPr>
          <w:rFonts w:ascii="Arial" w:eastAsia="Calibri" w:hAnsi="Arial" w:cs="Arial"/>
          <w:color w:val="000000"/>
          <w:sz w:val="22"/>
          <w:szCs w:val="22"/>
          <w:lang w:eastAsia="en-US"/>
        </w:rPr>
        <w:t>In the rare circumstances where an authorised representative acting in a professional capacity or a family member might need to port a number on behalf of</w:t>
      </w:r>
      <w:r w:rsidR="00465B4B" w:rsidRPr="00B416B9">
        <w:rPr>
          <w:rFonts w:ascii="Arial" w:eastAsia="Calibri" w:hAnsi="Arial" w:cs="Arial"/>
          <w:color w:val="000000"/>
          <w:sz w:val="22"/>
          <w:szCs w:val="22"/>
          <w:lang w:eastAsia="en-US"/>
        </w:rPr>
        <w:t xml:space="preserve"> a customer, ACCAN submits that SMS messaging</w:t>
      </w:r>
      <w:r w:rsidRPr="00B416B9">
        <w:rPr>
          <w:rFonts w:ascii="Arial" w:eastAsia="Calibri" w:hAnsi="Arial" w:cs="Arial"/>
          <w:color w:val="000000"/>
          <w:sz w:val="22"/>
          <w:szCs w:val="22"/>
          <w:lang w:eastAsia="en-US"/>
        </w:rPr>
        <w:t xml:space="preserve"> is not an effective form of </w:t>
      </w:r>
      <w:r w:rsidR="00465B4B" w:rsidRPr="00B416B9">
        <w:rPr>
          <w:rFonts w:ascii="Arial" w:eastAsia="Calibri" w:hAnsi="Arial" w:cs="Arial"/>
          <w:color w:val="000000"/>
          <w:sz w:val="22"/>
          <w:szCs w:val="22"/>
          <w:lang w:eastAsia="en-US"/>
        </w:rPr>
        <w:t xml:space="preserve">identity </w:t>
      </w:r>
      <w:r w:rsidRPr="00B416B9">
        <w:rPr>
          <w:rFonts w:ascii="Arial" w:eastAsia="Calibri" w:hAnsi="Arial" w:cs="Arial"/>
          <w:color w:val="000000"/>
          <w:sz w:val="22"/>
          <w:szCs w:val="22"/>
          <w:lang w:eastAsia="en-US"/>
        </w:rPr>
        <w:t>authentication. In addition to the security limitations of SMS authentication outlined in this submission, an authorised representative will rarely have access to the mobile device attached to a customer’s number and so would not receive any SMS authentication message sent by a customer service provider.</w:t>
      </w:r>
    </w:p>
    <w:p w14:paraId="5772C968" w14:textId="60B506E0" w:rsidR="006F7376" w:rsidRPr="00B416B9" w:rsidRDefault="004C3066" w:rsidP="00B416B9">
      <w:pPr>
        <w:pStyle w:val="CommentText"/>
        <w:spacing w:before="240"/>
        <w:rPr>
          <w:rFonts w:ascii="Arial" w:eastAsia="Calibri" w:hAnsi="Arial" w:cs="Arial"/>
          <w:color w:val="000000"/>
          <w:sz w:val="22"/>
          <w:szCs w:val="22"/>
          <w:lang w:eastAsia="en-US"/>
        </w:rPr>
      </w:pPr>
      <w:r w:rsidRPr="00B416B9">
        <w:rPr>
          <w:rFonts w:ascii="Arial" w:eastAsia="Calibri" w:hAnsi="Arial" w:cs="Arial"/>
          <w:color w:val="000000"/>
          <w:sz w:val="22"/>
          <w:szCs w:val="22"/>
          <w:lang w:eastAsia="en-US"/>
        </w:rPr>
        <w:t>ACCAN submits instead that use of hardware or software tokens are an effective second form of identi</w:t>
      </w:r>
      <w:r w:rsidR="00AF3075" w:rsidRPr="00B416B9">
        <w:rPr>
          <w:rFonts w:ascii="Arial" w:eastAsia="Calibri" w:hAnsi="Arial" w:cs="Arial"/>
          <w:color w:val="000000"/>
          <w:sz w:val="22"/>
          <w:szCs w:val="22"/>
          <w:lang w:eastAsia="en-US"/>
        </w:rPr>
        <w:t>ty authentication in this case.</w:t>
      </w:r>
      <w:r w:rsidR="00465B4B" w:rsidRPr="00B416B9">
        <w:rPr>
          <w:rFonts w:ascii="Arial" w:eastAsia="Calibri" w:hAnsi="Arial" w:cs="Arial"/>
          <w:color w:val="000000"/>
          <w:sz w:val="22"/>
          <w:szCs w:val="22"/>
          <w:lang w:eastAsia="en-US"/>
        </w:rPr>
        <w:t xml:space="preserve"> </w:t>
      </w:r>
      <w:r w:rsidRPr="00B416B9">
        <w:rPr>
          <w:rFonts w:ascii="Arial" w:eastAsia="Calibri" w:hAnsi="Arial" w:cs="Arial"/>
          <w:color w:val="000000"/>
          <w:sz w:val="22"/>
          <w:szCs w:val="22"/>
          <w:lang w:eastAsia="en-US"/>
        </w:rPr>
        <w:t xml:space="preserve">First, where an authorised representative contacts a telecommunications carriage service provider and requests that a customers’ number be ported, the provider could confirm the identity of the authorised representative by asking some key identity questions (e.g. name of the account, account number, listed address and email address of the representative) which are verified by the authorised representative. Second, a </w:t>
      </w:r>
      <w:r w:rsidR="00465B4B" w:rsidRPr="00B416B9">
        <w:rPr>
          <w:rFonts w:ascii="Arial" w:eastAsia="Calibri" w:hAnsi="Arial" w:cs="Arial"/>
          <w:color w:val="000000"/>
          <w:sz w:val="22"/>
          <w:szCs w:val="22"/>
          <w:lang w:eastAsia="en-US"/>
        </w:rPr>
        <w:t xml:space="preserve">hardware or software </w:t>
      </w:r>
      <w:r w:rsidRPr="00B416B9">
        <w:rPr>
          <w:rFonts w:ascii="Arial" w:eastAsia="Calibri" w:hAnsi="Arial" w:cs="Arial"/>
          <w:color w:val="000000"/>
          <w:sz w:val="22"/>
          <w:szCs w:val="22"/>
          <w:lang w:eastAsia="en-US"/>
        </w:rPr>
        <w:t>token could be used as the next step in two-factor authentication as t</w:t>
      </w:r>
      <w:r w:rsidR="00B03A12" w:rsidRPr="00B416B9">
        <w:rPr>
          <w:rFonts w:ascii="Arial" w:eastAsia="Calibri" w:hAnsi="Arial" w:cs="Arial"/>
          <w:color w:val="000000"/>
          <w:sz w:val="22"/>
          <w:szCs w:val="22"/>
          <w:lang w:eastAsia="en-US"/>
        </w:rPr>
        <w:t>okens</w:t>
      </w:r>
      <w:r w:rsidRPr="00B416B9">
        <w:rPr>
          <w:rFonts w:ascii="Arial" w:eastAsia="Calibri" w:hAnsi="Arial" w:cs="Arial"/>
          <w:color w:val="000000"/>
          <w:sz w:val="22"/>
          <w:szCs w:val="22"/>
          <w:lang w:eastAsia="en-US"/>
        </w:rPr>
        <w:t xml:space="preserve"> do not rely on the SMS network.</w:t>
      </w:r>
    </w:p>
    <w:p w14:paraId="49459A2E" w14:textId="77777777" w:rsidR="006F7376" w:rsidRPr="006F7376" w:rsidRDefault="006F7376" w:rsidP="00D23C48">
      <w:pPr>
        <w:pStyle w:val="BodyText1"/>
        <w:spacing w:after="0" w:line="240" w:lineRule="auto"/>
      </w:pPr>
    </w:p>
    <w:p w14:paraId="6918A400" w14:textId="564B5830" w:rsidR="00BE1CF9" w:rsidRPr="00271C01" w:rsidRDefault="001B6F8C" w:rsidP="0056638C">
      <w:pPr>
        <w:pStyle w:val="BodyText1"/>
        <w:numPr>
          <w:ilvl w:val="0"/>
          <w:numId w:val="4"/>
        </w:numPr>
        <w:spacing w:after="0" w:line="240" w:lineRule="auto"/>
        <w:ind w:left="357" w:hanging="357"/>
        <w:rPr>
          <w:u w:val="single"/>
        </w:rPr>
      </w:pPr>
      <w:r w:rsidRPr="00271C01">
        <w:rPr>
          <w:u w:val="single"/>
        </w:rPr>
        <w:t>Effectiveness, feasibility and cost</w:t>
      </w:r>
    </w:p>
    <w:p w14:paraId="71587BA0" w14:textId="77777777" w:rsidR="00FC0D5B" w:rsidRPr="00271C01" w:rsidRDefault="00AD27C3" w:rsidP="000F5E67">
      <w:pPr>
        <w:pStyle w:val="CommentText"/>
        <w:spacing w:before="24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 xml:space="preserve">ACCAN submits that any financial and administrative burden imposed on telecommunications carriage service providers would </w:t>
      </w:r>
      <w:r w:rsidR="00FC0D5B" w:rsidRPr="00271C01">
        <w:rPr>
          <w:rFonts w:ascii="Arial" w:eastAsia="Calibri" w:hAnsi="Arial" w:cs="Arial"/>
          <w:color w:val="000000"/>
          <w:sz w:val="22"/>
          <w:szCs w:val="22"/>
          <w:lang w:eastAsia="en-US"/>
        </w:rPr>
        <w:t xml:space="preserve">be </w:t>
      </w:r>
      <w:r w:rsidRPr="00271C01">
        <w:rPr>
          <w:rFonts w:ascii="Arial" w:eastAsia="Calibri" w:hAnsi="Arial" w:cs="Arial"/>
          <w:color w:val="000000"/>
          <w:sz w:val="22"/>
          <w:szCs w:val="22"/>
          <w:lang w:eastAsia="en-US"/>
        </w:rPr>
        <w:t xml:space="preserve">outweighed by the long-term </w:t>
      </w:r>
      <w:r w:rsidR="00FC0D5B" w:rsidRPr="00271C01">
        <w:rPr>
          <w:rFonts w:ascii="Arial" w:eastAsia="Calibri" w:hAnsi="Arial" w:cs="Arial"/>
          <w:color w:val="000000"/>
          <w:sz w:val="22"/>
          <w:szCs w:val="22"/>
          <w:lang w:eastAsia="en-US"/>
        </w:rPr>
        <w:t xml:space="preserve">consumer trust </w:t>
      </w:r>
      <w:r w:rsidRPr="00271C01">
        <w:rPr>
          <w:rFonts w:ascii="Arial" w:eastAsia="Calibri" w:hAnsi="Arial" w:cs="Arial"/>
          <w:color w:val="000000"/>
          <w:sz w:val="22"/>
          <w:szCs w:val="22"/>
          <w:lang w:eastAsia="en-US"/>
        </w:rPr>
        <w:t>benefits delivered by improved security measures</w:t>
      </w:r>
      <w:r w:rsidR="00FC0D5B" w:rsidRPr="00271C01">
        <w:rPr>
          <w:rFonts w:ascii="Arial" w:eastAsia="Calibri" w:hAnsi="Arial" w:cs="Arial"/>
          <w:color w:val="000000"/>
          <w:sz w:val="22"/>
          <w:szCs w:val="22"/>
          <w:lang w:eastAsia="en-US"/>
        </w:rPr>
        <w:t>.</w:t>
      </w:r>
    </w:p>
    <w:p w14:paraId="0E38BC18" w14:textId="77777777" w:rsidR="006F7376" w:rsidRDefault="006769DB" w:rsidP="000C4AC7">
      <w:pPr>
        <w:pStyle w:val="CommentText"/>
        <w:spacing w:before="240"/>
        <w:rPr>
          <w:rFonts w:ascii="Arial" w:eastAsia="Calibri" w:hAnsi="Arial" w:cs="Arial"/>
          <w:color w:val="000000"/>
          <w:sz w:val="22"/>
          <w:szCs w:val="22"/>
          <w:lang w:eastAsia="en-US"/>
        </w:rPr>
      </w:pPr>
      <w:r w:rsidRPr="00271C01">
        <w:rPr>
          <w:rFonts w:ascii="Arial" w:eastAsia="Calibri" w:hAnsi="Arial" w:cs="Arial"/>
          <w:color w:val="000000"/>
          <w:sz w:val="22"/>
          <w:szCs w:val="22"/>
          <w:lang w:eastAsia="en-US"/>
        </w:rPr>
        <w:t xml:space="preserve">Delivering a high quality and secure mobile carriage service will </w:t>
      </w:r>
      <w:r w:rsidR="00FC0D5B" w:rsidRPr="00271C01">
        <w:rPr>
          <w:rFonts w:ascii="Arial" w:eastAsia="Calibri" w:hAnsi="Arial" w:cs="Arial"/>
          <w:color w:val="000000"/>
          <w:sz w:val="22"/>
          <w:szCs w:val="22"/>
          <w:lang w:eastAsia="en-US"/>
        </w:rPr>
        <w:t xml:space="preserve">also </w:t>
      </w:r>
      <w:r w:rsidRPr="00271C01">
        <w:rPr>
          <w:rFonts w:ascii="Arial" w:eastAsia="Calibri" w:hAnsi="Arial" w:cs="Arial"/>
          <w:color w:val="000000"/>
          <w:sz w:val="22"/>
          <w:szCs w:val="22"/>
          <w:lang w:eastAsia="en-US"/>
        </w:rPr>
        <w:t xml:space="preserve">minimise </w:t>
      </w:r>
      <w:r w:rsidR="00FC0D5B" w:rsidRPr="00271C01">
        <w:rPr>
          <w:rFonts w:ascii="Arial" w:eastAsia="Calibri" w:hAnsi="Arial" w:cs="Arial"/>
          <w:color w:val="000000"/>
          <w:sz w:val="22"/>
          <w:szCs w:val="22"/>
          <w:lang w:eastAsia="en-US"/>
        </w:rPr>
        <w:t xml:space="preserve">quantifiable </w:t>
      </w:r>
      <w:r w:rsidRPr="00271C01">
        <w:rPr>
          <w:rFonts w:ascii="Arial" w:eastAsia="Calibri" w:hAnsi="Arial" w:cs="Arial"/>
          <w:color w:val="000000"/>
          <w:sz w:val="22"/>
          <w:szCs w:val="22"/>
          <w:lang w:eastAsia="en-US"/>
        </w:rPr>
        <w:t>consumer loss at both an individual and broader level.</w:t>
      </w:r>
      <w:r w:rsidR="00D805F6" w:rsidRPr="00271C01">
        <w:rPr>
          <w:rFonts w:ascii="Arial" w:eastAsia="Calibri" w:hAnsi="Arial" w:cs="Arial"/>
          <w:color w:val="000000"/>
          <w:sz w:val="22"/>
          <w:szCs w:val="22"/>
          <w:lang w:eastAsia="en-US"/>
        </w:rPr>
        <w:t xml:space="preserve"> Victims have reported that the disruption to their lives, and time taken to resolve the serious problems triggered by fraudulent number porting</w:t>
      </w:r>
      <w:r w:rsidR="00296E7F" w:rsidRPr="00271C01">
        <w:rPr>
          <w:rFonts w:ascii="Arial" w:eastAsia="Calibri" w:hAnsi="Arial" w:cs="Arial"/>
          <w:color w:val="000000"/>
          <w:sz w:val="22"/>
          <w:szCs w:val="22"/>
          <w:lang w:eastAsia="en-US"/>
        </w:rPr>
        <w:t>, have consumed many hours and days of their time. Consumer losses experienced are exacerbated in the case of small business operators, with up to a week of disruption to business reported to ACCAN as a consequence of fraudulent number porting.</w:t>
      </w:r>
    </w:p>
    <w:p w14:paraId="6A8B8AFB" w14:textId="06003222" w:rsidR="00AD27C3" w:rsidRPr="00271C01" w:rsidRDefault="00AD27C3" w:rsidP="00D23C48">
      <w:pPr>
        <w:pStyle w:val="BodyText1"/>
        <w:spacing w:after="0" w:line="240" w:lineRule="auto"/>
      </w:pPr>
    </w:p>
    <w:p w14:paraId="1DCBBDDA" w14:textId="77777777" w:rsidR="001B6F8C" w:rsidRPr="00D23C48" w:rsidRDefault="001B6F8C" w:rsidP="00D23C48">
      <w:pPr>
        <w:pStyle w:val="BodyText1"/>
        <w:numPr>
          <w:ilvl w:val="0"/>
          <w:numId w:val="4"/>
        </w:numPr>
        <w:spacing w:after="120" w:line="240" w:lineRule="auto"/>
        <w:ind w:left="357" w:hanging="357"/>
        <w:rPr>
          <w:u w:val="single"/>
        </w:rPr>
      </w:pPr>
      <w:r w:rsidRPr="00D23C48">
        <w:rPr>
          <w:u w:val="single"/>
        </w:rPr>
        <w:t>Costs to customers</w:t>
      </w:r>
    </w:p>
    <w:p w14:paraId="2C3F1BE7" w14:textId="77777777" w:rsidR="0035466B" w:rsidRPr="006F7376" w:rsidRDefault="0035466B" w:rsidP="0056638C">
      <w:pPr>
        <w:pStyle w:val="BodyText1"/>
        <w:spacing w:before="240"/>
        <w:rPr>
          <w:b/>
          <w:i/>
        </w:rPr>
      </w:pPr>
      <w:r w:rsidRPr="00271C01">
        <w:rPr>
          <w:b/>
          <w:i/>
        </w:rPr>
        <w:t>The draft industry standard specifies that providers should not charge customers a fee for an identity verification process.</w:t>
      </w:r>
      <w:r w:rsidR="00604087" w:rsidRPr="006F7376">
        <w:rPr>
          <w:b/>
          <w:i/>
        </w:rPr>
        <w:t xml:space="preserve"> </w:t>
      </w:r>
      <w:r w:rsidR="00604087" w:rsidRPr="00271C01">
        <w:rPr>
          <w:b/>
          <w:i/>
        </w:rPr>
        <w:t>Do you agree with this approach?</w:t>
      </w:r>
    </w:p>
    <w:p w14:paraId="0C1E403E" w14:textId="77777777" w:rsidR="00604087" w:rsidRDefault="00604087" w:rsidP="000C4AC7">
      <w:pPr>
        <w:pStyle w:val="BodyText1"/>
        <w:spacing w:after="120" w:line="240" w:lineRule="auto"/>
        <w:contextualSpacing/>
      </w:pPr>
      <w:r w:rsidRPr="00271C01">
        <w:t>ACCAN approves of the provision in 8(3) that “a mobile carriage service provider must not charge a fee to a customer for the completion of an additional identity verification process”.</w:t>
      </w:r>
    </w:p>
    <w:p w14:paraId="1886BBA4" w14:textId="1CD0B682" w:rsidR="000F5E67" w:rsidRDefault="000F5E67">
      <w:pPr>
        <w:rPr>
          <w:rFonts w:ascii="Arial" w:eastAsia="Calibri" w:hAnsi="Arial" w:cs="Arial"/>
          <w:color w:val="000000"/>
          <w:lang w:eastAsia="en-US"/>
        </w:rPr>
      </w:pPr>
      <w:r>
        <w:br w:type="page"/>
      </w:r>
    </w:p>
    <w:p w14:paraId="0DF66475" w14:textId="77777777" w:rsidR="006F7376" w:rsidRPr="00271C01" w:rsidRDefault="006F7376" w:rsidP="00D23C48">
      <w:pPr>
        <w:pStyle w:val="BodyText1"/>
        <w:spacing w:after="0" w:line="240" w:lineRule="auto"/>
      </w:pPr>
    </w:p>
    <w:p w14:paraId="4EA758B5" w14:textId="77777777" w:rsidR="001B6F8C" w:rsidRPr="00271C01" w:rsidRDefault="001B6F8C" w:rsidP="00271C01">
      <w:pPr>
        <w:pStyle w:val="BodyText1"/>
        <w:numPr>
          <w:ilvl w:val="0"/>
          <w:numId w:val="4"/>
        </w:numPr>
        <w:spacing w:after="120" w:line="240" w:lineRule="auto"/>
        <w:ind w:left="357" w:hanging="357"/>
        <w:rPr>
          <w:u w:val="single"/>
        </w:rPr>
      </w:pPr>
      <w:r w:rsidRPr="00271C01">
        <w:rPr>
          <w:u w:val="single"/>
        </w:rPr>
        <w:t>Customer information and advice</w:t>
      </w:r>
    </w:p>
    <w:p w14:paraId="0502EBE7" w14:textId="77777777" w:rsidR="00036489" w:rsidRPr="00271C01" w:rsidRDefault="00125DEF" w:rsidP="0056638C">
      <w:pPr>
        <w:pStyle w:val="BodyText1"/>
        <w:spacing w:before="240"/>
        <w:rPr>
          <w:b/>
          <w:i/>
        </w:rPr>
      </w:pPr>
      <w:r w:rsidRPr="00271C01">
        <w:rPr>
          <w:b/>
          <w:i/>
        </w:rPr>
        <w:t>The draft industry standard sets minimum requirements for consumer awareness and safeguard information.</w:t>
      </w:r>
      <w:r w:rsidR="00604087" w:rsidRPr="00271C01">
        <w:rPr>
          <w:b/>
          <w:i/>
        </w:rPr>
        <w:t xml:space="preserve"> </w:t>
      </w:r>
      <w:r w:rsidRPr="00271C01">
        <w:rPr>
          <w:b/>
          <w:i/>
        </w:rPr>
        <w:t>The ACMA is interested in feedback on whether this is warranted and/or whether alternative arrangements should be considered (e.g. inclusion in an industry guidance note).</w:t>
      </w:r>
    </w:p>
    <w:p w14:paraId="7F09DAB7" w14:textId="17BD99E2" w:rsidR="00967943" w:rsidRPr="00D23C48" w:rsidRDefault="006769DB" w:rsidP="000C4AC7">
      <w:pPr>
        <w:spacing w:after="120" w:line="240" w:lineRule="auto"/>
        <w:rPr>
          <w:rFonts w:ascii="Arial" w:eastAsia="Calibri" w:hAnsi="Arial" w:cs="Arial"/>
          <w:color w:val="000000"/>
          <w:lang w:eastAsia="en-US"/>
        </w:rPr>
      </w:pPr>
      <w:r w:rsidRPr="00D23C48">
        <w:rPr>
          <w:rFonts w:ascii="Arial" w:eastAsia="Calibri" w:hAnsi="Arial" w:cs="Arial"/>
          <w:color w:val="000000"/>
          <w:lang w:eastAsia="en-US"/>
        </w:rPr>
        <w:t>It is important that the draft industry standard sets minimum requirements for consumer awareness and safeguard information</w:t>
      </w:r>
      <w:r w:rsidR="007B48FE" w:rsidRPr="00D23C48">
        <w:rPr>
          <w:rFonts w:ascii="Arial" w:eastAsia="Calibri" w:hAnsi="Arial" w:cs="Arial"/>
          <w:color w:val="000000"/>
          <w:lang w:eastAsia="en-US"/>
        </w:rPr>
        <w:t>. As mentioned above</w:t>
      </w:r>
      <w:proofErr w:type="gramStart"/>
      <w:r w:rsidR="007B48FE" w:rsidRPr="00D23C48">
        <w:rPr>
          <w:rFonts w:ascii="Arial" w:eastAsia="Calibri" w:hAnsi="Arial" w:cs="Arial"/>
          <w:color w:val="000000"/>
          <w:lang w:eastAsia="en-US"/>
        </w:rPr>
        <w:t xml:space="preserve">, </w:t>
      </w:r>
      <w:r w:rsidRPr="00D23C48">
        <w:rPr>
          <w:rFonts w:ascii="Arial" w:eastAsia="Calibri" w:hAnsi="Arial" w:cs="Arial"/>
          <w:color w:val="000000"/>
          <w:lang w:eastAsia="en-US"/>
        </w:rPr>
        <w:t xml:space="preserve"> ACCAN</w:t>
      </w:r>
      <w:proofErr w:type="gramEnd"/>
      <w:r w:rsidRPr="00D23C48">
        <w:rPr>
          <w:rFonts w:ascii="Arial" w:eastAsia="Calibri" w:hAnsi="Arial" w:cs="Arial"/>
          <w:color w:val="000000"/>
          <w:lang w:eastAsia="en-US"/>
        </w:rPr>
        <w:t xml:space="preserve"> questions whether the d</w:t>
      </w:r>
      <w:r w:rsidR="003C0805" w:rsidRPr="00D23C48">
        <w:rPr>
          <w:rFonts w:ascii="Arial" w:eastAsia="Calibri" w:hAnsi="Arial" w:cs="Arial"/>
          <w:color w:val="000000"/>
          <w:lang w:eastAsia="en-US"/>
        </w:rPr>
        <w:t>raft standard provides too much</w:t>
      </w:r>
      <w:r w:rsidR="009607A5" w:rsidRPr="00D23C48">
        <w:rPr>
          <w:rFonts w:ascii="Arial" w:eastAsia="Calibri" w:hAnsi="Arial" w:cs="Arial"/>
          <w:color w:val="000000"/>
          <w:lang w:eastAsia="en-US"/>
        </w:rPr>
        <w:t xml:space="preserve"> </w:t>
      </w:r>
      <w:r w:rsidRPr="00D23C48">
        <w:rPr>
          <w:rFonts w:ascii="Arial" w:eastAsia="Calibri" w:hAnsi="Arial" w:cs="Arial"/>
          <w:color w:val="000000"/>
          <w:lang w:eastAsia="en-US"/>
        </w:rPr>
        <w:t xml:space="preserve">flexibility </w:t>
      </w:r>
      <w:r w:rsidR="003C0805" w:rsidRPr="00D23C48">
        <w:rPr>
          <w:rFonts w:ascii="Arial" w:eastAsia="Calibri" w:hAnsi="Arial" w:cs="Arial"/>
          <w:color w:val="000000"/>
          <w:lang w:eastAsia="en-US"/>
        </w:rPr>
        <w:t xml:space="preserve">in terms of methods of identity authentication that can be used by mobile carriage service providers to effectively prevent </w:t>
      </w:r>
      <w:r w:rsidRPr="00D23C48">
        <w:rPr>
          <w:rFonts w:ascii="Arial" w:eastAsia="Calibri" w:hAnsi="Arial" w:cs="Arial"/>
          <w:color w:val="000000"/>
          <w:lang w:eastAsia="en-US"/>
        </w:rPr>
        <w:t>fraud</w:t>
      </w:r>
      <w:r w:rsidR="003C0805" w:rsidRPr="00D23C48">
        <w:rPr>
          <w:rFonts w:ascii="Arial" w:eastAsia="Calibri" w:hAnsi="Arial" w:cs="Arial"/>
          <w:color w:val="000000"/>
          <w:lang w:eastAsia="en-US"/>
        </w:rPr>
        <w:t xml:space="preserve">ulent number porting. </w:t>
      </w:r>
      <w:r w:rsidR="007B48FE" w:rsidRPr="00D23C48">
        <w:rPr>
          <w:rFonts w:ascii="Arial" w:eastAsia="Calibri" w:hAnsi="Arial" w:cs="Arial"/>
          <w:color w:val="000000"/>
          <w:lang w:eastAsia="en-US"/>
        </w:rPr>
        <w:t>In relation to an industry guidance note,</w:t>
      </w:r>
      <w:r w:rsidR="00967943" w:rsidRPr="00D23C48">
        <w:rPr>
          <w:rFonts w:ascii="Arial" w:eastAsia="Calibri" w:hAnsi="Arial" w:cs="Arial"/>
          <w:color w:val="000000"/>
          <w:lang w:eastAsia="en-US"/>
        </w:rPr>
        <w:t xml:space="preserve"> ACCAN’s experience </w:t>
      </w:r>
      <w:r w:rsidR="007B48FE" w:rsidRPr="00D23C48">
        <w:rPr>
          <w:rFonts w:ascii="Arial" w:eastAsia="Calibri" w:hAnsi="Arial" w:cs="Arial"/>
          <w:color w:val="000000"/>
          <w:lang w:eastAsia="en-US"/>
        </w:rPr>
        <w:t>is</w:t>
      </w:r>
      <w:r w:rsidR="00967943" w:rsidRPr="00D23C48">
        <w:rPr>
          <w:rFonts w:ascii="Arial" w:eastAsia="Calibri" w:hAnsi="Arial" w:cs="Arial"/>
          <w:color w:val="000000"/>
          <w:lang w:eastAsia="en-US"/>
        </w:rPr>
        <w:t xml:space="preserve"> that guidance notes developed by the Communications Alliance are </w:t>
      </w:r>
      <w:r w:rsidR="007B48FE" w:rsidRPr="00D23C48">
        <w:rPr>
          <w:rFonts w:ascii="Arial" w:eastAsia="Calibri" w:hAnsi="Arial" w:cs="Arial"/>
          <w:color w:val="000000"/>
          <w:lang w:eastAsia="en-US"/>
        </w:rPr>
        <w:t xml:space="preserve">naturally </w:t>
      </w:r>
      <w:r w:rsidR="00A24D2D" w:rsidRPr="00D23C48">
        <w:rPr>
          <w:rFonts w:ascii="Arial" w:eastAsia="Calibri" w:hAnsi="Arial" w:cs="Arial"/>
          <w:color w:val="000000"/>
          <w:lang w:eastAsia="en-US"/>
        </w:rPr>
        <w:t xml:space="preserve">designed to </w:t>
      </w:r>
      <w:r w:rsidR="007B48FE" w:rsidRPr="00D23C48">
        <w:rPr>
          <w:rFonts w:ascii="Arial" w:eastAsia="Calibri" w:hAnsi="Arial" w:cs="Arial"/>
          <w:color w:val="000000"/>
          <w:lang w:eastAsia="en-US"/>
        </w:rPr>
        <w:t>unenforceable</w:t>
      </w:r>
      <w:r w:rsidR="00967943" w:rsidRPr="00D23C48">
        <w:rPr>
          <w:rFonts w:ascii="Arial" w:eastAsia="Calibri" w:hAnsi="Arial" w:cs="Arial"/>
          <w:color w:val="000000"/>
          <w:lang w:eastAsia="en-US"/>
        </w:rPr>
        <w:t xml:space="preserve"> favour the interests of </w:t>
      </w:r>
      <w:r w:rsidR="00A24D2D" w:rsidRPr="00D23C48">
        <w:rPr>
          <w:rFonts w:ascii="Arial" w:eastAsia="Calibri" w:hAnsi="Arial" w:cs="Arial"/>
          <w:color w:val="000000"/>
          <w:lang w:eastAsia="en-US"/>
        </w:rPr>
        <w:t xml:space="preserve">the industry, and do not necessarily assist in delivering positive consumer outcomes. </w:t>
      </w:r>
      <w:r w:rsidR="00967943" w:rsidRPr="00D23C48">
        <w:rPr>
          <w:rFonts w:ascii="Arial" w:eastAsia="Calibri" w:hAnsi="Arial" w:cs="Arial"/>
          <w:color w:val="000000"/>
          <w:lang w:eastAsia="en-US"/>
        </w:rPr>
        <w:t xml:space="preserve"> </w:t>
      </w:r>
    </w:p>
    <w:p w14:paraId="422CCD96" w14:textId="2453B75C" w:rsidR="00967943" w:rsidRPr="00D23C48" w:rsidRDefault="00967943" w:rsidP="000C4AC7">
      <w:pPr>
        <w:spacing w:after="120" w:line="240" w:lineRule="auto"/>
        <w:rPr>
          <w:rFonts w:ascii="Arial" w:eastAsia="Calibri" w:hAnsi="Arial" w:cs="Arial"/>
          <w:color w:val="000000"/>
          <w:lang w:eastAsia="en-US"/>
        </w:rPr>
      </w:pPr>
      <w:r w:rsidRPr="00D23C48">
        <w:rPr>
          <w:rFonts w:ascii="Arial" w:eastAsia="Calibri" w:hAnsi="Arial" w:cs="Arial"/>
          <w:color w:val="000000"/>
          <w:lang w:eastAsia="en-US"/>
        </w:rPr>
        <w:t>An industry guidance note d</w:t>
      </w:r>
      <w:r w:rsidR="00A24D2D" w:rsidRPr="00D23C48">
        <w:rPr>
          <w:rFonts w:ascii="Arial" w:eastAsia="Calibri" w:hAnsi="Arial" w:cs="Arial"/>
          <w:color w:val="000000"/>
          <w:lang w:eastAsia="en-US"/>
        </w:rPr>
        <w:t xml:space="preserve">eveloped </w:t>
      </w:r>
      <w:r w:rsidRPr="00D23C48">
        <w:rPr>
          <w:rFonts w:ascii="Arial" w:eastAsia="Calibri" w:hAnsi="Arial" w:cs="Arial"/>
          <w:color w:val="000000"/>
          <w:lang w:eastAsia="en-US"/>
        </w:rPr>
        <w:t xml:space="preserve">by </w:t>
      </w:r>
      <w:r w:rsidR="002474A1" w:rsidRPr="00D23C48">
        <w:rPr>
          <w:rFonts w:ascii="Arial" w:eastAsia="Calibri" w:hAnsi="Arial" w:cs="Arial"/>
          <w:color w:val="000000"/>
          <w:lang w:eastAsia="en-US"/>
        </w:rPr>
        <w:t>ACMA</w:t>
      </w:r>
      <w:r w:rsidRPr="00D23C48">
        <w:rPr>
          <w:rFonts w:ascii="Arial" w:eastAsia="Calibri" w:hAnsi="Arial" w:cs="Arial"/>
          <w:color w:val="000000"/>
          <w:lang w:eastAsia="en-US"/>
        </w:rPr>
        <w:t xml:space="preserve"> which i</w:t>
      </w:r>
      <w:r w:rsidR="006769DB" w:rsidRPr="00D23C48">
        <w:rPr>
          <w:rFonts w:ascii="Arial" w:eastAsia="Calibri" w:hAnsi="Arial" w:cs="Arial"/>
          <w:color w:val="000000"/>
          <w:lang w:eastAsia="en-US"/>
        </w:rPr>
        <w:t>nclu</w:t>
      </w:r>
      <w:r w:rsidRPr="00D23C48">
        <w:rPr>
          <w:rFonts w:ascii="Arial" w:eastAsia="Calibri" w:hAnsi="Arial" w:cs="Arial"/>
          <w:color w:val="000000"/>
          <w:lang w:eastAsia="en-US"/>
        </w:rPr>
        <w:t>des</w:t>
      </w:r>
      <w:r w:rsidR="009607A5" w:rsidRPr="00D23C48">
        <w:rPr>
          <w:rFonts w:ascii="Arial" w:eastAsia="Calibri" w:hAnsi="Arial" w:cs="Arial"/>
          <w:color w:val="000000"/>
          <w:lang w:eastAsia="en-US"/>
        </w:rPr>
        <w:t xml:space="preserve"> consumer awareness and safeguard information</w:t>
      </w:r>
      <w:r w:rsidR="006769DB" w:rsidRPr="00D23C48">
        <w:rPr>
          <w:rFonts w:ascii="Arial" w:eastAsia="Calibri" w:hAnsi="Arial" w:cs="Arial"/>
          <w:color w:val="000000"/>
          <w:lang w:eastAsia="en-US"/>
        </w:rPr>
        <w:t xml:space="preserve"> with examples of best practice</w:t>
      </w:r>
      <w:r w:rsidRPr="00D23C48">
        <w:rPr>
          <w:rFonts w:ascii="Arial" w:eastAsia="Calibri" w:hAnsi="Arial" w:cs="Arial"/>
          <w:color w:val="000000"/>
          <w:lang w:eastAsia="en-US"/>
        </w:rPr>
        <w:t>,</w:t>
      </w:r>
      <w:r w:rsidR="006769DB" w:rsidRPr="00D23C48">
        <w:rPr>
          <w:rFonts w:ascii="Arial" w:eastAsia="Calibri" w:hAnsi="Arial" w:cs="Arial"/>
          <w:color w:val="000000"/>
          <w:lang w:eastAsia="en-US"/>
        </w:rPr>
        <w:t xml:space="preserve"> </w:t>
      </w:r>
      <w:r w:rsidR="002474A1" w:rsidRPr="00D23C48">
        <w:rPr>
          <w:rFonts w:ascii="Arial" w:eastAsia="Calibri" w:hAnsi="Arial" w:cs="Arial"/>
          <w:color w:val="000000"/>
          <w:lang w:eastAsia="en-US"/>
        </w:rPr>
        <w:t xml:space="preserve">or inclusion of consumer awareness and safeguard information in the standard itself, </w:t>
      </w:r>
      <w:r w:rsidR="006769DB" w:rsidRPr="00D23C48">
        <w:rPr>
          <w:rFonts w:ascii="Arial" w:eastAsia="Calibri" w:hAnsi="Arial" w:cs="Arial"/>
          <w:color w:val="000000"/>
          <w:lang w:eastAsia="en-US"/>
        </w:rPr>
        <w:t>would provide firmer guidelines for</w:t>
      </w:r>
      <w:r w:rsidR="009607A5" w:rsidRPr="00D23C48">
        <w:rPr>
          <w:rFonts w:ascii="Arial" w:eastAsia="Calibri" w:hAnsi="Arial" w:cs="Arial"/>
          <w:color w:val="000000"/>
          <w:lang w:eastAsia="en-US"/>
        </w:rPr>
        <w:t xml:space="preserve"> effective industry implementation of the standard</w:t>
      </w:r>
      <w:r w:rsidRPr="00D23C48">
        <w:rPr>
          <w:rFonts w:ascii="Arial" w:eastAsia="Calibri" w:hAnsi="Arial" w:cs="Arial"/>
          <w:color w:val="000000"/>
          <w:lang w:eastAsia="en-US"/>
        </w:rPr>
        <w:t xml:space="preserve"> and offer greater protection to consumers</w:t>
      </w:r>
      <w:r w:rsidR="009607A5" w:rsidRPr="00D23C48">
        <w:rPr>
          <w:rFonts w:ascii="Arial" w:eastAsia="Calibri" w:hAnsi="Arial" w:cs="Arial"/>
          <w:color w:val="000000"/>
          <w:lang w:eastAsia="en-US"/>
        </w:rPr>
        <w:t>.</w:t>
      </w:r>
    </w:p>
    <w:p w14:paraId="2E2FC3C0" w14:textId="50A81136" w:rsidR="00287181" w:rsidRPr="00D23C48" w:rsidRDefault="00967943" w:rsidP="000C4AC7">
      <w:pPr>
        <w:spacing w:after="120" w:line="240" w:lineRule="auto"/>
        <w:rPr>
          <w:rFonts w:ascii="Arial" w:eastAsia="Calibri" w:hAnsi="Arial" w:cs="Arial"/>
          <w:color w:val="000000"/>
          <w:lang w:eastAsia="en-US"/>
        </w:rPr>
      </w:pPr>
      <w:r w:rsidRPr="00D23C48">
        <w:rPr>
          <w:rFonts w:ascii="Arial" w:eastAsia="Calibri" w:hAnsi="Arial" w:cs="Arial"/>
          <w:color w:val="000000"/>
          <w:lang w:eastAsia="en-US"/>
        </w:rPr>
        <w:t xml:space="preserve">ACCAN also questions whether the language used in the draft standard is simple enough to be easily understood by consumers. </w:t>
      </w:r>
      <w:r w:rsidR="009607A5" w:rsidRPr="00D23C48">
        <w:rPr>
          <w:rFonts w:ascii="Arial" w:eastAsia="Calibri" w:hAnsi="Arial" w:cs="Arial"/>
          <w:color w:val="000000"/>
          <w:lang w:eastAsia="en-US"/>
        </w:rPr>
        <w:t>An</w:t>
      </w:r>
      <w:r w:rsidRPr="00D23C48">
        <w:rPr>
          <w:rFonts w:ascii="Arial" w:eastAsia="Calibri" w:hAnsi="Arial" w:cs="Arial"/>
          <w:color w:val="000000"/>
          <w:lang w:eastAsia="en-US"/>
        </w:rPr>
        <w:t>y</w:t>
      </w:r>
      <w:r w:rsidR="009607A5" w:rsidRPr="00D23C48">
        <w:rPr>
          <w:rFonts w:ascii="Arial" w:eastAsia="Calibri" w:hAnsi="Arial" w:cs="Arial"/>
          <w:color w:val="000000"/>
          <w:lang w:eastAsia="en-US"/>
        </w:rPr>
        <w:t xml:space="preserve"> industry guidance note</w:t>
      </w:r>
      <w:r w:rsidR="002474A1" w:rsidRPr="00D23C48">
        <w:rPr>
          <w:rFonts w:ascii="Arial" w:eastAsia="Calibri" w:hAnsi="Arial" w:cs="Arial"/>
          <w:color w:val="000000"/>
          <w:lang w:eastAsia="en-US"/>
        </w:rPr>
        <w:t xml:space="preserve"> </w:t>
      </w:r>
      <w:r w:rsidRPr="00D23C48">
        <w:rPr>
          <w:rFonts w:ascii="Arial" w:eastAsia="Calibri" w:hAnsi="Arial" w:cs="Arial"/>
          <w:color w:val="000000"/>
          <w:lang w:eastAsia="en-US"/>
        </w:rPr>
        <w:t>drafted by ACMA</w:t>
      </w:r>
      <w:r w:rsidR="002474A1" w:rsidRPr="00D23C48">
        <w:rPr>
          <w:rFonts w:ascii="Arial" w:eastAsia="Calibri" w:hAnsi="Arial" w:cs="Arial"/>
          <w:color w:val="000000"/>
          <w:lang w:eastAsia="en-US"/>
        </w:rPr>
        <w:t>, or inclusion of consumer awareness and safeguard information in the standard,</w:t>
      </w:r>
      <w:r w:rsidR="009607A5" w:rsidRPr="00D23C48">
        <w:rPr>
          <w:rFonts w:ascii="Arial" w:eastAsia="Calibri" w:hAnsi="Arial" w:cs="Arial"/>
          <w:color w:val="000000"/>
          <w:lang w:eastAsia="en-US"/>
        </w:rPr>
        <w:t xml:space="preserve"> should </w:t>
      </w:r>
      <w:r w:rsidR="002474A1" w:rsidRPr="00D23C48">
        <w:rPr>
          <w:rFonts w:ascii="Arial" w:eastAsia="Calibri" w:hAnsi="Arial" w:cs="Arial"/>
          <w:color w:val="000000"/>
          <w:lang w:eastAsia="en-US"/>
        </w:rPr>
        <w:t>contain</w:t>
      </w:r>
      <w:r w:rsidR="009607A5" w:rsidRPr="00D23C48">
        <w:rPr>
          <w:rFonts w:ascii="Arial" w:eastAsia="Calibri" w:hAnsi="Arial" w:cs="Arial"/>
          <w:color w:val="000000"/>
          <w:lang w:eastAsia="en-US"/>
        </w:rPr>
        <w:t xml:space="preserve"> a requirement for retail service providers to educate customers about the potential dangers of fraudulent mobile number porting and the importance of adhering to safe authentication and security practices.</w:t>
      </w:r>
      <w:r w:rsidR="00A24D2D" w:rsidRPr="00D23C48">
        <w:rPr>
          <w:rFonts w:ascii="Arial" w:eastAsia="Calibri" w:hAnsi="Arial" w:cs="Arial"/>
          <w:color w:val="000000"/>
          <w:lang w:eastAsia="en-US"/>
        </w:rPr>
        <w:t xml:space="preserve"> </w:t>
      </w:r>
      <w:r w:rsidR="00287181" w:rsidRPr="00D23C48">
        <w:rPr>
          <w:rFonts w:ascii="Arial" w:eastAsia="Calibri" w:hAnsi="Arial" w:cs="Arial"/>
          <w:color w:val="000000"/>
          <w:lang w:eastAsia="en-US"/>
        </w:rPr>
        <w:t xml:space="preserve">Please do not hesitate to contact us should you require clarification or additional information on any of the issues raised in our submission. </w:t>
      </w:r>
    </w:p>
    <w:p w14:paraId="17B66090" w14:textId="77777777" w:rsidR="006F7376" w:rsidRDefault="00287181" w:rsidP="000F5E67">
      <w:pPr>
        <w:pStyle w:val="BodyText1"/>
        <w:spacing w:before="240" w:after="120" w:line="240" w:lineRule="auto"/>
        <w:rPr>
          <w:color w:val="auto"/>
        </w:rPr>
      </w:pPr>
      <w:r w:rsidRPr="00271C01">
        <w:rPr>
          <w:color w:val="auto"/>
        </w:rPr>
        <w:t>Yours sincerely,</w:t>
      </w:r>
    </w:p>
    <w:p w14:paraId="79F7E9D3" w14:textId="4AA33D71" w:rsidR="00A24D2D" w:rsidRDefault="00A24D2D" w:rsidP="006F7376">
      <w:pPr>
        <w:pStyle w:val="BodyText1"/>
        <w:spacing w:after="120" w:line="240" w:lineRule="auto"/>
        <w:rPr>
          <w:color w:val="auto"/>
        </w:rPr>
      </w:pPr>
      <w:r w:rsidRPr="00271C01">
        <w:rPr>
          <w:color w:val="auto"/>
        </w:rPr>
        <w:t>Stephanie Whitelock</w:t>
      </w:r>
    </w:p>
    <w:p w14:paraId="27C1B007" w14:textId="77777777" w:rsidR="006F7376" w:rsidRPr="00271C01" w:rsidRDefault="006F7376" w:rsidP="006F7376">
      <w:pPr>
        <w:pStyle w:val="BodyText1"/>
        <w:spacing w:after="120" w:line="240" w:lineRule="auto"/>
        <w:rPr>
          <w:color w:val="auto"/>
        </w:rPr>
      </w:pPr>
    </w:p>
    <w:p w14:paraId="5A3D8A68" w14:textId="316334DC" w:rsidR="00DC653F" w:rsidRPr="00271C01" w:rsidRDefault="00A24D2D" w:rsidP="00EB42DD">
      <w:pPr>
        <w:pStyle w:val="BodyText1"/>
        <w:rPr>
          <w:color w:val="auto"/>
        </w:rPr>
      </w:pPr>
      <w:r w:rsidRPr="00271C01">
        <w:rPr>
          <w:color w:val="auto"/>
        </w:rPr>
        <w:t xml:space="preserve">Policy Officer </w:t>
      </w:r>
    </w:p>
    <w:sectPr w:rsidR="00DC653F" w:rsidRPr="00271C01" w:rsidSect="00EC2EBA">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65F24" w15:done="0"/>
  <w15:commentEx w15:paraId="05F38D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65F24" w16cid:durableId="21CAFDCF"/>
  <w16cid:commentId w16cid:paraId="05F38DBA" w16cid:durableId="21CAFD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A792" w14:textId="77777777" w:rsidR="00820B96" w:rsidRDefault="00820B96">
      <w:pPr>
        <w:spacing w:after="0" w:line="240" w:lineRule="auto"/>
      </w:pPr>
      <w:r>
        <w:separator/>
      </w:r>
    </w:p>
  </w:endnote>
  <w:endnote w:type="continuationSeparator" w:id="0">
    <w:p w14:paraId="414CEBAB" w14:textId="77777777" w:rsidR="00820B96" w:rsidRDefault="0082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69829" w14:textId="77777777" w:rsidR="00C10F16" w:rsidRPr="00E05115" w:rsidRDefault="00C10F16" w:rsidP="00EC2EBA">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56638C">
      <w:rPr>
        <w:noProof/>
      </w:rPr>
      <w:t>2</w:t>
    </w:r>
    <w:r w:rsidRPr="00C4251E">
      <w:rPr>
        <w:noProof/>
      </w:rPr>
      <w:fldChar w:fldCharType="end"/>
    </w:r>
  </w:p>
  <w:p w14:paraId="31B81B3C" w14:textId="77777777" w:rsidR="00C10F16" w:rsidRDefault="00C10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A181" w14:textId="77777777" w:rsidR="00C10F16" w:rsidRPr="00E05115" w:rsidRDefault="00C10F16" w:rsidP="00EC2EBA">
    <w:pPr>
      <w:spacing w:after="0"/>
      <w:ind w:hanging="567"/>
      <w:rPr>
        <w:color w:val="23B0E6"/>
      </w:rPr>
    </w:pPr>
    <w:r w:rsidRPr="00E05115">
      <w:rPr>
        <w:color w:val="23B0E6"/>
      </w:rPr>
      <w:t>Australian Communications Consumer Action Network (ACCAN)</w:t>
    </w:r>
  </w:p>
  <w:p w14:paraId="2ED39A52" w14:textId="77777777" w:rsidR="00C10F16" w:rsidRDefault="00C10F16" w:rsidP="00EC2EBA">
    <w:pPr>
      <w:spacing w:after="0"/>
      <w:ind w:hanging="567"/>
      <w:rPr>
        <w:i/>
        <w:color w:val="23B0E6"/>
      </w:rPr>
    </w:pPr>
    <w:r w:rsidRPr="00E05115">
      <w:rPr>
        <w:i/>
        <w:color w:val="23B0E6"/>
      </w:rPr>
      <w:t xml:space="preserve">Australia’s peak </w:t>
    </w:r>
    <w:r>
      <w:rPr>
        <w:i/>
        <w:color w:val="23B0E6"/>
      </w:rPr>
      <w:t>body representing communications consumers</w:t>
    </w:r>
  </w:p>
  <w:p w14:paraId="06D40812" w14:textId="77777777" w:rsidR="00C10F16" w:rsidRPr="00E05115" w:rsidRDefault="00C10F16" w:rsidP="00EC2EBA">
    <w:pPr>
      <w:spacing w:after="0"/>
      <w:ind w:left="-567" w:hanging="567"/>
      <w:rPr>
        <w:i/>
        <w:color w:val="23B0E6"/>
      </w:rPr>
    </w:pPr>
    <w:r>
      <w:rPr>
        <w:noProof/>
      </w:rPr>
      <mc:AlternateContent>
        <mc:Choice Requires="wps">
          <w:drawing>
            <wp:anchor distT="0" distB="0" distL="114300" distR="114300" simplePos="0" relativeHeight="251661312" behindDoc="0" locked="0" layoutInCell="1" allowOverlap="1" wp14:anchorId="3812E621" wp14:editId="48135B1A">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0F23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0F464A92" w14:textId="77777777" w:rsidR="00C10F16" w:rsidRDefault="00C10F16" w:rsidP="00EC2EBA">
    <w:pPr>
      <w:spacing w:after="0"/>
      <w:ind w:hanging="567"/>
    </w:pPr>
    <w:r>
      <w:t>PO Box 639, Broadway NSW 2007</w:t>
    </w:r>
  </w:p>
  <w:p w14:paraId="16A78714" w14:textId="77777777" w:rsidR="00C10F16" w:rsidRDefault="00C10F16" w:rsidP="00EC2EBA">
    <w:pPr>
      <w:spacing w:after="0"/>
      <w:ind w:hanging="567"/>
    </w:pPr>
    <w:r>
      <w:t xml:space="preserve">Tel: (02) 9288 4000 | Fax: (02) 9288 4019 | Contact us through the </w:t>
    </w:r>
    <w:hyperlink r:id="rId1" w:history="1">
      <w:r w:rsidRPr="00FE6EAF">
        <w:rPr>
          <w:rStyle w:val="Hyperlink"/>
        </w:rPr>
        <w:t>National Relay Service</w:t>
      </w:r>
    </w:hyperlink>
  </w:p>
  <w:p w14:paraId="33F5BB0C" w14:textId="77777777" w:rsidR="00C10F16" w:rsidRPr="007949B6" w:rsidRDefault="00C10F16" w:rsidP="00EC2EBA">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0199" w14:textId="77777777" w:rsidR="00820B96" w:rsidRDefault="00820B96">
      <w:pPr>
        <w:spacing w:after="0" w:line="240" w:lineRule="auto"/>
      </w:pPr>
      <w:r>
        <w:separator/>
      </w:r>
    </w:p>
  </w:footnote>
  <w:footnote w:type="continuationSeparator" w:id="0">
    <w:p w14:paraId="3EC35B5F" w14:textId="77777777" w:rsidR="00820B96" w:rsidRDefault="00820B96">
      <w:pPr>
        <w:spacing w:after="0" w:line="240" w:lineRule="auto"/>
      </w:pPr>
      <w:r>
        <w:continuationSeparator/>
      </w:r>
    </w:p>
  </w:footnote>
  <w:footnote w:id="1">
    <w:p w14:paraId="3E28319F" w14:textId="7C9E9644" w:rsidR="00C10F16" w:rsidRPr="002E4D86" w:rsidRDefault="00C10F16">
      <w:pPr>
        <w:pStyle w:val="FootnoteText"/>
        <w:rPr>
          <w:lang w:val="en-US"/>
        </w:rPr>
      </w:pPr>
      <w:r>
        <w:rPr>
          <w:rStyle w:val="FootnoteReference"/>
        </w:rPr>
        <w:footnoteRef/>
      </w:r>
      <w:r>
        <w:t xml:space="preserve"> </w:t>
      </w:r>
      <w:r w:rsidRPr="00925C63">
        <w:t>https://accan.org.au/hot-issues/1385-fraudulent-mobile-number-porting-and-identity-theft</w:t>
      </w:r>
    </w:p>
  </w:footnote>
  <w:footnote w:id="2">
    <w:p w14:paraId="255A165F" w14:textId="2C61B2E4" w:rsidR="00C10F16" w:rsidRPr="00EF2FE5" w:rsidRDefault="00C10F16">
      <w:pPr>
        <w:pStyle w:val="FootnoteText"/>
        <w:rPr>
          <w:lang w:val="en-US"/>
        </w:rPr>
      </w:pPr>
      <w:r>
        <w:rPr>
          <w:rStyle w:val="FootnoteReference"/>
        </w:rPr>
        <w:footnoteRef/>
      </w:r>
      <w:r>
        <w:t xml:space="preserve"> </w:t>
      </w:r>
      <w:r w:rsidRPr="00EF2FE5">
        <w:t>https://www.securityweek.com/6-ways-attackers-are-still-bypassing-sms-2-factor-authentication</w:t>
      </w:r>
    </w:p>
  </w:footnote>
  <w:footnote w:id="3">
    <w:p w14:paraId="6780437F" w14:textId="77777777" w:rsidR="00C10F16" w:rsidRPr="00EF2FE5" w:rsidRDefault="00C10F16" w:rsidP="00313393">
      <w:pPr>
        <w:pStyle w:val="FootnoteText"/>
        <w:rPr>
          <w:lang w:val="en-US"/>
        </w:rPr>
      </w:pPr>
      <w:r>
        <w:rPr>
          <w:rStyle w:val="FootnoteReference"/>
        </w:rPr>
        <w:footnoteRef/>
      </w:r>
      <w:r>
        <w:t xml:space="preserve"> </w:t>
      </w:r>
      <w:r w:rsidRPr="002E4D86">
        <w:t>https://nakedsecurity.sophos.com/2019/10/11/hackers-bypassing-some-types-of-2fa-security-fbi-warns/</w:t>
      </w:r>
    </w:p>
  </w:footnote>
  <w:footnote w:id="4">
    <w:p w14:paraId="1D199212" w14:textId="1BA24D99" w:rsidR="00C10F16" w:rsidRPr="00313393" w:rsidRDefault="00C10F16">
      <w:pPr>
        <w:pStyle w:val="FootnoteText"/>
        <w:rPr>
          <w:lang w:val="en-US"/>
        </w:rPr>
      </w:pPr>
      <w:r>
        <w:rPr>
          <w:rStyle w:val="FootnoteReference"/>
        </w:rPr>
        <w:footnoteRef/>
      </w:r>
      <w:r>
        <w:t xml:space="preserve"> </w:t>
      </w:r>
      <w:r w:rsidRPr="00313393">
        <w:t>https://blog.sucuri.net/2020/01/why-2fa-sms-is-a-bad-idea.html</w:t>
      </w:r>
    </w:p>
  </w:footnote>
  <w:footnote w:id="5">
    <w:p w14:paraId="6DB7A623" w14:textId="2F212BB2" w:rsidR="00C10F16" w:rsidRPr="00925C63" w:rsidRDefault="00C10F16">
      <w:pPr>
        <w:pStyle w:val="FootnoteText"/>
        <w:rPr>
          <w:lang w:val="en-US"/>
        </w:rPr>
      </w:pPr>
      <w:r>
        <w:rPr>
          <w:rStyle w:val="FootnoteReference"/>
        </w:rPr>
        <w:footnoteRef/>
      </w:r>
      <w:r>
        <w:t xml:space="preserve"> </w:t>
      </w:r>
      <w:r w:rsidRPr="00925C63">
        <w:t>https://blog.sucuri.net/2020/01/why-2fa-sms-is-a-bad-idea.html</w:t>
      </w:r>
    </w:p>
  </w:footnote>
  <w:footnote w:id="6">
    <w:p w14:paraId="299AC97E" w14:textId="5021B6E5" w:rsidR="00C10F16" w:rsidRPr="006624C2" w:rsidRDefault="00C10F16" w:rsidP="005714C5">
      <w:pPr>
        <w:pStyle w:val="FootnoteText"/>
        <w:rPr>
          <w:lang w:val="en-US"/>
        </w:rPr>
      </w:pPr>
      <w:r>
        <w:rPr>
          <w:rStyle w:val="FootnoteReference"/>
        </w:rPr>
        <w:footnoteRef/>
      </w:r>
      <w:r>
        <w:t xml:space="preserve"> </w:t>
      </w:r>
      <w:r w:rsidR="00C11C14" w:rsidRPr="00925C63">
        <w:t>https://accan.org.au/hot-issues/1385-fraudulent-mobile-number-porting-and-identity-theft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8AA7" w14:textId="77777777" w:rsidR="00C10F16" w:rsidRDefault="00C10F16" w:rsidP="00EC2EBA">
    <w:pPr>
      <w:pStyle w:val="Header"/>
    </w:pPr>
    <w:r>
      <w:rPr>
        <w:noProof/>
      </w:rPr>
      <w:drawing>
        <wp:anchor distT="0" distB="0" distL="114300" distR="114300" simplePos="0" relativeHeight="251659264" behindDoc="1" locked="0" layoutInCell="1" allowOverlap="1" wp14:anchorId="2B151917" wp14:editId="63703F66">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849C" w14:textId="77777777" w:rsidR="00C10F16" w:rsidRDefault="00C10F16" w:rsidP="00EC2EBA">
    <w:pPr>
      <w:pStyle w:val="Header"/>
      <w:jc w:val="right"/>
    </w:pPr>
    <w:r>
      <w:rPr>
        <w:noProof/>
      </w:rPr>
      <w:drawing>
        <wp:anchor distT="0" distB="0" distL="114300" distR="114300" simplePos="0" relativeHeight="251660288" behindDoc="1" locked="0" layoutInCell="1" allowOverlap="1" wp14:anchorId="643D2729" wp14:editId="19143A72">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96A823A"/>
    <w:lvl w:ilvl="0">
      <w:start w:val="1"/>
      <w:numFmt w:val="decimal"/>
      <w:pStyle w:val="ListNumber"/>
      <w:lvlText w:val="%1."/>
      <w:lvlJc w:val="left"/>
      <w:pPr>
        <w:ind w:left="644" w:hanging="360"/>
      </w:pPr>
      <w:rPr>
        <w:rFonts w:hint="default"/>
        <w:b/>
        <w:bCs w:val="0"/>
        <w:caps/>
        <w:sz w:val="20"/>
      </w:rPr>
    </w:lvl>
  </w:abstractNum>
  <w:abstractNum w:abstractNumId="1">
    <w:nsid w:val="0F94529A"/>
    <w:multiLevelType w:val="hybridMultilevel"/>
    <w:tmpl w:val="6C906742"/>
    <w:lvl w:ilvl="0" w:tplc="C23CEA42">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77500D"/>
    <w:multiLevelType w:val="hybridMultilevel"/>
    <w:tmpl w:val="AE600DD0"/>
    <w:lvl w:ilvl="0" w:tplc="0986DC9A">
      <w:start w:val="201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891A68"/>
    <w:multiLevelType w:val="hybridMultilevel"/>
    <w:tmpl w:val="B3C8A4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CFE7783"/>
    <w:multiLevelType w:val="hybridMultilevel"/>
    <w:tmpl w:val="2B5E3484"/>
    <w:lvl w:ilvl="0" w:tplc="3408A7B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694774"/>
    <w:multiLevelType w:val="hybridMultilevel"/>
    <w:tmpl w:val="DBD6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D246D"/>
    <w:multiLevelType w:val="multilevel"/>
    <w:tmpl w:val="31E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F501A"/>
    <w:multiLevelType w:val="hybridMultilevel"/>
    <w:tmpl w:val="5AA02BEA"/>
    <w:lvl w:ilvl="0" w:tplc="8940FA50">
      <w:start w:val="21"/>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8F0F19"/>
    <w:multiLevelType w:val="multilevel"/>
    <w:tmpl w:val="C302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3"/>
  </w:num>
  <w:num w:numId="5">
    <w:abstractNumId w:val="0"/>
  </w:num>
  <w:num w:numId="6">
    <w:abstractNumId w:val="0"/>
  </w:num>
  <w:num w:numId="7">
    <w:abstractNumId w:val="0"/>
  </w:num>
  <w:num w:numId="8">
    <w:abstractNumId w:val="4"/>
  </w:num>
  <w:num w:numId="9">
    <w:abstractNumId w:val="0"/>
  </w:num>
  <w:num w:numId="10">
    <w:abstractNumId w:val="0"/>
  </w:num>
  <w:num w:numId="11">
    <w:abstractNumId w:val="6"/>
  </w:num>
  <w:num w:numId="12">
    <w:abstractNumId w:val="5"/>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gel Waters">
    <w15:presenceInfo w15:providerId="Windows Live" w15:userId="d1072a207eb4e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96"/>
    <w:rsid w:val="000010D1"/>
    <w:rsid w:val="00036489"/>
    <w:rsid w:val="0005198D"/>
    <w:rsid w:val="00061131"/>
    <w:rsid w:val="000650A1"/>
    <w:rsid w:val="0006644B"/>
    <w:rsid w:val="000722C3"/>
    <w:rsid w:val="00073CD6"/>
    <w:rsid w:val="00091263"/>
    <w:rsid w:val="000A75C9"/>
    <w:rsid w:val="000A7A5C"/>
    <w:rsid w:val="000B3808"/>
    <w:rsid w:val="000C383F"/>
    <w:rsid w:val="000C4AC7"/>
    <w:rsid w:val="000D5B3D"/>
    <w:rsid w:val="000D66BE"/>
    <w:rsid w:val="000D776B"/>
    <w:rsid w:val="000E313E"/>
    <w:rsid w:val="000F5E67"/>
    <w:rsid w:val="00111D99"/>
    <w:rsid w:val="001175F7"/>
    <w:rsid w:val="00125DEF"/>
    <w:rsid w:val="001536F4"/>
    <w:rsid w:val="001653F0"/>
    <w:rsid w:val="00170A81"/>
    <w:rsid w:val="00176160"/>
    <w:rsid w:val="00194385"/>
    <w:rsid w:val="00195818"/>
    <w:rsid w:val="001B3508"/>
    <w:rsid w:val="001B6F8C"/>
    <w:rsid w:val="001D0C08"/>
    <w:rsid w:val="001D1E86"/>
    <w:rsid w:val="001F12BC"/>
    <w:rsid w:val="00203831"/>
    <w:rsid w:val="00216B63"/>
    <w:rsid w:val="0023472B"/>
    <w:rsid w:val="002474A1"/>
    <w:rsid w:val="00266E9B"/>
    <w:rsid w:val="00271C01"/>
    <w:rsid w:val="00280E2C"/>
    <w:rsid w:val="00281050"/>
    <w:rsid w:val="00287181"/>
    <w:rsid w:val="00290F9B"/>
    <w:rsid w:val="00296E7F"/>
    <w:rsid w:val="002A2B6E"/>
    <w:rsid w:val="002D0CAD"/>
    <w:rsid w:val="002E4D86"/>
    <w:rsid w:val="002F25A7"/>
    <w:rsid w:val="002F273E"/>
    <w:rsid w:val="00302252"/>
    <w:rsid w:val="00313393"/>
    <w:rsid w:val="0033178D"/>
    <w:rsid w:val="00347D94"/>
    <w:rsid w:val="003505ED"/>
    <w:rsid w:val="0035387D"/>
    <w:rsid w:val="0035466B"/>
    <w:rsid w:val="00361109"/>
    <w:rsid w:val="00362B76"/>
    <w:rsid w:val="00365DBA"/>
    <w:rsid w:val="00365FBA"/>
    <w:rsid w:val="00381E4C"/>
    <w:rsid w:val="003C0805"/>
    <w:rsid w:val="003C2675"/>
    <w:rsid w:val="003C4796"/>
    <w:rsid w:val="003D727E"/>
    <w:rsid w:val="003E391C"/>
    <w:rsid w:val="00403E89"/>
    <w:rsid w:val="00436C1C"/>
    <w:rsid w:val="0044045B"/>
    <w:rsid w:val="00465B4B"/>
    <w:rsid w:val="00471262"/>
    <w:rsid w:val="00473A17"/>
    <w:rsid w:val="004741E6"/>
    <w:rsid w:val="00482251"/>
    <w:rsid w:val="004832F9"/>
    <w:rsid w:val="0048763B"/>
    <w:rsid w:val="00487DD7"/>
    <w:rsid w:val="004904C5"/>
    <w:rsid w:val="00492839"/>
    <w:rsid w:val="004A3C9B"/>
    <w:rsid w:val="004A67EA"/>
    <w:rsid w:val="004A6CF7"/>
    <w:rsid w:val="004B65BE"/>
    <w:rsid w:val="004C3066"/>
    <w:rsid w:val="004D29C6"/>
    <w:rsid w:val="004E7F60"/>
    <w:rsid w:val="004F1A41"/>
    <w:rsid w:val="005106DF"/>
    <w:rsid w:val="0051544E"/>
    <w:rsid w:val="00516345"/>
    <w:rsid w:val="00516770"/>
    <w:rsid w:val="005179A1"/>
    <w:rsid w:val="00541C56"/>
    <w:rsid w:val="00545A2D"/>
    <w:rsid w:val="0056638C"/>
    <w:rsid w:val="00570335"/>
    <w:rsid w:val="005714C5"/>
    <w:rsid w:val="005737A3"/>
    <w:rsid w:val="0057468F"/>
    <w:rsid w:val="0058224D"/>
    <w:rsid w:val="00583A1C"/>
    <w:rsid w:val="00593E56"/>
    <w:rsid w:val="005A04B6"/>
    <w:rsid w:val="005A0FD4"/>
    <w:rsid w:val="005A1BE5"/>
    <w:rsid w:val="005C32EF"/>
    <w:rsid w:val="005C5D06"/>
    <w:rsid w:val="005E1A41"/>
    <w:rsid w:val="005E46A7"/>
    <w:rsid w:val="00604087"/>
    <w:rsid w:val="0060643A"/>
    <w:rsid w:val="00626E7F"/>
    <w:rsid w:val="00632B47"/>
    <w:rsid w:val="00634DFB"/>
    <w:rsid w:val="00653F69"/>
    <w:rsid w:val="00654116"/>
    <w:rsid w:val="006624C2"/>
    <w:rsid w:val="006769DB"/>
    <w:rsid w:val="00685ACD"/>
    <w:rsid w:val="00691297"/>
    <w:rsid w:val="00692C59"/>
    <w:rsid w:val="006B109C"/>
    <w:rsid w:val="006F38D2"/>
    <w:rsid w:val="006F7376"/>
    <w:rsid w:val="007224BF"/>
    <w:rsid w:val="00722C62"/>
    <w:rsid w:val="00746178"/>
    <w:rsid w:val="0077389A"/>
    <w:rsid w:val="007802EB"/>
    <w:rsid w:val="00784709"/>
    <w:rsid w:val="007915EB"/>
    <w:rsid w:val="00793602"/>
    <w:rsid w:val="007A2CBE"/>
    <w:rsid w:val="007B48FE"/>
    <w:rsid w:val="007E44E5"/>
    <w:rsid w:val="008012ED"/>
    <w:rsid w:val="00813778"/>
    <w:rsid w:val="00813839"/>
    <w:rsid w:val="00820B96"/>
    <w:rsid w:val="0085362B"/>
    <w:rsid w:val="008567EF"/>
    <w:rsid w:val="00856C64"/>
    <w:rsid w:val="00880D5E"/>
    <w:rsid w:val="008A01DE"/>
    <w:rsid w:val="008A1B59"/>
    <w:rsid w:val="008B362A"/>
    <w:rsid w:val="008C6344"/>
    <w:rsid w:val="008E4E48"/>
    <w:rsid w:val="009019FC"/>
    <w:rsid w:val="009207CA"/>
    <w:rsid w:val="00925098"/>
    <w:rsid w:val="00925C63"/>
    <w:rsid w:val="00926E60"/>
    <w:rsid w:val="0093533E"/>
    <w:rsid w:val="00943DC4"/>
    <w:rsid w:val="00944B46"/>
    <w:rsid w:val="00954F3A"/>
    <w:rsid w:val="009607A5"/>
    <w:rsid w:val="00967943"/>
    <w:rsid w:val="00991DA2"/>
    <w:rsid w:val="009A64E4"/>
    <w:rsid w:val="009B2AF7"/>
    <w:rsid w:val="009B694B"/>
    <w:rsid w:val="009B7176"/>
    <w:rsid w:val="009D29FB"/>
    <w:rsid w:val="009D2EC7"/>
    <w:rsid w:val="009D44EF"/>
    <w:rsid w:val="009D64EC"/>
    <w:rsid w:val="009E3527"/>
    <w:rsid w:val="009F0D7A"/>
    <w:rsid w:val="00A01892"/>
    <w:rsid w:val="00A24D2D"/>
    <w:rsid w:val="00A401EE"/>
    <w:rsid w:val="00A55447"/>
    <w:rsid w:val="00A728A2"/>
    <w:rsid w:val="00A90488"/>
    <w:rsid w:val="00AB6761"/>
    <w:rsid w:val="00AC2796"/>
    <w:rsid w:val="00AD27C3"/>
    <w:rsid w:val="00AD515C"/>
    <w:rsid w:val="00AD6BA1"/>
    <w:rsid w:val="00AE5DBF"/>
    <w:rsid w:val="00AF2B9C"/>
    <w:rsid w:val="00AF3075"/>
    <w:rsid w:val="00B02BE6"/>
    <w:rsid w:val="00B03A12"/>
    <w:rsid w:val="00B26EBC"/>
    <w:rsid w:val="00B416B9"/>
    <w:rsid w:val="00B45A18"/>
    <w:rsid w:val="00B66076"/>
    <w:rsid w:val="00B75D8C"/>
    <w:rsid w:val="00B92156"/>
    <w:rsid w:val="00B963E6"/>
    <w:rsid w:val="00B97E25"/>
    <w:rsid w:val="00BA36F5"/>
    <w:rsid w:val="00BA3C37"/>
    <w:rsid w:val="00BB1A08"/>
    <w:rsid w:val="00BB1BCC"/>
    <w:rsid w:val="00BB1BEB"/>
    <w:rsid w:val="00BD2376"/>
    <w:rsid w:val="00BE1CF9"/>
    <w:rsid w:val="00BE305F"/>
    <w:rsid w:val="00BE7146"/>
    <w:rsid w:val="00BE7927"/>
    <w:rsid w:val="00BF38B7"/>
    <w:rsid w:val="00BF38D1"/>
    <w:rsid w:val="00C0344D"/>
    <w:rsid w:val="00C0499E"/>
    <w:rsid w:val="00C077CC"/>
    <w:rsid w:val="00C10F16"/>
    <w:rsid w:val="00C11C14"/>
    <w:rsid w:val="00C16485"/>
    <w:rsid w:val="00C16B5C"/>
    <w:rsid w:val="00C177D7"/>
    <w:rsid w:val="00C25422"/>
    <w:rsid w:val="00C27DEF"/>
    <w:rsid w:val="00C33D4B"/>
    <w:rsid w:val="00C57D88"/>
    <w:rsid w:val="00C66171"/>
    <w:rsid w:val="00CB2C4D"/>
    <w:rsid w:val="00D02AC4"/>
    <w:rsid w:val="00D13C27"/>
    <w:rsid w:val="00D23C48"/>
    <w:rsid w:val="00D42931"/>
    <w:rsid w:val="00D44AE2"/>
    <w:rsid w:val="00D46466"/>
    <w:rsid w:val="00D67FB7"/>
    <w:rsid w:val="00D758FB"/>
    <w:rsid w:val="00D805F6"/>
    <w:rsid w:val="00D86BE2"/>
    <w:rsid w:val="00DB1834"/>
    <w:rsid w:val="00DB3FA1"/>
    <w:rsid w:val="00DB776C"/>
    <w:rsid w:val="00DC653F"/>
    <w:rsid w:val="00DD0A1C"/>
    <w:rsid w:val="00DD46E0"/>
    <w:rsid w:val="00DF2E44"/>
    <w:rsid w:val="00E02D3D"/>
    <w:rsid w:val="00E24E55"/>
    <w:rsid w:val="00E309F3"/>
    <w:rsid w:val="00E31247"/>
    <w:rsid w:val="00E3189E"/>
    <w:rsid w:val="00E417EB"/>
    <w:rsid w:val="00E6635A"/>
    <w:rsid w:val="00EB42DD"/>
    <w:rsid w:val="00EC2EBA"/>
    <w:rsid w:val="00EC32B7"/>
    <w:rsid w:val="00EC65F8"/>
    <w:rsid w:val="00EC6861"/>
    <w:rsid w:val="00ED25D8"/>
    <w:rsid w:val="00ED77F8"/>
    <w:rsid w:val="00EF2FE5"/>
    <w:rsid w:val="00F01575"/>
    <w:rsid w:val="00F02524"/>
    <w:rsid w:val="00F04EDD"/>
    <w:rsid w:val="00F24103"/>
    <w:rsid w:val="00F27824"/>
    <w:rsid w:val="00F463D7"/>
    <w:rsid w:val="00F754F6"/>
    <w:rsid w:val="00F800FE"/>
    <w:rsid w:val="00F82F58"/>
    <w:rsid w:val="00FC0D5B"/>
    <w:rsid w:val="00FC18BB"/>
    <w:rsid w:val="00FD363F"/>
    <w:rsid w:val="00FE64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3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96"/>
    <w:rPr>
      <w:rFonts w:eastAsiaTheme="minorEastAsia"/>
      <w:lang w:eastAsia="en-AU"/>
    </w:rPr>
  </w:style>
  <w:style w:type="paragraph" w:styleId="Footer">
    <w:name w:val="footer"/>
    <w:basedOn w:val="Normal"/>
    <w:link w:val="FooterChar"/>
    <w:uiPriority w:val="99"/>
    <w:unhideWhenUsed/>
    <w:rsid w:val="003C4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96"/>
    <w:rPr>
      <w:rFonts w:eastAsiaTheme="minorEastAsia"/>
      <w:lang w:eastAsia="en-AU"/>
    </w:rPr>
  </w:style>
  <w:style w:type="paragraph" w:customStyle="1" w:styleId="BodyText1">
    <w:name w:val="Body Text1"/>
    <w:basedOn w:val="Normal"/>
    <w:qFormat/>
    <w:rsid w:val="003C4796"/>
    <w:rPr>
      <w:rFonts w:ascii="Arial" w:eastAsia="Calibri" w:hAnsi="Arial" w:cs="Arial"/>
      <w:color w:val="000000"/>
      <w:lang w:eastAsia="en-US"/>
    </w:rPr>
  </w:style>
  <w:style w:type="character" w:styleId="Hyperlink">
    <w:name w:val="Hyperlink"/>
    <w:basedOn w:val="DefaultParagraphFont"/>
    <w:uiPriority w:val="99"/>
    <w:unhideWhenUsed/>
    <w:rsid w:val="003C4796"/>
    <w:rPr>
      <w:color w:val="0000FF" w:themeColor="hyperlink"/>
      <w:u w:val="single"/>
    </w:rPr>
  </w:style>
  <w:style w:type="paragraph" w:styleId="FootnoteText">
    <w:name w:val="footnote text"/>
    <w:basedOn w:val="Normal"/>
    <w:link w:val="FootnoteTextChar"/>
    <w:uiPriority w:val="99"/>
    <w:unhideWhenUsed/>
    <w:rsid w:val="004832F9"/>
    <w:pPr>
      <w:spacing w:after="0" w:line="240" w:lineRule="auto"/>
    </w:pPr>
    <w:rPr>
      <w:sz w:val="20"/>
      <w:szCs w:val="20"/>
    </w:rPr>
  </w:style>
  <w:style w:type="character" w:customStyle="1" w:styleId="FootnoteTextChar">
    <w:name w:val="Footnote Text Char"/>
    <w:basedOn w:val="DefaultParagraphFont"/>
    <w:link w:val="FootnoteText"/>
    <w:uiPriority w:val="99"/>
    <w:rsid w:val="004832F9"/>
    <w:rPr>
      <w:rFonts w:eastAsiaTheme="minorEastAsia"/>
      <w:sz w:val="20"/>
      <w:szCs w:val="20"/>
      <w:lang w:eastAsia="en-AU"/>
    </w:rPr>
  </w:style>
  <w:style w:type="character" w:styleId="FootnoteReference">
    <w:name w:val="footnote reference"/>
    <w:basedOn w:val="DefaultParagraphFont"/>
    <w:uiPriority w:val="99"/>
    <w:unhideWhenUsed/>
    <w:rsid w:val="004832F9"/>
    <w:rPr>
      <w:vertAlign w:val="superscript"/>
    </w:rPr>
  </w:style>
  <w:style w:type="paragraph" w:styleId="Quote">
    <w:name w:val="Quote"/>
    <w:basedOn w:val="Normal"/>
    <w:next w:val="Normal"/>
    <w:link w:val="QuoteChar"/>
    <w:uiPriority w:val="29"/>
    <w:qFormat/>
    <w:rsid w:val="00632B47"/>
    <w:rPr>
      <w:i/>
      <w:iCs/>
      <w:color w:val="000000" w:themeColor="text1"/>
    </w:rPr>
  </w:style>
  <w:style w:type="character" w:customStyle="1" w:styleId="QuoteChar">
    <w:name w:val="Quote Char"/>
    <w:basedOn w:val="DefaultParagraphFont"/>
    <w:link w:val="Quote"/>
    <w:uiPriority w:val="29"/>
    <w:rsid w:val="00632B47"/>
    <w:rPr>
      <w:rFonts w:eastAsiaTheme="minorEastAsia"/>
      <w:i/>
      <w:iCs/>
      <w:color w:val="000000" w:themeColor="text1"/>
      <w:lang w:eastAsia="en-AU"/>
    </w:rPr>
  </w:style>
  <w:style w:type="character" w:styleId="CommentReference">
    <w:name w:val="annotation reference"/>
    <w:basedOn w:val="DefaultParagraphFont"/>
    <w:uiPriority w:val="99"/>
    <w:semiHidden/>
    <w:unhideWhenUsed/>
    <w:rsid w:val="00C66171"/>
    <w:rPr>
      <w:sz w:val="16"/>
      <w:szCs w:val="16"/>
    </w:rPr>
  </w:style>
  <w:style w:type="paragraph" w:styleId="CommentText">
    <w:name w:val="annotation text"/>
    <w:basedOn w:val="Normal"/>
    <w:link w:val="CommentTextChar"/>
    <w:uiPriority w:val="99"/>
    <w:unhideWhenUsed/>
    <w:rsid w:val="00C66171"/>
    <w:pPr>
      <w:spacing w:line="240" w:lineRule="auto"/>
    </w:pPr>
    <w:rPr>
      <w:sz w:val="20"/>
      <w:szCs w:val="20"/>
    </w:rPr>
  </w:style>
  <w:style w:type="character" w:customStyle="1" w:styleId="CommentTextChar">
    <w:name w:val="Comment Text Char"/>
    <w:basedOn w:val="DefaultParagraphFont"/>
    <w:link w:val="CommentText"/>
    <w:uiPriority w:val="99"/>
    <w:rsid w:val="00C66171"/>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C66171"/>
    <w:rPr>
      <w:b/>
      <w:bCs/>
    </w:rPr>
  </w:style>
  <w:style w:type="character" w:customStyle="1" w:styleId="CommentSubjectChar">
    <w:name w:val="Comment Subject Char"/>
    <w:basedOn w:val="CommentTextChar"/>
    <w:link w:val="CommentSubject"/>
    <w:uiPriority w:val="99"/>
    <w:semiHidden/>
    <w:rsid w:val="00C66171"/>
    <w:rPr>
      <w:rFonts w:eastAsiaTheme="minorEastAsia"/>
      <w:b/>
      <w:bCs/>
      <w:sz w:val="20"/>
      <w:szCs w:val="20"/>
      <w:lang w:eastAsia="en-AU"/>
    </w:rPr>
  </w:style>
  <w:style w:type="paragraph" w:styleId="BalloonText">
    <w:name w:val="Balloon Text"/>
    <w:basedOn w:val="Normal"/>
    <w:link w:val="BalloonTextChar"/>
    <w:uiPriority w:val="99"/>
    <w:semiHidden/>
    <w:unhideWhenUsed/>
    <w:rsid w:val="00C6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71"/>
    <w:rPr>
      <w:rFonts w:ascii="Tahoma" w:eastAsiaTheme="minorEastAsia" w:hAnsi="Tahoma" w:cs="Tahoma"/>
      <w:sz w:val="16"/>
      <w:szCs w:val="16"/>
      <w:lang w:eastAsia="en-AU"/>
    </w:rPr>
  </w:style>
  <w:style w:type="paragraph" w:styleId="ListParagraph">
    <w:name w:val="List Paragraph"/>
    <w:basedOn w:val="Normal"/>
    <w:uiPriority w:val="34"/>
    <w:qFormat/>
    <w:rsid w:val="001B6F8C"/>
    <w:pPr>
      <w:ind w:left="720"/>
      <w:contextualSpacing/>
    </w:pPr>
  </w:style>
  <w:style w:type="paragraph" w:styleId="ListNumber">
    <w:name w:val="List Number"/>
    <w:basedOn w:val="Normal"/>
    <w:semiHidden/>
    <w:qFormat/>
    <w:rsid w:val="0035466B"/>
    <w:pPr>
      <w:numPr>
        <w:numId w:val="5"/>
      </w:numPr>
      <w:spacing w:after="80" w:line="240" w:lineRule="atLeast"/>
    </w:pPr>
    <w:rPr>
      <w:rFonts w:ascii="Arial" w:eastAsia="Times New Roman" w:hAnsi="Arial" w:cs="Times New Roman"/>
      <w:sz w:val="20"/>
      <w:szCs w:val="24"/>
    </w:rPr>
  </w:style>
  <w:style w:type="paragraph" w:styleId="EndnoteText">
    <w:name w:val="endnote text"/>
    <w:basedOn w:val="Normal"/>
    <w:link w:val="EndnoteTextChar"/>
    <w:uiPriority w:val="99"/>
    <w:unhideWhenUsed/>
    <w:rsid w:val="00ED77F8"/>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ED77F8"/>
    <w:rPr>
      <w:sz w:val="20"/>
      <w:szCs w:val="20"/>
    </w:rPr>
  </w:style>
  <w:style w:type="paragraph" w:styleId="NormalWeb">
    <w:name w:val="Normal (Web)"/>
    <w:basedOn w:val="Normal"/>
    <w:uiPriority w:val="99"/>
    <w:unhideWhenUsed/>
    <w:rsid w:val="002E4D86"/>
    <w:pPr>
      <w:spacing w:before="100" w:beforeAutospacing="1" w:after="100" w:afterAutospacing="1" w:line="240" w:lineRule="auto"/>
    </w:pPr>
    <w:rPr>
      <w:rFonts w:ascii="Times New Roman" w:eastAsiaTheme="minorHAnsi" w:hAnsi="Times New Roman" w:cs="Times New Roman"/>
      <w:sz w:val="20"/>
      <w:szCs w:val="20"/>
      <w:lang w:eastAsia="en-US"/>
    </w:rPr>
  </w:style>
  <w:style w:type="character" w:styleId="Strong">
    <w:name w:val="Strong"/>
    <w:basedOn w:val="DefaultParagraphFont"/>
    <w:uiPriority w:val="22"/>
    <w:qFormat/>
    <w:rsid w:val="002E4D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96"/>
    <w:rPr>
      <w:rFonts w:eastAsiaTheme="minorEastAsia"/>
      <w:lang w:eastAsia="en-AU"/>
    </w:rPr>
  </w:style>
  <w:style w:type="paragraph" w:styleId="Footer">
    <w:name w:val="footer"/>
    <w:basedOn w:val="Normal"/>
    <w:link w:val="FooterChar"/>
    <w:uiPriority w:val="99"/>
    <w:unhideWhenUsed/>
    <w:rsid w:val="003C4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96"/>
    <w:rPr>
      <w:rFonts w:eastAsiaTheme="minorEastAsia"/>
      <w:lang w:eastAsia="en-AU"/>
    </w:rPr>
  </w:style>
  <w:style w:type="paragraph" w:customStyle="1" w:styleId="BodyText1">
    <w:name w:val="Body Text1"/>
    <w:basedOn w:val="Normal"/>
    <w:qFormat/>
    <w:rsid w:val="003C4796"/>
    <w:rPr>
      <w:rFonts w:ascii="Arial" w:eastAsia="Calibri" w:hAnsi="Arial" w:cs="Arial"/>
      <w:color w:val="000000"/>
      <w:lang w:eastAsia="en-US"/>
    </w:rPr>
  </w:style>
  <w:style w:type="character" w:styleId="Hyperlink">
    <w:name w:val="Hyperlink"/>
    <w:basedOn w:val="DefaultParagraphFont"/>
    <w:uiPriority w:val="99"/>
    <w:unhideWhenUsed/>
    <w:rsid w:val="003C4796"/>
    <w:rPr>
      <w:color w:val="0000FF" w:themeColor="hyperlink"/>
      <w:u w:val="single"/>
    </w:rPr>
  </w:style>
  <w:style w:type="paragraph" w:styleId="FootnoteText">
    <w:name w:val="footnote text"/>
    <w:basedOn w:val="Normal"/>
    <w:link w:val="FootnoteTextChar"/>
    <w:uiPriority w:val="99"/>
    <w:unhideWhenUsed/>
    <w:rsid w:val="004832F9"/>
    <w:pPr>
      <w:spacing w:after="0" w:line="240" w:lineRule="auto"/>
    </w:pPr>
    <w:rPr>
      <w:sz w:val="20"/>
      <w:szCs w:val="20"/>
    </w:rPr>
  </w:style>
  <w:style w:type="character" w:customStyle="1" w:styleId="FootnoteTextChar">
    <w:name w:val="Footnote Text Char"/>
    <w:basedOn w:val="DefaultParagraphFont"/>
    <w:link w:val="FootnoteText"/>
    <w:uiPriority w:val="99"/>
    <w:rsid w:val="004832F9"/>
    <w:rPr>
      <w:rFonts w:eastAsiaTheme="minorEastAsia"/>
      <w:sz w:val="20"/>
      <w:szCs w:val="20"/>
      <w:lang w:eastAsia="en-AU"/>
    </w:rPr>
  </w:style>
  <w:style w:type="character" w:styleId="FootnoteReference">
    <w:name w:val="footnote reference"/>
    <w:basedOn w:val="DefaultParagraphFont"/>
    <w:uiPriority w:val="99"/>
    <w:unhideWhenUsed/>
    <w:rsid w:val="004832F9"/>
    <w:rPr>
      <w:vertAlign w:val="superscript"/>
    </w:rPr>
  </w:style>
  <w:style w:type="paragraph" w:styleId="Quote">
    <w:name w:val="Quote"/>
    <w:basedOn w:val="Normal"/>
    <w:next w:val="Normal"/>
    <w:link w:val="QuoteChar"/>
    <w:uiPriority w:val="29"/>
    <w:qFormat/>
    <w:rsid w:val="00632B47"/>
    <w:rPr>
      <w:i/>
      <w:iCs/>
      <w:color w:val="000000" w:themeColor="text1"/>
    </w:rPr>
  </w:style>
  <w:style w:type="character" w:customStyle="1" w:styleId="QuoteChar">
    <w:name w:val="Quote Char"/>
    <w:basedOn w:val="DefaultParagraphFont"/>
    <w:link w:val="Quote"/>
    <w:uiPriority w:val="29"/>
    <w:rsid w:val="00632B47"/>
    <w:rPr>
      <w:rFonts w:eastAsiaTheme="minorEastAsia"/>
      <w:i/>
      <w:iCs/>
      <w:color w:val="000000" w:themeColor="text1"/>
      <w:lang w:eastAsia="en-AU"/>
    </w:rPr>
  </w:style>
  <w:style w:type="character" w:styleId="CommentReference">
    <w:name w:val="annotation reference"/>
    <w:basedOn w:val="DefaultParagraphFont"/>
    <w:uiPriority w:val="99"/>
    <w:semiHidden/>
    <w:unhideWhenUsed/>
    <w:rsid w:val="00C66171"/>
    <w:rPr>
      <w:sz w:val="16"/>
      <w:szCs w:val="16"/>
    </w:rPr>
  </w:style>
  <w:style w:type="paragraph" w:styleId="CommentText">
    <w:name w:val="annotation text"/>
    <w:basedOn w:val="Normal"/>
    <w:link w:val="CommentTextChar"/>
    <w:uiPriority w:val="99"/>
    <w:unhideWhenUsed/>
    <w:rsid w:val="00C66171"/>
    <w:pPr>
      <w:spacing w:line="240" w:lineRule="auto"/>
    </w:pPr>
    <w:rPr>
      <w:sz w:val="20"/>
      <w:szCs w:val="20"/>
    </w:rPr>
  </w:style>
  <w:style w:type="character" w:customStyle="1" w:styleId="CommentTextChar">
    <w:name w:val="Comment Text Char"/>
    <w:basedOn w:val="DefaultParagraphFont"/>
    <w:link w:val="CommentText"/>
    <w:uiPriority w:val="99"/>
    <w:rsid w:val="00C66171"/>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C66171"/>
    <w:rPr>
      <w:b/>
      <w:bCs/>
    </w:rPr>
  </w:style>
  <w:style w:type="character" w:customStyle="1" w:styleId="CommentSubjectChar">
    <w:name w:val="Comment Subject Char"/>
    <w:basedOn w:val="CommentTextChar"/>
    <w:link w:val="CommentSubject"/>
    <w:uiPriority w:val="99"/>
    <w:semiHidden/>
    <w:rsid w:val="00C66171"/>
    <w:rPr>
      <w:rFonts w:eastAsiaTheme="minorEastAsia"/>
      <w:b/>
      <w:bCs/>
      <w:sz w:val="20"/>
      <w:szCs w:val="20"/>
      <w:lang w:eastAsia="en-AU"/>
    </w:rPr>
  </w:style>
  <w:style w:type="paragraph" w:styleId="BalloonText">
    <w:name w:val="Balloon Text"/>
    <w:basedOn w:val="Normal"/>
    <w:link w:val="BalloonTextChar"/>
    <w:uiPriority w:val="99"/>
    <w:semiHidden/>
    <w:unhideWhenUsed/>
    <w:rsid w:val="00C6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71"/>
    <w:rPr>
      <w:rFonts w:ascii="Tahoma" w:eastAsiaTheme="minorEastAsia" w:hAnsi="Tahoma" w:cs="Tahoma"/>
      <w:sz w:val="16"/>
      <w:szCs w:val="16"/>
      <w:lang w:eastAsia="en-AU"/>
    </w:rPr>
  </w:style>
  <w:style w:type="paragraph" w:styleId="ListParagraph">
    <w:name w:val="List Paragraph"/>
    <w:basedOn w:val="Normal"/>
    <w:uiPriority w:val="34"/>
    <w:qFormat/>
    <w:rsid w:val="001B6F8C"/>
    <w:pPr>
      <w:ind w:left="720"/>
      <w:contextualSpacing/>
    </w:pPr>
  </w:style>
  <w:style w:type="paragraph" w:styleId="ListNumber">
    <w:name w:val="List Number"/>
    <w:basedOn w:val="Normal"/>
    <w:semiHidden/>
    <w:qFormat/>
    <w:rsid w:val="0035466B"/>
    <w:pPr>
      <w:numPr>
        <w:numId w:val="5"/>
      </w:numPr>
      <w:spacing w:after="80" w:line="240" w:lineRule="atLeast"/>
    </w:pPr>
    <w:rPr>
      <w:rFonts w:ascii="Arial" w:eastAsia="Times New Roman" w:hAnsi="Arial" w:cs="Times New Roman"/>
      <w:sz w:val="20"/>
      <w:szCs w:val="24"/>
    </w:rPr>
  </w:style>
  <w:style w:type="paragraph" w:styleId="EndnoteText">
    <w:name w:val="endnote text"/>
    <w:basedOn w:val="Normal"/>
    <w:link w:val="EndnoteTextChar"/>
    <w:uiPriority w:val="99"/>
    <w:unhideWhenUsed/>
    <w:rsid w:val="00ED77F8"/>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ED77F8"/>
    <w:rPr>
      <w:sz w:val="20"/>
      <w:szCs w:val="20"/>
    </w:rPr>
  </w:style>
  <w:style w:type="paragraph" w:styleId="NormalWeb">
    <w:name w:val="Normal (Web)"/>
    <w:basedOn w:val="Normal"/>
    <w:uiPriority w:val="99"/>
    <w:unhideWhenUsed/>
    <w:rsid w:val="002E4D86"/>
    <w:pPr>
      <w:spacing w:before="100" w:beforeAutospacing="1" w:after="100" w:afterAutospacing="1" w:line="240" w:lineRule="auto"/>
    </w:pPr>
    <w:rPr>
      <w:rFonts w:ascii="Times New Roman" w:eastAsiaTheme="minorHAnsi" w:hAnsi="Times New Roman" w:cs="Times New Roman"/>
      <w:sz w:val="20"/>
      <w:szCs w:val="20"/>
      <w:lang w:eastAsia="en-US"/>
    </w:rPr>
  </w:style>
  <w:style w:type="character" w:styleId="Strong">
    <w:name w:val="Strong"/>
    <w:basedOn w:val="DefaultParagraphFont"/>
    <w:uiPriority w:val="22"/>
    <w:qFormat/>
    <w:rsid w:val="002E4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7853">
      <w:bodyDiv w:val="1"/>
      <w:marLeft w:val="0"/>
      <w:marRight w:val="0"/>
      <w:marTop w:val="0"/>
      <w:marBottom w:val="0"/>
      <w:divBdr>
        <w:top w:val="none" w:sz="0" w:space="0" w:color="auto"/>
        <w:left w:val="none" w:sz="0" w:space="0" w:color="auto"/>
        <w:bottom w:val="none" w:sz="0" w:space="0" w:color="auto"/>
        <w:right w:val="none" w:sz="0" w:space="0" w:color="auto"/>
      </w:divBdr>
    </w:div>
    <w:div w:id="277101384">
      <w:bodyDiv w:val="1"/>
      <w:marLeft w:val="0"/>
      <w:marRight w:val="0"/>
      <w:marTop w:val="0"/>
      <w:marBottom w:val="0"/>
      <w:divBdr>
        <w:top w:val="none" w:sz="0" w:space="0" w:color="auto"/>
        <w:left w:val="none" w:sz="0" w:space="0" w:color="auto"/>
        <w:bottom w:val="none" w:sz="0" w:space="0" w:color="auto"/>
        <w:right w:val="none" w:sz="0" w:space="0" w:color="auto"/>
      </w:divBdr>
      <w:divsChild>
        <w:div w:id="370737761">
          <w:marLeft w:val="0"/>
          <w:marRight w:val="0"/>
          <w:marTop w:val="0"/>
          <w:marBottom w:val="0"/>
          <w:divBdr>
            <w:top w:val="none" w:sz="0" w:space="0" w:color="auto"/>
            <w:left w:val="none" w:sz="0" w:space="0" w:color="auto"/>
            <w:bottom w:val="none" w:sz="0" w:space="0" w:color="auto"/>
            <w:right w:val="none" w:sz="0" w:space="0" w:color="auto"/>
          </w:divBdr>
          <w:divsChild>
            <w:div w:id="413820102">
              <w:marLeft w:val="0"/>
              <w:marRight w:val="0"/>
              <w:marTop w:val="0"/>
              <w:marBottom w:val="0"/>
              <w:divBdr>
                <w:top w:val="none" w:sz="0" w:space="0" w:color="auto"/>
                <w:left w:val="none" w:sz="0" w:space="0" w:color="auto"/>
                <w:bottom w:val="none" w:sz="0" w:space="0" w:color="auto"/>
                <w:right w:val="none" w:sz="0" w:space="0" w:color="auto"/>
              </w:divBdr>
            </w:div>
          </w:divsChild>
        </w:div>
        <w:div w:id="456417023">
          <w:marLeft w:val="0"/>
          <w:marRight w:val="0"/>
          <w:marTop w:val="0"/>
          <w:marBottom w:val="0"/>
          <w:divBdr>
            <w:top w:val="none" w:sz="0" w:space="0" w:color="auto"/>
            <w:left w:val="none" w:sz="0" w:space="0" w:color="auto"/>
            <w:bottom w:val="none" w:sz="0" w:space="0" w:color="auto"/>
            <w:right w:val="none" w:sz="0" w:space="0" w:color="auto"/>
          </w:divBdr>
          <w:divsChild>
            <w:div w:id="625427772">
              <w:marLeft w:val="0"/>
              <w:marRight w:val="0"/>
              <w:marTop w:val="0"/>
              <w:marBottom w:val="0"/>
              <w:divBdr>
                <w:top w:val="none" w:sz="0" w:space="0" w:color="auto"/>
                <w:left w:val="none" w:sz="0" w:space="0" w:color="auto"/>
                <w:bottom w:val="none" w:sz="0" w:space="0" w:color="auto"/>
                <w:right w:val="none" w:sz="0" w:space="0" w:color="auto"/>
              </w:divBdr>
              <w:divsChild>
                <w:div w:id="3055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703">
          <w:marLeft w:val="0"/>
          <w:marRight w:val="0"/>
          <w:marTop w:val="0"/>
          <w:marBottom w:val="0"/>
          <w:divBdr>
            <w:top w:val="none" w:sz="0" w:space="0" w:color="auto"/>
            <w:left w:val="none" w:sz="0" w:space="0" w:color="auto"/>
            <w:bottom w:val="none" w:sz="0" w:space="0" w:color="auto"/>
            <w:right w:val="none" w:sz="0" w:space="0" w:color="auto"/>
          </w:divBdr>
          <w:divsChild>
            <w:div w:id="1922257162">
              <w:marLeft w:val="0"/>
              <w:marRight w:val="0"/>
              <w:marTop w:val="0"/>
              <w:marBottom w:val="0"/>
              <w:divBdr>
                <w:top w:val="none" w:sz="0" w:space="0" w:color="auto"/>
                <w:left w:val="none" w:sz="0" w:space="0" w:color="auto"/>
                <w:bottom w:val="none" w:sz="0" w:space="0" w:color="auto"/>
                <w:right w:val="none" w:sz="0" w:space="0" w:color="auto"/>
              </w:divBdr>
            </w:div>
            <w:div w:id="440994813">
              <w:marLeft w:val="0"/>
              <w:marRight w:val="0"/>
              <w:marTop w:val="0"/>
              <w:marBottom w:val="0"/>
              <w:divBdr>
                <w:top w:val="none" w:sz="0" w:space="0" w:color="auto"/>
                <w:left w:val="none" w:sz="0" w:space="0" w:color="auto"/>
                <w:bottom w:val="none" w:sz="0" w:space="0" w:color="auto"/>
                <w:right w:val="none" w:sz="0" w:space="0" w:color="auto"/>
              </w:divBdr>
            </w:div>
          </w:divsChild>
        </w:div>
        <w:div w:id="1380589491">
          <w:marLeft w:val="0"/>
          <w:marRight w:val="0"/>
          <w:marTop w:val="0"/>
          <w:marBottom w:val="0"/>
          <w:divBdr>
            <w:top w:val="none" w:sz="0" w:space="0" w:color="auto"/>
            <w:left w:val="none" w:sz="0" w:space="0" w:color="auto"/>
            <w:bottom w:val="none" w:sz="0" w:space="0" w:color="auto"/>
            <w:right w:val="none" w:sz="0" w:space="0" w:color="auto"/>
          </w:divBdr>
          <w:divsChild>
            <w:div w:id="2053460316">
              <w:marLeft w:val="0"/>
              <w:marRight w:val="0"/>
              <w:marTop w:val="0"/>
              <w:marBottom w:val="0"/>
              <w:divBdr>
                <w:top w:val="none" w:sz="0" w:space="0" w:color="auto"/>
                <w:left w:val="none" w:sz="0" w:space="0" w:color="auto"/>
                <w:bottom w:val="none" w:sz="0" w:space="0" w:color="auto"/>
                <w:right w:val="none" w:sz="0" w:space="0" w:color="auto"/>
              </w:divBdr>
              <w:divsChild>
                <w:div w:id="1841698821">
                  <w:marLeft w:val="0"/>
                  <w:marRight w:val="0"/>
                  <w:marTop w:val="0"/>
                  <w:marBottom w:val="0"/>
                  <w:divBdr>
                    <w:top w:val="none" w:sz="0" w:space="0" w:color="auto"/>
                    <w:left w:val="none" w:sz="0" w:space="0" w:color="auto"/>
                    <w:bottom w:val="none" w:sz="0" w:space="0" w:color="auto"/>
                    <w:right w:val="none" w:sz="0" w:space="0" w:color="auto"/>
                  </w:divBdr>
                  <w:divsChild>
                    <w:div w:id="2044211099">
                      <w:marLeft w:val="0"/>
                      <w:marRight w:val="0"/>
                      <w:marTop w:val="0"/>
                      <w:marBottom w:val="0"/>
                      <w:divBdr>
                        <w:top w:val="none" w:sz="0" w:space="0" w:color="auto"/>
                        <w:left w:val="none" w:sz="0" w:space="0" w:color="auto"/>
                        <w:bottom w:val="none" w:sz="0" w:space="0" w:color="auto"/>
                        <w:right w:val="none" w:sz="0" w:space="0" w:color="auto"/>
                      </w:divBdr>
                      <w:divsChild>
                        <w:div w:id="2113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364887">
      <w:bodyDiv w:val="1"/>
      <w:marLeft w:val="0"/>
      <w:marRight w:val="0"/>
      <w:marTop w:val="0"/>
      <w:marBottom w:val="0"/>
      <w:divBdr>
        <w:top w:val="none" w:sz="0" w:space="0" w:color="auto"/>
        <w:left w:val="none" w:sz="0" w:space="0" w:color="auto"/>
        <w:bottom w:val="none" w:sz="0" w:space="0" w:color="auto"/>
        <w:right w:val="none" w:sz="0" w:space="0" w:color="auto"/>
      </w:divBdr>
    </w:div>
    <w:div w:id="1598521281">
      <w:bodyDiv w:val="1"/>
      <w:marLeft w:val="0"/>
      <w:marRight w:val="0"/>
      <w:marTop w:val="0"/>
      <w:marBottom w:val="0"/>
      <w:divBdr>
        <w:top w:val="none" w:sz="0" w:space="0" w:color="auto"/>
        <w:left w:val="none" w:sz="0" w:space="0" w:color="auto"/>
        <w:bottom w:val="none" w:sz="0" w:space="0" w:color="auto"/>
        <w:right w:val="none" w:sz="0" w:space="0" w:color="auto"/>
      </w:divBdr>
    </w:div>
    <w:div w:id="16741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ecureauth.com/products/secureauth-idp/multi-factor-authenticat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B700-15BF-47F9-924B-4482AF9A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Stephanie Whitelock</cp:lastModifiedBy>
  <cp:revision>11</cp:revision>
  <cp:lastPrinted>2020-01-16T05:51:00Z</cp:lastPrinted>
  <dcterms:created xsi:type="dcterms:W3CDTF">2020-01-20T03:46:00Z</dcterms:created>
  <dcterms:modified xsi:type="dcterms:W3CDTF">2020-01-20T04:20:00Z</dcterms:modified>
</cp:coreProperties>
</file>