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C9" w:rsidRDefault="005820C9" w:rsidP="007D3F16">
      <w:pPr>
        <w:spacing w:after="0"/>
        <w:sectPr w:rsidR="005820C9" w:rsidSect="00002D94">
          <w:headerReference w:type="default" r:id="rId9"/>
          <w:footerReference w:type="default" r:id="rId10"/>
          <w:type w:val="continuous"/>
          <w:pgSz w:w="11906" w:h="16838" w:code="9"/>
          <w:pgMar w:top="1824" w:right="707" w:bottom="567" w:left="1134" w:header="567" w:footer="1474" w:gutter="0"/>
          <w:cols w:space="708"/>
          <w:docGrid w:linePitch="360"/>
        </w:sectPr>
      </w:pPr>
    </w:p>
    <w:p w:rsidR="00DD1B6E" w:rsidRDefault="00E215A6" w:rsidP="00DD1B6E">
      <w:pPr>
        <w:spacing w:after="0"/>
        <w:rPr>
          <w:sz w:val="23"/>
          <w:szCs w:val="23"/>
        </w:rPr>
      </w:pPr>
      <w:r>
        <w:rPr>
          <w:sz w:val="23"/>
          <w:szCs w:val="23"/>
        </w:rPr>
        <w:lastRenderedPageBreak/>
        <w:t>26</w:t>
      </w:r>
      <w:r w:rsidR="00055B90">
        <w:rPr>
          <w:sz w:val="23"/>
          <w:szCs w:val="23"/>
        </w:rPr>
        <w:t xml:space="preserve"> March 2015</w:t>
      </w:r>
    </w:p>
    <w:p w:rsidR="00DD1B6E" w:rsidRDefault="00DD1B6E" w:rsidP="00DD1B6E">
      <w:pPr>
        <w:spacing w:after="0"/>
        <w:rPr>
          <w:sz w:val="23"/>
          <w:szCs w:val="23"/>
        </w:rPr>
      </w:pPr>
    </w:p>
    <w:p w:rsidR="00055B90" w:rsidRDefault="00055B90" w:rsidP="00DD1B6E">
      <w:pPr>
        <w:spacing w:after="0"/>
        <w:rPr>
          <w:sz w:val="23"/>
          <w:szCs w:val="23"/>
        </w:rPr>
      </w:pPr>
      <w:r>
        <w:rPr>
          <w:sz w:val="23"/>
          <w:szCs w:val="23"/>
        </w:rPr>
        <w:t>Dr Richard Chadwick</w:t>
      </w:r>
    </w:p>
    <w:p w:rsidR="00055B90" w:rsidRDefault="00055B90" w:rsidP="00DD1B6E">
      <w:pPr>
        <w:spacing w:after="0"/>
        <w:rPr>
          <w:sz w:val="23"/>
          <w:szCs w:val="23"/>
        </w:rPr>
      </w:pPr>
      <w:r>
        <w:rPr>
          <w:sz w:val="23"/>
          <w:szCs w:val="23"/>
        </w:rPr>
        <w:t>General Manager</w:t>
      </w:r>
    </w:p>
    <w:p w:rsidR="00055B90" w:rsidRDefault="00055B90" w:rsidP="00DD1B6E">
      <w:pPr>
        <w:spacing w:after="0"/>
        <w:rPr>
          <w:sz w:val="23"/>
          <w:szCs w:val="23"/>
        </w:rPr>
      </w:pPr>
      <w:r>
        <w:rPr>
          <w:sz w:val="23"/>
          <w:szCs w:val="23"/>
        </w:rPr>
        <w:t>Adjudication Branch</w:t>
      </w:r>
    </w:p>
    <w:p w:rsidR="00055B90" w:rsidRDefault="00055B90" w:rsidP="00DD1B6E">
      <w:pPr>
        <w:spacing w:after="0"/>
        <w:rPr>
          <w:sz w:val="23"/>
          <w:szCs w:val="23"/>
        </w:rPr>
      </w:pPr>
      <w:r>
        <w:rPr>
          <w:sz w:val="23"/>
          <w:szCs w:val="23"/>
        </w:rPr>
        <w:t>Australian Competition &amp; Consumer Commission</w:t>
      </w:r>
    </w:p>
    <w:p w:rsidR="00055B90" w:rsidRDefault="00055B90" w:rsidP="00DD1B6E">
      <w:pPr>
        <w:spacing w:after="0"/>
        <w:rPr>
          <w:sz w:val="23"/>
          <w:szCs w:val="23"/>
        </w:rPr>
      </w:pPr>
      <w:r>
        <w:rPr>
          <w:sz w:val="23"/>
          <w:szCs w:val="23"/>
        </w:rPr>
        <w:t>23 Marcus Clarke Street</w:t>
      </w:r>
    </w:p>
    <w:p w:rsidR="00055B90" w:rsidRDefault="00055B90" w:rsidP="00DD1B6E">
      <w:pPr>
        <w:spacing w:after="0"/>
        <w:rPr>
          <w:sz w:val="23"/>
          <w:szCs w:val="23"/>
        </w:rPr>
      </w:pPr>
      <w:r>
        <w:rPr>
          <w:sz w:val="23"/>
          <w:szCs w:val="23"/>
        </w:rPr>
        <w:t>Canberra</w:t>
      </w:r>
    </w:p>
    <w:p w:rsidR="00055B90" w:rsidRDefault="00055B90" w:rsidP="00DD1B6E">
      <w:pPr>
        <w:spacing w:after="0"/>
        <w:rPr>
          <w:sz w:val="23"/>
          <w:szCs w:val="23"/>
        </w:rPr>
      </w:pPr>
      <w:r>
        <w:rPr>
          <w:sz w:val="23"/>
          <w:szCs w:val="23"/>
        </w:rPr>
        <w:t>ACT 2601</w:t>
      </w:r>
    </w:p>
    <w:p w:rsidR="00DD1B6E" w:rsidRDefault="00DD1B6E" w:rsidP="00DD1B6E">
      <w:pPr>
        <w:spacing w:after="0"/>
        <w:rPr>
          <w:sz w:val="23"/>
          <w:szCs w:val="23"/>
        </w:rPr>
      </w:pPr>
    </w:p>
    <w:p w:rsidR="00DD1B6E" w:rsidRDefault="00055B90" w:rsidP="00DD1B6E">
      <w:pPr>
        <w:spacing w:after="0"/>
        <w:rPr>
          <w:sz w:val="23"/>
          <w:szCs w:val="23"/>
        </w:rPr>
      </w:pPr>
      <w:r>
        <w:rPr>
          <w:sz w:val="23"/>
          <w:szCs w:val="23"/>
        </w:rPr>
        <w:t xml:space="preserve">Via email: </w:t>
      </w:r>
      <w:hyperlink r:id="rId11" w:history="1">
        <w:r w:rsidRPr="00FE5D96">
          <w:rPr>
            <w:rStyle w:val="Hyperlink"/>
            <w:sz w:val="23"/>
            <w:szCs w:val="23"/>
          </w:rPr>
          <w:t>adjudication@accc.gov.au</w:t>
        </w:r>
      </w:hyperlink>
    </w:p>
    <w:p w:rsidR="00055B90" w:rsidRDefault="00055B90" w:rsidP="00DD1B6E">
      <w:pPr>
        <w:spacing w:after="0"/>
        <w:rPr>
          <w:rFonts w:cstheme="minorHAnsi"/>
        </w:rPr>
      </w:pPr>
    </w:p>
    <w:p w:rsidR="00DD1B6E" w:rsidRPr="00E215A6" w:rsidRDefault="00DD1B6E" w:rsidP="00055B90">
      <w:pPr>
        <w:pStyle w:val="BodyText1"/>
        <w:jc w:val="both"/>
        <w:rPr>
          <w:rFonts w:asciiTheme="minorHAnsi" w:hAnsiTheme="minorHAnsi" w:cstheme="minorHAnsi"/>
        </w:rPr>
      </w:pPr>
      <w:r w:rsidRPr="00E215A6">
        <w:rPr>
          <w:rFonts w:asciiTheme="minorHAnsi" w:hAnsiTheme="minorHAnsi" w:cstheme="minorHAnsi"/>
        </w:rPr>
        <w:t>ACCAN thanks the</w:t>
      </w:r>
      <w:r w:rsidR="00055B90" w:rsidRPr="00E215A6">
        <w:rPr>
          <w:rFonts w:asciiTheme="minorHAnsi" w:hAnsiTheme="minorHAnsi" w:cstheme="minorHAnsi"/>
        </w:rPr>
        <w:t xml:space="preserve"> ACCC </w:t>
      </w:r>
      <w:r w:rsidRPr="00E215A6">
        <w:rPr>
          <w:rFonts w:asciiTheme="minorHAnsi" w:hAnsiTheme="minorHAnsi" w:cstheme="minorHAnsi"/>
        </w:rPr>
        <w:t>for the opportunity</w:t>
      </w:r>
      <w:r w:rsidR="00055B90" w:rsidRPr="00E215A6">
        <w:rPr>
          <w:rFonts w:asciiTheme="minorHAnsi" w:hAnsiTheme="minorHAnsi" w:cstheme="minorHAnsi"/>
        </w:rPr>
        <w:t xml:space="preserve"> to contribute to its consultation on the NBN Co Limited application for revocation of authorisations (A91290 – A91292) and substitution of new authorisations (A91479 – A91481) for </w:t>
      </w:r>
      <w:r w:rsidR="003500E3" w:rsidRPr="00E215A6">
        <w:rPr>
          <w:rFonts w:asciiTheme="minorHAnsi" w:hAnsiTheme="minorHAnsi" w:cstheme="minorHAnsi"/>
        </w:rPr>
        <w:t xml:space="preserve">the </w:t>
      </w:r>
      <w:r w:rsidR="00055B90" w:rsidRPr="00E215A6">
        <w:rPr>
          <w:rFonts w:asciiTheme="minorHAnsi" w:hAnsiTheme="minorHAnsi" w:cstheme="minorHAnsi"/>
        </w:rPr>
        <w:t xml:space="preserve">revised arrangements concerning Optus’ HFC network. </w:t>
      </w:r>
    </w:p>
    <w:p w:rsidR="00D448E8" w:rsidRDefault="00C27634" w:rsidP="0060085E">
      <w:pPr>
        <w:pStyle w:val="BodyText1"/>
        <w:spacing w:after="0"/>
        <w:jc w:val="both"/>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ACCAN’s broadband policy position</w:t>
      </w:r>
      <w:r w:rsidR="00A11E3A">
        <w:rPr>
          <w:rStyle w:val="FootnoteReference"/>
          <w:rFonts w:asciiTheme="minorHAnsi" w:eastAsiaTheme="minorEastAsia" w:hAnsiTheme="minorHAnsi" w:cstheme="minorHAnsi"/>
          <w:color w:val="auto"/>
          <w:lang w:eastAsia="en-AU"/>
        </w:rPr>
        <w:footnoteReference w:id="1"/>
      </w:r>
      <w:r w:rsidR="00E215A6">
        <w:rPr>
          <w:rFonts w:asciiTheme="minorHAnsi" w:eastAsiaTheme="minorEastAsia" w:hAnsiTheme="minorHAnsi" w:cstheme="minorHAnsi"/>
          <w:color w:val="auto"/>
          <w:lang w:eastAsia="en-AU"/>
        </w:rPr>
        <w:t>, since 2010,</w:t>
      </w:r>
      <w:r>
        <w:rPr>
          <w:rFonts w:asciiTheme="minorHAnsi" w:eastAsiaTheme="minorEastAsia" w:hAnsiTheme="minorHAnsi" w:cstheme="minorHAnsi"/>
          <w:color w:val="auto"/>
          <w:lang w:eastAsia="en-AU"/>
        </w:rPr>
        <w:t xml:space="preserve"> has four elements; </w:t>
      </w:r>
    </w:p>
    <w:p w:rsidR="00D448E8" w:rsidRPr="0060085E" w:rsidRDefault="00C27634" w:rsidP="0060085E">
      <w:pPr>
        <w:pStyle w:val="BodyText1"/>
        <w:numPr>
          <w:ilvl w:val="0"/>
          <w:numId w:val="7"/>
        </w:numPr>
        <w:spacing w:after="0"/>
        <w:jc w:val="both"/>
        <w:rPr>
          <w:rFonts w:asciiTheme="minorHAnsi" w:hAnsiTheme="minorHAnsi" w:cstheme="minorHAnsi"/>
          <w:color w:val="auto"/>
        </w:rPr>
      </w:pPr>
      <w:r>
        <w:rPr>
          <w:rFonts w:asciiTheme="minorHAnsi" w:eastAsiaTheme="minorEastAsia" w:hAnsiTheme="minorHAnsi" w:cstheme="minorHAnsi"/>
          <w:color w:val="auto"/>
          <w:lang w:eastAsia="en-AU"/>
        </w:rPr>
        <w:t xml:space="preserve">broadband for all, </w:t>
      </w:r>
    </w:p>
    <w:p w:rsidR="00D448E8" w:rsidRPr="0060085E" w:rsidRDefault="00C27634" w:rsidP="0060085E">
      <w:pPr>
        <w:pStyle w:val="BodyText1"/>
        <w:numPr>
          <w:ilvl w:val="0"/>
          <w:numId w:val="7"/>
        </w:numPr>
        <w:spacing w:after="0"/>
        <w:jc w:val="both"/>
        <w:rPr>
          <w:rFonts w:asciiTheme="minorHAnsi" w:hAnsiTheme="minorHAnsi" w:cstheme="minorHAnsi"/>
          <w:color w:val="auto"/>
        </w:rPr>
      </w:pPr>
      <w:r>
        <w:rPr>
          <w:rFonts w:asciiTheme="minorHAnsi" w:eastAsiaTheme="minorEastAsia" w:hAnsiTheme="minorHAnsi" w:cstheme="minorHAnsi"/>
          <w:color w:val="auto"/>
          <w:lang w:eastAsia="en-AU"/>
        </w:rPr>
        <w:t xml:space="preserve">no consumer should be worse off during the transition and following the implementation of the NBN, </w:t>
      </w:r>
    </w:p>
    <w:p w:rsidR="00187303" w:rsidRPr="0060085E" w:rsidRDefault="00C27634" w:rsidP="0060085E">
      <w:pPr>
        <w:pStyle w:val="BodyText1"/>
        <w:numPr>
          <w:ilvl w:val="0"/>
          <w:numId w:val="7"/>
        </w:numPr>
        <w:spacing w:after="0"/>
        <w:jc w:val="both"/>
        <w:rPr>
          <w:rFonts w:asciiTheme="minorHAnsi" w:hAnsiTheme="minorHAnsi" w:cstheme="minorHAnsi"/>
          <w:color w:val="auto"/>
        </w:rPr>
      </w:pPr>
      <w:r>
        <w:rPr>
          <w:rFonts w:asciiTheme="minorHAnsi" w:eastAsiaTheme="minorEastAsia" w:hAnsiTheme="minorHAnsi" w:cstheme="minorHAnsi"/>
          <w:color w:val="auto"/>
          <w:lang w:eastAsia="en-AU"/>
        </w:rPr>
        <w:t>robust consumer protections and consumer engagement</w:t>
      </w:r>
      <w:r w:rsidR="00187303">
        <w:rPr>
          <w:rFonts w:asciiTheme="minorHAnsi" w:eastAsiaTheme="minorEastAsia" w:hAnsiTheme="minorHAnsi" w:cstheme="minorHAnsi"/>
          <w:color w:val="auto"/>
          <w:lang w:eastAsia="en-AU"/>
        </w:rPr>
        <w:t>,</w:t>
      </w:r>
      <w:r>
        <w:rPr>
          <w:rFonts w:asciiTheme="minorHAnsi" w:eastAsiaTheme="minorEastAsia" w:hAnsiTheme="minorHAnsi" w:cstheme="minorHAnsi"/>
          <w:color w:val="auto"/>
          <w:lang w:eastAsia="en-AU"/>
        </w:rPr>
        <w:t xml:space="preserve"> and</w:t>
      </w:r>
    </w:p>
    <w:p w:rsidR="00D448E8" w:rsidRPr="0060085E" w:rsidRDefault="003500E3" w:rsidP="0060085E">
      <w:pPr>
        <w:pStyle w:val="BodyText1"/>
        <w:numPr>
          <w:ilvl w:val="0"/>
          <w:numId w:val="7"/>
        </w:numPr>
        <w:jc w:val="both"/>
        <w:rPr>
          <w:rFonts w:asciiTheme="minorHAnsi" w:hAnsiTheme="minorHAnsi" w:cstheme="minorHAnsi"/>
          <w:color w:val="auto"/>
        </w:rPr>
      </w:pPr>
      <w:proofErr w:type="gramStart"/>
      <w:r>
        <w:rPr>
          <w:rFonts w:asciiTheme="minorHAnsi" w:eastAsiaTheme="minorEastAsia" w:hAnsiTheme="minorHAnsi" w:cstheme="minorHAnsi"/>
          <w:color w:val="auto"/>
          <w:lang w:eastAsia="en-AU"/>
        </w:rPr>
        <w:t>s</w:t>
      </w:r>
      <w:r w:rsidRPr="0060085E">
        <w:rPr>
          <w:rFonts w:asciiTheme="minorHAnsi" w:eastAsiaTheme="minorEastAsia" w:hAnsiTheme="minorHAnsi" w:cstheme="minorHAnsi"/>
          <w:color w:val="auto"/>
          <w:lang w:eastAsia="en-AU"/>
        </w:rPr>
        <w:t>ustaining</w:t>
      </w:r>
      <w:proofErr w:type="gramEnd"/>
      <w:r w:rsidR="00C27634" w:rsidRPr="0060085E">
        <w:rPr>
          <w:rFonts w:asciiTheme="minorHAnsi" w:eastAsiaTheme="minorEastAsia" w:hAnsiTheme="minorHAnsi" w:cstheme="minorHAnsi"/>
          <w:color w:val="auto"/>
          <w:lang w:eastAsia="en-AU"/>
        </w:rPr>
        <w:t xml:space="preserve"> a competitive and</w:t>
      </w:r>
      <w:r w:rsidR="00187303" w:rsidRPr="0060085E">
        <w:rPr>
          <w:rFonts w:asciiTheme="minorHAnsi" w:eastAsiaTheme="minorEastAsia" w:hAnsiTheme="minorHAnsi" w:cstheme="minorHAnsi"/>
          <w:color w:val="auto"/>
          <w:lang w:eastAsia="en-AU"/>
        </w:rPr>
        <w:t xml:space="preserve"> </w:t>
      </w:r>
      <w:r w:rsidR="00C27634" w:rsidRPr="0060085E">
        <w:rPr>
          <w:rFonts w:asciiTheme="minorHAnsi" w:eastAsiaTheme="minorEastAsia" w:hAnsiTheme="minorHAnsi" w:cstheme="minorHAnsi"/>
          <w:color w:val="auto"/>
          <w:lang w:eastAsia="en-AU"/>
        </w:rPr>
        <w:t xml:space="preserve"> fair market. </w:t>
      </w:r>
    </w:p>
    <w:p w:rsidR="00E215A6" w:rsidRDefault="006D373B" w:rsidP="003759F7">
      <w:pPr>
        <w:pStyle w:val="BodyText1"/>
        <w:jc w:val="both"/>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Having considered the application in detail</w:t>
      </w:r>
      <w:r w:rsidR="00E215A6">
        <w:rPr>
          <w:rFonts w:asciiTheme="minorHAnsi" w:eastAsiaTheme="minorEastAsia" w:hAnsiTheme="minorHAnsi" w:cstheme="minorHAnsi"/>
          <w:color w:val="auto"/>
          <w:lang w:eastAsia="en-AU"/>
        </w:rPr>
        <w:t xml:space="preserve"> and in the context of ACCAN’s broadband policy position, we</w:t>
      </w:r>
      <w:r>
        <w:rPr>
          <w:rFonts w:asciiTheme="minorHAnsi" w:eastAsiaTheme="minorEastAsia" w:hAnsiTheme="minorHAnsi" w:cstheme="minorHAnsi"/>
          <w:color w:val="auto"/>
          <w:lang w:eastAsia="en-AU"/>
        </w:rPr>
        <w:t xml:space="preserve"> would</w:t>
      </w:r>
      <w:r w:rsidR="00E215A6">
        <w:rPr>
          <w:rFonts w:asciiTheme="minorHAnsi" w:eastAsiaTheme="minorEastAsia" w:hAnsiTheme="minorHAnsi" w:cstheme="minorHAnsi"/>
          <w:color w:val="auto"/>
          <w:lang w:eastAsia="en-AU"/>
        </w:rPr>
        <w:t xml:space="preserve"> like to raise concerns about</w:t>
      </w:r>
      <w:r w:rsidR="00ED75A4">
        <w:rPr>
          <w:rFonts w:asciiTheme="minorHAnsi" w:eastAsiaTheme="minorEastAsia" w:hAnsiTheme="minorHAnsi" w:cstheme="minorHAnsi"/>
          <w:color w:val="auto"/>
          <w:lang w:eastAsia="en-AU"/>
        </w:rPr>
        <w:t xml:space="preserve"> </w:t>
      </w:r>
      <w:r>
        <w:rPr>
          <w:rFonts w:asciiTheme="minorHAnsi" w:eastAsiaTheme="minorEastAsia" w:hAnsiTheme="minorHAnsi" w:cstheme="minorHAnsi"/>
          <w:color w:val="auto"/>
          <w:lang w:eastAsia="en-AU"/>
        </w:rPr>
        <w:t xml:space="preserve">potential detriment to consumers through </w:t>
      </w:r>
      <w:r w:rsidR="00C27634">
        <w:rPr>
          <w:rFonts w:asciiTheme="minorHAnsi" w:eastAsiaTheme="minorEastAsia" w:hAnsiTheme="minorHAnsi" w:cstheme="minorHAnsi"/>
          <w:color w:val="auto"/>
          <w:lang w:eastAsia="en-AU"/>
        </w:rPr>
        <w:t>reduc</w:t>
      </w:r>
      <w:r w:rsidR="000A2665">
        <w:rPr>
          <w:rFonts w:asciiTheme="minorHAnsi" w:eastAsiaTheme="minorEastAsia" w:hAnsiTheme="minorHAnsi" w:cstheme="minorHAnsi"/>
          <w:color w:val="auto"/>
          <w:lang w:eastAsia="en-AU"/>
        </w:rPr>
        <w:t xml:space="preserve">ed </w:t>
      </w:r>
      <w:r w:rsidR="00C27634">
        <w:rPr>
          <w:rFonts w:asciiTheme="minorHAnsi" w:eastAsiaTheme="minorEastAsia" w:hAnsiTheme="minorHAnsi" w:cstheme="minorHAnsi"/>
          <w:color w:val="auto"/>
          <w:lang w:eastAsia="en-AU"/>
        </w:rPr>
        <w:t xml:space="preserve">competition. </w:t>
      </w:r>
      <w:r w:rsidR="003759F7">
        <w:rPr>
          <w:rFonts w:asciiTheme="minorHAnsi" w:eastAsiaTheme="minorEastAsia" w:hAnsiTheme="minorHAnsi" w:cstheme="minorHAnsi"/>
          <w:color w:val="auto"/>
          <w:lang w:eastAsia="en-AU"/>
        </w:rPr>
        <w:t>Sustaining a competitive market is one of ACCAN’s key principals</w:t>
      </w:r>
      <w:r w:rsidR="009D5DD5">
        <w:rPr>
          <w:rFonts w:asciiTheme="minorHAnsi" w:eastAsiaTheme="minorEastAsia" w:hAnsiTheme="minorHAnsi" w:cstheme="minorHAnsi"/>
          <w:color w:val="auto"/>
          <w:lang w:eastAsia="en-AU"/>
        </w:rPr>
        <w:t xml:space="preserve"> and as such we are concerned that t</w:t>
      </w:r>
      <w:r>
        <w:rPr>
          <w:rFonts w:asciiTheme="minorHAnsi" w:eastAsiaTheme="minorEastAsia" w:hAnsiTheme="minorHAnsi" w:cstheme="minorHAnsi"/>
          <w:color w:val="auto"/>
          <w:lang w:eastAsia="en-AU"/>
        </w:rPr>
        <w:t xml:space="preserve">his application </w:t>
      </w:r>
      <w:r w:rsidR="003F7B96">
        <w:rPr>
          <w:rFonts w:asciiTheme="minorHAnsi" w:eastAsiaTheme="minorEastAsia" w:hAnsiTheme="minorHAnsi" w:cstheme="minorHAnsi"/>
          <w:color w:val="auto"/>
          <w:lang w:eastAsia="en-AU"/>
        </w:rPr>
        <w:t>could</w:t>
      </w:r>
      <w:r>
        <w:rPr>
          <w:rFonts w:asciiTheme="minorHAnsi" w:eastAsiaTheme="minorEastAsia" w:hAnsiTheme="minorHAnsi" w:cstheme="minorHAnsi"/>
          <w:color w:val="auto"/>
          <w:lang w:eastAsia="en-AU"/>
        </w:rPr>
        <w:t xml:space="preserve"> limit consumer choice and </w:t>
      </w:r>
      <w:r w:rsidR="00ED75A4" w:rsidRPr="00ED75A4">
        <w:rPr>
          <w:rFonts w:asciiTheme="minorHAnsi" w:eastAsiaTheme="minorEastAsia" w:hAnsiTheme="minorHAnsi" w:cstheme="minorHAnsi"/>
          <w:color w:val="auto"/>
          <w:lang w:eastAsia="en-AU"/>
        </w:rPr>
        <w:t>lessen competition</w:t>
      </w:r>
      <w:r w:rsidR="003759F7">
        <w:rPr>
          <w:rFonts w:asciiTheme="minorHAnsi" w:eastAsiaTheme="minorEastAsia" w:hAnsiTheme="minorHAnsi" w:cstheme="minorHAnsi"/>
          <w:color w:val="auto"/>
          <w:lang w:eastAsia="en-AU"/>
        </w:rPr>
        <w:t xml:space="preserve"> as it removes one of the </w:t>
      </w:r>
      <w:r w:rsidR="003500E3">
        <w:rPr>
          <w:rFonts w:asciiTheme="minorHAnsi" w:eastAsiaTheme="minorEastAsia" w:hAnsiTheme="minorHAnsi" w:cstheme="minorHAnsi"/>
          <w:color w:val="auto"/>
          <w:lang w:eastAsia="en-AU"/>
        </w:rPr>
        <w:t>established</w:t>
      </w:r>
      <w:r w:rsidR="003759F7">
        <w:rPr>
          <w:rFonts w:asciiTheme="minorHAnsi" w:eastAsiaTheme="minorEastAsia" w:hAnsiTheme="minorHAnsi" w:cstheme="minorHAnsi"/>
          <w:color w:val="auto"/>
          <w:lang w:eastAsia="en-AU"/>
        </w:rPr>
        <w:t xml:space="preserve"> </w:t>
      </w:r>
      <w:r w:rsidR="003500E3">
        <w:rPr>
          <w:rFonts w:asciiTheme="minorHAnsi" w:eastAsiaTheme="minorEastAsia" w:hAnsiTheme="minorHAnsi" w:cstheme="minorHAnsi"/>
          <w:color w:val="auto"/>
          <w:lang w:eastAsia="en-AU"/>
        </w:rPr>
        <w:t>potential competitors</w:t>
      </w:r>
      <w:r w:rsidR="003759F7">
        <w:rPr>
          <w:rFonts w:asciiTheme="minorHAnsi" w:eastAsiaTheme="minorEastAsia" w:hAnsiTheme="minorHAnsi" w:cstheme="minorHAnsi"/>
          <w:color w:val="auto"/>
          <w:lang w:eastAsia="en-AU"/>
        </w:rPr>
        <w:t xml:space="preserve"> to NBN</w:t>
      </w:r>
      <w:r w:rsidR="003500E3">
        <w:rPr>
          <w:rFonts w:asciiTheme="minorHAnsi" w:eastAsiaTheme="minorEastAsia" w:hAnsiTheme="minorHAnsi" w:cstheme="minorHAnsi"/>
          <w:color w:val="auto"/>
          <w:lang w:eastAsia="en-AU"/>
        </w:rPr>
        <w:t xml:space="preserve"> Co</w:t>
      </w:r>
      <w:r w:rsidR="003759F7">
        <w:rPr>
          <w:rFonts w:asciiTheme="minorHAnsi" w:eastAsiaTheme="minorEastAsia" w:hAnsiTheme="minorHAnsi" w:cstheme="minorHAnsi"/>
          <w:color w:val="auto"/>
          <w:lang w:eastAsia="en-AU"/>
        </w:rPr>
        <w:t>.</w:t>
      </w:r>
      <w:r w:rsidR="00ED75A4">
        <w:rPr>
          <w:rFonts w:asciiTheme="minorHAnsi" w:eastAsiaTheme="minorEastAsia" w:hAnsiTheme="minorHAnsi" w:cstheme="minorHAnsi"/>
          <w:color w:val="auto"/>
          <w:lang w:eastAsia="en-AU"/>
        </w:rPr>
        <w:t xml:space="preserve"> </w:t>
      </w:r>
    </w:p>
    <w:p w:rsidR="009D5DD5" w:rsidRDefault="00E215A6" w:rsidP="00E215A6">
      <w:pPr>
        <w:pStyle w:val="BodyText1"/>
        <w:jc w:val="both"/>
        <w:rPr>
          <w:rFonts w:asciiTheme="minorHAnsi" w:eastAsiaTheme="minorEastAsia" w:hAnsiTheme="minorHAnsi" w:cstheme="minorHAnsi"/>
          <w:color w:val="auto"/>
          <w:lang w:eastAsia="en-AU"/>
        </w:rPr>
      </w:pPr>
      <w:r>
        <w:rPr>
          <w:rFonts w:asciiTheme="minorHAnsi" w:eastAsiaTheme="minorEastAsia" w:hAnsiTheme="minorHAnsi" w:cstheme="minorHAnsi"/>
          <w:color w:val="auto"/>
          <w:lang w:eastAsia="en-AU"/>
        </w:rPr>
        <w:t xml:space="preserve">In considering a future without this application </w:t>
      </w:r>
      <w:r w:rsidR="009205DD">
        <w:rPr>
          <w:rFonts w:asciiTheme="minorHAnsi" w:eastAsiaTheme="minorEastAsia" w:hAnsiTheme="minorHAnsi" w:cstheme="minorHAnsi"/>
          <w:color w:val="auto"/>
          <w:lang w:eastAsia="en-AU"/>
        </w:rPr>
        <w:t>ACCAN</w:t>
      </w:r>
      <w:r w:rsidR="00C42637">
        <w:rPr>
          <w:rFonts w:asciiTheme="minorHAnsi" w:eastAsiaTheme="minorEastAsia" w:hAnsiTheme="minorHAnsi" w:cstheme="minorHAnsi"/>
          <w:color w:val="auto"/>
          <w:lang w:eastAsia="en-AU"/>
        </w:rPr>
        <w:t xml:space="preserve"> </w:t>
      </w:r>
      <w:r>
        <w:rPr>
          <w:rFonts w:asciiTheme="minorHAnsi" w:eastAsiaTheme="minorEastAsia" w:hAnsiTheme="minorHAnsi" w:cstheme="minorHAnsi"/>
          <w:color w:val="auto"/>
          <w:lang w:eastAsia="en-AU"/>
        </w:rPr>
        <w:t xml:space="preserve">can see a potential </w:t>
      </w:r>
      <w:r w:rsidR="009D5DD5">
        <w:rPr>
          <w:rFonts w:asciiTheme="minorHAnsi" w:eastAsiaTheme="minorEastAsia" w:hAnsiTheme="minorHAnsi" w:cstheme="minorHAnsi"/>
          <w:color w:val="auto"/>
          <w:lang w:eastAsia="en-AU"/>
        </w:rPr>
        <w:t xml:space="preserve">public benefit </w:t>
      </w:r>
      <w:r>
        <w:rPr>
          <w:rFonts w:asciiTheme="minorHAnsi" w:eastAsiaTheme="minorEastAsia" w:hAnsiTheme="minorHAnsi" w:cstheme="minorHAnsi"/>
          <w:color w:val="auto"/>
          <w:lang w:eastAsia="en-AU"/>
        </w:rPr>
        <w:t>from</w:t>
      </w:r>
      <w:r w:rsidR="009D5DD5">
        <w:rPr>
          <w:rFonts w:asciiTheme="minorHAnsi" w:eastAsiaTheme="minorEastAsia" w:hAnsiTheme="minorHAnsi" w:cstheme="minorHAnsi"/>
          <w:color w:val="auto"/>
          <w:lang w:eastAsia="en-AU"/>
        </w:rPr>
        <w:t xml:space="preserve"> </w:t>
      </w:r>
      <w:r>
        <w:rPr>
          <w:rFonts w:asciiTheme="minorHAnsi" w:eastAsiaTheme="minorEastAsia" w:hAnsiTheme="minorHAnsi" w:cstheme="minorHAnsi"/>
          <w:color w:val="auto"/>
          <w:lang w:eastAsia="en-AU"/>
        </w:rPr>
        <w:t>completion between</w:t>
      </w:r>
      <w:r w:rsidR="009D5DD5">
        <w:rPr>
          <w:rFonts w:asciiTheme="minorHAnsi" w:eastAsiaTheme="minorEastAsia" w:hAnsiTheme="minorHAnsi" w:cstheme="minorHAnsi"/>
          <w:color w:val="auto"/>
          <w:lang w:eastAsia="en-AU"/>
        </w:rPr>
        <w:t xml:space="preserve"> wholesale providers</w:t>
      </w:r>
      <w:r w:rsidR="003500E3">
        <w:rPr>
          <w:rFonts w:asciiTheme="minorHAnsi" w:eastAsiaTheme="minorEastAsia" w:hAnsiTheme="minorHAnsi" w:cstheme="minorHAnsi"/>
          <w:color w:val="auto"/>
          <w:lang w:eastAsia="en-AU"/>
        </w:rPr>
        <w:t>, and resulting retail provider competition</w:t>
      </w:r>
      <w:r w:rsidR="009D5DD5">
        <w:rPr>
          <w:rFonts w:asciiTheme="minorHAnsi" w:eastAsiaTheme="minorEastAsia" w:hAnsiTheme="minorHAnsi" w:cstheme="minorHAnsi"/>
          <w:color w:val="auto"/>
          <w:lang w:eastAsia="en-AU"/>
        </w:rPr>
        <w:t xml:space="preserve">. </w:t>
      </w:r>
      <w:r w:rsidR="003500E3">
        <w:rPr>
          <w:rFonts w:asciiTheme="minorHAnsi" w:eastAsiaTheme="minorEastAsia" w:hAnsiTheme="minorHAnsi" w:cstheme="minorHAnsi"/>
          <w:color w:val="auto"/>
          <w:lang w:eastAsia="en-AU"/>
        </w:rPr>
        <w:t>Firstly,</w:t>
      </w:r>
      <w:r w:rsidR="009D5DD5">
        <w:rPr>
          <w:rFonts w:asciiTheme="minorHAnsi" w:eastAsiaTheme="minorEastAsia" w:hAnsiTheme="minorHAnsi" w:cstheme="minorHAnsi"/>
          <w:color w:val="auto"/>
          <w:lang w:eastAsia="en-AU"/>
        </w:rPr>
        <w:t xml:space="preserve"> competition at the wholesale level could provide consumers with choice in the HFC area and potentially lower prices for some entry level broadband services through competing retailers</w:t>
      </w:r>
      <w:r w:rsidR="002D3C3B">
        <w:rPr>
          <w:rFonts w:asciiTheme="minorHAnsi" w:eastAsiaTheme="minorEastAsia" w:hAnsiTheme="minorHAnsi" w:cstheme="minorHAnsi"/>
          <w:color w:val="auto"/>
          <w:lang w:eastAsia="en-AU"/>
        </w:rPr>
        <w:t xml:space="preserve"> that price locally</w:t>
      </w:r>
      <w:r w:rsidR="009D5DD5">
        <w:rPr>
          <w:rFonts w:asciiTheme="minorHAnsi" w:eastAsiaTheme="minorEastAsia" w:hAnsiTheme="minorHAnsi" w:cstheme="minorHAnsi"/>
          <w:color w:val="auto"/>
          <w:lang w:eastAsia="en-AU"/>
        </w:rPr>
        <w:t xml:space="preserve">. </w:t>
      </w:r>
      <w:r w:rsidR="009205DD">
        <w:rPr>
          <w:rFonts w:asciiTheme="minorHAnsi" w:eastAsiaTheme="minorEastAsia" w:hAnsiTheme="minorHAnsi" w:cstheme="minorHAnsi"/>
          <w:color w:val="auto"/>
          <w:lang w:eastAsia="en-AU"/>
        </w:rPr>
        <w:t xml:space="preserve">Secondly, as Optus and some </w:t>
      </w:r>
      <w:r w:rsidR="003500E3">
        <w:rPr>
          <w:rFonts w:asciiTheme="minorHAnsi" w:eastAsiaTheme="minorEastAsia" w:hAnsiTheme="minorHAnsi" w:cstheme="minorHAnsi"/>
          <w:color w:val="auto"/>
          <w:lang w:eastAsia="en-AU"/>
        </w:rPr>
        <w:t>other telecommunication providers price nationally, i</w:t>
      </w:r>
      <w:r w:rsidR="009D5DD5">
        <w:rPr>
          <w:rFonts w:asciiTheme="minorHAnsi" w:eastAsiaTheme="minorEastAsia" w:hAnsiTheme="minorHAnsi" w:cstheme="minorHAnsi"/>
          <w:color w:val="auto"/>
          <w:lang w:eastAsia="en-AU"/>
        </w:rPr>
        <w:t>t may also put pressure on the national prices, as it would provide a benchmark that could help inform the market and increase discipline on NBN Co.</w:t>
      </w:r>
      <w:r w:rsidR="009D5DD5">
        <w:rPr>
          <w:rStyle w:val="FootnoteReference"/>
          <w:rFonts w:asciiTheme="minorHAnsi" w:eastAsiaTheme="minorEastAsia" w:hAnsiTheme="minorHAnsi" w:cstheme="minorHAnsi"/>
          <w:color w:val="auto"/>
          <w:lang w:eastAsia="en-AU"/>
        </w:rPr>
        <w:footnoteReference w:id="2"/>
      </w:r>
    </w:p>
    <w:p w:rsidR="009205DD" w:rsidRDefault="00E215A6" w:rsidP="00E215A6">
      <w:pPr>
        <w:pStyle w:val="BodyText1"/>
        <w:jc w:val="both"/>
        <w:rPr>
          <w:rFonts w:asciiTheme="minorHAnsi" w:hAnsiTheme="minorHAnsi" w:cstheme="minorHAnsi"/>
          <w:color w:val="auto"/>
        </w:rPr>
      </w:pPr>
      <w:r>
        <w:rPr>
          <w:rFonts w:asciiTheme="minorHAnsi" w:eastAsiaTheme="minorEastAsia" w:hAnsiTheme="minorHAnsi" w:cstheme="minorHAnsi"/>
          <w:color w:val="auto"/>
          <w:lang w:eastAsia="en-AU"/>
        </w:rPr>
        <w:t xml:space="preserve">In considering the balance of public benefit and detriment in this scenario </w:t>
      </w:r>
      <w:r w:rsidR="009D5DD5" w:rsidRPr="0063765C">
        <w:rPr>
          <w:rFonts w:asciiTheme="minorHAnsi" w:eastAsiaTheme="minorEastAsia" w:hAnsiTheme="minorHAnsi" w:cstheme="minorHAnsi"/>
          <w:color w:val="auto"/>
          <w:lang w:eastAsia="en-AU"/>
        </w:rPr>
        <w:t xml:space="preserve">ACCAN </w:t>
      </w:r>
      <w:r w:rsidR="00C42637">
        <w:rPr>
          <w:rFonts w:asciiTheme="minorHAnsi" w:eastAsiaTheme="minorEastAsia" w:hAnsiTheme="minorHAnsi" w:cstheme="minorHAnsi"/>
          <w:color w:val="auto"/>
          <w:lang w:eastAsia="en-AU"/>
        </w:rPr>
        <w:t xml:space="preserve">questions </w:t>
      </w:r>
      <w:r w:rsidR="009D5DD5" w:rsidRPr="0063765C">
        <w:rPr>
          <w:rFonts w:asciiTheme="minorHAnsi" w:eastAsiaTheme="minorEastAsia" w:hAnsiTheme="minorHAnsi" w:cstheme="minorHAnsi"/>
          <w:color w:val="auto"/>
          <w:lang w:eastAsia="en-AU"/>
        </w:rPr>
        <w:t xml:space="preserve">if the NBN roll out would be significantly hampered by not having the Optus HFC.  </w:t>
      </w:r>
      <w:r w:rsidR="009205DD" w:rsidRPr="0063765C">
        <w:rPr>
          <w:rFonts w:asciiTheme="minorHAnsi" w:eastAsiaTheme="minorEastAsia" w:hAnsiTheme="minorHAnsi" w:cstheme="minorHAnsi"/>
          <w:color w:val="auto"/>
          <w:lang w:eastAsia="en-AU"/>
        </w:rPr>
        <w:t xml:space="preserve">In NBN Co and Optus’ </w:t>
      </w:r>
      <w:r w:rsidR="009205DD" w:rsidRPr="0063765C">
        <w:rPr>
          <w:rFonts w:asciiTheme="minorHAnsi" w:eastAsiaTheme="minorEastAsia" w:hAnsiTheme="minorHAnsi" w:cstheme="minorHAnsi"/>
          <w:color w:val="auto"/>
          <w:lang w:eastAsia="en-AU"/>
        </w:rPr>
        <w:lastRenderedPageBreak/>
        <w:t>submission it is argued that the Optus HFC network is integral to</w:t>
      </w:r>
      <w:r w:rsidR="009205DD">
        <w:rPr>
          <w:rFonts w:asciiTheme="minorHAnsi" w:eastAsiaTheme="minorEastAsia" w:hAnsiTheme="minorHAnsi" w:cstheme="minorHAnsi"/>
          <w:color w:val="auto"/>
          <w:lang w:eastAsia="en-AU"/>
        </w:rPr>
        <w:t xml:space="preserve"> the delivery of the MTM model, however, </w:t>
      </w:r>
      <w:r w:rsidR="009205DD" w:rsidRPr="0063765C">
        <w:rPr>
          <w:rFonts w:asciiTheme="minorHAnsi" w:eastAsiaTheme="minorEastAsia" w:hAnsiTheme="minorHAnsi" w:cstheme="minorHAnsi"/>
          <w:color w:val="auto"/>
          <w:lang w:eastAsia="en-AU"/>
        </w:rPr>
        <w:t>it</w:t>
      </w:r>
      <w:r w:rsidR="009D5DD5" w:rsidRPr="0063765C">
        <w:rPr>
          <w:rFonts w:asciiTheme="minorHAnsi" w:eastAsiaTheme="minorEastAsia" w:hAnsiTheme="minorHAnsi" w:cstheme="minorHAnsi"/>
          <w:color w:val="auto"/>
          <w:lang w:eastAsia="en-AU"/>
        </w:rPr>
        <w:t xml:space="preserve"> is clear that there is a large overlap in the HFC networks</w:t>
      </w:r>
      <w:r w:rsidR="009205DD">
        <w:rPr>
          <w:rFonts w:asciiTheme="minorHAnsi" w:eastAsiaTheme="minorEastAsia" w:hAnsiTheme="minorHAnsi" w:cstheme="minorHAnsi"/>
          <w:color w:val="auto"/>
          <w:lang w:eastAsia="en-AU"/>
        </w:rPr>
        <w:t>.</w:t>
      </w:r>
      <w:r w:rsidR="009D5DD5" w:rsidRPr="0063765C">
        <w:rPr>
          <w:rFonts w:asciiTheme="minorHAnsi" w:eastAsiaTheme="minorEastAsia" w:hAnsiTheme="minorHAnsi" w:cstheme="minorHAnsi"/>
          <w:color w:val="auto"/>
          <w:lang w:eastAsia="en-AU"/>
        </w:rPr>
        <w:t xml:space="preserve"> Th</w:t>
      </w:r>
      <w:r w:rsidR="009205DD">
        <w:rPr>
          <w:rFonts w:asciiTheme="minorHAnsi" w:eastAsiaTheme="minorEastAsia" w:hAnsiTheme="minorHAnsi" w:cstheme="minorHAnsi"/>
          <w:color w:val="auto"/>
          <w:lang w:eastAsia="en-AU"/>
        </w:rPr>
        <w:t>is gives rise to the question of</w:t>
      </w:r>
      <w:r w:rsidR="009D5DD5" w:rsidRPr="0063765C">
        <w:rPr>
          <w:rFonts w:asciiTheme="minorHAnsi" w:eastAsiaTheme="minorEastAsia" w:hAnsiTheme="minorHAnsi" w:cstheme="minorHAnsi"/>
          <w:color w:val="auto"/>
          <w:lang w:eastAsia="en-AU"/>
        </w:rPr>
        <w:t xml:space="preserve"> how much is being saved through the use of the Optus HFC.</w:t>
      </w:r>
      <w:r w:rsidR="002D3C3B" w:rsidRPr="002D3C3B">
        <w:rPr>
          <w:rFonts w:asciiTheme="minorHAnsi" w:hAnsiTheme="minorHAnsi" w:cstheme="minorHAnsi"/>
          <w:color w:val="auto"/>
        </w:rPr>
        <w:t xml:space="preserve"> </w:t>
      </w:r>
      <w:r>
        <w:rPr>
          <w:rFonts w:asciiTheme="minorHAnsi" w:hAnsiTheme="minorHAnsi" w:cstheme="minorHAnsi"/>
          <w:color w:val="auto"/>
        </w:rPr>
        <w:t>ACCAN does not have access to this data</w:t>
      </w:r>
      <w:r w:rsidR="004E5AA1">
        <w:rPr>
          <w:rFonts w:asciiTheme="minorHAnsi" w:hAnsiTheme="minorHAnsi" w:cstheme="minorHAnsi"/>
          <w:color w:val="auto"/>
        </w:rPr>
        <w:t>,</w:t>
      </w:r>
      <w:r>
        <w:rPr>
          <w:rFonts w:asciiTheme="minorHAnsi" w:hAnsiTheme="minorHAnsi" w:cstheme="minorHAnsi"/>
          <w:color w:val="auto"/>
        </w:rPr>
        <w:t xml:space="preserve"> although the ACCC will have better information available as the regulator. </w:t>
      </w:r>
      <w:r w:rsidR="009205DD" w:rsidRPr="009205DD">
        <w:rPr>
          <w:rFonts w:asciiTheme="minorHAnsi" w:eastAsiaTheme="minorEastAsia" w:hAnsiTheme="minorHAnsi" w:cstheme="minorHAnsi"/>
          <w:color w:val="auto"/>
          <w:lang w:eastAsia="en-AU"/>
        </w:rPr>
        <w:t>NBN Co have provided details</w:t>
      </w:r>
      <w:r w:rsidR="009205DD">
        <w:rPr>
          <w:rStyle w:val="FootnoteReference"/>
          <w:rFonts w:asciiTheme="minorHAnsi" w:eastAsiaTheme="minorEastAsia" w:hAnsiTheme="minorHAnsi" w:cstheme="minorHAnsi"/>
          <w:color w:val="auto"/>
          <w:lang w:eastAsia="en-AU"/>
        </w:rPr>
        <w:footnoteReference w:id="3"/>
      </w:r>
      <w:r w:rsidR="009205DD" w:rsidRPr="009205DD">
        <w:rPr>
          <w:rFonts w:asciiTheme="minorHAnsi" w:eastAsiaTheme="minorEastAsia" w:hAnsiTheme="minorHAnsi" w:cstheme="minorHAnsi"/>
          <w:color w:val="auto"/>
          <w:lang w:eastAsia="en-AU"/>
        </w:rPr>
        <w:t xml:space="preserve"> on the efficiency gain for them to use an MTM model over an FTTP model, but it is not clear the extent of the efficiency gains that the Optus HFC specifically provides. </w:t>
      </w:r>
      <w:r w:rsidR="002D3C3B">
        <w:rPr>
          <w:rFonts w:asciiTheme="minorHAnsi" w:hAnsiTheme="minorHAnsi" w:cstheme="minorHAnsi"/>
          <w:color w:val="auto"/>
        </w:rPr>
        <w:t xml:space="preserve">Without disclosure of the </w:t>
      </w:r>
      <w:r w:rsidR="00C42637">
        <w:rPr>
          <w:rFonts w:asciiTheme="minorHAnsi" w:hAnsiTheme="minorHAnsi" w:cstheme="minorHAnsi"/>
          <w:color w:val="auto"/>
        </w:rPr>
        <w:t>details</w:t>
      </w:r>
      <w:r w:rsidR="002D3C3B">
        <w:rPr>
          <w:rFonts w:asciiTheme="minorHAnsi" w:hAnsiTheme="minorHAnsi" w:cstheme="minorHAnsi"/>
          <w:color w:val="auto"/>
        </w:rPr>
        <w:t xml:space="preserve"> we are unsure </w:t>
      </w:r>
      <w:r w:rsidR="00C079BE">
        <w:rPr>
          <w:rFonts w:asciiTheme="minorHAnsi" w:hAnsiTheme="minorHAnsi" w:cstheme="minorHAnsi"/>
          <w:color w:val="auto"/>
        </w:rPr>
        <w:t xml:space="preserve">of the extent which </w:t>
      </w:r>
      <w:r w:rsidR="009205DD">
        <w:rPr>
          <w:rFonts w:asciiTheme="minorHAnsi" w:hAnsiTheme="minorHAnsi" w:cstheme="minorHAnsi"/>
          <w:color w:val="auto"/>
        </w:rPr>
        <w:t>the Optus HFC</w:t>
      </w:r>
      <w:r w:rsidR="002D3C3B">
        <w:rPr>
          <w:rFonts w:asciiTheme="minorHAnsi" w:hAnsiTheme="minorHAnsi" w:cstheme="minorHAnsi"/>
          <w:color w:val="auto"/>
        </w:rPr>
        <w:t xml:space="preserve"> impact</w:t>
      </w:r>
      <w:r w:rsidR="009205DD">
        <w:rPr>
          <w:rFonts w:asciiTheme="minorHAnsi" w:hAnsiTheme="minorHAnsi" w:cstheme="minorHAnsi"/>
          <w:color w:val="auto"/>
        </w:rPr>
        <w:t>s</w:t>
      </w:r>
      <w:r w:rsidR="002D3C3B">
        <w:rPr>
          <w:rFonts w:asciiTheme="minorHAnsi" w:hAnsiTheme="minorHAnsi" w:cstheme="minorHAnsi"/>
          <w:color w:val="auto"/>
        </w:rPr>
        <w:t xml:space="preserve"> on the NBN </w:t>
      </w:r>
      <w:r>
        <w:rPr>
          <w:rFonts w:asciiTheme="minorHAnsi" w:hAnsiTheme="minorHAnsi" w:cstheme="minorHAnsi"/>
          <w:color w:val="auto"/>
        </w:rPr>
        <w:t xml:space="preserve">MTM </w:t>
      </w:r>
      <w:r w:rsidR="002D3C3B">
        <w:rPr>
          <w:rFonts w:asciiTheme="minorHAnsi" w:hAnsiTheme="minorHAnsi" w:cstheme="minorHAnsi"/>
          <w:color w:val="auto"/>
        </w:rPr>
        <w:t>model</w:t>
      </w:r>
      <w:r w:rsidR="009205DD">
        <w:rPr>
          <w:rFonts w:asciiTheme="minorHAnsi" w:hAnsiTheme="minorHAnsi" w:cstheme="minorHAnsi"/>
          <w:color w:val="auto"/>
        </w:rPr>
        <w:t xml:space="preserve"> and how much of a public benefit arises from </w:t>
      </w:r>
      <w:r w:rsidR="004E5AA1">
        <w:rPr>
          <w:rFonts w:asciiTheme="minorHAnsi" w:hAnsiTheme="minorHAnsi" w:cstheme="minorHAnsi"/>
          <w:color w:val="auto"/>
        </w:rPr>
        <w:t>a future without scenario.</w:t>
      </w:r>
      <w:r w:rsidR="009205DD">
        <w:rPr>
          <w:rFonts w:asciiTheme="minorHAnsi" w:hAnsiTheme="minorHAnsi" w:cstheme="minorHAnsi"/>
          <w:color w:val="auto"/>
        </w:rPr>
        <w:t xml:space="preserve"> </w:t>
      </w:r>
    </w:p>
    <w:p w:rsidR="000C24F6" w:rsidRPr="007A0B48" w:rsidRDefault="0039286E" w:rsidP="00E215A6">
      <w:pPr>
        <w:pStyle w:val="BodyText1"/>
        <w:jc w:val="both"/>
        <w:rPr>
          <w:rFonts w:asciiTheme="minorHAnsi" w:hAnsiTheme="minorHAnsi" w:cstheme="minorHAnsi"/>
          <w:color w:val="auto"/>
        </w:rPr>
      </w:pPr>
      <w:r w:rsidRPr="007A0B48">
        <w:rPr>
          <w:rFonts w:asciiTheme="minorHAnsi" w:hAnsiTheme="minorHAnsi" w:cstheme="minorHAnsi"/>
          <w:color w:val="auto"/>
        </w:rPr>
        <w:t xml:space="preserve">ACCAN notes that there has been </w:t>
      </w:r>
      <w:r w:rsidR="004D7980">
        <w:rPr>
          <w:rFonts w:asciiTheme="minorHAnsi" w:hAnsiTheme="minorHAnsi" w:cstheme="minorHAnsi"/>
          <w:color w:val="auto"/>
        </w:rPr>
        <w:t xml:space="preserve">a </w:t>
      </w:r>
      <w:r w:rsidRPr="007A0B48">
        <w:rPr>
          <w:rFonts w:asciiTheme="minorHAnsi" w:hAnsiTheme="minorHAnsi" w:cstheme="minorHAnsi"/>
          <w:color w:val="auto"/>
        </w:rPr>
        <w:t xml:space="preserve">material change of circumstances since the authorization was originally granted. </w:t>
      </w:r>
      <w:r w:rsidR="009F3225" w:rsidRPr="007A0B48">
        <w:rPr>
          <w:rFonts w:asciiTheme="minorHAnsi" w:hAnsiTheme="minorHAnsi" w:cstheme="minorHAnsi"/>
          <w:color w:val="auto"/>
        </w:rPr>
        <w:t xml:space="preserve">Specifically </w:t>
      </w:r>
      <w:r w:rsidRPr="007A0B48">
        <w:rPr>
          <w:rFonts w:asciiTheme="minorHAnsi" w:hAnsiTheme="minorHAnsi" w:cstheme="minorHAnsi"/>
          <w:color w:val="auto"/>
        </w:rPr>
        <w:t xml:space="preserve">NBN Co is now using a mix of technologies to deliver its broadband obligations and the government is promoting competition at the infrastructural level. </w:t>
      </w:r>
      <w:r w:rsidR="002A2097" w:rsidRPr="007A0B48">
        <w:rPr>
          <w:rFonts w:asciiTheme="minorHAnsi" w:hAnsiTheme="minorHAnsi" w:cstheme="minorHAnsi"/>
          <w:color w:val="auto"/>
        </w:rPr>
        <w:t>One of the primary reasons given by Optus in the Original Subscriber Application on why it would not expand</w:t>
      </w:r>
      <w:r w:rsidR="00E215A6">
        <w:rPr>
          <w:rFonts w:asciiTheme="minorHAnsi" w:hAnsiTheme="minorHAnsi" w:cstheme="minorHAnsi"/>
          <w:color w:val="auto"/>
        </w:rPr>
        <w:t xml:space="preserve"> and maintain</w:t>
      </w:r>
      <w:r w:rsidR="002A2097" w:rsidRPr="007A0B48">
        <w:rPr>
          <w:rFonts w:asciiTheme="minorHAnsi" w:hAnsiTheme="minorHAnsi" w:cstheme="minorHAnsi"/>
          <w:color w:val="auto"/>
        </w:rPr>
        <w:t xml:space="preserve"> its network was due to the legislation enacted at the time. </w:t>
      </w:r>
      <w:r w:rsidR="002D3C3B" w:rsidRPr="007A0B48">
        <w:rPr>
          <w:rFonts w:asciiTheme="minorHAnsi" w:hAnsiTheme="minorHAnsi" w:cstheme="minorHAnsi"/>
          <w:color w:val="auto"/>
        </w:rPr>
        <w:t>Given the changed policy environment and that NBN Co is no longer using fibre to the home</w:t>
      </w:r>
      <w:r w:rsidR="002D3C3B">
        <w:rPr>
          <w:rStyle w:val="FootnoteReference"/>
          <w:rFonts w:asciiTheme="minorHAnsi" w:hAnsiTheme="minorHAnsi" w:cstheme="minorHAnsi"/>
          <w:color w:val="auto"/>
        </w:rPr>
        <w:footnoteReference w:id="4"/>
      </w:r>
      <w:r w:rsidR="002D3C3B" w:rsidRPr="007A0B48">
        <w:rPr>
          <w:rFonts w:asciiTheme="minorHAnsi" w:hAnsiTheme="minorHAnsi" w:cstheme="minorHAnsi"/>
          <w:color w:val="auto"/>
        </w:rPr>
        <w:t xml:space="preserve"> </w:t>
      </w:r>
      <w:r w:rsidR="004E5AA1">
        <w:rPr>
          <w:rFonts w:asciiTheme="minorHAnsi" w:hAnsiTheme="minorHAnsi" w:cstheme="minorHAnsi"/>
          <w:color w:val="auto"/>
        </w:rPr>
        <w:t xml:space="preserve">model </w:t>
      </w:r>
      <w:r w:rsidR="00C42637" w:rsidRPr="007A0B48">
        <w:rPr>
          <w:rFonts w:asciiTheme="minorHAnsi" w:hAnsiTheme="minorHAnsi" w:cstheme="minorHAnsi"/>
          <w:color w:val="auto"/>
        </w:rPr>
        <w:t xml:space="preserve">it is possible that Optus HFC </w:t>
      </w:r>
      <w:r w:rsidR="00E215A6">
        <w:rPr>
          <w:rFonts w:asciiTheme="minorHAnsi" w:hAnsiTheme="minorHAnsi" w:cstheme="minorHAnsi"/>
          <w:color w:val="auto"/>
        </w:rPr>
        <w:t>could</w:t>
      </w:r>
      <w:r w:rsidR="00C42637" w:rsidRPr="007A0B48">
        <w:rPr>
          <w:rFonts w:asciiTheme="minorHAnsi" w:hAnsiTheme="minorHAnsi" w:cstheme="minorHAnsi"/>
          <w:color w:val="auto"/>
        </w:rPr>
        <w:t xml:space="preserve"> provide a viable and continuing competitor to NBN Co. </w:t>
      </w:r>
    </w:p>
    <w:p w:rsidR="003F7B96" w:rsidRDefault="003759F7" w:rsidP="003759F7">
      <w:pPr>
        <w:pStyle w:val="BodyText1"/>
        <w:jc w:val="both"/>
        <w:rPr>
          <w:rFonts w:asciiTheme="minorHAnsi" w:hAnsiTheme="minorHAnsi" w:cstheme="minorHAnsi"/>
          <w:color w:val="auto"/>
        </w:rPr>
      </w:pPr>
      <w:r>
        <w:rPr>
          <w:rFonts w:asciiTheme="minorHAnsi" w:hAnsiTheme="minorHAnsi" w:cstheme="minorHAnsi"/>
          <w:color w:val="auto"/>
        </w:rPr>
        <w:t xml:space="preserve">ACCAN submits that </w:t>
      </w:r>
      <w:r w:rsidR="003F7B96">
        <w:rPr>
          <w:rFonts w:asciiTheme="minorHAnsi" w:hAnsiTheme="minorHAnsi" w:cstheme="minorHAnsi"/>
          <w:color w:val="auto"/>
        </w:rPr>
        <w:t xml:space="preserve">under the current policy environment it is feasible that Optus HFC </w:t>
      </w:r>
      <w:r w:rsidR="00C42637">
        <w:rPr>
          <w:rFonts w:asciiTheme="minorHAnsi" w:hAnsiTheme="minorHAnsi" w:cstheme="minorHAnsi"/>
          <w:color w:val="auto"/>
        </w:rPr>
        <w:t>c</w:t>
      </w:r>
      <w:r w:rsidR="003F7B96">
        <w:rPr>
          <w:rFonts w:asciiTheme="minorHAnsi" w:hAnsiTheme="minorHAnsi" w:cstheme="minorHAnsi"/>
          <w:color w:val="auto"/>
        </w:rPr>
        <w:t xml:space="preserve">ould </w:t>
      </w:r>
      <w:r w:rsidR="009D5A5D">
        <w:rPr>
          <w:rFonts w:asciiTheme="minorHAnsi" w:hAnsiTheme="minorHAnsi" w:cstheme="minorHAnsi"/>
          <w:color w:val="auto"/>
        </w:rPr>
        <w:t>compete</w:t>
      </w:r>
      <w:r w:rsidR="003F7B96">
        <w:rPr>
          <w:rFonts w:asciiTheme="minorHAnsi" w:hAnsiTheme="minorHAnsi" w:cstheme="minorHAnsi"/>
          <w:color w:val="auto"/>
        </w:rPr>
        <w:t xml:space="preserve"> with the NBN Co MTM</w:t>
      </w:r>
      <w:r w:rsidR="004D7980">
        <w:rPr>
          <w:rFonts w:asciiTheme="minorHAnsi" w:hAnsiTheme="minorHAnsi" w:cstheme="minorHAnsi"/>
          <w:color w:val="auto"/>
        </w:rPr>
        <w:t xml:space="preserve">. </w:t>
      </w:r>
      <w:r w:rsidR="00FB0E10">
        <w:rPr>
          <w:rFonts w:asciiTheme="minorHAnsi" w:hAnsiTheme="minorHAnsi" w:cstheme="minorHAnsi"/>
          <w:color w:val="auto"/>
        </w:rPr>
        <w:t>The revocation and</w:t>
      </w:r>
      <w:r w:rsidR="004D7980">
        <w:rPr>
          <w:rFonts w:asciiTheme="minorHAnsi" w:hAnsiTheme="minorHAnsi" w:cstheme="minorHAnsi"/>
          <w:color w:val="auto"/>
        </w:rPr>
        <w:t xml:space="preserve"> application could</w:t>
      </w:r>
      <w:r w:rsidR="00FB0E10">
        <w:rPr>
          <w:rFonts w:asciiTheme="minorHAnsi" w:hAnsiTheme="minorHAnsi" w:cstheme="minorHAnsi"/>
          <w:color w:val="auto"/>
        </w:rPr>
        <w:t xml:space="preserve"> therefore</w:t>
      </w:r>
      <w:r w:rsidR="004D7980">
        <w:rPr>
          <w:rFonts w:asciiTheme="minorHAnsi" w:hAnsiTheme="minorHAnsi" w:cstheme="minorHAnsi"/>
          <w:color w:val="auto"/>
        </w:rPr>
        <w:t xml:space="preserve"> limit competition and</w:t>
      </w:r>
      <w:r w:rsidR="00E215A6">
        <w:rPr>
          <w:rFonts w:asciiTheme="minorHAnsi" w:hAnsiTheme="minorHAnsi" w:cstheme="minorHAnsi"/>
          <w:color w:val="auto"/>
        </w:rPr>
        <w:t xml:space="preserve"> possibly</w:t>
      </w:r>
      <w:r w:rsidR="004D7980">
        <w:rPr>
          <w:rFonts w:asciiTheme="minorHAnsi" w:hAnsiTheme="minorHAnsi" w:cstheme="minorHAnsi"/>
          <w:color w:val="auto"/>
        </w:rPr>
        <w:t xml:space="preserve"> </w:t>
      </w:r>
      <w:r w:rsidR="009205DD">
        <w:rPr>
          <w:rFonts w:asciiTheme="minorHAnsi" w:hAnsiTheme="minorHAnsi" w:cstheme="minorHAnsi"/>
          <w:color w:val="auto"/>
        </w:rPr>
        <w:t xml:space="preserve">remove the </w:t>
      </w:r>
      <w:r w:rsidR="004D7980">
        <w:rPr>
          <w:rFonts w:asciiTheme="minorHAnsi" w:hAnsiTheme="minorHAnsi" w:cstheme="minorHAnsi"/>
          <w:color w:val="auto"/>
        </w:rPr>
        <w:t xml:space="preserve">potential for </w:t>
      </w:r>
      <w:r w:rsidR="0080014C">
        <w:rPr>
          <w:rFonts w:asciiTheme="minorHAnsi" w:eastAsiaTheme="minorEastAsia" w:hAnsiTheme="minorHAnsi" w:cstheme="minorHAnsi"/>
          <w:color w:val="auto"/>
          <w:lang w:eastAsia="en-AU"/>
        </w:rPr>
        <w:t>lower prices for some entry level broadband services for consumers.</w:t>
      </w:r>
      <w:r w:rsidR="000E41A3">
        <w:rPr>
          <w:rFonts w:asciiTheme="minorHAnsi" w:hAnsiTheme="minorHAnsi" w:cstheme="minorHAnsi"/>
          <w:color w:val="auto"/>
        </w:rPr>
        <w:t xml:space="preserve"> </w:t>
      </w:r>
      <w:r w:rsidR="00E215A6">
        <w:rPr>
          <w:rFonts w:asciiTheme="minorHAnsi" w:hAnsiTheme="minorHAnsi" w:cstheme="minorHAnsi"/>
          <w:color w:val="auto"/>
        </w:rPr>
        <w:t xml:space="preserve">Therefore </w:t>
      </w:r>
      <w:r w:rsidR="00FB0E10">
        <w:rPr>
          <w:rFonts w:asciiTheme="minorHAnsi" w:hAnsiTheme="minorHAnsi" w:cstheme="minorHAnsi"/>
          <w:color w:val="auto"/>
        </w:rPr>
        <w:t>ACCAN questions if the public benefit would be better served through</w:t>
      </w:r>
      <w:r w:rsidR="00E215A6">
        <w:rPr>
          <w:rFonts w:asciiTheme="minorHAnsi" w:hAnsiTheme="minorHAnsi" w:cstheme="minorHAnsi"/>
          <w:color w:val="auto"/>
        </w:rPr>
        <w:t xml:space="preserve"> a competitive network</w:t>
      </w:r>
      <w:r w:rsidR="00FB0E10">
        <w:rPr>
          <w:rFonts w:asciiTheme="minorHAnsi" w:hAnsiTheme="minorHAnsi" w:cstheme="minorHAnsi"/>
          <w:color w:val="auto"/>
        </w:rPr>
        <w:t xml:space="preserve"> </w:t>
      </w:r>
      <w:r w:rsidR="004E5AA1">
        <w:rPr>
          <w:rFonts w:asciiTheme="minorHAnsi" w:hAnsiTheme="minorHAnsi" w:cstheme="minorHAnsi"/>
          <w:color w:val="auto"/>
        </w:rPr>
        <w:t xml:space="preserve">to </w:t>
      </w:r>
      <w:bookmarkStart w:id="0" w:name="_GoBack"/>
      <w:bookmarkEnd w:id="0"/>
      <w:r w:rsidR="00FB0E10">
        <w:rPr>
          <w:rFonts w:asciiTheme="minorHAnsi" w:hAnsiTheme="minorHAnsi" w:cstheme="minorHAnsi"/>
          <w:color w:val="auto"/>
        </w:rPr>
        <w:t>NBN Co.</w:t>
      </w:r>
    </w:p>
    <w:p w:rsidR="00DD1B6E" w:rsidRDefault="00DD1B6E" w:rsidP="00DD1B6E">
      <w:pPr>
        <w:pStyle w:val="BodyText1"/>
        <w:rPr>
          <w:rFonts w:asciiTheme="minorHAnsi" w:hAnsiTheme="minorHAnsi" w:cstheme="minorHAnsi"/>
          <w:color w:val="auto"/>
        </w:rPr>
      </w:pPr>
      <w:r>
        <w:rPr>
          <w:rFonts w:asciiTheme="minorHAnsi" w:hAnsiTheme="minorHAnsi" w:cstheme="minorHAnsi"/>
          <w:color w:val="auto"/>
        </w:rPr>
        <w:t>Sincerely</w:t>
      </w:r>
    </w:p>
    <w:p w:rsidR="00B271F2" w:rsidRPr="00B271F2" w:rsidRDefault="00B271F2" w:rsidP="00DD1B6E">
      <w:pPr>
        <w:pStyle w:val="BodyText1"/>
        <w:rPr>
          <w:rFonts w:ascii="Amienne" w:hAnsi="Amienne" w:cstheme="minorHAnsi"/>
          <w:color w:val="auto"/>
          <w:sz w:val="40"/>
          <w:szCs w:val="40"/>
        </w:rPr>
      </w:pPr>
      <w:r w:rsidRPr="00B271F2">
        <w:rPr>
          <w:rFonts w:ascii="Amienne" w:hAnsi="Amienne" w:cstheme="minorHAnsi"/>
          <w:color w:val="auto"/>
          <w:sz w:val="40"/>
          <w:szCs w:val="40"/>
        </w:rPr>
        <w:t>Rachel Thomas</w:t>
      </w:r>
    </w:p>
    <w:p w:rsidR="00B271F2" w:rsidRDefault="00B271F2" w:rsidP="00B271F2">
      <w:pPr>
        <w:pStyle w:val="BodyText1"/>
        <w:spacing w:after="0"/>
        <w:rPr>
          <w:rFonts w:asciiTheme="minorHAnsi" w:hAnsiTheme="minorHAnsi" w:cstheme="minorHAnsi"/>
          <w:color w:val="auto"/>
        </w:rPr>
      </w:pPr>
      <w:r>
        <w:rPr>
          <w:rFonts w:asciiTheme="minorHAnsi" w:hAnsiTheme="minorHAnsi" w:cstheme="minorHAnsi"/>
          <w:color w:val="auto"/>
        </w:rPr>
        <w:t>Rachel Thomas</w:t>
      </w:r>
    </w:p>
    <w:p w:rsidR="00DD1B6E" w:rsidRPr="00C32DD1" w:rsidRDefault="00B271F2" w:rsidP="00707065">
      <w:pPr>
        <w:pStyle w:val="BodyText1"/>
        <w:spacing w:after="0"/>
        <w:rPr>
          <w:rFonts w:asciiTheme="minorHAnsi" w:hAnsiTheme="minorHAnsi" w:cstheme="minorHAnsi"/>
          <w:color w:val="auto"/>
        </w:rPr>
      </w:pPr>
      <w:r>
        <w:rPr>
          <w:rFonts w:asciiTheme="minorHAnsi" w:hAnsiTheme="minorHAnsi" w:cstheme="minorHAnsi"/>
          <w:color w:val="auto"/>
        </w:rPr>
        <w:t>Policy Officer</w:t>
      </w:r>
    </w:p>
    <w:sectPr w:rsidR="00DD1B6E" w:rsidRPr="00C32DD1" w:rsidSect="00084A5B">
      <w:headerReference w:type="default" r:id="rId12"/>
      <w:footerReference w:type="default" r:id="rId13"/>
      <w:type w:val="continuous"/>
      <w:pgSz w:w="11906" w:h="16838" w:code="9"/>
      <w:pgMar w:top="1440" w:right="1440" w:bottom="1440" w:left="1440"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980" w:rsidRDefault="004D7980" w:rsidP="005820C9">
      <w:pPr>
        <w:spacing w:after="0" w:line="240" w:lineRule="auto"/>
      </w:pPr>
      <w:r>
        <w:separator/>
      </w:r>
    </w:p>
  </w:endnote>
  <w:endnote w:type="continuationSeparator" w:id="0">
    <w:p w:rsidR="004D7980" w:rsidRDefault="004D7980" w:rsidP="0058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mienne">
    <w:panose1 w:val="04000508060000020003"/>
    <w:charset w:val="00"/>
    <w:family w:val="decorative"/>
    <w:pitch w:val="variable"/>
    <w:sig w:usb0="80000027" w:usb1="4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80" w:rsidRDefault="004D7980" w:rsidP="00002D94">
    <w:pPr>
      <w:pStyle w:val="Footer"/>
    </w:pPr>
    <w:r>
      <w:rPr>
        <w:noProof/>
        <w:lang w:val="en-AU" w:eastAsia="en-AU"/>
      </w:rPr>
      <mc:AlternateContent>
        <mc:Choice Requires="wpg">
          <w:drawing>
            <wp:anchor distT="0" distB="0" distL="114300" distR="114300" simplePos="0" relativeHeight="251659264" behindDoc="1" locked="0" layoutInCell="1" allowOverlap="1" wp14:anchorId="09D75F90" wp14:editId="2679DD73">
              <wp:simplePos x="0" y="0"/>
              <wp:positionH relativeFrom="column">
                <wp:posOffset>-363830</wp:posOffset>
              </wp:positionH>
              <wp:positionV relativeFrom="paragraph">
                <wp:posOffset>-73190</wp:posOffset>
              </wp:positionV>
              <wp:extent cx="6971664" cy="1324082"/>
              <wp:effectExtent l="0" t="0" r="0" b="0"/>
              <wp:wrapNone/>
              <wp:docPr id="3" name="Group 3"/>
              <wp:cNvGraphicFramePr/>
              <a:graphic xmlns:a="http://schemas.openxmlformats.org/drawingml/2006/main">
                <a:graphicData uri="http://schemas.microsoft.com/office/word/2010/wordprocessingGroup">
                  <wpg:wgp>
                    <wpg:cNvGrpSpPr/>
                    <wpg:grpSpPr>
                      <a:xfrm>
                        <a:off x="0" y="0"/>
                        <a:ext cx="6971664" cy="1324082"/>
                        <a:chOff x="-49543" y="-26356"/>
                        <a:chExt cx="6971664" cy="1242669"/>
                      </a:xfrm>
                    </wpg:grpSpPr>
                    <wps:wsp>
                      <wps:cNvPr id="2" name="Text Box 2"/>
                      <wps:cNvSpPr txBox="1">
                        <a:spLocks noChangeArrowheads="1"/>
                      </wps:cNvSpPr>
                      <wps:spPr bwMode="auto">
                        <a:xfrm>
                          <a:off x="-49543" y="-26356"/>
                          <a:ext cx="6971664" cy="1242669"/>
                        </a:xfrm>
                        <a:prstGeom prst="rect">
                          <a:avLst/>
                        </a:prstGeom>
                        <a:noFill/>
                        <a:ln w="9525">
                          <a:noFill/>
                          <a:miter lim="800000"/>
                          <a:headEnd/>
                          <a:tailEnd/>
                        </a:ln>
                      </wps:spPr>
                      <wps:txbx>
                        <w:txbxContent>
                          <w:p w:rsidR="004D7980" w:rsidRDefault="004D7980" w:rsidP="001C28E7">
                            <w:pPr>
                              <w:spacing w:after="0" w:line="240" w:lineRule="auto"/>
                              <w:rPr>
                                <w:color w:val="23B0E6"/>
                                <w:sz w:val="20"/>
                                <w:szCs w:val="20"/>
                              </w:rPr>
                            </w:pPr>
                          </w:p>
                          <w:p w:rsidR="004D7980" w:rsidRPr="00002D94" w:rsidRDefault="004D7980" w:rsidP="001C28E7">
                            <w:pPr>
                              <w:spacing w:after="0" w:line="240" w:lineRule="auto"/>
                              <w:rPr>
                                <w:color w:val="23B0E6"/>
                                <w:sz w:val="20"/>
                                <w:szCs w:val="20"/>
                              </w:rPr>
                            </w:pPr>
                            <w:r w:rsidRPr="00002D94">
                              <w:rPr>
                                <w:color w:val="23B0E6"/>
                                <w:sz w:val="20"/>
                                <w:szCs w:val="20"/>
                              </w:rPr>
                              <w:t>Australian Communications Consumer Action Network (ACCAN)</w:t>
                            </w:r>
                          </w:p>
                          <w:p w:rsidR="004D7980" w:rsidRPr="00002D94" w:rsidRDefault="004D7980" w:rsidP="007D3F16">
                            <w:pPr>
                              <w:spacing w:after="0" w:line="240" w:lineRule="auto"/>
                              <w:rPr>
                                <w:i/>
                                <w:color w:val="23B0E6"/>
                                <w:sz w:val="20"/>
                                <w:szCs w:val="20"/>
                              </w:rPr>
                            </w:pPr>
                            <w:r w:rsidRPr="00002D94">
                              <w:rPr>
                                <w:i/>
                                <w:color w:val="23B0E6"/>
                                <w:sz w:val="20"/>
                                <w:szCs w:val="20"/>
                              </w:rPr>
                              <w:t>Australia’s peak telecommunications consumer organisation</w:t>
                            </w:r>
                          </w:p>
                          <w:p w:rsidR="004D7980" w:rsidRPr="00002D94" w:rsidRDefault="004D7980" w:rsidP="007D3F16">
                            <w:pPr>
                              <w:spacing w:after="0" w:line="240" w:lineRule="auto"/>
                              <w:rPr>
                                <w:sz w:val="20"/>
                                <w:szCs w:val="20"/>
                              </w:rPr>
                            </w:pPr>
                            <w:r w:rsidRPr="00002D94">
                              <w:rPr>
                                <w:sz w:val="20"/>
                                <w:szCs w:val="20"/>
                              </w:rPr>
                              <w:t>Suite 4.02, 55 Mountain St, Ultimo NSW 2007</w:t>
                            </w:r>
                          </w:p>
                          <w:p w:rsidR="004D7980" w:rsidRPr="00002D94" w:rsidRDefault="004D7980" w:rsidP="007D3F16">
                            <w:pPr>
                              <w:spacing w:after="0" w:line="240" w:lineRule="auto"/>
                              <w:rPr>
                                <w:sz w:val="20"/>
                                <w:szCs w:val="20"/>
                              </w:rPr>
                            </w:pPr>
                            <w:r w:rsidRPr="00002D94">
                              <w:rPr>
                                <w:sz w:val="20"/>
                                <w:szCs w:val="20"/>
                              </w:rPr>
                              <w:t>Tel: (02) 9288 4000 | TTY: (02) 9281 5322 | Fax: (02) 9288 4019</w:t>
                            </w:r>
                          </w:p>
                          <w:p w:rsidR="004D7980" w:rsidRPr="00002D94" w:rsidRDefault="004D7980" w:rsidP="007D3F16">
                            <w:pPr>
                              <w:spacing w:after="0" w:line="240" w:lineRule="auto"/>
                              <w:rPr>
                                <w:color w:val="23B0E6"/>
                                <w:sz w:val="20"/>
                                <w:szCs w:val="20"/>
                              </w:rPr>
                            </w:pPr>
                            <w:r w:rsidRPr="00002D94">
                              <w:rPr>
                                <w:color w:val="23B0E6"/>
                                <w:sz w:val="20"/>
                                <w:szCs w:val="20"/>
                              </w:rPr>
                              <w:t>www.accan.org.au | info@accan.org.au | twitter: @ACCAN_AU</w:t>
                            </w:r>
                          </w:p>
                        </w:txbxContent>
                      </wps:txbx>
                      <wps:bodyPr rot="0" vert="horz" wrap="square" lIns="91440" tIns="45720" rIns="91440" bIns="45720" anchor="t" anchorCtr="0">
                        <a:noAutofit/>
                      </wps:bodyPr>
                    </wps:wsp>
                    <wps:wsp>
                      <wps:cNvPr id="1" name="Straight Connector 1"/>
                      <wps:cNvCnPr/>
                      <wps:spPr>
                        <a:xfrm>
                          <a:off x="30738" y="316628"/>
                          <a:ext cx="6701051"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8.65pt;margin-top:-5.75pt;width:548.95pt;height:104.25pt;z-index:-251657216;mso-width-relative:margin;mso-height-relative:margin" coordorigin="-495,-263" coordsize="69716,1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">
              <v:shapetype id="_x0000_t202" coordsize="21600,21600" o:spt="202" path="m,l,21600r21600,l21600,xe">
                <v:stroke joinstyle="miter"/>
                <v:path gradientshapeok="t" o:connecttype="rect"/>
              </v:shapetype>
              <v:shape id="Text Box 2" o:spid="_x0000_s1027" type="#_x0000_t202" style="position:absolute;left:-495;top:-263;width:69716;height:1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50456A" w:rsidRDefault="0050456A" w:rsidP="001C28E7">
                      <w:pPr>
                        <w:spacing w:after="0" w:line="240" w:lineRule="auto"/>
                        <w:rPr>
                          <w:color w:val="23B0E6"/>
                          <w:sz w:val="20"/>
                          <w:szCs w:val="20"/>
                        </w:rPr>
                      </w:pPr>
                    </w:p>
                    <w:p w:rsidR="0050456A" w:rsidRPr="00002D94" w:rsidRDefault="0050456A" w:rsidP="001C28E7">
                      <w:pPr>
                        <w:spacing w:after="0" w:line="240" w:lineRule="auto"/>
                        <w:rPr>
                          <w:color w:val="23B0E6"/>
                          <w:sz w:val="20"/>
                          <w:szCs w:val="20"/>
                        </w:rPr>
                      </w:pPr>
                      <w:r w:rsidRPr="00002D94">
                        <w:rPr>
                          <w:color w:val="23B0E6"/>
                          <w:sz w:val="20"/>
                          <w:szCs w:val="20"/>
                        </w:rPr>
                        <w:t>Australian Communications Consumer Action Network (ACCAN)</w:t>
                      </w:r>
                    </w:p>
                    <w:p w:rsidR="0050456A" w:rsidRPr="00002D94" w:rsidRDefault="0050456A" w:rsidP="007D3F16">
                      <w:pPr>
                        <w:spacing w:after="0" w:line="240" w:lineRule="auto"/>
                        <w:rPr>
                          <w:i/>
                          <w:color w:val="23B0E6"/>
                          <w:sz w:val="20"/>
                          <w:szCs w:val="20"/>
                        </w:rPr>
                      </w:pPr>
                      <w:r w:rsidRPr="00002D94">
                        <w:rPr>
                          <w:i/>
                          <w:color w:val="23B0E6"/>
                          <w:sz w:val="20"/>
                          <w:szCs w:val="20"/>
                        </w:rPr>
                        <w:t>Australia’s peak telecommunications consumer organisation</w:t>
                      </w:r>
                    </w:p>
                    <w:p w:rsidR="0050456A" w:rsidRPr="00002D94" w:rsidRDefault="0050456A" w:rsidP="007D3F16">
                      <w:pPr>
                        <w:spacing w:after="0" w:line="240" w:lineRule="auto"/>
                        <w:rPr>
                          <w:sz w:val="20"/>
                          <w:szCs w:val="20"/>
                        </w:rPr>
                      </w:pPr>
                      <w:r w:rsidRPr="00002D94">
                        <w:rPr>
                          <w:sz w:val="20"/>
                          <w:szCs w:val="20"/>
                        </w:rPr>
                        <w:t>Suite 4.02, 55 Mountain St, Ultimo NSW 2007</w:t>
                      </w:r>
                    </w:p>
                    <w:p w:rsidR="0050456A" w:rsidRPr="00002D94" w:rsidRDefault="0050456A" w:rsidP="007D3F16">
                      <w:pPr>
                        <w:spacing w:after="0" w:line="240" w:lineRule="auto"/>
                        <w:rPr>
                          <w:sz w:val="20"/>
                          <w:szCs w:val="20"/>
                        </w:rPr>
                      </w:pPr>
                      <w:r w:rsidRPr="00002D94">
                        <w:rPr>
                          <w:sz w:val="20"/>
                          <w:szCs w:val="20"/>
                        </w:rPr>
                        <w:t>Tel: (02) 9288 4000 | TTY: (02) 9281 5322 | Fax: (02) 9288 4019</w:t>
                      </w:r>
                    </w:p>
                    <w:p w:rsidR="0050456A" w:rsidRPr="00002D94" w:rsidRDefault="0050456A" w:rsidP="007D3F16">
                      <w:pPr>
                        <w:spacing w:after="0" w:line="240" w:lineRule="auto"/>
                        <w:rPr>
                          <w:color w:val="23B0E6"/>
                          <w:sz w:val="20"/>
                          <w:szCs w:val="20"/>
                        </w:rPr>
                      </w:pPr>
                      <w:r w:rsidRPr="00002D94">
                        <w:rPr>
                          <w:color w:val="23B0E6"/>
                          <w:sz w:val="20"/>
                          <w:szCs w:val="20"/>
                        </w:rPr>
                        <w:t>www.accan.org.au | info@accan.org.au | twitter: @ACCAN_AU</w:t>
                      </w:r>
                    </w:p>
                  </w:txbxContent>
                </v:textbox>
              </v:shape>
              <v:line id="Straight Connector 1" o:spid="_x0000_s1028" style="position:absolute;visibility:visible;mso-wrap-style:square" from="307,3166" to="67317,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2chsEAAADaAAAADwAAAGRycy9kb3ducmV2LnhtbERPS2rDMBDdF3oHMYXuGjmhmOBaCU3A&#10;paumcXOAqTX+YGtkLDmxe/ooUMhqeLzvpNvJdOJMg2ssK1guIhDEhdUNVwpOP9nLGoTzyBo7y6Rg&#10;JgfbzeNDiom2Fz7SOfeVCCHsElRQe98nUrqiJoNuYXviwJV2MOgDHCqpB7yEcNPJVRTF0mDDoaHG&#10;nvY1FW0+GgUH2Y5/r8U8lr+ZNx+nr138LY9KPT9N728gPE3+Lv53f+owH26v3K7c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nZyGwQAAANoAAAAPAAAAAAAAAAAAAAAA&#10;AKECAABkcnMvZG93bnJldi54bWxQSwUGAAAAAAQABAD5AAAAjwMAAAAA&#10;" strokecolor="#23b0e6" strokeweight="3p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80" w:rsidRPr="00E05115" w:rsidRDefault="004D7980" w:rsidP="00C4251E">
    <w:pPr>
      <w:spacing w:after="0" w:line="240" w:lineRule="auto"/>
      <w:rPr>
        <w:color w:val="23B0E6"/>
      </w:rPr>
    </w:pPr>
    <w:r w:rsidRPr="00E05115">
      <w:rPr>
        <w:color w:val="23B0E6"/>
      </w:rPr>
      <w:t>www.accan.org.au | info@accan.org.au | twitter: @ACCAN_AU</w:t>
    </w:r>
    <w:r>
      <w:rPr>
        <w:color w:val="23B0E6"/>
      </w:rPr>
      <w:tab/>
    </w:r>
    <w:r>
      <w:rPr>
        <w:color w:val="23B0E6"/>
      </w:rPr>
      <w:tab/>
    </w:r>
    <w:r>
      <w:rPr>
        <w:color w:val="23B0E6"/>
      </w:rPr>
      <w:tab/>
    </w:r>
    <w:r>
      <w:rPr>
        <w:color w:val="23B0E6"/>
      </w:rPr>
      <w:tab/>
    </w:r>
    <w:r>
      <w:rPr>
        <w:color w:val="23B0E6"/>
      </w:rPr>
      <w:tab/>
    </w:r>
    <w:r w:rsidRPr="00C4251E">
      <w:fldChar w:fldCharType="begin"/>
    </w:r>
    <w:r w:rsidRPr="00C4251E">
      <w:instrText xml:space="preserve"> PAGE   \* MERGEFORMAT </w:instrText>
    </w:r>
    <w:r w:rsidRPr="00C4251E">
      <w:fldChar w:fldCharType="separate"/>
    </w:r>
    <w:r w:rsidR="004E5AA1">
      <w:rPr>
        <w:noProof/>
      </w:rPr>
      <w:t>2</w:t>
    </w:r>
    <w:r w:rsidRPr="00C4251E">
      <w:rPr>
        <w:noProof/>
      </w:rPr>
      <w:fldChar w:fldCharType="end"/>
    </w:r>
  </w:p>
  <w:p w:rsidR="004D7980" w:rsidRDefault="004D7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980" w:rsidRDefault="004D7980" w:rsidP="005820C9">
      <w:pPr>
        <w:spacing w:after="0" w:line="240" w:lineRule="auto"/>
      </w:pPr>
      <w:r>
        <w:separator/>
      </w:r>
    </w:p>
  </w:footnote>
  <w:footnote w:type="continuationSeparator" w:id="0">
    <w:p w:rsidR="004D7980" w:rsidRDefault="004D7980" w:rsidP="005820C9">
      <w:pPr>
        <w:spacing w:after="0" w:line="240" w:lineRule="auto"/>
      </w:pPr>
      <w:r>
        <w:continuationSeparator/>
      </w:r>
    </w:p>
  </w:footnote>
  <w:footnote w:id="1">
    <w:p w:rsidR="00A11E3A" w:rsidRPr="00A11E3A" w:rsidRDefault="00A11E3A">
      <w:pPr>
        <w:pStyle w:val="FootnoteText"/>
        <w:rPr>
          <w:lang w:val="en-AU"/>
        </w:rPr>
      </w:pPr>
      <w:r>
        <w:rPr>
          <w:rStyle w:val="FootnoteReference"/>
        </w:rPr>
        <w:footnoteRef/>
      </w:r>
      <w:r>
        <w:t xml:space="preserve"> </w:t>
      </w:r>
      <w:hyperlink r:id="rId1" w:history="1">
        <w:r w:rsidRPr="00E46859">
          <w:rPr>
            <w:rStyle w:val="Hyperlink"/>
          </w:rPr>
          <w:t>http://accan.org.au/our-work/policy/732-our-broadband-future-policy-position</w:t>
        </w:r>
      </w:hyperlink>
    </w:p>
  </w:footnote>
  <w:footnote w:id="2">
    <w:p w:rsidR="004D7980" w:rsidRPr="0095387C" w:rsidRDefault="004D7980" w:rsidP="009D5DD5">
      <w:pPr>
        <w:pStyle w:val="FootnoteText"/>
        <w:rPr>
          <w:lang w:val="en-AU"/>
        </w:rPr>
      </w:pPr>
      <w:r>
        <w:rPr>
          <w:rStyle w:val="FootnoteReference"/>
        </w:rPr>
        <w:footnoteRef/>
      </w:r>
      <w:r>
        <w:t xml:space="preserve"> </w:t>
      </w:r>
      <w:r>
        <w:rPr>
          <w:lang w:val="en-AU"/>
        </w:rPr>
        <w:t xml:space="preserve">Henry </w:t>
      </w:r>
      <w:proofErr w:type="spellStart"/>
      <w:r>
        <w:rPr>
          <w:lang w:val="en-AU"/>
        </w:rPr>
        <w:t>Ergas</w:t>
      </w:r>
      <w:proofErr w:type="spellEnd"/>
      <w:r>
        <w:rPr>
          <w:lang w:val="en-AU"/>
        </w:rPr>
        <w:t xml:space="preserve">, 2012 submission to the ACCC’s draft determination in respect of NBN Co.’s application for authorization of its HFC subscriber agreement with SingTel Optus and other Optus entities. </w:t>
      </w:r>
    </w:p>
  </w:footnote>
  <w:footnote w:id="3">
    <w:p w:rsidR="009205DD" w:rsidRPr="007A0B48" w:rsidRDefault="009205DD" w:rsidP="009205DD">
      <w:pPr>
        <w:pStyle w:val="FootnoteText"/>
        <w:rPr>
          <w:lang w:val="en-AU"/>
        </w:rPr>
      </w:pPr>
      <w:r>
        <w:rPr>
          <w:rStyle w:val="FootnoteReference"/>
        </w:rPr>
        <w:footnoteRef/>
      </w:r>
      <w:r>
        <w:t xml:space="preserve"> </w:t>
      </w:r>
      <w:r>
        <w:rPr>
          <w:lang w:val="en-AU"/>
        </w:rPr>
        <w:t>NBN Co submission Public Benefits; section 4.2 Minimising the costs of rolling out the NBN, section 4.3 A faster, more co-ordinated and cost-effective migration, section 4.4 Avoiding the ongoing costs of operating two networks and section 4.5 More efficient network upgrade path.</w:t>
      </w:r>
    </w:p>
  </w:footnote>
  <w:footnote w:id="4">
    <w:p w:rsidR="004D7980" w:rsidRPr="002D3C3B" w:rsidRDefault="004D7980">
      <w:pPr>
        <w:pStyle w:val="FootnoteText"/>
        <w:rPr>
          <w:lang w:val="en-AU"/>
        </w:rPr>
      </w:pPr>
      <w:r>
        <w:rPr>
          <w:rStyle w:val="FootnoteReference"/>
        </w:rPr>
        <w:footnoteRef/>
      </w:r>
      <w:r>
        <w:t xml:space="preserve"> </w:t>
      </w:r>
      <w:r>
        <w:rPr>
          <w:lang w:val="en-AU"/>
        </w:rPr>
        <w:t xml:space="preserve">In the ACCC 2012 Determination it concluded that HFC would not be a competitor as a number of elements of fibre to the home networks exhibit strong natural monopoly characteristics.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80" w:rsidRDefault="004D7980" w:rsidP="00DD7C1C">
    <w:pPr>
      <w:pStyle w:val="Header"/>
      <w:tabs>
        <w:tab w:val="clear" w:pos="4513"/>
        <w:tab w:val="clear" w:pos="9026"/>
      </w:tabs>
      <w:ind w:right="-1"/>
      <w:jc w:val="right"/>
    </w:pPr>
    <w:r>
      <w:rPr>
        <w:noProof/>
        <w:lang w:val="en-AU" w:eastAsia="en-AU"/>
      </w:rPr>
      <w:drawing>
        <wp:anchor distT="0" distB="0" distL="114300" distR="114300" simplePos="0" relativeHeight="251660288" behindDoc="1" locked="0" layoutInCell="1" allowOverlap="1" wp14:anchorId="464FDAD1" wp14:editId="008A6AA8">
          <wp:simplePos x="0" y="0"/>
          <wp:positionH relativeFrom="column">
            <wp:posOffset>4785812</wp:posOffset>
          </wp:positionH>
          <wp:positionV relativeFrom="paragraph">
            <wp:posOffset>117807</wp:posOffset>
          </wp:positionV>
          <wp:extent cx="1630800" cy="756000"/>
          <wp:effectExtent l="0" t="0" r="762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1630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80" w:rsidRDefault="004D7980" w:rsidP="005820C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62171"/>
    <w:multiLevelType w:val="hybridMultilevel"/>
    <w:tmpl w:val="6248F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D42749B"/>
    <w:multiLevelType w:val="hybridMultilevel"/>
    <w:tmpl w:val="A9907E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59379D1"/>
    <w:multiLevelType w:val="hybridMultilevel"/>
    <w:tmpl w:val="768EC6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5A5401B"/>
    <w:multiLevelType w:val="hybridMultilevel"/>
    <w:tmpl w:val="1FA08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B783780"/>
    <w:multiLevelType w:val="hybridMultilevel"/>
    <w:tmpl w:val="7D209DA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49B32502"/>
    <w:multiLevelType w:val="hybridMultilevel"/>
    <w:tmpl w:val="A162C7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37F0040"/>
    <w:multiLevelType w:val="hybridMultilevel"/>
    <w:tmpl w:val="55446B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17061D7"/>
    <w:multiLevelType w:val="hybridMultilevel"/>
    <w:tmpl w:val="78E2EA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2"/>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90"/>
    <w:rsid w:val="00002D94"/>
    <w:rsid w:val="00027253"/>
    <w:rsid w:val="00055B90"/>
    <w:rsid w:val="00084A5B"/>
    <w:rsid w:val="000A2665"/>
    <w:rsid w:val="000A560F"/>
    <w:rsid w:val="000A7737"/>
    <w:rsid w:val="000C24F6"/>
    <w:rsid w:val="000E41A3"/>
    <w:rsid w:val="001627E8"/>
    <w:rsid w:val="00187303"/>
    <w:rsid w:val="001B1026"/>
    <w:rsid w:val="001B136F"/>
    <w:rsid w:val="001C28E7"/>
    <w:rsid w:val="001E295D"/>
    <w:rsid w:val="00220CB2"/>
    <w:rsid w:val="00234042"/>
    <w:rsid w:val="00276A0B"/>
    <w:rsid w:val="002A2097"/>
    <w:rsid w:val="002B0017"/>
    <w:rsid w:val="002D01A4"/>
    <w:rsid w:val="002D0366"/>
    <w:rsid w:val="002D3C3B"/>
    <w:rsid w:val="0033405D"/>
    <w:rsid w:val="003500E3"/>
    <w:rsid w:val="003759F7"/>
    <w:rsid w:val="00382150"/>
    <w:rsid w:val="0039286E"/>
    <w:rsid w:val="003B1499"/>
    <w:rsid w:val="003B45DE"/>
    <w:rsid w:val="003D40ED"/>
    <w:rsid w:val="003E6160"/>
    <w:rsid w:val="003E6503"/>
    <w:rsid w:val="003F7B96"/>
    <w:rsid w:val="0043425E"/>
    <w:rsid w:val="004552EA"/>
    <w:rsid w:val="00472C7E"/>
    <w:rsid w:val="00480A3E"/>
    <w:rsid w:val="004819C8"/>
    <w:rsid w:val="004850E4"/>
    <w:rsid w:val="0049287E"/>
    <w:rsid w:val="0049678F"/>
    <w:rsid w:val="004A01EB"/>
    <w:rsid w:val="004B5F63"/>
    <w:rsid w:val="004C1667"/>
    <w:rsid w:val="004C3886"/>
    <w:rsid w:val="004D7980"/>
    <w:rsid w:val="004E3AF4"/>
    <w:rsid w:val="004E5AA1"/>
    <w:rsid w:val="004E7527"/>
    <w:rsid w:val="0050456A"/>
    <w:rsid w:val="005820C9"/>
    <w:rsid w:val="00583A2C"/>
    <w:rsid w:val="005A1A92"/>
    <w:rsid w:val="005A673E"/>
    <w:rsid w:val="005C0A37"/>
    <w:rsid w:val="005E7E96"/>
    <w:rsid w:val="00600439"/>
    <w:rsid w:val="0060085E"/>
    <w:rsid w:val="00601AE4"/>
    <w:rsid w:val="0061286E"/>
    <w:rsid w:val="0063765C"/>
    <w:rsid w:val="00685D4D"/>
    <w:rsid w:val="00696E5A"/>
    <w:rsid w:val="00697EA4"/>
    <w:rsid w:val="006C3405"/>
    <w:rsid w:val="006D373B"/>
    <w:rsid w:val="006E48F3"/>
    <w:rsid w:val="006F57C8"/>
    <w:rsid w:val="007002F6"/>
    <w:rsid w:val="00707065"/>
    <w:rsid w:val="00711284"/>
    <w:rsid w:val="007443BC"/>
    <w:rsid w:val="007506AE"/>
    <w:rsid w:val="00765051"/>
    <w:rsid w:val="0077305E"/>
    <w:rsid w:val="007A0B48"/>
    <w:rsid w:val="007A3E1A"/>
    <w:rsid w:val="007A56F3"/>
    <w:rsid w:val="007C43C5"/>
    <w:rsid w:val="007D3F16"/>
    <w:rsid w:val="007E5513"/>
    <w:rsid w:val="007E68A2"/>
    <w:rsid w:val="0080014C"/>
    <w:rsid w:val="00825664"/>
    <w:rsid w:val="008417CB"/>
    <w:rsid w:val="00841C0E"/>
    <w:rsid w:val="00854C3C"/>
    <w:rsid w:val="00874727"/>
    <w:rsid w:val="008A19E7"/>
    <w:rsid w:val="008E1D8B"/>
    <w:rsid w:val="008E4D5F"/>
    <w:rsid w:val="008F7E90"/>
    <w:rsid w:val="009205DD"/>
    <w:rsid w:val="0095236F"/>
    <w:rsid w:val="0095387C"/>
    <w:rsid w:val="00966647"/>
    <w:rsid w:val="00967AA7"/>
    <w:rsid w:val="0097593E"/>
    <w:rsid w:val="009A227B"/>
    <w:rsid w:val="009D5A5D"/>
    <w:rsid w:val="009D5DD5"/>
    <w:rsid w:val="009F3225"/>
    <w:rsid w:val="00A11E3A"/>
    <w:rsid w:val="00A304A4"/>
    <w:rsid w:val="00A32AD4"/>
    <w:rsid w:val="00A4447D"/>
    <w:rsid w:val="00AA686C"/>
    <w:rsid w:val="00AB544D"/>
    <w:rsid w:val="00AC1D7A"/>
    <w:rsid w:val="00AE2840"/>
    <w:rsid w:val="00B271F2"/>
    <w:rsid w:val="00B31C19"/>
    <w:rsid w:val="00B4140A"/>
    <w:rsid w:val="00B418A0"/>
    <w:rsid w:val="00B87233"/>
    <w:rsid w:val="00B94449"/>
    <w:rsid w:val="00BC0ED0"/>
    <w:rsid w:val="00BD4D45"/>
    <w:rsid w:val="00C079BE"/>
    <w:rsid w:val="00C27634"/>
    <w:rsid w:val="00C32DD1"/>
    <w:rsid w:val="00C3776B"/>
    <w:rsid w:val="00C4251E"/>
    <w:rsid w:val="00C42637"/>
    <w:rsid w:val="00C613FC"/>
    <w:rsid w:val="00C645F3"/>
    <w:rsid w:val="00C86E73"/>
    <w:rsid w:val="00C959D1"/>
    <w:rsid w:val="00CF5B31"/>
    <w:rsid w:val="00D0473C"/>
    <w:rsid w:val="00D115AD"/>
    <w:rsid w:val="00D31412"/>
    <w:rsid w:val="00D3636E"/>
    <w:rsid w:val="00D448E8"/>
    <w:rsid w:val="00D56E00"/>
    <w:rsid w:val="00D66D95"/>
    <w:rsid w:val="00DB7F84"/>
    <w:rsid w:val="00DD1B6E"/>
    <w:rsid w:val="00DD7C1C"/>
    <w:rsid w:val="00E05115"/>
    <w:rsid w:val="00E215A6"/>
    <w:rsid w:val="00E54047"/>
    <w:rsid w:val="00E62239"/>
    <w:rsid w:val="00E81ECD"/>
    <w:rsid w:val="00EA6C63"/>
    <w:rsid w:val="00EC401C"/>
    <w:rsid w:val="00ED75A4"/>
    <w:rsid w:val="00F03FF7"/>
    <w:rsid w:val="00F11D46"/>
    <w:rsid w:val="00F3652B"/>
    <w:rsid w:val="00F47C64"/>
    <w:rsid w:val="00F61950"/>
    <w:rsid w:val="00F7612F"/>
    <w:rsid w:val="00F76853"/>
    <w:rsid w:val="00F8242B"/>
    <w:rsid w:val="00F860D4"/>
    <w:rsid w:val="00F943E8"/>
    <w:rsid w:val="00F978B3"/>
    <w:rsid w:val="00FB0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0"/>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Date/Address"/>
    <w:qFormat/>
    <w:rsid w:val="00B4140A"/>
    <w:pPr>
      <w:spacing w:after="200" w:line="276" w:lineRule="auto"/>
    </w:pPr>
    <w:rPr>
      <w:rFonts w:eastAsiaTheme="minorEastAsia"/>
      <w:lang w:eastAsia="en-AU"/>
    </w:rPr>
  </w:style>
  <w:style w:type="paragraph" w:styleId="Heading1">
    <w:name w:val="heading 1"/>
    <w:basedOn w:val="Normal"/>
    <w:next w:val="Normal"/>
    <w:link w:val="Heading1Char"/>
    <w:uiPriority w:val="9"/>
    <w:rsid w:val="008F7E90"/>
    <w:pPr>
      <w:keepNext/>
      <w:keepLines/>
      <w:spacing w:before="480" w:after="0" w:line="240" w:lineRule="auto"/>
      <w:outlineLvl w:val="0"/>
    </w:pPr>
    <w:rPr>
      <w:rFonts w:eastAsiaTheme="majorEastAsia" w:cstheme="majorBidi"/>
      <w:b/>
      <w:bCs/>
      <w:caps/>
      <w:sz w:val="44"/>
      <w:szCs w:val="28"/>
      <w:lang w:val="en-GB" w:eastAsia="en-US"/>
    </w:rPr>
  </w:style>
  <w:style w:type="paragraph" w:styleId="Heading2">
    <w:name w:val="heading 2"/>
    <w:basedOn w:val="Normal"/>
    <w:next w:val="Normal"/>
    <w:link w:val="Heading2Char"/>
    <w:rsid w:val="008F7E90"/>
    <w:pPr>
      <w:keepNext/>
      <w:spacing w:after="120" w:line="240" w:lineRule="auto"/>
      <w:outlineLvl w:val="1"/>
    </w:pPr>
    <w:rPr>
      <w:rFonts w:eastAsia="Times New Roman" w:cs="Times New Roman"/>
      <w:b/>
      <w:bCs/>
      <w:iCs/>
      <w:sz w:val="36"/>
      <w:szCs w:val="24"/>
      <w:lang w:val="en-US" w:eastAsia="en-US"/>
    </w:rPr>
  </w:style>
  <w:style w:type="paragraph" w:styleId="Heading3">
    <w:name w:val="heading 3"/>
    <w:basedOn w:val="Normal"/>
    <w:next w:val="Normal"/>
    <w:link w:val="Heading3Char"/>
    <w:rsid w:val="008F7E90"/>
    <w:pPr>
      <w:keepNext/>
      <w:spacing w:after="0" w:line="240" w:lineRule="auto"/>
      <w:outlineLvl w:val="2"/>
    </w:pPr>
    <w:rPr>
      <w:rFonts w:eastAsia="Times New Roman" w:cs="Times New Roman"/>
      <w:b/>
      <w:bCs/>
      <w:iCs/>
      <w:sz w:val="28"/>
      <w:szCs w:val="24"/>
      <w:lang w:val="en-US" w:eastAsia="en-US"/>
    </w:rPr>
  </w:style>
  <w:style w:type="paragraph" w:styleId="Heading4">
    <w:name w:val="heading 4"/>
    <w:basedOn w:val="Normal"/>
    <w:next w:val="Normal"/>
    <w:link w:val="Heading4Char"/>
    <w:uiPriority w:val="9"/>
    <w:unhideWhenUsed/>
    <w:rsid w:val="008F7E90"/>
    <w:pPr>
      <w:keepNext/>
      <w:keepLines/>
      <w:spacing w:before="120" w:after="0" w:line="240" w:lineRule="auto"/>
      <w:outlineLvl w:val="3"/>
    </w:pPr>
    <w:rPr>
      <w:rFonts w:eastAsiaTheme="majorEastAsia" w:cstheme="majorBidi"/>
      <w:bCs/>
      <w:iCs/>
      <w:sz w:val="24"/>
      <w:lang w:val="en-GB" w:eastAsia="en-US"/>
    </w:rPr>
  </w:style>
  <w:style w:type="paragraph" w:styleId="Heading5">
    <w:name w:val="heading 5"/>
    <w:basedOn w:val="Normal"/>
    <w:next w:val="Normal"/>
    <w:link w:val="Heading5Char"/>
    <w:uiPriority w:val="9"/>
    <w:unhideWhenUsed/>
    <w:rsid w:val="008F7E90"/>
    <w:pPr>
      <w:keepNext/>
      <w:keepLines/>
      <w:spacing w:before="200" w:after="0" w:line="240" w:lineRule="auto"/>
      <w:outlineLvl w:val="4"/>
    </w:pPr>
    <w:rPr>
      <w:rFonts w:eastAsiaTheme="majorEastAsia" w:cstheme="majorBidi"/>
      <w:u w:val="single"/>
      <w:lang w:val="en-GB" w:eastAsia="en-US"/>
    </w:rPr>
  </w:style>
  <w:style w:type="paragraph" w:styleId="Heading6">
    <w:name w:val="heading 6"/>
    <w:basedOn w:val="Normal"/>
    <w:next w:val="Normal"/>
    <w:link w:val="Heading6Char"/>
    <w:uiPriority w:val="9"/>
    <w:unhideWhenUsed/>
    <w:rsid w:val="008F7E90"/>
    <w:pPr>
      <w:keepNext/>
      <w:keepLines/>
      <w:spacing w:before="200" w:after="0" w:line="240" w:lineRule="auto"/>
      <w:outlineLvl w:val="5"/>
    </w:pPr>
    <w:rPr>
      <w:rFonts w:eastAsiaTheme="majorEastAsia" w:cstheme="majorBidi"/>
      <w:i/>
      <w:i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E90"/>
    <w:rPr>
      <w:rFonts w:eastAsiaTheme="majorEastAsia" w:cstheme="majorBidi"/>
      <w:b/>
      <w:bCs/>
      <w:caps/>
      <w:sz w:val="44"/>
      <w:szCs w:val="28"/>
      <w:lang w:val="en-GB"/>
    </w:rPr>
  </w:style>
  <w:style w:type="character" w:customStyle="1" w:styleId="Heading2Char">
    <w:name w:val="Heading 2 Char"/>
    <w:basedOn w:val="DefaultParagraphFont"/>
    <w:link w:val="Heading2"/>
    <w:rsid w:val="008F7E90"/>
    <w:rPr>
      <w:rFonts w:eastAsia="Times New Roman" w:cs="Times New Roman"/>
      <w:b/>
      <w:bCs/>
      <w:iCs/>
      <w:sz w:val="36"/>
      <w:szCs w:val="24"/>
      <w:lang w:val="en-US"/>
    </w:rPr>
  </w:style>
  <w:style w:type="character" w:customStyle="1" w:styleId="Heading3Char">
    <w:name w:val="Heading 3 Char"/>
    <w:basedOn w:val="DefaultParagraphFont"/>
    <w:link w:val="Heading3"/>
    <w:rsid w:val="008F7E90"/>
    <w:rPr>
      <w:rFonts w:eastAsia="Times New Roman" w:cs="Times New Roman"/>
      <w:b/>
      <w:bCs/>
      <w:iCs/>
      <w:sz w:val="28"/>
      <w:szCs w:val="24"/>
      <w:lang w:val="en-US"/>
    </w:rPr>
  </w:style>
  <w:style w:type="character" w:customStyle="1" w:styleId="Heading4Char">
    <w:name w:val="Heading 4 Char"/>
    <w:basedOn w:val="DefaultParagraphFont"/>
    <w:link w:val="Heading4"/>
    <w:uiPriority w:val="9"/>
    <w:rsid w:val="008F7E90"/>
    <w:rPr>
      <w:rFonts w:eastAsiaTheme="majorEastAsia" w:cstheme="majorBidi"/>
      <w:bCs/>
      <w:iCs/>
      <w:sz w:val="24"/>
      <w:lang w:val="en-GB"/>
    </w:rPr>
  </w:style>
  <w:style w:type="character" w:customStyle="1" w:styleId="Heading5Char">
    <w:name w:val="Heading 5 Char"/>
    <w:basedOn w:val="DefaultParagraphFont"/>
    <w:link w:val="Heading5"/>
    <w:uiPriority w:val="9"/>
    <w:rsid w:val="008F7E90"/>
    <w:rPr>
      <w:rFonts w:eastAsiaTheme="majorEastAsia" w:cstheme="majorBidi"/>
      <w:u w:val="single"/>
      <w:lang w:val="en-GB"/>
    </w:rPr>
  </w:style>
  <w:style w:type="character" w:customStyle="1" w:styleId="Heading6Char">
    <w:name w:val="Heading 6 Char"/>
    <w:basedOn w:val="DefaultParagraphFont"/>
    <w:link w:val="Heading6"/>
    <w:uiPriority w:val="9"/>
    <w:rsid w:val="008F7E90"/>
    <w:rPr>
      <w:rFonts w:eastAsiaTheme="majorEastAsia" w:cstheme="majorBidi"/>
      <w:i/>
      <w:iCs/>
      <w:lang w:val="en-GB"/>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8F7E90"/>
    <w:pPr>
      <w:tabs>
        <w:tab w:val="left" w:leader="underscore" w:pos="8640"/>
      </w:tabs>
      <w:spacing w:before="60" w:after="360" w:line="240" w:lineRule="auto"/>
    </w:pPr>
    <w:rPr>
      <w:rFonts w:ascii="Tahoma" w:eastAsia="Times New Roman" w:hAnsi="Tahoma" w:cs="Times New Roman"/>
      <w:sz w:val="20"/>
      <w:szCs w:val="24"/>
      <w:lang w:val="en-US" w:eastAsia="en-US"/>
    </w:rPr>
  </w:style>
  <w:style w:type="paragraph" w:customStyle="1" w:styleId="SurveyquestionforLines">
    <w:name w:val="Survey question for Lines"/>
    <w:basedOn w:val="Normal"/>
    <w:rsid w:val="008F7E90"/>
    <w:pPr>
      <w:keepNext/>
      <w:spacing w:before="320" w:after="0" w:line="240" w:lineRule="auto"/>
    </w:pPr>
    <w:rPr>
      <w:rFonts w:ascii="Tahoma" w:eastAsia="Times New Roman" w:hAnsi="Tahoma" w:cs="Times New Roman"/>
      <w:b/>
      <w:sz w:val="20"/>
      <w:szCs w:val="24"/>
      <w:lang w:val="en-US" w:eastAsia="en-US"/>
    </w:rPr>
  </w:style>
  <w:style w:type="paragraph" w:customStyle="1" w:styleId="Line">
    <w:name w:val="Line"/>
    <w:basedOn w:val="Normal"/>
    <w:rsid w:val="008F7E90"/>
    <w:pPr>
      <w:tabs>
        <w:tab w:val="left" w:leader="underscore" w:pos="8640"/>
      </w:tabs>
      <w:spacing w:before="60" w:after="0" w:line="240" w:lineRule="auto"/>
    </w:pPr>
    <w:rPr>
      <w:rFonts w:ascii="Tahoma" w:eastAsia="Times New Roman" w:hAnsi="Tahoma" w:cs="Times New Roman"/>
      <w:sz w:val="20"/>
      <w:szCs w:val="24"/>
      <w:lang w:val="en-US" w:eastAsia="en-US"/>
    </w:rPr>
  </w:style>
  <w:style w:type="paragraph" w:customStyle="1" w:styleId="Thankyou">
    <w:name w:val="Thankyou"/>
    <w:basedOn w:val="Normal"/>
    <w:rsid w:val="008F7E90"/>
    <w:pPr>
      <w:keepNext/>
      <w:spacing w:before="240" w:after="0" w:line="240" w:lineRule="auto"/>
      <w:jc w:val="center"/>
    </w:pPr>
    <w:rPr>
      <w:rFonts w:ascii="Tahoma" w:eastAsia="Times New Roman" w:hAnsi="Tahoma" w:cs="Times New Roman"/>
      <w:sz w:val="20"/>
      <w:szCs w:val="24"/>
      <w:lang w:val="en-US" w:eastAsia="en-US"/>
    </w:rPr>
  </w:style>
  <w:style w:type="character" w:customStyle="1" w:styleId="maintitle">
    <w:name w:val="maintitle"/>
    <w:basedOn w:val="DefaultParagraphFont"/>
    <w:rsid w:val="008F7E90"/>
  </w:style>
  <w:style w:type="paragraph" w:customStyle="1" w:styleId="Tablecell">
    <w:name w:val="Table cell"/>
    <w:basedOn w:val="Header"/>
    <w:rsid w:val="008F7E90"/>
    <w:pPr>
      <w:keepLines/>
      <w:tabs>
        <w:tab w:val="clear" w:pos="4513"/>
        <w:tab w:val="clear" w:pos="9026"/>
      </w:tabs>
      <w:suppressAutoHyphens/>
      <w:spacing w:before="40" w:after="40"/>
    </w:pPr>
    <w:rPr>
      <w:rFonts w:ascii="Arial" w:eastAsia="Times New Roman" w:hAnsi="Arial" w:cs="Arial"/>
      <w:sz w:val="16"/>
      <w:szCs w:val="20"/>
      <w:lang w:val="en-US"/>
    </w:rPr>
  </w:style>
  <w:style w:type="paragraph" w:styleId="Header">
    <w:name w:val="header"/>
    <w:basedOn w:val="Normal"/>
    <w:link w:val="HeaderChar"/>
    <w:uiPriority w:val="99"/>
    <w:unhideWhenUsed/>
    <w:rsid w:val="008F7E90"/>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8F7E90"/>
    <w:rPr>
      <w:lang w:val="en-GB"/>
    </w:rPr>
  </w:style>
  <w:style w:type="paragraph" w:styleId="TOC1">
    <w:name w:val="toc 1"/>
    <w:basedOn w:val="Normal"/>
    <w:next w:val="Normal"/>
    <w:autoRedefine/>
    <w:uiPriority w:val="39"/>
    <w:unhideWhenUsed/>
    <w:rsid w:val="008F7E90"/>
    <w:pPr>
      <w:spacing w:after="100" w:line="240" w:lineRule="auto"/>
    </w:pPr>
    <w:rPr>
      <w:rFonts w:eastAsiaTheme="minorHAnsi"/>
      <w:lang w:val="en-GB" w:eastAsia="en-US"/>
    </w:rPr>
  </w:style>
  <w:style w:type="paragraph" w:styleId="TOC2">
    <w:name w:val="toc 2"/>
    <w:basedOn w:val="Normal"/>
    <w:next w:val="Normal"/>
    <w:autoRedefine/>
    <w:uiPriority w:val="39"/>
    <w:unhideWhenUsed/>
    <w:rsid w:val="008F7E90"/>
    <w:pPr>
      <w:spacing w:after="100" w:line="240" w:lineRule="auto"/>
      <w:ind w:left="220"/>
    </w:pPr>
    <w:rPr>
      <w:rFonts w:eastAsiaTheme="minorHAnsi"/>
      <w:lang w:val="en-GB" w:eastAsia="en-US"/>
    </w:rPr>
  </w:style>
  <w:style w:type="paragraph" w:styleId="TOC3">
    <w:name w:val="toc 3"/>
    <w:basedOn w:val="Normal"/>
    <w:next w:val="Normal"/>
    <w:autoRedefine/>
    <w:uiPriority w:val="39"/>
    <w:unhideWhenUsed/>
    <w:rsid w:val="008F7E90"/>
    <w:pPr>
      <w:spacing w:after="100" w:line="240" w:lineRule="auto"/>
      <w:ind w:left="440"/>
    </w:pPr>
    <w:rPr>
      <w:rFonts w:eastAsiaTheme="minorHAnsi"/>
      <w:lang w:val="en-GB" w:eastAsia="en-US"/>
    </w:rPr>
  </w:style>
  <w:style w:type="paragraph" w:styleId="TOC4">
    <w:name w:val="toc 4"/>
    <w:basedOn w:val="Normal"/>
    <w:next w:val="Normal"/>
    <w:autoRedefine/>
    <w:uiPriority w:val="39"/>
    <w:unhideWhenUsed/>
    <w:rsid w:val="008F7E90"/>
    <w:pPr>
      <w:spacing w:after="100" w:line="240" w:lineRule="auto"/>
      <w:ind w:left="660"/>
    </w:pPr>
    <w:rPr>
      <w:rFonts w:eastAsiaTheme="minorHAnsi"/>
      <w:lang w:val="en-GB" w:eastAsia="en-US"/>
    </w:rPr>
  </w:style>
  <w:style w:type="paragraph" w:styleId="FootnoteText">
    <w:name w:val="footnote text"/>
    <w:basedOn w:val="Normal"/>
    <w:link w:val="FootnoteTextChar"/>
    <w:uiPriority w:val="99"/>
    <w:unhideWhenUsed/>
    <w:rsid w:val="008F7E90"/>
    <w:pPr>
      <w:spacing w:after="0" w:line="240" w:lineRule="auto"/>
    </w:pPr>
    <w:rPr>
      <w:rFonts w:eastAsiaTheme="minorHAnsi"/>
      <w:sz w:val="20"/>
      <w:szCs w:val="20"/>
      <w:lang w:val="en-GB" w:eastAsia="en-US"/>
    </w:rPr>
  </w:style>
  <w:style w:type="character" w:customStyle="1" w:styleId="FootnoteTextChar">
    <w:name w:val="Footnote Text Char"/>
    <w:basedOn w:val="DefaultParagraphFont"/>
    <w:link w:val="FootnoteText"/>
    <w:uiPriority w:val="99"/>
    <w:rsid w:val="008F7E90"/>
    <w:rPr>
      <w:sz w:val="20"/>
      <w:szCs w:val="20"/>
      <w:lang w:val="en-GB"/>
    </w:rPr>
  </w:style>
  <w:style w:type="paragraph" w:styleId="CommentText">
    <w:name w:val="annotation text"/>
    <w:basedOn w:val="Normal"/>
    <w:link w:val="CommentTextChar"/>
    <w:uiPriority w:val="99"/>
    <w:unhideWhenUsed/>
    <w:rsid w:val="008F7E90"/>
    <w:pPr>
      <w:spacing w:after="0" w:line="240" w:lineRule="auto"/>
    </w:pPr>
    <w:rPr>
      <w:rFonts w:eastAsiaTheme="minorHAnsi"/>
      <w:sz w:val="20"/>
      <w:szCs w:val="20"/>
      <w:lang w:val="en-GB" w:eastAsia="en-US"/>
    </w:rPr>
  </w:style>
  <w:style w:type="character" w:customStyle="1" w:styleId="CommentTextChar">
    <w:name w:val="Comment Text Char"/>
    <w:basedOn w:val="DefaultParagraphFont"/>
    <w:link w:val="CommentText"/>
    <w:uiPriority w:val="99"/>
    <w:rsid w:val="008F7E90"/>
    <w:rPr>
      <w:sz w:val="20"/>
      <w:szCs w:val="20"/>
      <w:lang w:val="en-GB"/>
    </w:rPr>
  </w:style>
  <w:style w:type="paragraph" w:styleId="Footer">
    <w:name w:val="footer"/>
    <w:basedOn w:val="Normal"/>
    <w:link w:val="FooterChar"/>
    <w:uiPriority w:val="99"/>
    <w:unhideWhenUsed/>
    <w:rsid w:val="008F7E90"/>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8F7E90"/>
    <w:rPr>
      <w:lang w:val="en-GB"/>
    </w:rPr>
  </w:style>
  <w:style w:type="paragraph" w:styleId="Caption">
    <w:name w:val="caption"/>
    <w:basedOn w:val="Normal"/>
    <w:next w:val="Normal"/>
    <w:uiPriority w:val="35"/>
    <w:unhideWhenUsed/>
    <w:rsid w:val="008F7E90"/>
    <w:pPr>
      <w:spacing w:line="240" w:lineRule="auto"/>
    </w:pPr>
    <w:rPr>
      <w:rFonts w:eastAsiaTheme="minorHAnsi"/>
      <w:b/>
      <w:bCs/>
      <w:color w:val="4F81BD" w:themeColor="accent1"/>
      <w:sz w:val="18"/>
      <w:szCs w:val="18"/>
      <w:lang w:val="en-GB" w:eastAsia="en-US"/>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pPr>
      <w:spacing w:after="0" w:line="240" w:lineRule="auto"/>
    </w:pPr>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basedOn w:val="Normal"/>
    <w:next w:val="Normal"/>
    <w:link w:val="TitleChar"/>
    <w:rsid w:val="008F7E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itleChar">
    <w:name w:val="Title Char"/>
    <w:basedOn w:val="DefaultParagraphFont"/>
    <w:link w:val="Title"/>
    <w:rsid w:val="008F7E90"/>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rsid w:val="008F7E90"/>
    <w:pPr>
      <w:spacing w:after="0" w:line="240" w:lineRule="auto"/>
    </w:pPr>
    <w:rPr>
      <w:rFonts w:ascii="Times New Roman" w:eastAsia="Times New Roman" w:hAnsi="Times New Roman" w:cs="Times New Roman"/>
      <w:szCs w:val="24"/>
      <w:lang w:val="en-US" w:eastAsia="en-US"/>
    </w:rPr>
  </w:style>
  <w:style w:type="character" w:customStyle="1" w:styleId="BodyTextChar">
    <w:name w:val="Body Text Char"/>
    <w:basedOn w:val="DefaultParagraphFont"/>
    <w:link w:val="BodyText"/>
    <w:rsid w:val="008F7E90"/>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line="240" w:lineRule="auto"/>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b/>
      <w:bCs/>
      <w:sz w:val="20"/>
      <w:szCs w:val="20"/>
      <w:lang w:val="en-GB"/>
    </w:rPr>
  </w:style>
  <w:style w:type="paragraph" w:styleId="BalloonText">
    <w:name w:val="Balloon Text"/>
    <w:basedOn w:val="Normal"/>
    <w:link w:val="BalloonTextChar"/>
    <w:uiPriority w:val="99"/>
    <w:semiHidden/>
    <w:unhideWhenUsed/>
    <w:rsid w:val="008F7E90"/>
    <w:pPr>
      <w:spacing w:after="0" w:line="240" w:lineRule="auto"/>
    </w:pPr>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8F7E90"/>
    <w:pPr>
      <w:spacing w:after="0" w:line="240" w:lineRule="auto"/>
      <w:ind w:left="720"/>
      <w:contextualSpacing/>
    </w:pPr>
    <w:rPr>
      <w:rFonts w:eastAsiaTheme="minorHAnsi"/>
      <w:lang w:val="en-GB" w:eastAsia="en-US"/>
    </w:rPr>
  </w:style>
  <w:style w:type="paragraph" w:styleId="TOCHeading">
    <w:name w:val="TOC Heading"/>
    <w:basedOn w:val="Heading1"/>
    <w:next w:val="Normal"/>
    <w:uiPriority w:val="39"/>
    <w:semiHidden/>
    <w:unhideWhenUsed/>
    <w:qFormat/>
    <w:rsid w:val="008F7E90"/>
    <w:pPr>
      <w:spacing w:line="276" w:lineRule="auto"/>
      <w:outlineLvl w:val="9"/>
    </w:pPr>
    <w:rPr>
      <w:lang w:val="en-US"/>
    </w:r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rsid w:val="00084A5B"/>
    <w:rPr>
      <w:rFonts w:ascii="Arial" w:eastAsia="Calibri" w:hAnsi="Arial" w:cs="Times New Roman"/>
      <w:sz w:val="24"/>
    </w:rPr>
  </w:style>
  <w:style w:type="paragraph" w:customStyle="1" w:styleId="BodyText1">
    <w:name w:val="Body Text1"/>
    <w:basedOn w:val="Normal"/>
    <w:qFormat/>
    <w:rsid w:val="00084A5B"/>
    <w:rPr>
      <w:rFonts w:ascii="Arial" w:eastAsia="Calibri" w:hAnsi="Arial" w:cs="Arial"/>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0"/>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Date/Address"/>
    <w:qFormat/>
    <w:rsid w:val="00B4140A"/>
    <w:pPr>
      <w:spacing w:after="200" w:line="276" w:lineRule="auto"/>
    </w:pPr>
    <w:rPr>
      <w:rFonts w:eastAsiaTheme="minorEastAsia"/>
      <w:lang w:eastAsia="en-AU"/>
    </w:rPr>
  </w:style>
  <w:style w:type="paragraph" w:styleId="Heading1">
    <w:name w:val="heading 1"/>
    <w:basedOn w:val="Normal"/>
    <w:next w:val="Normal"/>
    <w:link w:val="Heading1Char"/>
    <w:uiPriority w:val="9"/>
    <w:rsid w:val="008F7E90"/>
    <w:pPr>
      <w:keepNext/>
      <w:keepLines/>
      <w:spacing w:before="480" w:after="0" w:line="240" w:lineRule="auto"/>
      <w:outlineLvl w:val="0"/>
    </w:pPr>
    <w:rPr>
      <w:rFonts w:eastAsiaTheme="majorEastAsia" w:cstheme="majorBidi"/>
      <w:b/>
      <w:bCs/>
      <w:caps/>
      <w:sz w:val="44"/>
      <w:szCs w:val="28"/>
      <w:lang w:val="en-GB" w:eastAsia="en-US"/>
    </w:rPr>
  </w:style>
  <w:style w:type="paragraph" w:styleId="Heading2">
    <w:name w:val="heading 2"/>
    <w:basedOn w:val="Normal"/>
    <w:next w:val="Normal"/>
    <w:link w:val="Heading2Char"/>
    <w:rsid w:val="008F7E90"/>
    <w:pPr>
      <w:keepNext/>
      <w:spacing w:after="120" w:line="240" w:lineRule="auto"/>
      <w:outlineLvl w:val="1"/>
    </w:pPr>
    <w:rPr>
      <w:rFonts w:eastAsia="Times New Roman" w:cs="Times New Roman"/>
      <w:b/>
      <w:bCs/>
      <w:iCs/>
      <w:sz w:val="36"/>
      <w:szCs w:val="24"/>
      <w:lang w:val="en-US" w:eastAsia="en-US"/>
    </w:rPr>
  </w:style>
  <w:style w:type="paragraph" w:styleId="Heading3">
    <w:name w:val="heading 3"/>
    <w:basedOn w:val="Normal"/>
    <w:next w:val="Normal"/>
    <w:link w:val="Heading3Char"/>
    <w:rsid w:val="008F7E90"/>
    <w:pPr>
      <w:keepNext/>
      <w:spacing w:after="0" w:line="240" w:lineRule="auto"/>
      <w:outlineLvl w:val="2"/>
    </w:pPr>
    <w:rPr>
      <w:rFonts w:eastAsia="Times New Roman" w:cs="Times New Roman"/>
      <w:b/>
      <w:bCs/>
      <w:iCs/>
      <w:sz w:val="28"/>
      <w:szCs w:val="24"/>
      <w:lang w:val="en-US" w:eastAsia="en-US"/>
    </w:rPr>
  </w:style>
  <w:style w:type="paragraph" w:styleId="Heading4">
    <w:name w:val="heading 4"/>
    <w:basedOn w:val="Normal"/>
    <w:next w:val="Normal"/>
    <w:link w:val="Heading4Char"/>
    <w:uiPriority w:val="9"/>
    <w:unhideWhenUsed/>
    <w:rsid w:val="008F7E90"/>
    <w:pPr>
      <w:keepNext/>
      <w:keepLines/>
      <w:spacing w:before="120" w:after="0" w:line="240" w:lineRule="auto"/>
      <w:outlineLvl w:val="3"/>
    </w:pPr>
    <w:rPr>
      <w:rFonts w:eastAsiaTheme="majorEastAsia" w:cstheme="majorBidi"/>
      <w:bCs/>
      <w:iCs/>
      <w:sz w:val="24"/>
      <w:lang w:val="en-GB" w:eastAsia="en-US"/>
    </w:rPr>
  </w:style>
  <w:style w:type="paragraph" w:styleId="Heading5">
    <w:name w:val="heading 5"/>
    <w:basedOn w:val="Normal"/>
    <w:next w:val="Normal"/>
    <w:link w:val="Heading5Char"/>
    <w:uiPriority w:val="9"/>
    <w:unhideWhenUsed/>
    <w:rsid w:val="008F7E90"/>
    <w:pPr>
      <w:keepNext/>
      <w:keepLines/>
      <w:spacing w:before="200" w:after="0" w:line="240" w:lineRule="auto"/>
      <w:outlineLvl w:val="4"/>
    </w:pPr>
    <w:rPr>
      <w:rFonts w:eastAsiaTheme="majorEastAsia" w:cstheme="majorBidi"/>
      <w:u w:val="single"/>
      <w:lang w:val="en-GB" w:eastAsia="en-US"/>
    </w:rPr>
  </w:style>
  <w:style w:type="paragraph" w:styleId="Heading6">
    <w:name w:val="heading 6"/>
    <w:basedOn w:val="Normal"/>
    <w:next w:val="Normal"/>
    <w:link w:val="Heading6Char"/>
    <w:uiPriority w:val="9"/>
    <w:unhideWhenUsed/>
    <w:rsid w:val="008F7E90"/>
    <w:pPr>
      <w:keepNext/>
      <w:keepLines/>
      <w:spacing w:before="200" w:after="0" w:line="240" w:lineRule="auto"/>
      <w:outlineLvl w:val="5"/>
    </w:pPr>
    <w:rPr>
      <w:rFonts w:eastAsiaTheme="majorEastAsia" w:cstheme="majorBidi"/>
      <w:i/>
      <w:i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E90"/>
    <w:rPr>
      <w:rFonts w:eastAsiaTheme="majorEastAsia" w:cstheme="majorBidi"/>
      <w:b/>
      <w:bCs/>
      <w:caps/>
      <w:sz w:val="44"/>
      <w:szCs w:val="28"/>
      <w:lang w:val="en-GB"/>
    </w:rPr>
  </w:style>
  <w:style w:type="character" w:customStyle="1" w:styleId="Heading2Char">
    <w:name w:val="Heading 2 Char"/>
    <w:basedOn w:val="DefaultParagraphFont"/>
    <w:link w:val="Heading2"/>
    <w:rsid w:val="008F7E90"/>
    <w:rPr>
      <w:rFonts w:eastAsia="Times New Roman" w:cs="Times New Roman"/>
      <w:b/>
      <w:bCs/>
      <w:iCs/>
      <w:sz w:val="36"/>
      <w:szCs w:val="24"/>
      <w:lang w:val="en-US"/>
    </w:rPr>
  </w:style>
  <w:style w:type="character" w:customStyle="1" w:styleId="Heading3Char">
    <w:name w:val="Heading 3 Char"/>
    <w:basedOn w:val="DefaultParagraphFont"/>
    <w:link w:val="Heading3"/>
    <w:rsid w:val="008F7E90"/>
    <w:rPr>
      <w:rFonts w:eastAsia="Times New Roman" w:cs="Times New Roman"/>
      <w:b/>
      <w:bCs/>
      <w:iCs/>
      <w:sz w:val="28"/>
      <w:szCs w:val="24"/>
      <w:lang w:val="en-US"/>
    </w:rPr>
  </w:style>
  <w:style w:type="character" w:customStyle="1" w:styleId="Heading4Char">
    <w:name w:val="Heading 4 Char"/>
    <w:basedOn w:val="DefaultParagraphFont"/>
    <w:link w:val="Heading4"/>
    <w:uiPriority w:val="9"/>
    <w:rsid w:val="008F7E90"/>
    <w:rPr>
      <w:rFonts w:eastAsiaTheme="majorEastAsia" w:cstheme="majorBidi"/>
      <w:bCs/>
      <w:iCs/>
      <w:sz w:val="24"/>
      <w:lang w:val="en-GB"/>
    </w:rPr>
  </w:style>
  <w:style w:type="character" w:customStyle="1" w:styleId="Heading5Char">
    <w:name w:val="Heading 5 Char"/>
    <w:basedOn w:val="DefaultParagraphFont"/>
    <w:link w:val="Heading5"/>
    <w:uiPriority w:val="9"/>
    <w:rsid w:val="008F7E90"/>
    <w:rPr>
      <w:rFonts w:eastAsiaTheme="majorEastAsia" w:cstheme="majorBidi"/>
      <w:u w:val="single"/>
      <w:lang w:val="en-GB"/>
    </w:rPr>
  </w:style>
  <w:style w:type="character" w:customStyle="1" w:styleId="Heading6Char">
    <w:name w:val="Heading 6 Char"/>
    <w:basedOn w:val="DefaultParagraphFont"/>
    <w:link w:val="Heading6"/>
    <w:uiPriority w:val="9"/>
    <w:rsid w:val="008F7E90"/>
    <w:rPr>
      <w:rFonts w:eastAsiaTheme="majorEastAsia" w:cstheme="majorBidi"/>
      <w:i/>
      <w:iCs/>
      <w:lang w:val="en-GB"/>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8F7E90"/>
    <w:pPr>
      <w:tabs>
        <w:tab w:val="left" w:leader="underscore" w:pos="8640"/>
      </w:tabs>
      <w:spacing w:before="60" w:after="360" w:line="240" w:lineRule="auto"/>
    </w:pPr>
    <w:rPr>
      <w:rFonts w:ascii="Tahoma" w:eastAsia="Times New Roman" w:hAnsi="Tahoma" w:cs="Times New Roman"/>
      <w:sz w:val="20"/>
      <w:szCs w:val="24"/>
      <w:lang w:val="en-US" w:eastAsia="en-US"/>
    </w:rPr>
  </w:style>
  <w:style w:type="paragraph" w:customStyle="1" w:styleId="SurveyquestionforLines">
    <w:name w:val="Survey question for Lines"/>
    <w:basedOn w:val="Normal"/>
    <w:rsid w:val="008F7E90"/>
    <w:pPr>
      <w:keepNext/>
      <w:spacing w:before="320" w:after="0" w:line="240" w:lineRule="auto"/>
    </w:pPr>
    <w:rPr>
      <w:rFonts w:ascii="Tahoma" w:eastAsia="Times New Roman" w:hAnsi="Tahoma" w:cs="Times New Roman"/>
      <w:b/>
      <w:sz w:val="20"/>
      <w:szCs w:val="24"/>
      <w:lang w:val="en-US" w:eastAsia="en-US"/>
    </w:rPr>
  </w:style>
  <w:style w:type="paragraph" w:customStyle="1" w:styleId="Line">
    <w:name w:val="Line"/>
    <w:basedOn w:val="Normal"/>
    <w:rsid w:val="008F7E90"/>
    <w:pPr>
      <w:tabs>
        <w:tab w:val="left" w:leader="underscore" w:pos="8640"/>
      </w:tabs>
      <w:spacing w:before="60" w:after="0" w:line="240" w:lineRule="auto"/>
    </w:pPr>
    <w:rPr>
      <w:rFonts w:ascii="Tahoma" w:eastAsia="Times New Roman" w:hAnsi="Tahoma" w:cs="Times New Roman"/>
      <w:sz w:val="20"/>
      <w:szCs w:val="24"/>
      <w:lang w:val="en-US" w:eastAsia="en-US"/>
    </w:rPr>
  </w:style>
  <w:style w:type="paragraph" w:customStyle="1" w:styleId="Thankyou">
    <w:name w:val="Thankyou"/>
    <w:basedOn w:val="Normal"/>
    <w:rsid w:val="008F7E90"/>
    <w:pPr>
      <w:keepNext/>
      <w:spacing w:before="240" w:after="0" w:line="240" w:lineRule="auto"/>
      <w:jc w:val="center"/>
    </w:pPr>
    <w:rPr>
      <w:rFonts w:ascii="Tahoma" w:eastAsia="Times New Roman" w:hAnsi="Tahoma" w:cs="Times New Roman"/>
      <w:sz w:val="20"/>
      <w:szCs w:val="24"/>
      <w:lang w:val="en-US" w:eastAsia="en-US"/>
    </w:rPr>
  </w:style>
  <w:style w:type="character" w:customStyle="1" w:styleId="maintitle">
    <w:name w:val="maintitle"/>
    <w:basedOn w:val="DefaultParagraphFont"/>
    <w:rsid w:val="008F7E90"/>
  </w:style>
  <w:style w:type="paragraph" w:customStyle="1" w:styleId="Tablecell">
    <w:name w:val="Table cell"/>
    <w:basedOn w:val="Header"/>
    <w:rsid w:val="008F7E90"/>
    <w:pPr>
      <w:keepLines/>
      <w:tabs>
        <w:tab w:val="clear" w:pos="4513"/>
        <w:tab w:val="clear" w:pos="9026"/>
      </w:tabs>
      <w:suppressAutoHyphens/>
      <w:spacing w:before="40" w:after="40"/>
    </w:pPr>
    <w:rPr>
      <w:rFonts w:ascii="Arial" w:eastAsia="Times New Roman" w:hAnsi="Arial" w:cs="Arial"/>
      <w:sz w:val="16"/>
      <w:szCs w:val="20"/>
      <w:lang w:val="en-US"/>
    </w:rPr>
  </w:style>
  <w:style w:type="paragraph" w:styleId="Header">
    <w:name w:val="header"/>
    <w:basedOn w:val="Normal"/>
    <w:link w:val="HeaderChar"/>
    <w:uiPriority w:val="99"/>
    <w:unhideWhenUsed/>
    <w:rsid w:val="008F7E90"/>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8F7E90"/>
    <w:rPr>
      <w:lang w:val="en-GB"/>
    </w:rPr>
  </w:style>
  <w:style w:type="paragraph" w:styleId="TOC1">
    <w:name w:val="toc 1"/>
    <w:basedOn w:val="Normal"/>
    <w:next w:val="Normal"/>
    <w:autoRedefine/>
    <w:uiPriority w:val="39"/>
    <w:unhideWhenUsed/>
    <w:rsid w:val="008F7E90"/>
    <w:pPr>
      <w:spacing w:after="100" w:line="240" w:lineRule="auto"/>
    </w:pPr>
    <w:rPr>
      <w:rFonts w:eastAsiaTheme="minorHAnsi"/>
      <w:lang w:val="en-GB" w:eastAsia="en-US"/>
    </w:rPr>
  </w:style>
  <w:style w:type="paragraph" w:styleId="TOC2">
    <w:name w:val="toc 2"/>
    <w:basedOn w:val="Normal"/>
    <w:next w:val="Normal"/>
    <w:autoRedefine/>
    <w:uiPriority w:val="39"/>
    <w:unhideWhenUsed/>
    <w:rsid w:val="008F7E90"/>
    <w:pPr>
      <w:spacing w:after="100" w:line="240" w:lineRule="auto"/>
      <w:ind w:left="220"/>
    </w:pPr>
    <w:rPr>
      <w:rFonts w:eastAsiaTheme="minorHAnsi"/>
      <w:lang w:val="en-GB" w:eastAsia="en-US"/>
    </w:rPr>
  </w:style>
  <w:style w:type="paragraph" w:styleId="TOC3">
    <w:name w:val="toc 3"/>
    <w:basedOn w:val="Normal"/>
    <w:next w:val="Normal"/>
    <w:autoRedefine/>
    <w:uiPriority w:val="39"/>
    <w:unhideWhenUsed/>
    <w:rsid w:val="008F7E90"/>
    <w:pPr>
      <w:spacing w:after="100" w:line="240" w:lineRule="auto"/>
      <w:ind w:left="440"/>
    </w:pPr>
    <w:rPr>
      <w:rFonts w:eastAsiaTheme="minorHAnsi"/>
      <w:lang w:val="en-GB" w:eastAsia="en-US"/>
    </w:rPr>
  </w:style>
  <w:style w:type="paragraph" w:styleId="TOC4">
    <w:name w:val="toc 4"/>
    <w:basedOn w:val="Normal"/>
    <w:next w:val="Normal"/>
    <w:autoRedefine/>
    <w:uiPriority w:val="39"/>
    <w:unhideWhenUsed/>
    <w:rsid w:val="008F7E90"/>
    <w:pPr>
      <w:spacing w:after="100" w:line="240" w:lineRule="auto"/>
      <w:ind w:left="660"/>
    </w:pPr>
    <w:rPr>
      <w:rFonts w:eastAsiaTheme="minorHAnsi"/>
      <w:lang w:val="en-GB" w:eastAsia="en-US"/>
    </w:rPr>
  </w:style>
  <w:style w:type="paragraph" w:styleId="FootnoteText">
    <w:name w:val="footnote text"/>
    <w:basedOn w:val="Normal"/>
    <w:link w:val="FootnoteTextChar"/>
    <w:uiPriority w:val="99"/>
    <w:unhideWhenUsed/>
    <w:rsid w:val="008F7E90"/>
    <w:pPr>
      <w:spacing w:after="0" w:line="240" w:lineRule="auto"/>
    </w:pPr>
    <w:rPr>
      <w:rFonts w:eastAsiaTheme="minorHAnsi"/>
      <w:sz w:val="20"/>
      <w:szCs w:val="20"/>
      <w:lang w:val="en-GB" w:eastAsia="en-US"/>
    </w:rPr>
  </w:style>
  <w:style w:type="character" w:customStyle="1" w:styleId="FootnoteTextChar">
    <w:name w:val="Footnote Text Char"/>
    <w:basedOn w:val="DefaultParagraphFont"/>
    <w:link w:val="FootnoteText"/>
    <w:uiPriority w:val="99"/>
    <w:rsid w:val="008F7E90"/>
    <w:rPr>
      <w:sz w:val="20"/>
      <w:szCs w:val="20"/>
      <w:lang w:val="en-GB"/>
    </w:rPr>
  </w:style>
  <w:style w:type="paragraph" w:styleId="CommentText">
    <w:name w:val="annotation text"/>
    <w:basedOn w:val="Normal"/>
    <w:link w:val="CommentTextChar"/>
    <w:uiPriority w:val="99"/>
    <w:unhideWhenUsed/>
    <w:rsid w:val="008F7E90"/>
    <w:pPr>
      <w:spacing w:after="0" w:line="240" w:lineRule="auto"/>
    </w:pPr>
    <w:rPr>
      <w:rFonts w:eastAsiaTheme="minorHAnsi"/>
      <w:sz w:val="20"/>
      <w:szCs w:val="20"/>
      <w:lang w:val="en-GB" w:eastAsia="en-US"/>
    </w:rPr>
  </w:style>
  <w:style w:type="character" w:customStyle="1" w:styleId="CommentTextChar">
    <w:name w:val="Comment Text Char"/>
    <w:basedOn w:val="DefaultParagraphFont"/>
    <w:link w:val="CommentText"/>
    <w:uiPriority w:val="99"/>
    <w:rsid w:val="008F7E90"/>
    <w:rPr>
      <w:sz w:val="20"/>
      <w:szCs w:val="20"/>
      <w:lang w:val="en-GB"/>
    </w:rPr>
  </w:style>
  <w:style w:type="paragraph" w:styleId="Footer">
    <w:name w:val="footer"/>
    <w:basedOn w:val="Normal"/>
    <w:link w:val="FooterChar"/>
    <w:uiPriority w:val="99"/>
    <w:unhideWhenUsed/>
    <w:rsid w:val="008F7E90"/>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8F7E90"/>
    <w:rPr>
      <w:lang w:val="en-GB"/>
    </w:rPr>
  </w:style>
  <w:style w:type="paragraph" w:styleId="Caption">
    <w:name w:val="caption"/>
    <w:basedOn w:val="Normal"/>
    <w:next w:val="Normal"/>
    <w:uiPriority w:val="35"/>
    <w:unhideWhenUsed/>
    <w:rsid w:val="008F7E90"/>
    <w:pPr>
      <w:spacing w:line="240" w:lineRule="auto"/>
    </w:pPr>
    <w:rPr>
      <w:rFonts w:eastAsiaTheme="minorHAnsi"/>
      <w:b/>
      <w:bCs/>
      <w:color w:val="4F81BD" w:themeColor="accent1"/>
      <w:sz w:val="18"/>
      <w:szCs w:val="18"/>
      <w:lang w:val="en-GB" w:eastAsia="en-US"/>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pPr>
      <w:spacing w:after="0" w:line="240" w:lineRule="auto"/>
    </w:pPr>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basedOn w:val="Normal"/>
    <w:next w:val="Normal"/>
    <w:link w:val="TitleChar"/>
    <w:rsid w:val="008F7E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itleChar">
    <w:name w:val="Title Char"/>
    <w:basedOn w:val="DefaultParagraphFont"/>
    <w:link w:val="Title"/>
    <w:rsid w:val="008F7E90"/>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rsid w:val="008F7E90"/>
    <w:pPr>
      <w:spacing w:after="0" w:line="240" w:lineRule="auto"/>
    </w:pPr>
    <w:rPr>
      <w:rFonts w:ascii="Times New Roman" w:eastAsia="Times New Roman" w:hAnsi="Times New Roman" w:cs="Times New Roman"/>
      <w:szCs w:val="24"/>
      <w:lang w:val="en-US" w:eastAsia="en-US"/>
    </w:rPr>
  </w:style>
  <w:style w:type="character" w:customStyle="1" w:styleId="BodyTextChar">
    <w:name w:val="Body Text Char"/>
    <w:basedOn w:val="DefaultParagraphFont"/>
    <w:link w:val="BodyText"/>
    <w:rsid w:val="008F7E90"/>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line="240" w:lineRule="auto"/>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b/>
      <w:bCs/>
      <w:sz w:val="20"/>
      <w:szCs w:val="20"/>
      <w:lang w:val="en-GB"/>
    </w:rPr>
  </w:style>
  <w:style w:type="paragraph" w:styleId="BalloonText">
    <w:name w:val="Balloon Text"/>
    <w:basedOn w:val="Normal"/>
    <w:link w:val="BalloonTextChar"/>
    <w:uiPriority w:val="99"/>
    <w:semiHidden/>
    <w:unhideWhenUsed/>
    <w:rsid w:val="008F7E90"/>
    <w:pPr>
      <w:spacing w:after="0" w:line="240" w:lineRule="auto"/>
    </w:pPr>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8F7E90"/>
    <w:pPr>
      <w:spacing w:after="0" w:line="240" w:lineRule="auto"/>
      <w:ind w:left="720"/>
      <w:contextualSpacing/>
    </w:pPr>
    <w:rPr>
      <w:rFonts w:eastAsiaTheme="minorHAnsi"/>
      <w:lang w:val="en-GB" w:eastAsia="en-US"/>
    </w:rPr>
  </w:style>
  <w:style w:type="paragraph" w:styleId="TOCHeading">
    <w:name w:val="TOC Heading"/>
    <w:basedOn w:val="Heading1"/>
    <w:next w:val="Normal"/>
    <w:uiPriority w:val="39"/>
    <w:semiHidden/>
    <w:unhideWhenUsed/>
    <w:qFormat/>
    <w:rsid w:val="008F7E90"/>
    <w:pPr>
      <w:spacing w:line="276" w:lineRule="auto"/>
      <w:outlineLvl w:val="9"/>
    </w:pPr>
    <w:rPr>
      <w:lang w:val="en-US"/>
    </w:r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rsid w:val="00084A5B"/>
    <w:rPr>
      <w:rFonts w:ascii="Arial" w:eastAsia="Calibri" w:hAnsi="Arial" w:cs="Times New Roman"/>
      <w:sz w:val="24"/>
    </w:rPr>
  </w:style>
  <w:style w:type="paragraph" w:customStyle="1" w:styleId="BodyText1">
    <w:name w:val="Body Text1"/>
    <w:basedOn w:val="Normal"/>
    <w:qFormat/>
    <w:rsid w:val="00084A5B"/>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7855">
      <w:bodyDiv w:val="1"/>
      <w:marLeft w:val="0"/>
      <w:marRight w:val="0"/>
      <w:marTop w:val="0"/>
      <w:marBottom w:val="0"/>
      <w:divBdr>
        <w:top w:val="none" w:sz="0" w:space="0" w:color="auto"/>
        <w:left w:val="none" w:sz="0" w:space="0" w:color="auto"/>
        <w:bottom w:val="none" w:sz="0" w:space="0" w:color="auto"/>
        <w:right w:val="none" w:sz="0" w:space="0" w:color="auto"/>
      </w:divBdr>
    </w:div>
    <w:div w:id="3419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judication@accc.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ccan.org.au/our-work/policy/732-our-broadband-future-policy-posi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20&amp;%20Originals\Templates%202014%20-%20sans%20advocacy\Short%20submission%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67F17-519A-458C-957A-5CA15983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submission 2014</Template>
  <TotalTime>16</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Thomas</dc:creator>
  <cp:lastModifiedBy>Rachel Thomas</cp:lastModifiedBy>
  <cp:revision>5</cp:revision>
  <cp:lastPrinted>2015-03-23T03:53:00Z</cp:lastPrinted>
  <dcterms:created xsi:type="dcterms:W3CDTF">2015-03-26T04:15:00Z</dcterms:created>
  <dcterms:modified xsi:type="dcterms:W3CDTF">2015-03-26T04:31:00Z</dcterms:modified>
</cp:coreProperties>
</file>