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DE" w:rsidRPr="003651DE" w:rsidRDefault="00B00320" w:rsidP="003651DE">
      <w:pPr>
        <w:jc w:val="left"/>
        <w:rPr>
          <w:rFonts w:eastAsiaTheme="minorHAnsi"/>
          <w:lang w:eastAsia="en-US"/>
        </w:rPr>
      </w:pPr>
      <w:r>
        <w:rPr>
          <w:rFonts w:eastAsiaTheme="minorHAnsi"/>
          <w:lang w:eastAsia="en-US"/>
        </w:rPr>
        <w:t>20</w:t>
      </w:r>
      <w:r w:rsidR="003651DE" w:rsidRPr="003651DE">
        <w:rPr>
          <w:rFonts w:eastAsiaTheme="minorHAnsi"/>
          <w:vertAlign w:val="superscript"/>
          <w:lang w:eastAsia="en-US"/>
        </w:rPr>
        <w:t>th</w:t>
      </w:r>
      <w:r w:rsidR="003651DE" w:rsidRPr="003651DE">
        <w:rPr>
          <w:rFonts w:eastAsiaTheme="minorHAnsi"/>
          <w:lang w:eastAsia="en-US"/>
        </w:rPr>
        <w:t xml:space="preserve"> December 2017</w:t>
      </w:r>
    </w:p>
    <w:p w:rsidR="003651DE" w:rsidRDefault="003651DE" w:rsidP="003651DE">
      <w:pPr>
        <w:spacing w:after="0"/>
        <w:jc w:val="left"/>
        <w:rPr>
          <w:rFonts w:eastAsiaTheme="minorHAnsi"/>
          <w:lang w:eastAsia="en-US"/>
        </w:rPr>
      </w:pPr>
      <w:r>
        <w:rPr>
          <w:rFonts w:eastAsiaTheme="minorHAnsi"/>
          <w:lang w:eastAsia="en-US"/>
        </w:rPr>
        <w:t>ACCC</w:t>
      </w:r>
    </w:p>
    <w:p w:rsidR="003651DE" w:rsidRPr="003651DE" w:rsidRDefault="003651DE" w:rsidP="003651DE">
      <w:pPr>
        <w:spacing w:after="0"/>
        <w:jc w:val="left"/>
        <w:rPr>
          <w:rFonts w:eastAsiaTheme="minorHAnsi"/>
          <w:lang w:eastAsia="en-US"/>
        </w:rPr>
      </w:pPr>
      <w:r w:rsidRPr="003651DE">
        <w:rPr>
          <w:rFonts w:eastAsiaTheme="minorHAnsi"/>
          <w:lang w:eastAsia="en-US"/>
        </w:rPr>
        <w:t xml:space="preserve">Via: </w:t>
      </w:r>
      <w:hyperlink r:id="rId9" w:history="1">
        <w:r w:rsidRPr="003651DE">
          <w:rPr>
            <w:rFonts w:eastAsiaTheme="minorHAnsi"/>
            <w:color w:val="0000FF" w:themeColor="hyperlink"/>
            <w:u w:val="single"/>
            <w:lang w:eastAsia="en-US"/>
          </w:rPr>
          <w:t>Commsmarketstudy@accc.gov.au</w:t>
        </w:r>
      </w:hyperlink>
      <w:r w:rsidRPr="003651DE">
        <w:rPr>
          <w:rFonts w:eastAsiaTheme="minorHAnsi"/>
          <w:lang w:eastAsia="en-US"/>
        </w:rPr>
        <w:t xml:space="preserve"> </w:t>
      </w:r>
    </w:p>
    <w:p w:rsidR="003651DE" w:rsidRPr="003651DE" w:rsidRDefault="00621342" w:rsidP="003651DE">
      <w:pPr>
        <w:spacing w:before="240" w:after="0"/>
        <w:rPr>
          <w:rFonts w:cstheme="minorHAnsi"/>
          <w:lang w:val="en-IE"/>
        </w:rPr>
      </w:pPr>
      <w:r>
        <w:rPr>
          <w:rFonts w:cstheme="minorHAnsi"/>
          <w:lang w:val="en-IE"/>
        </w:rPr>
        <w:t>T</w:t>
      </w:r>
      <w:r w:rsidRPr="003651DE">
        <w:rPr>
          <w:rFonts w:cstheme="minorHAnsi"/>
          <w:lang w:val="en-IE"/>
        </w:rPr>
        <w:t xml:space="preserve">he </w:t>
      </w:r>
      <w:r w:rsidR="0086481C">
        <w:rPr>
          <w:rFonts w:cstheme="minorHAnsi"/>
          <w:lang w:val="en-IE"/>
        </w:rPr>
        <w:t xml:space="preserve">ACCC </w:t>
      </w:r>
      <w:r w:rsidRPr="003651DE">
        <w:rPr>
          <w:rFonts w:cstheme="minorHAnsi"/>
          <w:lang w:val="en-IE"/>
        </w:rPr>
        <w:t xml:space="preserve">Communications </w:t>
      </w:r>
      <w:r>
        <w:rPr>
          <w:rFonts w:cstheme="minorHAnsi"/>
          <w:lang w:val="en-IE"/>
        </w:rPr>
        <w:t xml:space="preserve">Sector </w:t>
      </w:r>
      <w:r w:rsidRPr="003651DE">
        <w:rPr>
          <w:rFonts w:cstheme="minorHAnsi"/>
          <w:lang w:val="en-IE"/>
        </w:rPr>
        <w:t>Market Study</w:t>
      </w:r>
      <w:r>
        <w:rPr>
          <w:rFonts w:cstheme="minorHAnsi"/>
          <w:lang w:val="en-IE"/>
        </w:rPr>
        <w:t xml:space="preserve"> draft report</w:t>
      </w:r>
      <w:r w:rsidRPr="003651DE">
        <w:rPr>
          <w:rFonts w:cstheme="minorHAnsi"/>
          <w:lang w:val="en-IE"/>
        </w:rPr>
        <w:t xml:space="preserve"> is a</w:t>
      </w:r>
      <w:r>
        <w:rPr>
          <w:rFonts w:cstheme="minorHAnsi"/>
          <w:lang w:val="en-IE"/>
        </w:rPr>
        <w:t xml:space="preserve">n important </w:t>
      </w:r>
      <w:r w:rsidR="00DF258F">
        <w:rPr>
          <w:rFonts w:cstheme="minorHAnsi"/>
          <w:lang w:val="en-IE"/>
        </w:rPr>
        <w:t>examination of the c</w:t>
      </w:r>
      <w:r w:rsidR="003651DE" w:rsidRPr="003651DE">
        <w:rPr>
          <w:rFonts w:cstheme="minorHAnsi"/>
          <w:lang w:val="en-IE"/>
        </w:rPr>
        <w:t>omm</w:t>
      </w:r>
      <w:r w:rsidR="00DF258F">
        <w:rPr>
          <w:rFonts w:cstheme="minorHAnsi"/>
          <w:lang w:val="en-IE"/>
        </w:rPr>
        <w:t>unication</w:t>
      </w:r>
      <w:r w:rsidR="003651DE" w:rsidRPr="003651DE">
        <w:rPr>
          <w:rFonts w:cstheme="minorHAnsi"/>
          <w:lang w:val="en-IE"/>
        </w:rPr>
        <w:t>s market</w:t>
      </w:r>
      <w:r>
        <w:rPr>
          <w:rFonts w:cstheme="minorHAnsi"/>
          <w:lang w:val="en-IE"/>
        </w:rPr>
        <w:t>. M</w:t>
      </w:r>
      <w:r w:rsidR="003651DE" w:rsidRPr="003651DE">
        <w:rPr>
          <w:rFonts w:cstheme="minorHAnsi"/>
          <w:lang w:val="en-IE"/>
        </w:rPr>
        <w:t xml:space="preserve">any of the recommendations and forthcoming work identified are vital to support </w:t>
      </w:r>
      <w:r w:rsidR="00DF258F">
        <w:rPr>
          <w:rFonts w:cstheme="minorHAnsi"/>
          <w:lang w:val="en-IE"/>
        </w:rPr>
        <w:t xml:space="preserve">a competitive market and a </w:t>
      </w:r>
      <w:r w:rsidR="003651DE" w:rsidRPr="003651DE">
        <w:rPr>
          <w:rFonts w:cstheme="minorHAnsi"/>
          <w:lang w:val="en-IE"/>
        </w:rPr>
        <w:t>positive consumer experience.</w:t>
      </w:r>
    </w:p>
    <w:p w:rsidR="003651DE" w:rsidRPr="003651DE" w:rsidRDefault="00621342" w:rsidP="001732B3">
      <w:pPr>
        <w:spacing w:before="240" w:after="0"/>
        <w:rPr>
          <w:rFonts w:cstheme="minorHAnsi"/>
          <w:lang w:val="en-IE"/>
        </w:rPr>
      </w:pPr>
      <w:r>
        <w:rPr>
          <w:rFonts w:cstheme="minorHAnsi"/>
          <w:lang w:val="en-IE"/>
        </w:rPr>
        <w:t>ACCAN</w:t>
      </w:r>
      <w:r w:rsidR="003651DE" w:rsidRPr="003651DE">
        <w:rPr>
          <w:rFonts w:cstheme="minorHAnsi"/>
          <w:lang w:val="en-IE"/>
        </w:rPr>
        <w:t xml:space="preserve"> welcome</w:t>
      </w:r>
      <w:r>
        <w:rPr>
          <w:rFonts w:cstheme="minorHAnsi"/>
          <w:lang w:val="en-IE"/>
        </w:rPr>
        <w:t>s</w:t>
      </w:r>
      <w:r w:rsidR="003651DE" w:rsidRPr="003651DE">
        <w:rPr>
          <w:rFonts w:cstheme="minorHAnsi"/>
          <w:lang w:val="en-IE"/>
        </w:rPr>
        <w:t xml:space="preserve"> all the proposed </w:t>
      </w:r>
      <w:r w:rsidR="008550D8" w:rsidRPr="003651DE">
        <w:rPr>
          <w:rFonts w:cstheme="minorHAnsi"/>
          <w:lang w:val="en-IE"/>
        </w:rPr>
        <w:t>actions;</w:t>
      </w:r>
      <w:r w:rsidR="003651DE" w:rsidRPr="003651DE">
        <w:rPr>
          <w:rFonts w:cstheme="minorHAnsi"/>
          <w:lang w:val="en-IE"/>
        </w:rPr>
        <w:t xml:space="preserve"> in particular we </w:t>
      </w:r>
      <w:r>
        <w:rPr>
          <w:rFonts w:cstheme="minorHAnsi"/>
          <w:lang w:val="en-IE"/>
        </w:rPr>
        <w:t xml:space="preserve">strongly </w:t>
      </w:r>
      <w:r w:rsidR="000B0934">
        <w:rPr>
          <w:rFonts w:cstheme="minorHAnsi"/>
          <w:lang w:val="en-IE"/>
        </w:rPr>
        <w:t>support the</w:t>
      </w:r>
      <w:r w:rsidR="008550D8">
        <w:rPr>
          <w:rFonts w:cstheme="minorHAnsi"/>
          <w:lang w:val="en-IE"/>
        </w:rPr>
        <w:t xml:space="preserve"> following actions which will likely have a direct consumer benefit</w:t>
      </w:r>
      <w:r w:rsidR="003651DE" w:rsidRPr="003651DE">
        <w:rPr>
          <w:rFonts w:cstheme="minorHAnsi"/>
          <w:lang w:val="en-IE"/>
        </w:rPr>
        <w:t>:</w:t>
      </w:r>
    </w:p>
    <w:p w:rsidR="003651DE" w:rsidRDefault="003651DE" w:rsidP="00DC284C">
      <w:pPr>
        <w:numPr>
          <w:ilvl w:val="0"/>
          <w:numId w:val="16"/>
        </w:numPr>
        <w:spacing w:before="240" w:after="0"/>
        <w:rPr>
          <w:rFonts w:cstheme="minorHAnsi"/>
          <w:lang w:val="en-IE"/>
        </w:rPr>
      </w:pPr>
      <w:r w:rsidRPr="00DF258F">
        <w:rPr>
          <w:rFonts w:cstheme="minorHAnsi"/>
          <w:b/>
          <w:lang w:val="en-IE"/>
        </w:rPr>
        <w:t xml:space="preserve">Proposed Action 6: </w:t>
      </w:r>
      <w:r w:rsidR="00DF258F" w:rsidRPr="00DF258F">
        <w:rPr>
          <w:rFonts w:cstheme="minorHAnsi"/>
          <w:b/>
          <w:lang w:val="en-IE"/>
        </w:rPr>
        <w:t>Wholesale Service Standards Inquiry.</w:t>
      </w:r>
      <w:r w:rsidR="00DF258F">
        <w:rPr>
          <w:rFonts w:cstheme="minorHAnsi"/>
          <w:lang w:val="en-IE"/>
        </w:rPr>
        <w:t xml:space="preserve"> </w:t>
      </w:r>
      <w:r w:rsidRPr="003651DE">
        <w:rPr>
          <w:rFonts w:cstheme="minorHAnsi"/>
          <w:lang w:val="en-IE"/>
        </w:rPr>
        <w:t xml:space="preserve">ACCAN does not believe the current </w:t>
      </w:r>
      <w:r w:rsidR="00DF258F">
        <w:rPr>
          <w:rFonts w:cstheme="minorHAnsi"/>
          <w:lang w:val="en-IE"/>
        </w:rPr>
        <w:t xml:space="preserve">service level </w:t>
      </w:r>
      <w:r w:rsidRPr="003651DE">
        <w:rPr>
          <w:rFonts w:cstheme="minorHAnsi"/>
          <w:lang w:val="en-IE"/>
        </w:rPr>
        <w:t>arrangements are supporting consumers</w:t>
      </w:r>
      <w:r w:rsidR="00DF258F">
        <w:rPr>
          <w:rFonts w:cstheme="minorHAnsi"/>
          <w:lang w:val="en-IE"/>
        </w:rPr>
        <w:t xml:space="preserve"> connected over the National Broadband Network (NBN)</w:t>
      </w:r>
      <w:r w:rsidRPr="003651DE">
        <w:rPr>
          <w:rFonts w:cstheme="minorHAnsi"/>
          <w:lang w:val="en-IE"/>
        </w:rPr>
        <w:t>.</w:t>
      </w:r>
      <w:r w:rsidR="00DF258F">
        <w:rPr>
          <w:rFonts w:cstheme="minorHAnsi"/>
          <w:lang w:val="en-IE"/>
        </w:rPr>
        <w:t xml:space="preserve"> We look forward to engaging with the inquiry</w:t>
      </w:r>
      <w:r w:rsidR="001605BF">
        <w:rPr>
          <w:rFonts w:cstheme="minorHAnsi"/>
          <w:lang w:val="en-IE"/>
        </w:rPr>
        <w:t xml:space="preserve"> next year</w:t>
      </w:r>
      <w:r w:rsidR="00DF258F">
        <w:rPr>
          <w:rFonts w:cstheme="minorHAnsi"/>
          <w:lang w:val="en-IE"/>
        </w:rPr>
        <w:t xml:space="preserve"> and hope that it will be a </w:t>
      </w:r>
      <w:r w:rsidR="00621342">
        <w:rPr>
          <w:rFonts w:cstheme="minorHAnsi"/>
          <w:lang w:val="en-IE"/>
        </w:rPr>
        <w:t xml:space="preserve">significant </w:t>
      </w:r>
      <w:r w:rsidR="00DF258F">
        <w:rPr>
          <w:rFonts w:cstheme="minorHAnsi"/>
          <w:lang w:val="en-IE"/>
        </w:rPr>
        <w:t xml:space="preserve">step to delivering transparent standards </w:t>
      </w:r>
      <w:r w:rsidR="00990E24">
        <w:rPr>
          <w:rFonts w:cstheme="minorHAnsi"/>
          <w:lang w:val="en-IE"/>
        </w:rPr>
        <w:t>over all nbn technologies for all consumers</w:t>
      </w:r>
      <w:r w:rsidR="0045615A">
        <w:rPr>
          <w:rFonts w:cstheme="minorHAnsi"/>
          <w:lang w:val="en-IE"/>
        </w:rPr>
        <w:t>.</w:t>
      </w:r>
    </w:p>
    <w:p w:rsidR="00990E24" w:rsidRPr="003651DE" w:rsidRDefault="00990E24" w:rsidP="003651DE">
      <w:pPr>
        <w:numPr>
          <w:ilvl w:val="0"/>
          <w:numId w:val="16"/>
        </w:numPr>
        <w:spacing w:after="0"/>
        <w:rPr>
          <w:rFonts w:cstheme="minorHAnsi"/>
          <w:lang w:val="en-IE"/>
        </w:rPr>
      </w:pPr>
      <w:r>
        <w:rPr>
          <w:rFonts w:cstheme="minorHAnsi"/>
          <w:b/>
          <w:lang w:val="en-IE"/>
        </w:rPr>
        <w:t>Proposed Action 14:</w:t>
      </w:r>
      <w:r>
        <w:rPr>
          <w:rFonts w:cstheme="minorHAnsi"/>
          <w:lang w:val="en-IE"/>
        </w:rPr>
        <w:t xml:space="preserve"> </w:t>
      </w:r>
      <w:r w:rsidRPr="00990E24">
        <w:rPr>
          <w:rFonts w:cstheme="minorHAnsi"/>
          <w:b/>
          <w:lang w:val="en-IE"/>
        </w:rPr>
        <w:t>Review of Comparator Websites</w:t>
      </w:r>
      <w:r>
        <w:rPr>
          <w:rFonts w:cstheme="minorHAnsi"/>
          <w:lang w:val="en-IE"/>
        </w:rPr>
        <w:t xml:space="preserve">. With access to </w:t>
      </w:r>
      <w:r w:rsidR="001605BF">
        <w:rPr>
          <w:rFonts w:cstheme="minorHAnsi"/>
          <w:lang w:val="en-IE"/>
        </w:rPr>
        <w:t xml:space="preserve">a </w:t>
      </w:r>
      <w:r>
        <w:rPr>
          <w:rFonts w:cstheme="minorHAnsi"/>
          <w:lang w:val="en-IE"/>
        </w:rPr>
        <w:t xml:space="preserve">greater number of retail providers being one of the main benefits and changes for consumers, it is important that consumers are aware of the providers that are available and can easily compare their offerings. Comparator websites should aid in this, however, their usefulness may be limited if they only compare providers that pay </w:t>
      </w:r>
      <w:r w:rsidR="009E5A94">
        <w:rPr>
          <w:rFonts w:cstheme="minorHAnsi"/>
          <w:lang w:val="en-IE"/>
        </w:rPr>
        <w:t>to be part of this service or do not show all providers</w:t>
      </w:r>
      <w:r w:rsidR="00E1423F">
        <w:rPr>
          <w:rFonts w:cstheme="minorHAnsi"/>
          <w:lang w:val="en-IE"/>
        </w:rPr>
        <w:t xml:space="preserve"> and plans</w:t>
      </w:r>
      <w:r>
        <w:rPr>
          <w:rFonts w:cstheme="minorHAnsi"/>
          <w:lang w:val="en-IE"/>
        </w:rPr>
        <w:t>.</w:t>
      </w:r>
      <w:r w:rsidR="009E5A94">
        <w:rPr>
          <w:rFonts w:cstheme="minorHAnsi"/>
          <w:lang w:val="en-IE"/>
        </w:rPr>
        <w:t xml:space="preserve"> ACCAN hopes the ACCC review will provide confidence that these services are </w:t>
      </w:r>
      <w:r w:rsidR="00E1423F">
        <w:rPr>
          <w:rFonts w:cstheme="minorHAnsi"/>
          <w:lang w:val="en-IE"/>
        </w:rPr>
        <w:t xml:space="preserve">a </w:t>
      </w:r>
      <w:r w:rsidR="009E5A94">
        <w:rPr>
          <w:rFonts w:cstheme="minorHAnsi"/>
          <w:lang w:val="en-IE"/>
        </w:rPr>
        <w:t>benefit for consumers.</w:t>
      </w:r>
    </w:p>
    <w:p w:rsidR="003651DE" w:rsidRDefault="00990E24" w:rsidP="003651DE">
      <w:pPr>
        <w:numPr>
          <w:ilvl w:val="0"/>
          <w:numId w:val="16"/>
        </w:numPr>
        <w:spacing w:after="0"/>
        <w:rPr>
          <w:rFonts w:cstheme="minorHAnsi"/>
          <w:lang w:val="en-IE"/>
        </w:rPr>
      </w:pPr>
      <w:r>
        <w:rPr>
          <w:rFonts w:cstheme="minorHAnsi"/>
          <w:b/>
          <w:lang w:val="en-IE"/>
        </w:rPr>
        <w:t>Proposed Action 16: Review of E</w:t>
      </w:r>
      <w:r w:rsidR="003651DE" w:rsidRPr="00990E24">
        <w:rPr>
          <w:rFonts w:cstheme="minorHAnsi"/>
          <w:b/>
          <w:lang w:val="en-IE"/>
        </w:rPr>
        <w:t xml:space="preserve">mail </w:t>
      </w:r>
      <w:r>
        <w:rPr>
          <w:rFonts w:cstheme="minorHAnsi"/>
          <w:b/>
          <w:lang w:val="en-IE"/>
        </w:rPr>
        <w:t>R</w:t>
      </w:r>
      <w:r w:rsidR="003651DE" w:rsidRPr="00990E24">
        <w:rPr>
          <w:rFonts w:cstheme="minorHAnsi"/>
          <w:b/>
          <w:lang w:val="en-IE"/>
        </w:rPr>
        <w:t xml:space="preserve">etention </w:t>
      </w:r>
      <w:r>
        <w:rPr>
          <w:rFonts w:cstheme="minorHAnsi"/>
          <w:b/>
          <w:lang w:val="en-IE"/>
        </w:rPr>
        <w:t>O</w:t>
      </w:r>
      <w:r w:rsidR="003651DE" w:rsidRPr="00990E24">
        <w:rPr>
          <w:rFonts w:cstheme="minorHAnsi"/>
          <w:b/>
          <w:lang w:val="en-IE"/>
        </w:rPr>
        <w:t>ptions</w:t>
      </w:r>
      <w:r w:rsidR="003651DE" w:rsidRPr="003651DE">
        <w:rPr>
          <w:rFonts w:cstheme="minorHAnsi"/>
          <w:lang w:val="en-IE"/>
        </w:rPr>
        <w:t>. Emails are often a cause for a consumer not to switch providers</w:t>
      </w:r>
      <w:r>
        <w:rPr>
          <w:rFonts w:cstheme="minorHAnsi"/>
          <w:lang w:val="en-IE"/>
        </w:rPr>
        <w:t>. Those that choose to switch providers o</w:t>
      </w:r>
      <w:r w:rsidR="003651DE" w:rsidRPr="003651DE">
        <w:rPr>
          <w:rFonts w:cstheme="minorHAnsi"/>
          <w:lang w:val="en-IE"/>
        </w:rPr>
        <w:t>ften spend large amounts to keep the</w:t>
      </w:r>
      <w:r>
        <w:rPr>
          <w:rFonts w:cstheme="minorHAnsi"/>
          <w:lang w:val="en-IE"/>
        </w:rPr>
        <w:t>ir</w:t>
      </w:r>
      <w:r w:rsidR="003651DE" w:rsidRPr="003651DE">
        <w:rPr>
          <w:rFonts w:cstheme="minorHAnsi"/>
          <w:lang w:val="en-IE"/>
        </w:rPr>
        <w:t xml:space="preserve"> email </w:t>
      </w:r>
      <w:r>
        <w:rPr>
          <w:rFonts w:cstheme="minorHAnsi"/>
          <w:lang w:val="en-IE"/>
        </w:rPr>
        <w:t>service with the previous service provider</w:t>
      </w:r>
      <w:r w:rsidR="003651DE" w:rsidRPr="003651DE">
        <w:rPr>
          <w:rFonts w:cstheme="minorHAnsi"/>
          <w:lang w:val="en-IE"/>
        </w:rPr>
        <w:t>. ACCAN welcomes the</w:t>
      </w:r>
      <w:r>
        <w:rPr>
          <w:rFonts w:cstheme="minorHAnsi"/>
          <w:lang w:val="en-IE"/>
        </w:rPr>
        <w:t xml:space="preserve"> ACCCs examination of the associated charges and potential mechanisms </w:t>
      </w:r>
      <w:r w:rsidR="00C73E10">
        <w:rPr>
          <w:rFonts w:cstheme="minorHAnsi"/>
          <w:lang w:val="en-IE"/>
        </w:rPr>
        <w:t xml:space="preserve">for individuals </w:t>
      </w:r>
      <w:r>
        <w:rPr>
          <w:rFonts w:cstheme="minorHAnsi"/>
          <w:lang w:val="en-IE"/>
        </w:rPr>
        <w:t xml:space="preserve">to </w:t>
      </w:r>
      <w:r w:rsidR="000B0934">
        <w:rPr>
          <w:rFonts w:cstheme="minorHAnsi"/>
          <w:lang w:val="en-IE"/>
        </w:rPr>
        <w:t>port an</w:t>
      </w:r>
      <w:r w:rsidR="00C73E10">
        <w:rPr>
          <w:rFonts w:cstheme="minorHAnsi"/>
          <w:lang w:val="en-IE"/>
        </w:rPr>
        <w:t xml:space="preserve"> </w:t>
      </w:r>
      <w:r>
        <w:rPr>
          <w:rFonts w:cstheme="minorHAnsi"/>
          <w:lang w:val="en-IE"/>
        </w:rPr>
        <w:t>email service to other providers, as currently can happen with phone numbers</w:t>
      </w:r>
      <w:r w:rsidR="003651DE" w:rsidRPr="003651DE">
        <w:rPr>
          <w:rFonts w:cstheme="minorHAnsi"/>
          <w:lang w:val="en-IE"/>
        </w:rPr>
        <w:t>.</w:t>
      </w:r>
    </w:p>
    <w:p w:rsidR="00C51A6F" w:rsidRPr="00C51A6F" w:rsidRDefault="009D4510" w:rsidP="00C51A6F">
      <w:pPr>
        <w:pStyle w:val="ListParagraph"/>
        <w:numPr>
          <w:ilvl w:val="0"/>
          <w:numId w:val="16"/>
        </w:numPr>
        <w:spacing w:after="0"/>
        <w:rPr>
          <w:rFonts w:cstheme="minorHAnsi"/>
          <w:lang w:val="en-IE"/>
        </w:rPr>
      </w:pPr>
      <w:r w:rsidRPr="00C51A6F">
        <w:rPr>
          <w:rFonts w:cstheme="minorHAnsi"/>
          <w:b/>
          <w:lang w:val="en-IE"/>
        </w:rPr>
        <w:t>Proposed Action 19: To improve information provision to consumers, particularly complaints data</w:t>
      </w:r>
      <w:r w:rsidRPr="00C51A6F">
        <w:rPr>
          <w:rFonts w:cstheme="minorHAnsi"/>
          <w:lang w:val="en-IE"/>
        </w:rPr>
        <w:t xml:space="preserve">. </w:t>
      </w:r>
      <w:r w:rsidR="00626530" w:rsidRPr="00C51A6F">
        <w:rPr>
          <w:rFonts w:cstheme="minorHAnsi"/>
          <w:lang w:val="en-IE"/>
        </w:rPr>
        <w:t xml:space="preserve">ACCAN agrees that </w:t>
      </w:r>
      <w:r w:rsidR="00C51A6F">
        <w:rPr>
          <w:rFonts w:cstheme="minorHAnsi"/>
          <w:lang w:val="en-IE"/>
        </w:rPr>
        <w:t>there is a need for improved</w:t>
      </w:r>
      <w:r w:rsidR="001A2551">
        <w:rPr>
          <w:rFonts w:cstheme="minorHAnsi"/>
          <w:lang w:val="en-IE"/>
        </w:rPr>
        <w:t xml:space="preserve"> consumer information, particularly for</w:t>
      </w:r>
      <w:r w:rsidR="00C51A6F">
        <w:rPr>
          <w:rFonts w:cstheme="minorHAnsi"/>
          <w:lang w:val="en-IE"/>
        </w:rPr>
        <w:t xml:space="preserve"> complaints metrics</w:t>
      </w:r>
      <w:r w:rsidR="00626530" w:rsidRPr="00C51A6F">
        <w:rPr>
          <w:rFonts w:cstheme="minorHAnsi"/>
          <w:lang w:val="en-IE"/>
        </w:rPr>
        <w:t>. Current</w:t>
      </w:r>
      <w:r w:rsidR="00DE4BF9" w:rsidRPr="00C51A6F">
        <w:rPr>
          <w:rFonts w:cstheme="minorHAnsi"/>
          <w:lang w:val="en-IE"/>
        </w:rPr>
        <w:t xml:space="preserve"> published complaints data </w:t>
      </w:r>
      <w:r w:rsidR="00626530" w:rsidRPr="00C51A6F">
        <w:rPr>
          <w:rFonts w:cstheme="minorHAnsi"/>
          <w:lang w:val="en-IE"/>
        </w:rPr>
        <w:t xml:space="preserve">consists of </w:t>
      </w:r>
      <w:r w:rsidR="00C51A6F">
        <w:rPr>
          <w:rFonts w:cstheme="minorHAnsi"/>
          <w:lang w:val="en-IE"/>
        </w:rPr>
        <w:t xml:space="preserve">6 monthly reports of </w:t>
      </w:r>
      <w:r w:rsidR="00626530" w:rsidRPr="00C51A6F">
        <w:rPr>
          <w:rFonts w:cstheme="minorHAnsi"/>
          <w:lang w:val="en-IE"/>
        </w:rPr>
        <w:t xml:space="preserve">new </w:t>
      </w:r>
      <w:r w:rsidR="00DE4BF9" w:rsidRPr="00C51A6F">
        <w:rPr>
          <w:rFonts w:cstheme="minorHAnsi"/>
          <w:lang w:val="en-IE"/>
        </w:rPr>
        <w:t>TIO compla</w:t>
      </w:r>
      <w:r w:rsidR="00C51A6F">
        <w:rPr>
          <w:rFonts w:cstheme="minorHAnsi"/>
          <w:lang w:val="en-IE"/>
        </w:rPr>
        <w:t xml:space="preserve">ints. </w:t>
      </w:r>
      <w:r w:rsidR="00DE4BF9" w:rsidRPr="00C51A6F">
        <w:rPr>
          <w:rFonts w:cstheme="minorHAnsi"/>
          <w:lang w:val="en-IE"/>
        </w:rPr>
        <w:t xml:space="preserve">In addition, Communications Alliance publishes quarterly </w:t>
      </w:r>
      <w:r w:rsidR="00DE4BF9" w:rsidRPr="006E6FFD">
        <w:rPr>
          <w:rFonts w:cstheme="minorHAnsi"/>
          <w:i/>
          <w:lang w:val="en-IE"/>
        </w:rPr>
        <w:t>Complaints In Context</w:t>
      </w:r>
      <w:r w:rsidR="00E90B9F">
        <w:rPr>
          <w:rFonts w:cstheme="minorHAnsi"/>
          <w:lang w:val="en-IE"/>
        </w:rPr>
        <w:t>,</w:t>
      </w:r>
      <w:r w:rsidR="00DE4BF9">
        <w:rPr>
          <w:rStyle w:val="FootnoteReference"/>
          <w:rFonts w:cstheme="minorHAnsi"/>
          <w:lang w:val="en-IE"/>
        </w:rPr>
        <w:footnoteReference w:id="1"/>
      </w:r>
      <w:r w:rsidR="00DE4BF9" w:rsidRPr="00C51A6F">
        <w:rPr>
          <w:rFonts w:cstheme="minorHAnsi"/>
          <w:lang w:val="en-IE"/>
        </w:rPr>
        <w:t xml:space="preserve"> showing TIO new complaints per 10,000 services in operation</w:t>
      </w:r>
      <w:r w:rsidR="00626530" w:rsidRPr="00C51A6F">
        <w:rPr>
          <w:rFonts w:cstheme="minorHAnsi"/>
          <w:lang w:val="en-IE"/>
        </w:rPr>
        <w:t xml:space="preserve"> for 5 RSPs</w:t>
      </w:r>
      <w:r w:rsidR="00DE4BF9" w:rsidRPr="00C51A6F">
        <w:rPr>
          <w:rFonts w:cstheme="minorHAnsi"/>
          <w:lang w:val="en-IE"/>
        </w:rPr>
        <w:t xml:space="preserve">. </w:t>
      </w:r>
      <w:r w:rsidR="0070040E" w:rsidRPr="00C51A6F">
        <w:rPr>
          <w:rFonts w:cstheme="minorHAnsi"/>
          <w:lang w:val="en-IE"/>
        </w:rPr>
        <w:t>Both have limitations</w:t>
      </w:r>
      <w:r w:rsidR="00C51A6F">
        <w:rPr>
          <w:rFonts w:cstheme="minorHAnsi"/>
          <w:lang w:val="en-IE"/>
        </w:rPr>
        <w:t xml:space="preserve"> because </w:t>
      </w:r>
      <w:r w:rsidR="00416099" w:rsidRPr="00C51A6F">
        <w:rPr>
          <w:rFonts w:cstheme="minorHAnsi"/>
          <w:lang w:val="en-IE"/>
        </w:rPr>
        <w:t>TIO data only reflects escalated complaints</w:t>
      </w:r>
      <w:r w:rsidR="005062D5" w:rsidRPr="00C51A6F">
        <w:rPr>
          <w:rFonts w:cstheme="minorHAnsi"/>
          <w:lang w:val="en-IE"/>
        </w:rPr>
        <w:t>, not all complaints</w:t>
      </w:r>
      <w:r w:rsidR="0070040E" w:rsidRPr="00C51A6F">
        <w:rPr>
          <w:rFonts w:cstheme="minorHAnsi"/>
          <w:lang w:val="en-IE"/>
        </w:rPr>
        <w:t>; ACCAN research in 2015 found that only 9% of people who were dissatisfied with how their RSP had dealt with their complaint</w:t>
      </w:r>
      <w:r w:rsidR="005062D5" w:rsidRPr="00C51A6F">
        <w:rPr>
          <w:rFonts w:cstheme="minorHAnsi"/>
          <w:lang w:val="en-IE"/>
        </w:rPr>
        <w:t xml:space="preserve"> raised it with the TIO</w:t>
      </w:r>
      <w:r w:rsidR="00E90B9F">
        <w:rPr>
          <w:rFonts w:cstheme="minorHAnsi"/>
          <w:lang w:val="en-IE"/>
        </w:rPr>
        <w:t>.</w:t>
      </w:r>
      <w:r w:rsidR="005062D5">
        <w:rPr>
          <w:rStyle w:val="FootnoteReference"/>
          <w:rFonts w:cstheme="minorHAnsi"/>
          <w:lang w:val="en-IE"/>
        </w:rPr>
        <w:footnoteReference w:id="2"/>
      </w:r>
      <w:r w:rsidR="005062D5" w:rsidRPr="00C51A6F">
        <w:rPr>
          <w:rFonts w:cstheme="minorHAnsi"/>
          <w:lang w:val="en-IE"/>
        </w:rPr>
        <w:t xml:space="preserve"> </w:t>
      </w:r>
      <w:r w:rsidR="0070040E" w:rsidRPr="00C51A6F">
        <w:rPr>
          <w:rFonts w:cstheme="minorHAnsi"/>
          <w:lang w:val="en-IE"/>
        </w:rPr>
        <w:t xml:space="preserve"> </w:t>
      </w:r>
      <w:r w:rsidR="00C51A6F">
        <w:rPr>
          <w:rFonts w:cstheme="minorHAnsi"/>
          <w:lang w:val="en-IE"/>
        </w:rPr>
        <w:t xml:space="preserve">In addition, </w:t>
      </w:r>
      <w:r w:rsidR="005062D5" w:rsidRPr="00C51A6F">
        <w:rPr>
          <w:rFonts w:cstheme="minorHAnsi"/>
          <w:lang w:val="en-IE"/>
        </w:rPr>
        <w:t>C</w:t>
      </w:r>
      <w:r w:rsidR="00416099" w:rsidRPr="00C51A6F">
        <w:rPr>
          <w:rFonts w:cstheme="minorHAnsi"/>
          <w:lang w:val="en-IE"/>
        </w:rPr>
        <w:t>ommunications Alliance’s Comp</w:t>
      </w:r>
      <w:r w:rsidR="0070040E" w:rsidRPr="00C51A6F">
        <w:rPr>
          <w:rFonts w:cstheme="minorHAnsi"/>
          <w:lang w:val="en-IE"/>
        </w:rPr>
        <w:t>laints in Context</w:t>
      </w:r>
      <w:r w:rsidR="005062D5" w:rsidRPr="00C51A6F">
        <w:rPr>
          <w:rFonts w:cstheme="minorHAnsi"/>
          <w:lang w:val="en-IE"/>
        </w:rPr>
        <w:t xml:space="preserve"> is </w:t>
      </w:r>
      <w:r w:rsidR="0070040E" w:rsidRPr="00C51A6F">
        <w:rPr>
          <w:rFonts w:cstheme="minorHAnsi"/>
          <w:lang w:val="en-IE"/>
        </w:rPr>
        <w:t>voluntary</w:t>
      </w:r>
      <w:r w:rsidR="005062D5" w:rsidRPr="00C51A6F">
        <w:rPr>
          <w:rFonts w:cstheme="minorHAnsi"/>
          <w:lang w:val="en-IE"/>
        </w:rPr>
        <w:t xml:space="preserve"> so </w:t>
      </w:r>
      <w:r w:rsidR="00C51A6F">
        <w:rPr>
          <w:rFonts w:cstheme="minorHAnsi"/>
          <w:lang w:val="en-IE"/>
        </w:rPr>
        <w:t>does not represent a comprehensive picture of the market. P</w:t>
      </w:r>
      <w:r w:rsidR="00626530" w:rsidRPr="00C51A6F">
        <w:rPr>
          <w:rFonts w:cstheme="minorHAnsi"/>
          <w:lang w:val="en-IE"/>
        </w:rPr>
        <w:t>ublished metrics about complaints received by RSPs</w:t>
      </w:r>
      <w:r w:rsidR="00C51A6F">
        <w:rPr>
          <w:rFonts w:cstheme="minorHAnsi"/>
          <w:lang w:val="en-IE"/>
        </w:rPr>
        <w:t xml:space="preserve"> could</w:t>
      </w:r>
      <w:r w:rsidR="005062D5" w:rsidRPr="00C51A6F">
        <w:rPr>
          <w:rFonts w:cstheme="minorHAnsi"/>
          <w:lang w:val="en-IE"/>
        </w:rPr>
        <w:t xml:space="preserve"> </w:t>
      </w:r>
      <w:r w:rsidR="00626530" w:rsidRPr="00C51A6F">
        <w:rPr>
          <w:rFonts w:cstheme="minorHAnsi"/>
          <w:lang w:val="en-IE"/>
        </w:rPr>
        <w:t>drive better complaints handling performance across the industry</w:t>
      </w:r>
      <w:r w:rsidR="00AE4972" w:rsidRPr="00C51A6F">
        <w:rPr>
          <w:rFonts w:cstheme="minorHAnsi"/>
          <w:lang w:val="en-IE"/>
        </w:rPr>
        <w:t xml:space="preserve">. </w:t>
      </w:r>
      <w:r w:rsidR="00C51A6F">
        <w:rPr>
          <w:rFonts w:cstheme="minorHAnsi"/>
          <w:lang w:val="en-IE"/>
        </w:rPr>
        <w:t xml:space="preserve">On currently </w:t>
      </w:r>
      <w:r w:rsidR="00C51A6F">
        <w:rPr>
          <w:rFonts w:cstheme="minorHAnsi"/>
          <w:lang w:val="en-IE"/>
        </w:rPr>
        <w:lastRenderedPageBreak/>
        <w:t xml:space="preserve">available information, </w:t>
      </w:r>
      <w:r w:rsidR="00416099" w:rsidRPr="00C51A6F">
        <w:rPr>
          <w:rFonts w:cstheme="minorHAnsi"/>
          <w:lang w:val="en-IE"/>
        </w:rPr>
        <w:t xml:space="preserve">consumers are unable to adequately evaluate complaints handling performance by provider. </w:t>
      </w:r>
      <w:r w:rsidR="005062D5" w:rsidRPr="00C51A6F">
        <w:rPr>
          <w:rFonts w:cstheme="minorHAnsi"/>
          <w:lang w:val="en-IE"/>
        </w:rPr>
        <w:t>Given the recent 41% increase in TIO complaints,</w:t>
      </w:r>
      <w:r w:rsidR="00E90B9F">
        <w:rPr>
          <w:rStyle w:val="FootnoteReference"/>
          <w:rFonts w:cstheme="minorHAnsi"/>
          <w:lang w:val="en-IE"/>
        </w:rPr>
        <w:footnoteReference w:id="3"/>
      </w:r>
      <w:r w:rsidR="005062D5" w:rsidRPr="00C51A6F">
        <w:rPr>
          <w:rFonts w:cstheme="minorHAnsi"/>
          <w:lang w:val="en-IE"/>
        </w:rPr>
        <w:t xml:space="preserve"> </w:t>
      </w:r>
      <w:r w:rsidR="009F71E0" w:rsidRPr="00C51A6F">
        <w:rPr>
          <w:rFonts w:cstheme="minorHAnsi"/>
          <w:lang w:val="en-IE"/>
        </w:rPr>
        <w:t xml:space="preserve">publication of </w:t>
      </w:r>
      <w:r w:rsidR="005062D5" w:rsidRPr="00C51A6F">
        <w:rPr>
          <w:rFonts w:cstheme="minorHAnsi"/>
          <w:lang w:val="en-IE"/>
        </w:rPr>
        <w:t>m</w:t>
      </w:r>
      <w:r w:rsidR="009F71E0" w:rsidRPr="00C51A6F">
        <w:rPr>
          <w:rFonts w:cstheme="minorHAnsi"/>
          <w:lang w:val="en-IE"/>
        </w:rPr>
        <w:t>etrics</w:t>
      </w:r>
      <w:r w:rsidR="00AE4972" w:rsidRPr="00C51A6F">
        <w:rPr>
          <w:rFonts w:cstheme="minorHAnsi"/>
          <w:lang w:val="en-IE"/>
        </w:rPr>
        <w:t xml:space="preserve"> such as those proposed in the ACMA’s </w:t>
      </w:r>
      <w:r w:rsidR="00AE4972" w:rsidRPr="006E6FFD">
        <w:rPr>
          <w:rFonts w:cstheme="minorHAnsi"/>
          <w:i/>
          <w:lang w:val="en-IE"/>
        </w:rPr>
        <w:t>Reconnecting the Customer</w:t>
      </w:r>
      <w:r w:rsidR="006E6FFD">
        <w:rPr>
          <w:rFonts w:cstheme="minorHAnsi"/>
          <w:lang w:val="en-IE"/>
        </w:rPr>
        <w:t xml:space="preserve"> r</w:t>
      </w:r>
      <w:r w:rsidR="00AE4972" w:rsidRPr="00C51A6F">
        <w:rPr>
          <w:rFonts w:cstheme="minorHAnsi"/>
          <w:lang w:val="en-IE"/>
        </w:rPr>
        <w:t>eport</w:t>
      </w:r>
      <w:r w:rsidR="00416099" w:rsidRPr="00C51A6F">
        <w:rPr>
          <w:rFonts w:cstheme="minorHAnsi"/>
          <w:lang w:val="en-IE"/>
        </w:rPr>
        <w:t xml:space="preserve"> in 2011 need to be reconsidered</w:t>
      </w:r>
      <w:r w:rsidR="00E90B9F">
        <w:rPr>
          <w:rFonts w:cstheme="minorHAnsi"/>
          <w:lang w:val="en-IE"/>
        </w:rPr>
        <w:t>.</w:t>
      </w:r>
      <w:r w:rsidR="00E90B9F">
        <w:rPr>
          <w:rStyle w:val="FootnoteReference"/>
          <w:rFonts w:cstheme="minorHAnsi"/>
          <w:lang w:val="en-IE"/>
        </w:rPr>
        <w:footnoteReference w:id="4"/>
      </w:r>
      <w:r w:rsidR="009F71E0" w:rsidRPr="00C51A6F">
        <w:rPr>
          <w:rFonts w:cstheme="minorHAnsi"/>
          <w:lang w:val="en-IE"/>
        </w:rPr>
        <w:t xml:space="preserve"> </w:t>
      </w:r>
      <w:r w:rsidR="00E90B9F">
        <w:rPr>
          <w:rFonts w:cstheme="minorHAnsi"/>
          <w:lang w:val="en-IE"/>
        </w:rPr>
        <w:t xml:space="preserve">In particular </w:t>
      </w:r>
      <w:r w:rsidR="009F71E0" w:rsidRPr="00C51A6F">
        <w:rPr>
          <w:rFonts w:cstheme="minorHAnsi"/>
          <w:lang w:val="en-IE"/>
        </w:rPr>
        <w:t>the total n</w:t>
      </w:r>
      <w:r w:rsidR="00C51A6F">
        <w:rPr>
          <w:rFonts w:cstheme="minorHAnsi"/>
          <w:lang w:val="en-IE"/>
        </w:rPr>
        <w:t xml:space="preserve">umber of complaints </w:t>
      </w:r>
      <w:r w:rsidR="00904803">
        <w:rPr>
          <w:rFonts w:cstheme="minorHAnsi"/>
          <w:lang w:val="en-IE"/>
        </w:rPr>
        <w:t xml:space="preserve">and customer numbers </w:t>
      </w:r>
      <w:r w:rsidR="00C51A6F">
        <w:rPr>
          <w:rFonts w:cstheme="minorHAnsi"/>
          <w:lang w:val="en-IE"/>
        </w:rPr>
        <w:t>by provider</w:t>
      </w:r>
      <w:r w:rsidR="00904803">
        <w:rPr>
          <w:rFonts w:cstheme="minorHAnsi"/>
          <w:lang w:val="en-IE"/>
        </w:rPr>
        <w:t>; the</w:t>
      </w:r>
      <w:r w:rsidR="00C51A6F" w:rsidRPr="00C51A6F">
        <w:rPr>
          <w:rFonts w:cstheme="minorHAnsi"/>
          <w:lang w:val="en-IE"/>
        </w:rPr>
        <w:t xml:space="preserve"> number of complaints resolved </w:t>
      </w:r>
      <w:r w:rsidR="00904803">
        <w:rPr>
          <w:rFonts w:cstheme="minorHAnsi"/>
          <w:lang w:val="en-IE"/>
        </w:rPr>
        <w:t xml:space="preserve">at </w:t>
      </w:r>
      <w:r w:rsidR="00C51A6F" w:rsidRPr="00C51A6F">
        <w:rPr>
          <w:rFonts w:cstheme="minorHAnsi"/>
          <w:lang w:val="en-IE"/>
        </w:rPr>
        <w:t>first contact</w:t>
      </w:r>
      <w:r w:rsidR="00904803">
        <w:rPr>
          <w:rFonts w:cstheme="minorHAnsi"/>
          <w:lang w:val="en-IE"/>
        </w:rPr>
        <w:t xml:space="preserve">; the </w:t>
      </w:r>
      <w:r w:rsidR="00C51A6F" w:rsidRPr="00C51A6F">
        <w:rPr>
          <w:rFonts w:cstheme="minorHAnsi"/>
          <w:lang w:val="en-IE"/>
        </w:rPr>
        <w:t xml:space="preserve">number of complaints </w:t>
      </w:r>
      <w:r w:rsidR="00904803">
        <w:rPr>
          <w:rFonts w:cstheme="minorHAnsi"/>
          <w:lang w:val="en-IE"/>
        </w:rPr>
        <w:t>lodged with the TIO by provider</w:t>
      </w:r>
      <w:r w:rsidR="00C51A6F">
        <w:rPr>
          <w:rFonts w:cstheme="minorHAnsi"/>
          <w:lang w:val="en-IE"/>
        </w:rPr>
        <w:t xml:space="preserve">; </w:t>
      </w:r>
      <w:r w:rsidR="00904803">
        <w:rPr>
          <w:rFonts w:cstheme="minorHAnsi"/>
          <w:lang w:val="en-IE"/>
        </w:rPr>
        <w:t xml:space="preserve">and the </w:t>
      </w:r>
      <w:r w:rsidR="00C51A6F" w:rsidRPr="00C51A6F">
        <w:rPr>
          <w:rFonts w:cstheme="minorHAnsi"/>
          <w:lang w:val="en-IE"/>
        </w:rPr>
        <w:t>average length of time to resolve complaints</w:t>
      </w:r>
      <w:r w:rsidR="00E90B9F">
        <w:rPr>
          <w:rFonts w:cstheme="minorHAnsi"/>
          <w:lang w:val="en-IE"/>
        </w:rPr>
        <w:t>.</w:t>
      </w:r>
      <w:r w:rsidR="00904803">
        <w:rPr>
          <w:rStyle w:val="FootnoteReference"/>
          <w:rFonts w:cstheme="minorHAnsi"/>
          <w:lang w:val="en-IE"/>
        </w:rPr>
        <w:footnoteReference w:id="5"/>
      </w:r>
    </w:p>
    <w:p w:rsidR="00990E24" w:rsidRPr="000458B6" w:rsidRDefault="00990E24" w:rsidP="003651DE">
      <w:pPr>
        <w:pStyle w:val="ListParagraph"/>
        <w:numPr>
          <w:ilvl w:val="0"/>
          <w:numId w:val="16"/>
        </w:numPr>
        <w:spacing w:after="0"/>
        <w:rPr>
          <w:rFonts w:cstheme="minorHAnsi"/>
          <w:lang w:val="en-IE"/>
        </w:rPr>
      </w:pPr>
      <w:r w:rsidRPr="000458B6">
        <w:rPr>
          <w:rFonts w:cstheme="minorHAnsi"/>
          <w:b/>
          <w:lang w:val="en-IE"/>
        </w:rPr>
        <w:t xml:space="preserve">Proposed Action 20: </w:t>
      </w:r>
      <w:r w:rsidR="000458B6" w:rsidRPr="000458B6">
        <w:rPr>
          <w:rFonts w:cstheme="minorHAnsi"/>
          <w:b/>
          <w:lang w:val="en-IE"/>
        </w:rPr>
        <w:t>Broadband Performance Monitoring and Reporting Program, Broadband Speed Claims guidance and enforcement action.</w:t>
      </w:r>
      <w:r w:rsidR="000458B6" w:rsidRPr="000458B6">
        <w:rPr>
          <w:rFonts w:cstheme="minorHAnsi"/>
          <w:lang w:val="en-IE"/>
        </w:rPr>
        <w:t xml:space="preserve"> </w:t>
      </w:r>
      <w:r w:rsidRPr="000458B6">
        <w:rPr>
          <w:rFonts w:cstheme="minorHAnsi"/>
          <w:lang w:val="en-IE"/>
        </w:rPr>
        <w:t>The first results from the broadband performance monitoring and review program next year should provide consumers with a clear</w:t>
      </w:r>
      <w:r w:rsidR="001605BF">
        <w:rPr>
          <w:rFonts w:cstheme="minorHAnsi"/>
          <w:lang w:val="en-IE"/>
        </w:rPr>
        <w:t>er</w:t>
      </w:r>
      <w:r w:rsidRPr="000458B6">
        <w:rPr>
          <w:rFonts w:cstheme="minorHAnsi"/>
          <w:lang w:val="en-IE"/>
        </w:rPr>
        <w:t xml:space="preserve"> idea of how Retail Providers design their services to offer different levels of speeds</w:t>
      </w:r>
      <w:r w:rsidR="001605BF">
        <w:rPr>
          <w:rFonts w:cstheme="minorHAnsi"/>
          <w:lang w:val="en-IE"/>
        </w:rPr>
        <w:t xml:space="preserve"> during peak hours and help stimulate greater competition for quality services</w:t>
      </w:r>
      <w:r w:rsidRPr="000458B6">
        <w:rPr>
          <w:rFonts w:cstheme="minorHAnsi"/>
          <w:lang w:val="en-IE"/>
        </w:rPr>
        <w:t>.</w:t>
      </w:r>
      <w:r w:rsidR="000458B6" w:rsidRPr="000458B6">
        <w:rPr>
          <w:rFonts w:cstheme="minorHAnsi"/>
          <w:lang w:val="en-IE"/>
        </w:rPr>
        <w:t xml:space="preserve"> </w:t>
      </w:r>
    </w:p>
    <w:p w:rsidR="003651DE" w:rsidRPr="003651DE" w:rsidRDefault="003651DE" w:rsidP="001732B3">
      <w:pPr>
        <w:spacing w:before="240" w:after="0"/>
        <w:rPr>
          <w:rFonts w:cstheme="minorHAnsi"/>
          <w:lang w:val="en-IE"/>
        </w:rPr>
      </w:pPr>
      <w:r w:rsidRPr="003651DE">
        <w:rPr>
          <w:rFonts w:cstheme="minorHAnsi"/>
          <w:lang w:val="en-IE"/>
        </w:rPr>
        <w:t>ACCAN would like to make a number of comments in relation to the following topics.</w:t>
      </w:r>
    </w:p>
    <w:p w:rsidR="003651DE" w:rsidRDefault="003651DE" w:rsidP="00866792">
      <w:pPr>
        <w:pStyle w:val="Heading1"/>
        <w:rPr>
          <w:lang w:val="en-IE"/>
        </w:rPr>
      </w:pPr>
      <w:r w:rsidRPr="003651DE">
        <w:rPr>
          <w:lang w:val="en-IE"/>
        </w:rPr>
        <w:t xml:space="preserve">Information </w:t>
      </w:r>
      <w:r w:rsidR="006136F0">
        <w:rPr>
          <w:lang w:val="en-IE"/>
        </w:rPr>
        <w:t>and product g</w:t>
      </w:r>
      <w:r w:rsidRPr="003651DE">
        <w:rPr>
          <w:lang w:val="en-IE"/>
        </w:rPr>
        <w:t>aps</w:t>
      </w:r>
    </w:p>
    <w:p w:rsidR="006136F0" w:rsidRPr="006136F0" w:rsidRDefault="006136F0" w:rsidP="006136F0">
      <w:pPr>
        <w:rPr>
          <w:lang w:val="en-IE"/>
        </w:rPr>
      </w:pPr>
      <w:r>
        <w:rPr>
          <w:lang w:val="en-IE"/>
        </w:rPr>
        <w:t xml:space="preserve">ACCAN supports a number of comments made in the report in relation to information and product gaps. ACCAN </w:t>
      </w:r>
      <w:r w:rsidR="00A72F22">
        <w:rPr>
          <w:lang w:val="en-IE"/>
        </w:rPr>
        <w:t xml:space="preserve">beliefs </w:t>
      </w:r>
      <w:r>
        <w:rPr>
          <w:lang w:val="en-IE"/>
        </w:rPr>
        <w:t xml:space="preserve">that </w:t>
      </w:r>
      <w:r w:rsidR="00EF3FDB">
        <w:rPr>
          <w:lang w:val="en-IE"/>
        </w:rPr>
        <w:t>there are</w:t>
      </w:r>
      <w:r w:rsidR="001605BF">
        <w:rPr>
          <w:lang w:val="en-IE"/>
        </w:rPr>
        <w:t xml:space="preserve"> information </w:t>
      </w:r>
      <w:r w:rsidR="00EF3FDB">
        <w:rPr>
          <w:lang w:val="en-IE"/>
        </w:rPr>
        <w:t xml:space="preserve">gaps that needs to be </w:t>
      </w:r>
      <w:r w:rsidR="001605BF">
        <w:rPr>
          <w:lang w:val="en-IE"/>
        </w:rPr>
        <w:t>addressed</w:t>
      </w:r>
      <w:r w:rsidR="00EF3FDB">
        <w:rPr>
          <w:lang w:val="en-IE"/>
        </w:rPr>
        <w:t xml:space="preserve">. As many of these will not be addressed by commercial comparison websites or by one body alone, ACCAN believes that </w:t>
      </w:r>
      <w:r>
        <w:rPr>
          <w:lang w:val="en-IE"/>
        </w:rPr>
        <w:t xml:space="preserve">more </w:t>
      </w:r>
      <w:r w:rsidR="00EF3FDB">
        <w:rPr>
          <w:lang w:val="en-IE"/>
        </w:rPr>
        <w:t xml:space="preserve">is needed </w:t>
      </w:r>
      <w:r>
        <w:rPr>
          <w:lang w:val="en-IE"/>
        </w:rPr>
        <w:t>to support consumers with information and products that suit their needs better.</w:t>
      </w:r>
    </w:p>
    <w:p w:rsidR="003651DE" w:rsidRPr="003651DE" w:rsidRDefault="003651DE" w:rsidP="00866792">
      <w:pPr>
        <w:pStyle w:val="Heading2"/>
        <w:rPr>
          <w:lang w:val="en-IE"/>
        </w:rPr>
      </w:pPr>
      <w:r w:rsidRPr="00866792">
        <w:t>Voice</w:t>
      </w:r>
      <w:r w:rsidRPr="003651DE">
        <w:rPr>
          <w:lang w:val="en-IE"/>
        </w:rPr>
        <w:t xml:space="preserve"> </w:t>
      </w:r>
      <w:r w:rsidRPr="00866792">
        <w:t>only</w:t>
      </w:r>
    </w:p>
    <w:p w:rsidR="003651DE" w:rsidRPr="003651DE" w:rsidRDefault="003651DE" w:rsidP="003651DE">
      <w:pPr>
        <w:spacing w:after="0"/>
        <w:rPr>
          <w:rFonts w:cstheme="minorHAnsi"/>
          <w:lang w:val="en-IE"/>
        </w:rPr>
      </w:pPr>
      <w:r w:rsidRPr="003651DE">
        <w:rPr>
          <w:rFonts w:cstheme="minorHAnsi"/>
          <w:lang w:val="en-IE"/>
        </w:rPr>
        <w:t>ACCAN agrees with ACCC's report that for t</w:t>
      </w:r>
      <w:bookmarkStart w:id="0" w:name="_GoBack"/>
      <w:bookmarkEnd w:id="0"/>
      <w:r w:rsidRPr="003651DE">
        <w:rPr>
          <w:rFonts w:cstheme="minorHAnsi"/>
          <w:lang w:val="en-IE"/>
        </w:rPr>
        <w:t>he 18% of voice only households that there are limited options</w:t>
      </w:r>
      <w:r w:rsidR="000B0934">
        <w:rPr>
          <w:rFonts w:cstheme="minorHAnsi"/>
          <w:lang w:val="en-IE"/>
        </w:rPr>
        <w:t>.</w:t>
      </w:r>
      <w:r w:rsidR="000B0934">
        <w:rPr>
          <w:rStyle w:val="FootnoteReference"/>
          <w:rFonts w:cstheme="minorHAnsi"/>
          <w:lang w:val="en-IE"/>
        </w:rPr>
        <w:footnoteReference w:id="6"/>
      </w:r>
      <w:r w:rsidR="000B0934">
        <w:rPr>
          <w:rFonts w:cstheme="minorHAnsi"/>
          <w:lang w:val="en-IE"/>
        </w:rPr>
        <w:t xml:space="preserve"> </w:t>
      </w:r>
      <w:r w:rsidR="006136F0">
        <w:rPr>
          <w:rFonts w:cstheme="minorHAnsi"/>
          <w:lang w:val="en-IE"/>
        </w:rPr>
        <w:t>Previous desk research by ACCAN found it difficult to identify voice only nbn products</w:t>
      </w:r>
      <w:r w:rsidR="00EF3FDB">
        <w:rPr>
          <w:rFonts w:cstheme="minorHAnsi"/>
          <w:lang w:val="en-IE"/>
        </w:rPr>
        <w:t xml:space="preserve"> and providers</w:t>
      </w:r>
      <w:r w:rsidR="006136F0">
        <w:rPr>
          <w:rFonts w:cstheme="minorHAnsi"/>
          <w:lang w:val="en-IE"/>
        </w:rPr>
        <w:t>.</w:t>
      </w:r>
      <w:r w:rsidR="000B0934" w:rsidRPr="000B0934">
        <w:rPr>
          <w:rFonts w:cstheme="minorHAnsi"/>
          <w:lang w:val="en-IE"/>
        </w:rPr>
        <w:t xml:space="preserve"> </w:t>
      </w:r>
      <w:r w:rsidR="000B0934">
        <w:rPr>
          <w:rFonts w:cstheme="minorHAnsi"/>
          <w:lang w:val="en-IE"/>
        </w:rPr>
        <w:t>No</w:t>
      </w:r>
      <w:r w:rsidR="000B0934" w:rsidRPr="003651DE">
        <w:rPr>
          <w:rFonts w:cstheme="minorHAnsi"/>
          <w:lang w:val="en-IE"/>
        </w:rPr>
        <w:t xml:space="preserve"> comparison website provides</w:t>
      </w:r>
      <w:r w:rsidR="00EF3FDB">
        <w:rPr>
          <w:rFonts w:cstheme="minorHAnsi"/>
          <w:lang w:val="en-IE"/>
        </w:rPr>
        <w:t xml:space="preserve"> this</w:t>
      </w:r>
      <w:r w:rsidR="000B0934" w:rsidRPr="003651DE">
        <w:rPr>
          <w:rFonts w:cstheme="minorHAnsi"/>
          <w:lang w:val="en-IE"/>
        </w:rPr>
        <w:t xml:space="preserve"> </w:t>
      </w:r>
      <w:r w:rsidR="000B0934">
        <w:rPr>
          <w:rFonts w:cstheme="minorHAnsi"/>
          <w:lang w:val="en-IE"/>
        </w:rPr>
        <w:t xml:space="preserve">information, although the usefulness </w:t>
      </w:r>
      <w:r w:rsidR="00EF3FDB">
        <w:rPr>
          <w:rFonts w:cstheme="minorHAnsi"/>
          <w:lang w:val="en-IE"/>
        </w:rPr>
        <w:t xml:space="preserve">of this </w:t>
      </w:r>
      <w:r w:rsidR="000B0934">
        <w:rPr>
          <w:rFonts w:cstheme="minorHAnsi"/>
          <w:lang w:val="en-IE"/>
        </w:rPr>
        <w:t>may be limited if the</w:t>
      </w:r>
      <w:r w:rsidR="00EF3FDB">
        <w:rPr>
          <w:rFonts w:cstheme="minorHAnsi"/>
          <w:lang w:val="en-IE"/>
        </w:rPr>
        <w:t xml:space="preserve">se consumers </w:t>
      </w:r>
      <w:r w:rsidR="000B0934">
        <w:rPr>
          <w:rFonts w:cstheme="minorHAnsi"/>
          <w:lang w:val="en-IE"/>
        </w:rPr>
        <w:t xml:space="preserve">do not </w:t>
      </w:r>
      <w:r w:rsidR="00EF3FDB">
        <w:rPr>
          <w:rFonts w:cstheme="minorHAnsi"/>
          <w:lang w:val="en-IE"/>
        </w:rPr>
        <w:t>access</w:t>
      </w:r>
      <w:r w:rsidR="000B0934">
        <w:rPr>
          <w:rFonts w:cstheme="minorHAnsi"/>
          <w:lang w:val="en-IE"/>
        </w:rPr>
        <w:t xml:space="preserve"> or use internet</w:t>
      </w:r>
      <w:r w:rsidR="00EF3FDB">
        <w:rPr>
          <w:rFonts w:cstheme="minorHAnsi"/>
          <w:lang w:val="en-IE"/>
        </w:rPr>
        <w:t xml:space="preserve"> services</w:t>
      </w:r>
      <w:r w:rsidR="000B0934">
        <w:rPr>
          <w:rFonts w:cstheme="minorHAnsi"/>
          <w:lang w:val="en-IE"/>
        </w:rPr>
        <w:t xml:space="preserve">. </w:t>
      </w:r>
      <w:r w:rsidRPr="003651DE">
        <w:rPr>
          <w:rFonts w:cstheme="minorHAnsi"/>
          <w:lang w:val="en-IE"/>
        </w:rPr>
        <w:t xml:space="preserve">ACCAN believes </w:t>
      </w:r>
      <w:r w:rsidR="00EF3FDB">
        <w:rPr>
          <w:rFonts w:cstheme="minorHAnsi"/>
          <w:lang w:val="en-IE"/>
        </w:rPr>
        <w:t xml:space="preserve">the lack of information on choice for these consumers </w:t>
      </w:r>
      <w:r w:rsidRPr="003651DE">
        <w:rPr>
          <w:rFonts w:cstheme="minorHAnsi"/>
          <w:lang w:val="en-IE"/>
        </w:rPr>
        <w:t xml:space="preserve">is detrimental to competition and </w:t>
      </w:r>
      <w:r w:rsidR="00EF3FDB">
        <w:rPr>
          <w:rFonts w:cstheme="minorHAnsi"/>
          <w:lang w:val="en-IE"/>
        </w:rPr>
        <w:t>limiting</w:t>
      </w:r>
      <w:r w:rsidRPr="003651DE">
        <w:rPr>
          <w:rFonts w:cstheme="minorHAnsi"/>
          <w:lang w:val="en-IE"/>
        </w:rPr>
        <w:t xml:space="preserve"> consumer choice.</w:t>
      </w:r>
      <w:r w:rsidR="006136F0">
        <w:rPr>
          <w:rFonts w:cstheme="minorHAnsi"/>
          <w:lang w:val="en-IE"/>
        </w:rPr>
        <w:t xml:space="preserve"> </w:t>
      </w:r>
      <w:r w:rsidR="00EF3FDB">
        <w:rPr>
          <w:rFonts w:cstheme="minorHAnsi"/>
          <w:lang w:val="en-IE"/>
        </w:rPr>
        <w:t>For many of these consumers</w:t>
      </w:r>
      <w:r w:rsidR="001605BF">
        <w:rPr>
          <w:rFonts w:cstheme="minorHAnsi"/>
          <w:lang w:val="en-IE"/>
        </w:rPr>
        <w:t>,</w:t>
      </w:r>
      <w:r w:rsidR="00EF3FDB">
        <w:rPr>
          <w:rFonts w:cstheme="minorHAnsi"/>
          <w:lang w:val="en-IE"/>
        </w:rPr>
        <w:t xml:space="preserve"> choice of providers many be new and without information about choices they will be unable to switch. </w:t>
      </w:r>
      <w:r w:rsidR="006136F0">
        <w:rPr>
          <w:rFonts w:cstheme="minorHAnsi"/>
          <w:lang w:val="en-IE"/>
        </w:rPr>
        <w:t xml:space="preserve">Products better designed to suit these consumer needs </w:t>
      </w:r>
      <w:r w:rsidR="00EF3FDB">
        <w:rPr>
          <w:rFonts w:cstheme="minorHAnsi"/>
          <w:lang w:val="en-IE"/>
        </w:rPr>
        <w:t>would also result from better visibility and competition between these plans and providers.</w:t>
      </w:r>
    </w:p>
    <w:p w:rsidR="003651DE" w:rsidRPr="003651DE" w:rsidRDefault="003651DE" w:rsidP="00866792">
      <w:pPr>
        <w:pStyle w:val="Heading2"/>
        <w:rPr>
          <w:lang w:val="en-IE"/>
        </w:rPr>
      </w:pPr>
      <w:r w:rsidRPr="003651DE">
        <w:rPr>
          <w:lang w:val="en-IE"/>
        </w:rPr>
        <w:lastRenderedPageBreak/>
        <w:t>Consumers with disability</w:t>
      </w:r>
    </w:p>
    <w:p w:rsidR="003651DE" w:rsidRPr="003651DE" w:rsidRDefault="003651DE" w:rsidP="003651DE">
      <w:pPr>
        <w:spacing w:after="0"/>
        <w:rPr>
          <w:rFonts w:cstheme="minorHAnsi"/>
          <w:lang w:val="en-IE"/>
        </w:rPr>
      </w:pPr>
      <w:r w:rsidRPr="003651DE">
        <w:rPr>
          <w:rFonts w:cstheme="minorHAnsi"/>
          <w:lang w:val="en-IE"/>
        </w:rPr>
        <w:t>Often provide</w:t>
      </w:r>
      <w:r w:rsidR="00293A95">
        <w:rPr>
          <w:rFonts w:cstheme="minorHAnsi"/>
          <w:lang w:val="en-IE"/>
        </w:rPr>
        <w:t>r</w:t>
      </w:r>
      <w:r w:rsidRPr="003651DE">
        <w:rPr>
          <w:rFonts w:cstheme="minorHAnsi"/>
          <w:lang w:val="en-IE"/>
        </w:rPr>
        <w:t>s do not make available information about main stream products and services which meet the needs of consumers with disability</w:t>
      </w:r>
      <w:r w:rsidR="000B0934">
        <w:rPr>
          <w:rFonts w:cstheme="minorHAnsi"/>
          <w:lang w:val="en-IE"/>
        </w:rPr>
        <w:t>.</w:t>
      </w:r>
      <w:r w:rsidR="00293A95">
        <w:rPr>
          <w:rStyle w:val="FootnoteReference"/>
          <w:rFonts w:cstheme="minorHAnsi"/>
          <w:lang w:val="en-IE"/>
        </w:rPr>
        <w:footnoteReference w:id="7"/>
      </w:r>
      <w:r w:rsidRPr="003651DE">
        <w:rPr>
          <w:rFonts w:cstheme="minorHAnsi"/>
          <w:lang w:val="en-IE"/>
        </w:rPr>
        <w:t xml:space="preserve"> Industry needs to step up and be proactive about providing and proactively offering information that is specific to people with disability, on their website, at point of sale and other customer-facing situations. This includes making consumer information accessible in a range of formats as well as providing information about products and services best suited to different disabilities.</w:t>
      </w:r>
    </w:p>
    <w:p w:rsidR="003651DE" w:rsidRPr="003651DE" w:rsidRDefault="003651DE" w:rsidP="00866792">
      <w:pPr>
        <w:pStyle w:val="Heading2"/>
        <w:rPr>
          <w:lang w:val="en-IE"/>
        </w:rPr>
      </w:pPr>
      <w:r w:rsidRPr="003651DE">
        <w:rPr>
          <w:lang w:val="en-IE"/>
        </w:rPr>
        <w:t>Non-NBN areas</w:t>
      </w:r>
    </w:p>
    <w:p w:rsidR="003651DE" w:rsidRDefault="003651DE" w:rsidP="003651DE">
      <w:pPr>
        <w:spacing w:after="0"/>
        <w:rPr>
          <w:rFonts w:cstheme="minorHAnsi"/>
          <w:lang w:val="en-IE"/>
        </w:rPr>
      </w:pPr>
      <w:r w:rsidRPr="003651DE">
        <w:rPr>
          <w:rFonts w:cstheme="minorHAnsi"/>
          <w:lang w:val="en-IE"/>
        </w:rPr>
        <w:t>ACCAN believes another area where consumers lack information is in</w:t>
      </w:r>
      <w:r w:rsidR="00527632">
        <w:rPr>
          <w:rFonts w:cstheme="minorHAnsi"/>
          <w:lang w:val="en-IE"/>
        </w:rPr>
        <w:t xml:space="preserve"> premises serviced by</w:t>
      </w:r>
      <w:r w:rsidRPr="003651DE">
        <w:rPr>
          <w:rFonts w:cstheme="minorHAnsi"/>
          <w:lang w:val="en-IE"/>
        </w:rPr>
        <w:t xml:space="preserve"> non-nbn networks. Often mainstream providers </w:t>
      </w:r>
      <w:r w:rsidR="00527632">
        <w:rPr>
          <w:rFonts w:cstheme="minorHAnsi"/>
          <w:lang w:val="en-IE"/>
        </w:rPr>
        <w:t xml:space="preserve">and plans are </w:t>
      </w:r>
      <w:r w:rsidRPr="003651DE">
        <w:rPr>
          <w:rFonts w:cstheme="minorHAnsi"/>
          <w:lang w:val="en-IE"/>
        </w:rPr>
        <w:t>not available</w:t>
      </w:r>
      <w:r w:rsidR="00527632">
        <w:rPr>
          <w:rFonts w:cstheme="minorHAnsi"/>
          <w:lang w:val="en-IE"/>
        </w:rPr>
        <w:t xml:space="preserve"> to these consumers</w:t>
      </w:r>
      <w:r w:rsidRPr="003651DE">
        <w:rPr>
          <w:rFonts w:cstheme="minorHAnsi"/>
          <w:lang w:val="en-IE"/>
        </w:rPr>
        <w:t xml:space="preserve">. </w:t>
      </w:r>
      <w:r w:rsidR="00527632">
        <w:rPr>
          <w:rFonts w:cstheme="minorHAnsi"/>
          <w:lang w:val="en-IE"/>
        </w:rPr>
        <w:t xml:space="preserve">It can be difficult to identify what providers are available. </w:t>
      </w:r>
      <w:r w:rsidRPr="003651DE">
        <w:rPr>
          <w:rFonts w:cstheme="minorHAnsi"/>
          <w:lang w:val="en-IE"/>
        </w:rPr>
        <w:t xml:space="preserve">They are </w:t>
      </w:r>
      <w:r w:rsidR="00527632">
        <w:rPr>
          <w:rFonts w:cstheme="minorHAnsi"/>
          <w:lang w:val="en-IE"/>
        </w:rPr>
        <w:t xml:space="preserve">also </w:t>
      </w:r>
      <w:r w:rsidRPr="003651DE">
        <w:rPr>
          <w:rFonts w:cstheme="minorHAnsi"/>
          <w:lang w:val="en-IE"/>
        </w:rPr>
        <w:t>unlikely to have the assistance of comparison websites to compare services</w:t>
      </w:r>
      <w:r w:rsidR="00527632">
        <w:rPr>
          <w:rFonts w:cstheme="minorHAnsi"/>
          <w:lang w:val="en-IE"/>
        </w:rPr>
        <w:t xml:space="preserve"> available to them</w:t>
      </w:r>
      <w:r w:rsidRPr="003651DE">
        <w:rPr>
          <w:rFonts w:cstheme="minorHAnsi"/>
          <w:lang w:val="en-IE"/>
        </w:rPr>
        <w:t>. These consumers would benefit from resources and a centralized website to check what providers and plans are available</w:t>
      </w:r>
      <w:r w:rsidR="00293A95">
        <w:rPr>
          <w:rFonts w:cstheme="minorHAnsi"/>
          <w:lang w:val="en-IE"/>
        </w:rPr>
        <w:t xml:space="preserve"> to them</w:t>
      </w:r>
      <w:r w:rsidRPr="003651DE">
        <w:rPr>
          <w:rFonts w:cstheme="minorHAnsi"/>
          <w:lang w:val="en-IE"/>
        </w:rPr>
        <w:t xml:space="preserve">. </w:t>
      </w:r>
    </w:p>
    <w:p w:rsidR="00527632" w:rsidRPr="003651DE" w:rsidRDefault="00527632" w:rsidP="00527632">
      <w:pPr>
        <w:pStyle w:val="Heading2"/>
        <w:rPr>
          <w:lang w:val="en-IE"/>
        </w:rPr>
      </w:pPr>
      <w:r w:rsidRPr="003651DE">
        <w:rPr>
          <w:lang w:val="en-IE"/>
        </w:rPr>
        <w:t>Information during the Migration</w:t>
      </w:r>
    </w:p>
    <w:p w:rsidR="00527632" w:rsidRPr="003651DE" w:rsidRDefault="00C916D7" w:rsidP="0002697C">
      <w:pPr>
        <w:spacing w:after="0"/>
        <w:rPr>
          <w:rFonts w:cstheme="minorHAnsi"/>
          <w:lang w:val="en-IE"/>
        </w:rPr>
      </w:pPr>
      <w:r w:rsidRPr="00C916D7">
        <w:rPr>
          <w:rFonts w:cstheme="minorHAnsi"/>
          <w:lang w:val="en-IE"/>
        </w:rPr>
        <w:t xml:space="preserve">For consumers, migrating services </w:t>
      </w:r>
      <w:r>
        <w:rPr>
          <w:rFonts w:cstheme="minorHAnsi"/>
          <w:lang w:val="en-IE"/>
        </w:rPr>
        <w:t xml:space="preserve">to NBN </w:t>
      </w:r>
      <w:r w:rsidRPr="00C916D7">
        <w:rPr>
          <w:rFonts w:cstheme="minorHAnsi"/>
          <w:lang w:val="en-IE"/>
        </w:rPr>
        <w:t>can be complicated</w:t>
      </w:r>
      <w:r>
        <w:rPr>
          <w:rFonts w:cstheme="minorHAnsi"/>
          <w:lang w:val="en-IE"/>
        </w:rPr>
        <w:t xml:space="preserve">. Any </w:t>
      </w:r>
      <w:r w:rsidRPr="00C916D7">
        <w:rPr>
          <w:rFonts w:cstheme="minorHAnsi"/>
          <w:lang w:val="en-IE"/>
        </w:rPr>
        <w:t xml:space="preserve">loss of services or functionality can cause significant risk to life, cost and inconvenience. </w:t>
      </w:r>
      <w:r>
        <w:rPr>
          <w:rFonts w:cstheme="minorHAnsi"/>
          <w:lang w:val="en-IE"/>
        </w:rPr>
        <w:t xml:space="preserve">From our experience and hearing from members, many of the issues currently experienced could be prevented by better information and procedures. </w:t>
      </w:r>
      <w:r w:rsidR="00527632" w:rsidRPr="003651DE">
        <w:rPr>
          <w:rFonts w:cstheme="minorHAnsi"/>
          <w:lang w:val="en-IE"/>
        </w:rPr>
        <w:t>ACCAN ha</w:t>
      </w:r>
      <w:r w:rsidR="00293A95">
        <w:rPr>
          <w:rFonts w:cstheme="minorHAnsi"/>
          <w:lang w:val="en-IE"/>
        </w:rPr>
        <w:t>s</w:t>
      </w:r>
      <w:r w:rsidR="00527632" w:rsidRPr="003651DE">
        <w:rPr>
          <w:rFonts w:cstheme="minorHAnsi"/>
          <w:lang w:val="en-IE"/>
        </w:rPr>
        <w:t xml:space="preserve"> called for a number of changes to improve the consumer experience during the migration per</w:t>
      </w:r>
      <w:r w:rsidR="00527632">
        <w:rPr>
          <w:rFonts w:cstheme="minorHAnsi"/>
          <w:lang w:val="en-IE"/>
        </w:rPr>
        <w:t>iod</w:t>
      </w:r>
      <w:r w:rsidR="00527632" w:rsidRPr="003651DE">
        <w:rPr>
          <w:rFonts w:cstheme="minorHAnsi"/>
          <w:lang w:val="en-IE"/>
        </w:rPr>
        <w:t>.</w:t>
      </w:r>
      <w:r w:rsidR="00527632">
        <w:rPr>
          <w:rStyle w:val="FootnoteReference"/>
          <w:rFonts w:cstheme="minorHAnsi"/>
          <w:lang w:val="en-IE"/>
        </w:rPr>
        <w:footnoteReference w:id="8"/>
      </w:r>
      <w:r w:rsidR="00527632">
        <w:rPr>
          <w:rFonts w:cstheme="minorHAnsi"/>
          <w:lang w:val="en-IE"/>
        </w:rPr>
        <w:t xml:space="preserve"> </w:t>
      </w:r>
      <w:r>
        <w:rPr>
          <w:rFonts w:cstheme="minorHAnsi"/>
          <w:lang w:val="en-IE"/>
        </w:rPr>
        <w:t>Including, e</w:t>
      </w:r>
      <w:r w:rsidR="0002697C" w:rsidRPr="0002697C">
        <w:rPr>
          <w:rFonts w:cstheme="minorHAnsi"/>
          <w:lang w:val="en-IE"/>
        </w:rPr>
        <w:t>nsuring that consumers have access to a working service</w:t>
      </w:r>
      <w:r>
        <w:rPr>
          <w:rFonts w:cstheme="minorHAnsi"/>
          <w:lang w:val="en-IE"/>
        </w:rPr>
        <w:t>, p</w:t>
      </w:r>
      <w:r w:rsidR="0002697C" w:rsidRPr="0002697C">
        <w:rPr>
          <w:rFonts w:cstheme="minorHAnsi"/>
          <w:lang w:val="en-IE"/>
        </w:rPr>
        <w:t xml:space="preserve">roviding accurate, clear and consistent </w:t>
      </w:r>
      <w:r w:rsidRPr="0002697C">
        <w:rPr>
          <w:rFonts w:cstheme="minorHAnsi"/>
          <w:lang w:val="en-IE"/>
        </w:rPr>
        <w:t>information to</w:t>
      </w:r>
      <w:r w:rsidR="0002697C" w:rsidRPr="0002697C">
        <w:rPr>
          <w:rFonts w:cstheme="minorHAnsi"/>
          <w:lang w:val="en-IE"/>
        </w:rPr>
        <w:t xml:space="preserve"> consumers</w:t>
      </w:r>
      <w:r>
        <w:rPr>
          <w:rFonts w:cstheme="minorHAnsi"/>
          <w:lang w:val="en-IE"/>
        </w:rPr>
        <w:t>, p</w:t>
      </w:r>
      <w:r w:rsidR="0002697C" w:rsidRPr="0002697C">
        <w:rPr>
          <w:rFonts w:cstheme="minorHAnsi"/>
          <w:lang w:val="en-IE"/>
        </w:rPr>
        <w:t xml:space="preserve">roviding </w:t>
      </w:r>
      <w:r w:rsidRPr="0002697C">
        <w:rPr>
          <w:rFonts w:cstheme="minorHAnsi"/>
          <w:lang w:val="en-IE"/>
        </w:rPr>
        <w:t>assistance to</w:t>
      </w:r>
      <w:r w:rsidR="0002697C" w:rsidRPr="0002697C">
        <w:rPr>
          <w:rFonts w:cstheme="minorHAnsi"/>
          <w:lang w:val="en-IE"/>
        </w:rPr>
        <w:t xml:space="preserve"> consumers when needed</w:t>
      </w:r>
      <w:r>
        <w:rPr>
          <w:rFonts w:cstheme="minorHAnsi"/>
          <w:lang w:val="en-IE"/>
        </w:rPr>
        <w:t xml:space="preserve"> and ensuring there are a</w:t>
      </w:r>
      <w:r w:rsidR="0002697C" w:rsidRPr="0002697C">
        <w:rPr>
          <w:rFonts w:cstheme="minorHAnsi"/>
          <w:lang w:val="en-IE"/>
        </w:rPr>
        <w:t>ppropriate avenues for consumers to seek assistance, answers and raise complaints</w:t>
      </w:r>
      <w:r>
        <w:rPr>
          <w:rFonts w:cstheme="minorHAnsi"/>
          <w:lang w:val="en-IE"/>
        </w:rPr>
        <w:t>.</w:t>
      </w:r>
      <w:r w:rsidR="001605BF">
        <w:rPr>
          <w:rFonts w:cstheme="minorHAnsi"/>
          <w:lang w:val="en-IE"/>
        </w:rPr>
        <w:t xml:space="preserve"> ACCAN encourages the ACCC to continue to play an important role in ensuring a smooth transition for consumers.</w:t>
      </w:r>
    </w:p>
    <w:p w:rsidR="003651DE" w:rsidRDefault="003651DE" w:rsidP="00866792">
      <w:pPr>
        <w:pStyle w:val="Heading1"/>
        <w:rPr>
          <w:lang w:val="en-IE"/>
        </w:rPr>
      </w:pPr>
      <w:r w:rsidRPr="003651DE">
        <w:rPr>
          <w:lang w:val="en-IE"/>
        </w:rPr>
        <w:t xml:space="preserve">Services outside the fixed </w:t>
      </w:r>
      <w:r w:rsidR="000B0934">
        <w:rPr>
          <w:lang w:val="en-IE"/>
        </w:rPr>
        <w:t xml:space="preserve">line </w:t>
      </w:r>
      <w:r w:rsidRPr="003651DE">
        <w:rPr>
          <w:lang w:val="en-IE"/>
        </w:rPr>
        <w:t>footprint</w:t>
      </w:r>
    </w:p>
    <w:p w:rsidR="001B2C29" w:rsidRPr="001B2C29" w:rsidRDefault="001B2C29" w:rsidP="00B42278">
      <w:pPr>
        <w:rPr>
          <w:lang w:val="en-IE"/>
        </w:rPr>
      </w:pPr>
      <w:r w:rsidRPr="001B2C29">
        <w:rPr>
          <w:lang w:val="en-IE"/>
        </w:rPr>
        <w:t xml:space="preserve">For about one million households, or about 8% of the </w:t>
      </w:r>
      <w:r w:rsidR="005F5DFB">
        <w:rPr>
          <w:lang w:val="en-IE"/>
        </w:rPr>
        <w:t xml:space="preserve">nbn </w:t>
      </w:r>
      <w:r w:rsidRPr="001B2C29">
        <w:rPr>
          <w:lang w:val="en-IE"/>
        </w:rPr>
        <w:t>footprint, voice will continue to be delivered by Telstra's copper network as set out under the Universal Service</w:t>
      </w:r>
      <w:r w:rsidR="00702C69">
        <w:rPr>
          <w:lang w:val="en-IE"/>
        </w:rPr>
        <w:t xml:space="preserve"> Obligation</w:t>
      </w:r>
      <w:r w:rsidRPr="001B2C29">
        <w:rPr>
          <w:lang w:val="en-IE"/>
        </w:rPr>
        <w:t xml:space="preserve"> Contracts. </w:t>
      </w:r>
      <w:r w:rsidR="005F5DFB">
        <w:rPr>
          <w:lang w:val="en-IE"/>
        </w:rPr>
        <w:t xml:space="preserve">These premises will have the option to switch to nbn Fixed Wireless or Satellite services. </w:t>
      </w:r>
      <w:r w:rsidR="00702C69">
        <w:rPr>
          <w:lang w:val="en-IE"/>
        </w:rPr>
        <w:t>However, f</w:t>
      </w:r>
      <w:r w:rsidRPr="001B2C29">
        <w:rPr>
          <w:lang w:val="en-IE"/>
        </w:rPr>
        <w:t>or these households there is a lot of confusion and concern about the future of services that they are currently using.</w:t>
      </w:r>
    </w:p>
    <w:p w:rsidR="003651DE" w:rsidRPr="003651DE" w:rsidRDefault="003651DE" w:rsidP="00866792">
      <w:pPr>
        <w:pStyle w:val="Heading2"/>
        <w:rPr>
          <w:lang w:val="en-IE"/>
        </w:rPr>
      </w:pPr>
      <w:r w:rsidRPr="003651DE">
        <w:rPr>
          <w:lang w:val="en-IE"/>
        </w:rPr>
        <w:t xml:space="preserve">Fixed </w:t>
      </w:r>
      <w:r w:rsidR="000B0934">
        <w:rPr>
          <w:lang w:val="en-IE"/>
        </w:rPr>
        <w:t xml:space="preserve">internet </w:t>
      </w:r>
      <w:r w:rsidRPr="003651DE">
        <w:rPr>
          <w:lang w:val="en-IE"/>
        </w:rPr>
        <w:t>services</w:t>
      </w:r>
    </w:p>
    <w:p w:rsidR="0048585A" w:rsidRDefault="006E1C54" w:rsidP="008B6367">
      <w:pPr>
        <w:spacing w:after="0"/>
        <w:rPr>
          <w:rFonts w:cstheme="minorHAnsi"/>
          <w:lang w:val="en-IE"/>
        </w:rPr>
      </w:pPr>
      <w:r>
        <w:rPr>
          <w:rFonts w:cstheme="minorHAnsi"/>
          <w:lang w:val="en-IE"/>
        </w:rPr>
        <w:t>While there is no requirement</w:t>
      </w:r>
      <w:r w:rsidR="003651DE" w:rsidRPr="003651DE">
        <w:rPr>
          <w:rFonts w:cstheme="minorHAnsi"/>
          <w:lang w:val="en-IE"/>
        </w:rPr>
        <w:t xml:space="preserve"> </w:t>
      </w:r>
      <w:r w:rsidR="00393A53">
        <w:rPr>
          <w:rFonts w:cstheme="minorHAnsi"/>
          <w:lang w:val="en-IE"/>
        </w:rPr>
        <w:t>for</w:t>
      </w:r>
      <w:r w:rsidR="003651DE" w:rsidRPr="003651DE">
        <w:rPr>
          <w:rFonts w:cstheme="minorHAnsi"/>
          <w:lang w:val="en-IE"/>
        </w:rPr>
        <w:t xml:space="preserve"> Telstra to stop selling ADSL services in these </w:t>
      </w:r>
      <w:r>
        <w:rPr>
          <w:rFonts w:cstheme="minorHAnsi"/>
          <w:lang w:val="en-IE"/>
        </w:rPr>
        <w:t>areas</w:t>
      </w:r>
      <w:r w:rsidR="00702C69">
        <w:rPr>
          <w:rFonts w:cstheme="minorHAnsi"/>
          <w:lang w:val="en-IE"/>
        </w:rPr>
        <w:t>, like there is in the nbn fixed line footprint</w:t>
      </w:r>
      <w:r>
        <w:rPr>
          <w:rFonts w:cstheme="minorHAnsi"/>
          <w:lang w:val="en-IE"/>
        </w:rPr>
        <w:t xml:space="preserve">, </w:t>
      </w:r>
      <w:r w:rsidR="003651DE" w:rsidRPr="003651DE">
        <w:rPr>
          <w:rFonts w:cstheme="minorHAnsi"/>
          <w:lang w:val="en-IE"/>
        </w:rPr>
        <w:t>Telstra</w:t>
      </w:r>
      <w:r w:rsidR="0048585A">
        <w:rPr>
          <w:rFonts w:cstheme="minorHAnsi"/>
          <w:lang w:val="en-IE"/>
        </w:rPr>
        <w:t xml:space="preserve"> and other provider</w:t>
      </w:r>
      <w:r w:rsidR="003651DE" w:rsidRPr="003651DE">
        <w:rPr>
          <w:rFonts w:cstheme="minorHAnsi"/>
          <w:lang w:val="en-IE"/>
        </w:rPr>
        <w:t xml:space="preserve">'s intentions </w:t>
      </w:r>
      <w:r w:rsidR="005F5DFB">
        <w:rPr>
          <w:rFonts w:cstheme="minorHAnsi"/>
          <w:lang w:val="en-IE"/>
        </w:rPr>
        <w:t>for</w:t>
      </w:r>
      <w:r w:rsidR="003651DE" w:rsidRPr="003651DE">
        <w:rPr>
          <w:rFonts w:cstheme="minorHAnsi"/>
          <w:lang w:val="en-IE"/>
        </w:rPr>
        <w:t xml:space="preserve"> these services</w:t>
      </w:r>
      <w:r>
        <w:rPr>
          <w:rFonts w:cstheme="minorHAnsi"/>
          <w:lang w:val="en-IE"/>
        </w:rPr>
        <w:t xml:space="preserve"> </w:t>
      </w:r>
      <w:r w:rsidR="00393A53">
        <w:rPr>
          <w:rFonts w:cstheme="minorHAnsi"/>
          <w:lang w:val="en-IE"/>
        </w:rPr>
        <w:t>is unclear</w:t>
      </w:r>
      <w:r w:rsidR="003651DE" w:rsidRPr="003651DE">
        <w:rPr>
          <w:rFonts w:cstheme="minorHAnsi"/>
          <w:lang w:val="en-IE"/>
        </w:rPr>
        <w:t xml:space="preserve">. </w:t>
      </w:r>
      <w:r>
        <w:rPr>
          <w:rFonts w:cstheme="minorHAnsi"/>
          <w:lang w:val="en-IE"/>
        </w:rPr>
        <w:t>Consumers report selling practices that lead them to believe that they have to switch to fixed wireless</w:t>
      </w:r>
      <w:r w:rsidR="0048585A">
        <w:rPr>
          <w:rFonts w:cstheme="minorHAnsi"/>
          <w:lang w:val="en-IE"/>
        </w:rPr>
        <w:t xml:space="preserve"> and satellite service</w:t>
      </w:r>
      <w:r>
        <w:rPr>
          <w:rFonts w:cstheme="minorHAnsi"/>
          <w:lang w:val="en-IE"/>
        </w:rPr>
        <w:t xml:space="preserve">. </w:t>
      </w:r>
      <w:r w:rsidR="003651DE" w:rsidRPr="003651DE">
        <w:rPr>
          <w:rFonts w:cstheme="minorHAnsi"/>
          <w:lang w:val="en-IE"/>
        </w:rPr>
        <w:t xml:space="preserve">A number of </w:t>
      </w:r>
      <w:r>
        <w:rPr>
          <w:rFonts w:cstheme="minorHAnsi"/>
          <w:lang w:val="en-IE"/>
        </w:rPr>
        <w:t xml:space="preserve">other </w:t>
      </w:r>
      <w:r w:rsidR="003651DE" w:rsidRPr="003651DE">
        <w:rPr>
          <w:rFonts w:cstheme="minorHAnsi"/>
          <w:lang w:val="en-IE"/>
        </w:rPr>
        <w:t>consumers requesting new connections (</w:t>
      </w:r>
      <w:r w:rsidR="00B42278">
        <w:rPr>
          <w:rFonts w:cstheme="minorHAnsi"/>
          <w:lang w:val="en-IE"/>
        </w:rPr>
        <w:t xml:space="preserve">who </w:t>
      </w:r>
      <w:r w:rsidR="00B42278" w:rsidRPr="003651DE">
        <w:rPr>
          <w:rFonts w:cstheme="minorHAnsi"/>
          <w:lang w:val="en-IE"/>
        </w:rPr>
        <w:t>have</w:t>
      </w:r>
      <w:r w:rsidR="003651DE" w:rsidRPr="003651DE">
        <w:rPr>
          <w:rFonts w:cstheme="minorHAnsi"/>
          <w:lang w:val="en-IE"/>
        </w:rPr>
        <w:t xml:space="preserve"> moved into premises that previously had</w:t>
      </w:r>
      <w:r>
        <w:rPr>
          <w:rFonts w:cstheme="minorHAnsi"/>
          <w:lang w:val="en-IE"/>
        </w:rPr>
        <w:t xml:space="preserve"> copper </w:t>
      </w:r>
      <w:r w:rsidR="005F5DFB">
        <w:rPr>
          <w:rFonts w:cstheme="minorHAnsi"/>
          <w:lang w:val="en-IE"/>
        </w:rPr>
        <w:t xml:space="preserve">phone and ADSL </w:t>
      </w:r>
      <w:r>
        <w:rPr>
          <w:rFonts w:cstheme="minorHAnsi"/>
          <w:lang w:val="en-IE"/>
        </w:rPr>
        <w:t>connections</w:t>
      </w:r>
      <w:r w:rsidR="003651DE" w:rsidRPr="003651DE">
        <w:rPr>
          <w:rFonts w:cstheme="minorHAnsi"/>
          <w:lang w:val="en-IE"/>
        </w:rPr>
        <w:t xml:space="preserve">) report that they are </w:t>
      </w:r>
      <w:r w:rsidR="003651DE" w:rsidRPr="003651DE">
        <w:rPr>
          <w:rFonts w:cstheme="minorHAnsi"/>
          <w:lang w:val="en-IE"/>
        </w:rPr>
        <w:lastRenderedPageBreak/>
        <w:t xml:space="preserve">unable to connect to ADSL or fixed phone services in these areas now. Instead Telstra, and other providers, are </w:t>
      </w:r>
      <w:r w:rsidR="005F5DFB">
        <w:rPr>
          <w:rFonts w:cstheme="minorHAnsi"/>
          <w:lang w:val="en-IE"/>
        </w:rPr>
        <w:t>presenting</w:t>
      </w:r>
      <w:r w:rsidR="00B42278">
        <w:rPr>
          <w:rFonts w:cstheme="minorHAnsi"/>
          <w:lang w:val="en-IE"/>
        </w:rPr>
        <w:t xml:space="preserve"> </w:t>
      </w:r>
      <w:r w:rsidR="00B42278" w:rsidRPr="003651DE">
        <w:rPr>
          <w:rFonts w:cstheme="minorHAnsi"/>
          <w:lang w:val="en-IE"/>
        </w:rPr>
        <w:t>Fixed</w:t>
      </w:r>
      <w:r w:rsidR="003651DE" w:rsidRPr="003651DE">
        <w:rPr>
          <w:rFonts w:cstheme="minorHAnsi"/>
          <w:lang w:val="en-IE"/>
        </w:rPr>
        <w:t xml:space="preserve"> Wireless</w:t>
      </w:r>
      <w:r w:rsidR="005F5DFB">
        <w:rPr>
          <w:rFonts w:cstheme="minorHAnsi"/>
          <w:lang w:val="en-IE"/>
        </w:rPr>
        <w:t>, Satellite</w:t>
      </w:r>
      <w:r w:rsidR="003651DE" w:rsidRPr="003651DE">
        <w:rPr>
          <w:rFonts w:cstheme="minorHAnsi"/>
          <w:lang w:val="en-IE"/>
        </w:rPr>
        <w:t xml:space="preserve"> or mobile as the</w:t>
      </w:r>
      <w:r w:rsidR="00393A53">
        <w:rPr>
          <w:rFonts w:cstheme="minorHAnsi"/>
          <w:lang w:val="en-IE"/>
        </w:rPr>
        <w:t>i</w:t>
      </w:r>
      <w:r w:rsidR="003651DE" w:rsidRPr="003651DE">
        <w:rPr>
          <w:rFonts w:cstheme="minorHAnsi"/>
          <w:lang w:val="en-IE"/>
        </w:rPr>
        <w:t>r only option.</w:t>
      </w:r>
      <w:r w:rsidR="0048585A">
        <w:rPr>
          <w:rFonts w:cstheme="minorHAnsi"/>
          <w:lang w:val="en-IE"/>
        </w:rPr>
        <w:t xml:space="preserve"> </w:t>
      </w:r>
      <w:r w:rsidR="003651DE" w:rsidRPr="003651DE">
        <w:rPr>
          <w:rFonts w:cstheme="minorHAnsi"/>
          <w:lang w:val="en-IE"/>
        </w:rPr>
        <w:t xml:space="preserve">For many consumers access to ADSL </w:t>
      </w:r>
      <w:r>
        <w:rPr>
          <w:rFonts w:cstheme="minorHAnsi"/>
          <w:lang w:val="en-IE"/>
        </w:rPr>
        <w:t xml:space="preserve">internet </w:t>
      </w:r>
      <w:r w:rsidR="003651DE" w:rsidRPr="003651DE">
        <w:rPr>
          <w:rFonts w:cstheme="minorHAnsi"/>
          <w:lang w:val="en-IE"/>
        </w:rPr>
        <w:t>and landline voice are essential</w:t>
      </w:r>
      <w:r w:rsidR="00393A53">
        <w:rPr>
          <w:rFonts w:cstheme="minorHAnsi"/>
          <w:lang w:val="en-IE"/>
        </w:rPr>
        <w:t>,</w:t>
      </w:r>
      <w:r w:rsidR="003651DE" w:rsidRPr="003651DE">
        <w:rPr>
          <w:rFonts w:cstheme="minorHAnsi"/>
          <w:lang w:val="en-IE"/>
        </w:rPr>
        <w:t xml:space="preserve"> </w:t>
      </w:r>
      <w:r w:rsidR="00B42278" w:rsidRPr="003651DE">
        <w:rPr>
          <w:rFonts w:cstheme="minorHAnsi"/>
          <w:lang w:val="en-IE"/>
        </w:rPr>
        <w:t xml:space="preserve">and </w:t>
      </w:r>
      <w:r w:rsidR="005F5DFB">
        <w:rPr>
          <w:rFonts w:cstheme="minorHAnsi"/>
          <w:lang w:val="en-IE"/>
        </w:rPr>
        <w:t xml:space="preserve">the availability and </w:t>
      </w:r>
      <w:r w:rsidR="00B42278" w:rsidRPr="003651DE">
        <w:rPr>
          <w:rFonts w:cstheme="minorHAnsi"/>
          <w:lang w:val="en-IE"/>
        </w:rPr>
        <w:t>future</w:t>
      </w:r>
      <w:r w:rsidR="00393A53">
        <w:rPr>
          <w:rFonts w:cstheme="minorHAnsi"/>
          <w:lang w:val="en-IE"/>
        </w:rPr>
        <w:t xml:space="preserve"> plans for</w:t>
      </w:r>
      <w:r w:rsidR="003651DE" w:rsidRPr="003651DE">
        <w:rPr>
          <w:rFonts w:cstheme="minorHAnsi"/>
          <w:lang w:val="en-IE"/>
        </w:rPr>
        <w:t xml:space="preserve"> </w:t>
      </w:r>
      <w:r w:rsidR="00393A53">
        <w:rPr>
          <w:rFonts w:cstheme="minorHAnsi"/>
          <w:lang w:val="en-IE"/>
        </w:rPr>
        <w:t xml:space="preserve">these </w:t>
      </w:r>
      <w:r w:rsidR="00B42278">
        <w:rPr>
          <w:rFonts w:cstheme="minorHAnsi"/>
          <w:lang w:val="en-IE"/>
        </w:rPr>
        <w:t xml:space="preserve">services </w:t>
      </w:r>
      <w:r w:rsidR="00B42278" w:rsidRPr="003651DE">
        <w:rPr>
          <w:rFonts w:cstheme="minorHAnsi"/>
          <w:lang w:val="en-IE"/>
        </w:rPr>
        <w:t>should</w:t>
      </w:r>
      <w:r w:rsidR="003651DE" w:rsidRPr="003651DE">
        <w:rPr>
          <w:rFonts w:cstheme="minorHAnsi"/>
          <w:lang w:val="en-IE"/>
        </w:rPr>
        <w:t xml:space="preserve"> be </w:t>
      </w:r>
      <w:r>
        <w:rPr>
          <w:rFonts w:cstheme="minorHAnsi"/>
          <w:lang w:val="en-IE"/>
        </w:rPr>
        <w:t>clearly stated</w:t>
      </w:r>
      <w:r w:rsidR="003651DE" w:rsidRPr="003651DE">
        <w:rPr>
          <w:rFonts w:cstheme="minorHAnsi"/>
          <w:lang w:val="en-IE"/>
        </w:rPr>
        <w:t>.</w:t>
      </w:r>
      <w:r w:rsidR="00C846B8">
        <w:rPr>
          <w:rFonts w:cstheme="minorHAnsi"/>
          <w:lang w:val="en-IE"/>
        </w:rPr>
        <w:t xml:space="preserve"> </w:t>
      </w:r>
    </w:p>
    <w:p w:rsidR="0048585A" w:rsidRDefault="0048585A" w:rsidP="0048585A">
      <w:pPr>
        <w:spacing w:before="240" w:after="0"/>
        <w:rPr>
          <w:rFonts w:cstheme="minorHAnsi"/>
          <w:lang w:val="en-IE"/>
        </w:rPr>
      </w:pPr>
      <w:r w:rsidRPr="003651DE">
        <w:rPr>
          <w:rFonts w:cstheme="minorHAnsi"/>
          <w:lang w:val="en-IE"/>
        </w:rPr>
        <w:t xml:space="preserve">In the report there are references to ceasing regulation of the copper network and decommissioning it. ACCAN </w:t>
      </w:r>
      <w:r>
        <w:rPr>
          <w:rFonts w:cstheme="minorHAnsi"/>
          <w:lang w:val="en-IE"/>
        </w:rPr>
        <w:t>asks</w:t>
      </w:r>
      <w:r w:rsidRPr="003651DE">
        <w:rPr>
          <w:rFonts w:cstheme="minorHAnsi"/>
          <w:lang w:val="en-IE"/>
        </w:rPr>
        <w:t xml:space="preserve"> that this wording is amended to explicitly state that this only applies in the fixed </w:t>
      </w:r>
      <w:r w:rsidR="005F5DFB">
        <w:rPr>
          <w:rFonts w:cstheme="minorHAnsi"/>
          <w:lang w:val="en-IE"/>
        </w:rPr>
        <w:t xml:space="preserve">line </w:t>
      </w:r>
      <w:r w:rsidRPr="003651DE">
        <w:rPr>
          <w:rFonts w:cstheme="minorHAnsi"/>
          <w:lang w:val="en-IE"/>
        </w:rPr>
        <w:t>footprint.</w:t>
      </w:r>
      <w:r>
        <w:rPr>
          <w:rStyle w:val="FootnoteReference"/>
          <w:rFonts w:cstheme="minorHAnsi"/>
          <w:lang w:val="en-IE"/>
        </w:rPr>
        <w:footnoteReference w:id="9"/>
      </w:r>
      <w:r>
        <w:rPr>
          <w:rFonts w:cstheme="minorHAnsi"/>
          <w:lang w:val="en-IE"/>
        </w:rPr>
        <w:t xml:space="preserve"> In addition ACCAN request confirmation from the ACCC about its approach to the network outside the fixed line nbn footprint.</w:t>
      </w:r>
      <w:r w:rsidRPr="008B7192">
        <w:rPr>
          <w:rFonts w:cstheme="minorHAnsi"/>
          <w:lang w:val="en-IE"/>
        </w:rPr>
        <w:t xml:space="preserve"> </w:t>
      </w:r>
      <w:r>
        <w:rPr>
          <w:rFonts w:cstheme="minorHAnsi"/>
          <w:lang w:val="en-IE"/>
        </w:rPr>
        <w:t>T</w:t>
      </w:r>
      <w:r w:rsidRPr="008B7192">
        <w:rPr>
          <w:rFonts w:cstheme="minorHAnsi"/>
          <w:lang w:val="en-IE"/>
        </w:rPr>
        <w:t xml:space="preserve">here will be an ongoing need for the copper network and </w:t>
      </w:r>
      <w:r w:rsidR="005F5DFB">
        <w:rPr>
          <w:rFonts w:cstheme="minorHAnsi"/>
          <w:lang w:val="en-IE"/>
        </w:rPr>
        <w:t>associated</w:t>
      </w:r>
      <w:r w:rsidRPr="008B7192">
        <w:rPr>
          <w:rFonts w:cstheme="minorHAnsi"/>
          <w:lang w:val="en-IE"/>
        </w:rPr>
        <w:t xml:space="preserve"> regulation of access in </w:t>
      </w:r>
      <w:r>
        <w:rPr>
          <w:rFonts w:cstheme="minorHAnsi"/>
          <w:lang w:val="en-IE"/>
        </w:rPr>
        <w:t>these areas.</w:t>
      </w:r>
    </w:p>
    <w:p w:rsidR="003651DE" w:rsidRPr="003651DE" w:rsidRDefault="0048585A" w:rsidP="001732B3">
      <w:pPr>
        <w:spacing w:before="240" w:after="0"/>
        <w:rPr>
          <w:rFonts w:cstheme="minorHAnsi"/>
          <w:lang w:val="en-IE"/>
        </w:rPr>
      </w:pPr>
      <w:r>
        <w:rPr>
          <w:rFonts w:cstheme="minorHAnsi"/>
          <w:lang w:val="en-IE"/>
        </w:rPr>
        <w:t>In addition, w</w:t>
      </w:r>
      <w:r w:rsidR="003651DE" w:rsidRPr="003651DE">
        <w:rPr>
          <w:rFonts w:cstheme="minorHAnsi"/>
          <w:lang w:val="en-IE"/>
        </w:rPr>
        <w:t>here wireless or satellite consumers are located in exchange</w:t>
      </w:r>
      <w:r w:rsidR="00A10BDF">
        <w:rPr>
          <w:rFonts w:cstheme="minorHAnsi"/>
          <w:lang w:val="en-IE"/>
        </w:rPr>
        <w:t xml:space="preserve"> areas</w:t>
      </w:r>
      <w:r w:rsidR="003651DE" w:rsidRPr="003651DE">
        <w:rPr>
          <w:rFonts w:cstheme="minorHAnsi"/>
          <w:lang w:val="en-IE"/>
        </w:rPr>
        <w:t xml:space="preserve"> that are supplying </w:t>
      </w:r>
      <w:r>
        <w:rPr>
          <w:rFonts w:cstheme="minorHAnsi"/>
          <w:lang w:val="en-IE"/>
        </w:rPr>
        <w:t xml:space="preserve">nbn fixed line services (through the </w:t>
      </w:r>
      <w:r w:rsidR="003651DE" w:rsidRPr="003651DE">
        <w:rPr>
          <w:rFonts w:cstheme="minorHAnsi"/>
          <w:lang w:val="en-IE"/>
        </w:rPr>
        <w:t>FTTN/FTTB</w:t>
      </w:r>
      <w:r>
        <w:rPr>
          <w:rFonts w:cstheme="minorHAnsi"/>
          <w:lang w:val="en-IE"/>
        </w:rPr>
        <w:t xml:space="preserve"> technology)</w:t>
      </w:r>
      <w:r w:rsidR="003651DE" w:rsidRPr="003651DE">
        <w:rPr>
          <w:rFonts w:cstheme="minorHAnsi"/>
          <w:lang w:val="en-IE"/>
        </w:rPr>
        <w:t xml:space="preserve"> there are </w:t>
      </w:r>
      <w:r w:rsidR="005F5DFB">
        <w:rPr>
          <w:rFonts w:cstheme="minorHAnsi"/>
          <w:lang w:val="en-IE"/>
        </w:rPr>
        <w:t>heightened concerns</w:t>
      </w:r>
      <w:r w:rsidR="003651DE" w:rsidRPr="003651DE">
        <w:rPr>
          <w:rFonts w:cstheme="minorHAnsi"/>
          <w:lang w:val="en-IE"/>
        </w:rPr>
        <w:t xml:space="preserve"> about the ability to supply voice and ADSL services in the future due to the interference between the</w:t>
      </w:r>
      <w:r>
        <w:rPr>
          <w:rFonts w:cstheme="minorHAnsi"/>
          <w:lang w:val="en-IE"/>
        </w:rPr>
        <w:t>se</w:t>
      </w:r>
      <w:r w:rsidR="003651DE" w:rsidRPr="003651DE">
        <w:rPr>
          <w:rFonts w:cstheme="minorHAnsi"/>
          <w:lang w:val="en-IE"/>
        </w:rPr>
        <w:t xml:space="preserve"> services.</w:t>
      </w:r>
      <w:r w:rsidR="009E59A7">
        <w:rPr>
          <w:rFonts w:cstheme="minorHAnsi"/>
          <w:lang w:val="en-IE"/>
        </w:rPr>
        <w:t xml:space="preserve"> </w:t>
      </w:r>
      <w:r w:rsidR="004D07D4">
        <w:rPr>
          <w:rFonts w:cstheme="minorHAnsi"/>
          <w:lang w:val="en-IE"/>
        </w:rPr>
        <w:t>There is a fear that the</w:t>
      </w:r>
      <w:r w:rsidR="002345ED">
        <w:rPr>
          <w:rFonts w:cstheme="minorHAnsi"/>
          <w:lang w:val="en-IE"/>
        </w:rPr>
        <w:t xml:space="preserve"> consumers mapped for satellite, </w:t>
      </w:r>
      <w:r w:rsidR="004D07D4">
        <w:rPr>
          <w:rFonts w:cstheme="minorHAnsi"/>
          <w:lang w:val="en-IE"/>
        </w:rPr>
        <w:t xml:space="preserve">will lose their current fixed phone and internet services and only have access to satellite. </w:t>
      </w:r>
    </w:p>
    <w:p w:rsidR="003651DE" w:rsidRDefault="003651DE" w:rsidP="001732B3">
      <w:pPr>
        <w:spacing w:before="240" w:after="0"/>
        <w:rPr>
          <w:rFonts w:cstheme="minorHAnsi"/>
          <w:lang w:val="en-IE"/>
        </w:rPr>
      </w:pPr>
      <w:r w:rsidRPr="003651DE">
        <w:rPr>
          <w:rFonts w:cstheme="minorHAnsi"/>
          <w:lang w:val="en-IE"/>
        </w:rPr>
        <w:t xml:space="preserve">ACCAN believes there is a role for the ACCC to monitor the development of services in these areas. The ACCC should monitor the number of fixed line services that continues to be made available in these regional, rural and remote </w:t>
      </w:r>
      <w:r w:rsidR="00F343A6" w:rsidRPr="003651DE">
        <w:rPr>
          <w:rFonts w:cstheme="minorHAnsi"/>
          <w:lang w:val="en-IE"/>
        </w:rPr>
        <w:t>areas</w:t>
      </w:r>
      <w:r w:rsidRPr="003651DE">
        <w:rPr>
          <w:rFonts w:cstheme="minorHAnsi"/>
          <w:lang w:val="en-IE"/>
        </w:rPr>
        <w:t xml:space="preserve"> and by providers to understand the changing level of competition </w:t>
      </w:r>
      <w:r w:rsidR="00860397">
        <w:rPr>
          <w:rFonts w:cstheme="minorHAnsi"/>
          <w:lang w:val="en-IE"/>
        </w:rPr>
        <w:t xml:space="preserve">in this market. </w:t>
      </w:r>
      <w:r w:rsidR="00FB0DB0">
        <w:rPr>
          <w:rFonts w:cstheme="minorHAnsi"/>
          <w:lang w:val="en-IE"/>
        </w:rPr>
        <w:t xml:space="preserve"> </w:t>
      </w:r>
      <w:r w:rsidR="002345ED">
        <w:rPr>
          <w:rFonts w:cstheme="minorHAnsi"/>
          <w:lang w:val="en-IE"/>
        </w:rPr>
        <w:t>It should also be clear to consumers what services are available and the different impacts that may result from switching to the nbn networks (such as during power outages). ACCC should warn providers not to pressure consumers to move to fixed wireless or satellite and that by providers only advising of fixed wireless and satellite plans could be considered as misleading consumers on what services are available. D</w:t>
      </w:r>
      <w:r w:rsidR="00FB0DB0">
        <w:rPr>
          <w:rFonts w:cstheme="minorHAnsi"/>
          <w:lang w:val="en-IE"/>
        </w:rPr>
        <w:t>e-commission</w:t>
      </w:r>
      <w:r w:rsidR="002345ED">
        <w:rPr>
          <w:rFonts w:cstheme="minorHAnsi"/>
          <w:lang w:val="en-IE"/>
        </w:rPr>
        <w:t>ing</w:t>
      </w:r>
      <w:r w:rsidR="00FB0DB0">
        <w:rPr>
          <w:rFonts w:cstheme="minorHAnsi"/>
          <w:lang w:val="en-IE"/>
        </w:rPr>
        <w:t xml:space="preserve"> copper </w:t>
      </w:r>
      <w:r w:rsidR="008D2179">
        <w:rPr>
          <w:rFonts w:cstheme="minorHAnsi"/>
          <w:lang w:val="en-IE"/>
        </w:rPr>
        <w:t>network outside</w:t>
      </w:r>
      <w:r w:rsidR="00FB0DB0">
        <w:rPr>
          <w:rFonts w:cstheme="minorHAnsi"/>
          <w:lang w:val="en-IE"/>
        </w:rPr>
        <w:t xml:space="preserve"> the f</w:t>
      </w:r>
      <w:r w:rsidR="002345ED">
        <w:rPr>
          <w:rFonts w:cstheme="minorHAnsi"/>
          <w:lang w:val="en-IE"/>
        </w:rPr>
        <w:t>ixed footprint should be</w:t>
      </w:r>
      <w:r w:rsidR="00FB0DB0">
        <w:rPr>
          <w:rFonts w:cstheme="minorHAnsi"/>
          <w:lang w:val="en-IE"/>
        </w:rPr>
        <w:t xml:space="preserve"> </w:t>
      </w:r>
      <w:r w:rsidR="002345ED">
        <w:rPr>
          <w:rFonts w:cstheme="minorHAnsi"/>
          <w:lang w:val="en-IE"/>
        </w:rPr>
        <w:t>the subject of public and community consultation</w:t>
      </w:r>
      <w:r w:rsidR="00FB0DB0">
        <w:rPr>
          <w:rFonts w:cstheme="minorHAnsi"/>
          <w:lang w:val="en-IE"/>
        </w:rPr>
        <w:t>.</w:t>
      </w:r>
    </w:p>
    <w:p w:rsidR="008B7192" w:rsidRDefault="008B7192" w:rsidP="00866792">
      <w:pPr>
        <w:pStyle w:val="Heading2"/>
        <w:rPr>
          <w:lang w:val="en-IE"/>
        </w:rPr>
      </w:pPr>
      <w:r>
        <w:rPr>
          <w:lang w:val="en-IE"/>
        </w:rPr>
        <w:t>Voice Services</w:t>
      </w:r>
    </w:p>
    <w:p w:rsidR="001B2C29" w:rsidRDefault="001B2C29" w:rsidP="00BC2BA4">
      <w:pPr>
        <w:rPr>
          <w:lang w:val="en-IE"/>
        </w:rPr>
      </w:pPr>
      <w:r w:rsidRPr="001B2C29">
        <w:rPr>
          <w:lang w:val="en-IE"/>
        </w:rPr>
        <w:t>The review of the USO raises questions about the future of copper phone services</w:t>
      </w:r>
      <w:r w:rsidR="00B42278">
        <w:rPr>
          <w:lang w:val="en-IE"/>
        </w:rPr>
        <w:t>. ACCAN is waiting for the Government and Department</w:t>
      </w:r>
      <w:r w:rsidR="006E1A69">
        <w:rPr>
          <w:lang w:val="en-IE"/>
        </w:rPr>
        <w:t xml:space="preserve"> of Communications and the Arts</w:t>
      </w:r>
      <w:r w:rsidR="00B42278">
        <w:rPr>
          <w:lang w:val="en-IE"/>
        </w:rPr>
        <w:t xml:space="preserve"> response to the Productivity Commission report</w:t>
      </w:r>
      <w:r w:rsidR="002345ED" w:rsidRPr="002345ED">
        <w:rPr>
          <w:lang w:val="en-IE"/>
        </w:rPr>
        <w:t xml:space="preserve"> </w:t>
      </w:r>
      <w:r w:rsidR="002345ED" w:rsidRPr="008A4378">
        <w:rPr>
          <w:lang w:val="en-IE"/>
        </w:rPr>
        <w:t>of the Universal Service Obligation</w:t>
      </w:r>
      <w:r w:rsidR="00B42278">
        <w:rPr>
          <w:lang w:val="en-IE"/>
        </w:rPr>
        <w:t>.</w:t>
      </w:r>
    </w:p>
    <w:p w:rsidR="008A4378" w:rsidRDefault="008A4378" w:rsidP="00BC2BA4">
      <w:pPr>
        <w:rPr>
          <w:lang w:val="en-IE"/>
        </w:rPr>
      </w:pPr>
      <w:r w:rsidRPr="008A4378">
        <w:rPr>
          <w:lang w:val="en-IE"/>
        </w:rPr>
        <w:t>A number of providers and the Productivity Commission report suggest that the Fixed Wireless network will be the network used to supply</w:t>
      </w:r>
      <w:r w:rsidR="002345ED">
        <w:rPr>
          <w:lang w:val="en-IE"/>
        </w:rPr>
        <w:t xml:space="preserve"> all</w:t>
      </w:r>
      <w:r w:rsidRPr="008A4378">
        <w:rPr>
          <w:lang w:val="en-IE"/>
        </w:rPr>
        <w:t xml:space="preserve"> internet and voice in the</w:t>
      </w:r>
      <w:r w:rsidR="002345ED">
        <w:rPr>
          <w:lang w:val="en-IE"/>
        </w:rPr>
        <w:t xml:space="preserve"> footprint</w:t>
      </w:r>
      <w:r w:rsidRPr="008A4378">
        <w:rPr>
          <w:lang w:val="en-IE"/>
        </w:rPr>
        <w:t xml:space="preserve">. However, Fixed Wireless is not designed to support all households in these areas, with a much lower take up rate </w:t>
      </w:r>
      <w:r w:rsidR="002345ED">
        <w:rPr>
          <w:lang w:val="en-IE"/>
        </w:rPr>
        <w:t>factored into projections</w:t>
      </w:r>
      <w:r w:rsidRPr="008A4378">
        <w:rPr>
          <w:lang w:val="en-IE"/>
        </w:rPr>
        <w:t>. Therefore assumptions that this network can be used as the sole network, to provide voice and internet</w:t>
      </w:r>
      <w:r w:rsidR="002345ED">
        <w:rPr>
          <w:lang w:val="en-IE"/>
        </w:rPr>
        <w:t xml:space="preserve"> connections,</w:t>
      </w:r>
      <w:r w:rsidRPr="008A4378">
        <w:rPr>
          <w:lang w:val="en-IE"/>
        </w:rPr>
        <w:t xml:space="preserve"> is particularly concerning for the future sustainability of services and the ultimate experience these consumers will have. </w:t>
      </w:r>
    </w:p>
    <w:p w:rsidR="00B42278" w:rsidRDefault="00B42278" w:rsidP="00BC2BA4">
      <w:pPr>
        <w:rPr>
          <w:lang w:val="en-IE"/>
        </w:rPr>
      </w:pPr>
      <w:r>
        <w:rPr>
          <w:lang w:val="en-IE"/>
        </w:rPr>
        <w:t xml:space="preserve">While we would like to see improvements to the provision of voice services </w:t>
      </w:r>
      <w:r w:rsidR="002345ED">
        <w:rPr>
          <w:lang w:val="en-IE"/>
        </w:rPr>
        <w:t xml:space="preserve">ACCAN </w:t>
      </w:r>
      <w:r>
        <w:rPr>
          <w:lang w:val="en-IE"/>
        </w:rPr>
        <w:t>believe</w:t>
      </w:r>
      <w:r w:rsidR="002345ED">
        <w:rPr>
          <w:lang w:val="en-IE"/>
        </w:rPr>
        <w:t>s</w:t>
      </w:r>
      <w:r>
        <w:rPr>
          <w:lang w:val="en-IE"/>
        </w:rPr>
        <w:t xml:space="preserve"> </w:t>
      </w:r>
      <w:r w:rsidR="00565E5A">
        <w:rPr>
          <w:lang w:val="en-IE"/>
        </w:rPr>
        <w:t>that any future proposals should fully consider and cost the following items:</w:t>
      </w:r>
    </w:p>
    <w:p w:rsidR="00565E5A" w:rsidRDefault="00565E5A" w:rsidP="00BC2BA4">
      <w:pPr>
        <w:pStyle w:val="ListParagraph"/>
        <w:numPr>
          <w:ilvl w:val="0"/>
          <w:numId w:val="20"/>
        </w:numPr>
        <w:rPr>
          <w:lang w:val="en-IE"/>
        </w:rPr>
      </w:pPr>
      <w:r>
        <w:rPr>
          <w:lang w:val="en-IE"/>
        </w:rPr>
        <w:lastRenderedPageBreak/>
        <w:t xml:space="preserve">The </w:t>
      </w:r>
      <w:r w:rsidR="008A56E0">
        <w:rPr>
          <w:lang w:val="en-IE"/>
        </w:rPr>
        <w:t xml:space="preserve">alternative </w:t>
      </w:r>
      <w:r>
        <w:rPr>
          <w:lang w:val="en-IE"/>
        </w:rPr>
        <w:t xml:space="preserve">technologies ability to deliver the  level of quality </w:t>
      </w:r>
      <w:r w:rsidR="008A56E0">
        <w:rPr>
          <w:lang w:val="en-IE"/>
        </w:rPr>
        <w:t xml:space="preserve">needed </w:t>
      </w:r>
      <w:r w:rsidR="002345ED">
        <w:rPr>
          <w:lang w:val="en-IE"/>
        </w:rPr>
        <w:t xml:space="preserve">to deliver an any to any </w:t>
      </w:r>
      <w:r w:rsidR="008A56E0">
        <w:rPr>
          <w:lang w:val="en-IE"/>
        </w:rPr>
        <w:t xml:space="preserve">quality </w:t>
      </w:r>
      <w:r>
        <w:rPr>
          <w:lang w:val="en-IE"/>
        </w:rPr>
        <w:t>voice service</w:t>
      </w:r>
      <w:r w:rsidR="002345ED">
        <w:rPr>
          <w:lang w:val="en-IE"/>
        </w:rPr>
        <w:t>,</w:t>
      </w:r>
    </w:p>
    <w:p w:rsidR="00565E5A" w:rsidRDefault="00565E5A" w:rsidP="00BC2BA4">
      <w:pPr>
        <w:pStyle w:val="ListParagraph"/>
        <w:numPr>
          <w:ilvl w:val="0"/>
          <w:numId w:val="20"/>
        </w:numPr>
        <w:rPr>
          <w:lang w:val="en-IE"/>
        </w:rPr>
      </w:pPr>
      <w:r>
        <w:rPr>
          <w:lang w:val="en-IE"/>
        </w:rPr>
        <w:t xml:space="preserve">The level of reliability of the service for consumers, </w:t>
      </w:r>
      <w:r w:rsidR="002345ED">
        <w:rPr>
          <w:lang w:val="en-IE"/>
        </w:rPr>
        <w:t xml:space="preserve">in terms of expected minutes outage and repair timeframes, </w:t>
      </w:r>
      <w:r>
        <w:rPr>
          <w:lang w:val="en-IE"/>
        </w:rPr>
        <w:t>particularl</w:t>
      </w:r>
      <w:r w:rsidR="00BC2BA4">
        <w:rPr>
          <w:lang w:val="en-IE"/>
        </w:rPr>
        <w:t>y in the most remote areas.</w:t>
      </w:r>
    </w:p>
    <w:p w:rsidR="00BC2BA4" w:rsidRDefault="008A4378" w:rsidP="00BC2BA4">
      <w:pPr>
        <w:pStyle w:val="ListParagraph"/>
        <w:numPr>
          <w:ilvl w:val="0"/>
          <w:numId w:val="20"/>
        </w:numPr>
        <w:rPr>
          <w:lang w:val="en-IE"/>
        </w:rPr>
      </w:pPr>
      <w:r>
        <w:rPr>
          <w:lang w:val="en-IE"/>
        </w:rPr>
        <w:t>The number of networks that consumers have access to, in case one network is out. It is important that consumers have a</w:t>
      </w:r>
      <w:r w:rsidR="00BC2BA4">
        <w:rPr>
          <w:lang w:val="en-IE"/>
        </w:rPr>
        <w:t xml:space="preserve"> level of resilience</w:t>
      </w:r>
      <w:r>
        <w:rPr>
          <w:lang w:val="en-IE"/>
        </w:rPr>
        <w:t xml:space="preserve">. This is particularly true for remote areas that are a long distance from others and may have a higher </w:t>
      </w:r>
      <w:r w:rsidR="008B6367">
        <w:rPr>
          <w:lang w:val="en-IE"/>
        </w:rPr>
        <w:t>occurrence</w:t>
      </w:r>
      <w:r>
        <w:rPr>
          <w:lang w:val="en-IE"/>
        </w:rPr>
        <w:t xml:space="preserve"> of weather conditions.</w:t>
      </w:r>
    </w:p>
    <w:p w:rsidR="00BC2BA4" w:rsidRPr="00565E5A" w:rsidRDefault="00BC2BA4" w:rsidP="00BC2BA4">
      <w:pPr>
        <w:pStyle w:val="ListParagraph"/>
        <w:numPr>
          <w:ilvl w:val="0"/>
          <w:numId w:val="20"/>
        </w:numPr>
        <w:rPr>
          <w:lang w:val="en-IE"/>
        </w:rPr>
      </w:pPr>
      <w:r>
        <w:rPr>
          <w:lang w:val="en-IE"/>
        </w:rPr>
        <w:t>The cost that consumers have to bear in terms of the equipment and on-going charges for the use of the services.</w:t>
      </w:r>
      <w:r w:rsidR="008A4378">
        <w:rPr>
          <w:lang w:val="en-IE"/>
        </w:rPr>
        <w:t xml:space="preserve"> Any alternative services considered should factor in costs that are transferred to the consumer, particularly higher call, text and data costs. </w:t>
      </w:r>
    </w:p>
    <w:p w:rsidR="003651DE" w:rsidRPr="003651DE" w:rsidRDefault="003651DE" w:rsidP="00866792">
      <w:pPr>
        <w:pStyle w:val="Heading2"/>
        <w:rPr>
          <w:lang w:val="en-IE"/>
        </w:rPr>
      </w:pPr>
      <w:r w:rsidRPr="003651DE">
        <w:rPr>
          <w:lang w:val="en-IE"/>
        </w:rPr>
        <w:t>Alternative Wireless</w:t>
      </w:r>
    </w:p>
    <w:p w:rsidR="003651DE" w:rsidRPr="003651DE" w:rsidRDefault="003651DE" w:rsidP="003651DE">
      <w:pPr>
        <w:spacing w:after="0"/>
        <w:rPr>
          <w:rFonts w:cstheme="minorHAnsi"/>
          <w:lang w:val="en-IE"/>
        </w:rPr>
      </w:pPr>
      <w:r w:rsidRPr="003651DE">
        <w:rPr>
          <w:rFonts w:cstheme="minorHAnsi"/>
          <w:lang w:val="en-IE"/>
        </w:rPr>
        <w:t xml:space="preserve">ACCAN believes the alternative wireless providers play an important role in supplying services. These providers are </w:t>
      </w:r>
      <w:r w:rsidR="00860397">
        <w:rPr>
          <w:rFonts w:cstheme="minorHAnsi"/>
          <w:lang w:val="en-IE"/>
        </w:rPr>
        <w:t xml:space="preserve">identified as potential service upgrade alternatives for consumers experiencing poor quality voice and </w:t>
      </w:r>
      <w:r w:rsidR="00C3773C">
        <w:rPr>
          <w:rFonts w:cstheme="minorHAnsi"/>
          <w:lang w:val="en-IE"/>
        </w:rPr>
        <w:t xml:space="preserve">internet </w:t>
      </w:r>
      <w:r w:rsidR="00C3773C" w:rsidRPr="003651DE">
        <w:rPr>
          <w:rFonts w:cstheme="minorHAnsi"/>
          <w:lang w:val="en-IE"/>
        </w:rPr>
        <w:t>in</w:t>
      </w:r>
      <w:r w:rsidRPr="003651DE">
        <w:rPr>
          <w:rFonts w:cstheme="minorHAnsi"/>
          <w:lang w:val="en-IE"/>
        </w:rPr>
        <w:t xml:space="preserve"> our Get Connected resource, which lists 30 such providers.</w:t>
      </w:r>
      <w:r w:rsidR="006A0B28">
        <w:rPr>
          <w:rStyle w:val="FootnoteReference"/>
          <w:rFonts w:cstheme="minorHAnsi"/>
          <w:lang w:val="en-IE"/>
        </w:rPr>
        <w:footnoteReference w:id="10"/>
      </w:r>
      <w:r w:rsidRPr="003651DE">
        <w:rPr>
          <w:rFonts w:cstheme="minorHAnsi"/>
          <w:lang w:val="en-IE"/>
        </w:rPr>
        <w:t xml:space="preserve"> In developing this resource we also found that there was “a lack of consumer awareness that there are other service</w:t>
      </w:r>
      <w:r w:rsidR="001732B3">
        <w:rPr>
          <w:rFonts w:cstheme="minorHAnsi"/>
          <w:lang w:val="en-IE"/>
        </w:rPr>
        <w:t xml:space="preserve"> provider options” than Telstra</w:t>
      </w:r>
      <w:r w:rsidRPr="003651DE">
        <w:rPr>
          <w:rFonts w:cstheme="minorHAnsi"/>
          <w:lang w:val="en-IE"/>
        </w:rPr>
        <w:t>.</w:t>
      </w:r>
      <w:r w:rsidR="001732B3">
        <w:rPr>
          <w:rStyle w:val="FootnoteReference"/>
          <w:rFonts w:cstheme="minorHAnsi"/>
          <w:lang w:val="en-IE"/>
        </w:rPr>
        <w:footnoteReference w:id="11"/>
      </w:r>
      <w:r w:rsidR="002A3D4E">
        <w:rPr>
          <w:rFonts w:cstheme="minorHAnsi"/>
          <w:lang w:val="en-IE"/>
        </w:rPr>
        <w:t xml:space="preserve"> Part of the aim of this resource is to draw attention to the array of providers that may be an option.</w:t>
      </w:r>
    </w:p>
    <w:p w:rsidR="003651DE" w:rsidRDefault="003651DE" w:rsidP="001732B3">
      <w:pPr>
        <w:spacing w:before="240" w:after="0"/>
        <w:rPr>
          <w:rFonts w:cstheme="minorHAnsi"/>
          <w:lang w:val="en-IE"/>
        </w:rPr>
      </w:pPr>
      <w:r w:rsidRPr="003651DE">
        <w:rPr>
          <w:rFonts w:cstheme="minorHAnsi"/>
          <w:lang w:val="en-IE"/>
        </w:rPr>
        <w:t xml:space="preserve">Greater competition and awareness in </w:t>
      </w:r>
      <w:r w:rsidR="00860397">
        <w:rPr>
          <w:rFonts w:cstheme="minorHAnsi"/>
          <w:lang w:val="en-IE"/>
        </w:rPr>
        <w:t>r</w:t>
      </w:r>
      <w:r w:rsidRPr="003651DE">
        <w:rPr>
          <w:rFonts w:cstheme="minorHAnsi"/>
          <w:lang w:val="en-IE"/>
        </w:rPr>
        <w:t xml:space="preserve">egional, </w:t>
      </w:r>
      <w:r w:rsidR="00860397">
        <w:rPr>
          <w:rFonts w:cstheme="minorHAnsi"/>
          <w:lang w:val="en-IE"/>
        </w:rPr>
        <w:t>r</w:t>
      </w:r>
      <w:r w:rsidRPr="003651DE">
        <w:rPr>
          <w:rFonts w:cstheme="minorHAnsi"/>
          <w:lang w:val="en-IE"/>
        </w:rPr>
        <w:t xml:space="preserve">ural and </w:t>
      </w:r>
      <w:r w:rsidR="00860397">
        <w:rPr>
          <w:rFonts w:cstheme="minorHAnsi"/>
          <w:lang w:val="en-IE"/>
        </w:rPr>
        <w:t>r</w:t>
      </w:r>
      <w:r w:rsidRPr="003651DE">
        <w:rPr>
          <w:rFonts w:cstheme="minorHAnsi"/>
          <w:lang w:val="en-IE"/>
        </w:rPr>
        <w:t xml:space="preserve">emote areas is very important. For this reason ACCAN supports recommendation 27 to recognize and promote competition in the radio-communications regime. This will ensure that spectrum allocations ensure </w:t>
      </w:r>
      <w:r w:rsidR="002A3D4E" w:rsidRPr="003651DE">
        <w:rPr>
          <w:rFonts w:cstheme="minorHAnsi"/>
          <w:lang w:val="en-IE"/>
        </w:rPr>
        <w:t>competitive services to consumers are</w:t>
      </w:r>
      <w:r w:rsidRPr="003651DE">
        <w:rPr>
          <w:rFonts w:cstheme="minorHAnsi"/>
          <w:lang w:val="en-IE"/>
        </w:rPr>
        <w:t xml:space="preserve"> </w:t>
      </w:r>
      <w:r w:rsidR="002A3D4E">
        <w:rPr>
          <w:rFonts w:cstheme="minorHAnsi"/>
          <w:lang w:val="en-IE"/>
        </w:rPr>
        <w:t>a</w:t>
      </w:r>
      <w:r w:rsidRPr="003651DE">
        <w:rPr>
          <w:rFonts w:cstheme="minorHAnsi"/>
          <w:lang w:val="en-IE"/>
        </w:rPr>
        <w:t xml:space="preserve"> priority.</w:t>
      </w:r>
    </w:p>
    <w:p w:rsidR="003155C3" w:rsidRDefault="003155C3" w:rsidP="003155C3">
      <w:pPr>
        <w:pStyle w:val="Heading2"/>
        <w:rPr>
          <w:lang w:val="en-IE"/>
        </w:rPr>
      </w:pPr>
      <w:r>
        <w:rPr>
          <w:lang w:val="en-IE"/>
        </w:rPr>
        <w:t>Open Access</w:t>
      </w:r>
    </w:p>
    <w:p w:rsidR="003155C3" w:rsidRPr="003155C3" w:rsidRDefault="003155C3" w:rsidP="003155C3">
      <w:pPr>
        <w:rPr>
          <w:lang w:val="en-IE"/>
        </w:rPr>
      </w:pPr>
      <w:r>
        <w:rPr>
          <w:lang w:val="en-IE"/>
        </w:rPr>
        <w:t xml:space="preserve">ACCAN supports proposed action 22 which proposes to examine </w:t>
      </w:r>
      <w:r w:rsidR="002A3D4E">
        <w:rPr>
          <w:lang w:val="en-IE"/>
        </w:rPr>
        <w:t xml:space="preserve">dense </w:t>
      </w:r>
      <w:r>
        <w:rPr>
          <w:lang w:val="en-IE"/>
        </w:rPr>
        <w:t xml:space="preserve">small cell infrastructure for open access regulation. </w:t>
      </w:r>
      <w:r w:rsidR="002A3D4E">
        <w:rPr>
          <w:lang w:val="en-IE"/>
        </w:rPr>
        <w:t xml:space="preserve">As </w:t>
      </w:r>
      <w:r w:rsidR="00C3773C">
        <w:rPr>
          <w:lang w:val="en-IE"/>
        </w:rPr>
        <w:t>this is</w:t>
      </w:r>
      <w:r w:rsidR="002A3D4E">
        <w:rPr>
          <w:lang w:val="en-IE"/>
        </w:rPr>
        <w:t xml:space="preserve"> likely to be critical infrastructure it would be beneficial to examine the access regime now.</w:t>
      </w:r>
    </w:p>
    <w:p w:rsidR="003651DE" w:rsidRPr="003651DE" w:rsidRDefault="003651DE" w:rsidP="00866792">
      <w:pPr>
        <w:pStyle w:val="Heading1"/>
        <w:rPr>
          <w:lang w:val="en-IE"/>
        </w:rPr>
      </w:pPr>
      <w:r w:rsidRPr="003651DE">
        <w:rPr>
          <w:lang w:val="en-IE"/>
        </w:rPr>
        <w:t>Pricing</w:t>
      </w:r>
    </w:p>
    <w:p w:rsidR="003651DE" w:rsidRPr="003651DE" w:rsidRDefault="003651DE" w:rsidP="00866792">
      <w:pPr>
        <w:pStyle w:val="Heading2"/>
        <w:rPr>
          <w:lang w:val="en-IE"/>
        </w:rPr>
      </w:pPr>
      <w:r w:rsidRPr="003651DE">
        <w:rPr>
          <w:lang w:val="en-IE"/>
        </w:rPr>
        <w:t xml:space="preserve">Long term </w:t>
      </w:r>
    </w:p>
    <w:p w:rsidR="002A3D4E" w:rsidRDefault="001732B3" w:rsidP="002A3D4E">
      <w:pPr>
        <w:spacing w:before="240" w:after="0"/>
        <w:rPr>
          <w:rFonts w:cstheme="minorHAnsi"/>
          <w:lang w:val="en-IE"/>
        </w:rPr>
      </w:pPr>
      <w:r>
        <w:rPr>
          <w:rFonts w:cstheme="minorHAnsi"/>
          <w:lang w:val="en-IE"/>
        </w:rPr>
        <w:t>ACCAN has concerns about the</w:t>
      </w:r>
      <w:r w:rsidR="003651DE" w:rsidRPr="003651DE">
        <w:rPr>
          <w:rFonts w:cstheme="minorHAnsi"/>
          <w:lang w:val="en-IE"/>
        </w:rPr>
        <w:t xml:space="preserve"> future affordability of services and the potential for digital exclusion to grow in the near future due to nbn pricing. </w:t>
      </w:r>
      <w:r w:rsidR="002A3D4E" w:rsidRPr="003651DE">
        <w:rPr>
          <w:rFonts w:cstheme="minorHAnsi"/>
          <w:lang w:val="en-IE"/>
        </w:rPr>
        <w:t>The ACCC note</w:t>
      </w:r>
      <w:r w:rsidR="00A720F3">
        <w:rPr>
          <w:rFonts w:cstheme="minorHAnsi"/>
          <w:lang w:val="en-IE"/>
        </w:rPr>
        <w:t>s</w:t>
      </w:r>
      <w:r w:rsidR="002A3D4E" w:rsidRPr="003651DE">
        <w:rPr>
          <w:rFonts w:cstheme="minorHAnsi"/>
          <w:lang w:val="en-IE"/>
        </w:rPr>
        <w:t xml:space="preserve"> that there has be</w:t>
      </w:r>
      <w:r w:rsidR="002A3D4E">
        <w:rPr>
          <w:rFonts w:cstheme="minorHAnsi"/>
          <w:lang w:val="en-IE"/>
        </w:rPr>
        <w:t>e</w:t>
      </w:r>
      <w:r w:rsidR="002A3D4E" w:rsidRPr="003651DE">
        <w:rPr>
          <w:rFonts w:cstheme="minorHAnsi"/>
          <w:lang w:val="en-IE"/>
        </w:rPr>
        <w:t>n a long history of declining prices in the telecommunications market; this has in part been a reason for the increased take up of services</w:t>
      </w:r>
      <w:r w:rsidR="002A3D4E">
        <w:rPr>
          <w:rFonts w:cstheme="minorHAnsi"/>
          <w:lang w:val="en-IE"/>
        </w:rPr>
        <w:t xml:space="preserve">. </w:t>
      </w:r>
      <w:r w:rsidR="002A3D4E" w:rsidRPr="003651DE">
        <w:rPr>
          <w:rFonts w:cstheme="minorHAnsi"/>
          <w:lang w:val="en-IE"/>
        </w:rPr>
        <w:t>Looking forward</w:t>
      </w:r>
      <w:r w:rsidR="002A3D4E">
        <w:rPr>
          <w:rFonts w:cstheme="minorHAnsi"/>
          <w:lang w:val="en-IE"/>
        </w:rPr>
        <w:t xml:space="preserve"> </w:t>
      </w:r>
      <w:r w:rsidR="002A3D4E" w:rsidRPr="003651DE">
        <w:rPr>
          <w:rFonts w:cstheme="minorHAnsi"/>
          <w:lang w:val="en-IE"/>
        </w:rPr>
        <w:t>this trend is unlikely to continue</w:t>
      </w:r>
      <w:r w:rsidR="002A3D4E">
        <w:rPr>
          <w:rFonts w:cstheme="minorHAnsi"/>
          <w:lang w:val="en-IE"/>
        </w:rPr>
        <w:t>. It is not clear</w:t>
      </w:r>
      <w:r w:rsidR="00C972EB">
        <w:rPr>
          <w:rFonts w:cstheme="minorHAnsi"/>
          <w:lang w:val="en-IE"/>
        </w:rPr>
        <w:t xml:space="preserve"> all three below statements can </w:t>
      </w:r>
      <w:r w:rsidR="002A3D4E">
        <w:rPr>
          <w:rFonts w:cstheme="minorHAnsi"/>
          <w:lang w:val="en-IE"/>
        </w:rPr>
        <w:t>simultaneously</w:t>
      </w:r>
      <w:r w:rsidR="00C972EB">
        <w:rPr>
          <w:rFonts w:cstheme="minorHAnsi"/>
          <w:lang w:val="en-IE"/>
        </w:rPr>
        <w:t xml:space="preserve"> be true</w:t>
      </w:r>
      <w:r w:rsidR="002A3D4E">
        <w:rPr>
          <w:rFonts w:cstheme="minorHAnsi"/>
          <w:lang w:val="en-IE"/>
        </w:rPr>
        <w:t>:</w:t>
      </w:r>
    </w:p>
    <w:p w:rsidR="002A3D4E" w:rsidRDefault="002A3D4E" w:rsidP="002A3D4E">
      <w:pPr>
        <w:pStyle w:val="ListParagraph"/>
        <w:numPr>
          <w:ilvl w:val="0"/>
          <w:numId w:val="19"/>
        </w:numPr>
        <w:rPr>
          <w:lang w:val="en-IE"/>
        </w:rPr>
      </w:pPr>
      <w:r>
        <w:rPr>
          <w:lang w:val="en-IE"/>
        </w:rPr>
        <w:lastRenderedPageBreak/>
        <w:t xml:space="preserve">Affordability of services </w:t>
      </w:r>
      <w:r w:rsidR="00A720F3">
        <w:rPr>
          <w:lang w:val="en-IE"/>
        </w:rPr>
        <w:t xml:space="preserve">can </w:t>
      </w:r>
      <w:r w:rsidR="00FE6F9D">
        <w:rPr>
          <w:lang w:val="en-IE"/>
        </w:rPr>
        <w:t>continue</w:t>
      </w:r>
      <w:r w:rsidR="00141D67">
        <w:rPr>
          <w:lang w:val="en-IE"/>
        </w:rPr>
        <w:t xml:space="preserve"> to </w:t>
      </w:r>
      <w:r>
        <w:rPr>
          <w:lang w:val="en-IE"/>
        </w:rPr>
        <w:t>i</w:t>
      </w:r>
      <w:r w:rsidR="00FE6F9D">
        <w:rPr>
          <w:lang w:val="en-IE"/>
        </w:rPr>
        <w:t>mprove</w:t>
      </w:r>
      <w:r>
        <w:rPr>
          <w:lang w:val="en-IE"/>
        </w:rPr>
        <w:t xml:space="preserve">, </w:t>
      </w:r>
      <w:r w:rsidR="004F7719">
        <w:rPr>
          <w:lang w:val="en-IE"/>
        </w:rPr>
        <w:t xml:space="preserve">while </w:t>
      </w:r>
    </w:p>
    <w:p w:rsidR="00D64C78" w:rsidRDefault="002A3D4E" w:rsidP="004F7719">
      <w:pPr>
        <w:pStyle w:val="ListParagraph"/>
        <w:numPr>
          <w:ilvl w:val="0"/>
          <w:numId w:val="19"/>
        </w:numPr>
        <w:rPr>
          <w:lang w:val="en-IE"/>
        </w:rPr>
      </w:pPr>
      <w:r w:rsidRPr="004F7719">
        <w:rPr>
          <w:lang w:val="en-IE"/>
        </w:rPr>
        <w:t>Consumer</w:t>
      </w:r>
      <w:r w:rsidR="00141D67" w:rsidRPr="004F7719">
        <w:rPr>
          <w:lang w:val="en-IE"/>
        </w:rPr>
        <w:t>s</w:t>
      </w:r>
      <w:r w:rsidR="00811A40">
        <w:rPr>
          <w:lang w:val="en-IE"/>
        </w:rPr>
        <w:t xml:space="preserve"> continue to</w:t>
      </w:r>
      <w:r w:rsidR="00141D67" w:rsidRPr="004F7719">
        <w:rPr>
          <w:lang w:val="en-IE"/>
        </w:rPr>
        <w:t xml:space="preserve"> increas</w:t>
      </w:r>
      <w:r w:rsidR="00811A40">
        <w:rPr>
          <w:lang w:val="en-IE"/>
        </w:rPr>
        <w:t>e</w:t>
      </w:r>
      <w:r w:rsidR="008D2179">
        <w:rPr>
          <w:lang w:val="en-IE"/>
        </w:rPr>
        <w:t xml:space="preserve"> their data usage</w:t>
      </w:r>
      <w:r w:rsidRPr="004F7719">
        <w:rPr>
          <w:lang w:val="en-IE"/>
        </w:rPr>
        <w:t>,</w:t>
      </w:r>
      <w:r w:rsidR="004F7719">
        <w:rPr>
          <w:lang w:val="en-IE"/>
        </w:rPr>
        <w:t xml:space="preserve"> and</w:t>
      </w:r>
    </w:p>
    <w:p w:rsidR="002A3D4E" w:rsidRPr="004F7719" w:rsidRDefault="002A3D4E" w:rsidP="004F7719">
      <w:pPr>
        <w:pStyle w:val="ListParagraph"/>
        <w:numPr>
          <w:ilvl w:val="0"/>
          <w:numId w:val="19"/>
        </w:numPr>
        <w:rPr>
          <w:lang w:val="en-IE"/>
        </w:rPr>
      </w:pPr>
      <w:r w:rsidRPr="004F7719">
        <w:rPr>
          <w:lang w:val="en-IE"/>
        </w:rPr>
        <w:t xml:space="preserve">Nbn </w:t>
      </w:r>
      <w:r w:rsidR="008D2179">
        <w:rPr>
          <w:lang w:val="en-IE"/>
        </w:rPr>
        <w:t xml:space="preserve">expects to </w:t>
      </w:r>
      <w:r w:rsidRPr="004F7719">
        <w:rPr>
          <w:lang w:val="en-IE"/>
        </w:rPr>
        <w:t>increas</w:t>
      </w:r>
      <w:r w:rsidR="004F7719" w:rsidRPr="004F7719">
        <w:rPr>
          <w:lang w:val="en-IE"/>
        </w:rPr>
        <w:t xml:space="preserve">e </w:t>
      </w:r>
      <w:r w:rsidR="00DE6965" w:rsidRPr="004F7719">
        <w:rPr>
          <w:lang w:val="en-IE"/>
        </w:rPr>
        <w:t>its return from</w:t>
      </w:r>
      <w:r w:rsidRPr="004F7719">
        <w:rPr>
          <w:lang w:val="en-IE"/>
        </w:rPr>
        <w:t xml:space="preserve"> each connected premises.</w:t>
      </w:r>
      <w:r>
        <w:rPr>
          <w:rStyle w:val="FootnoteReference"/>
          <w:rFonts w:cstheme="minorHAnsi"/>
          <w:lang w:val="en-IE"/>
        </w:rPr>
        <w:footnoteReference w:id="12"/>
      </w:r>
    </w:p>
    <w:p w:rsidR="003651DE" w:rsidRDefault="003651DE" w:rsidP="002A3D4E">
      <w:pPr>
        <w:spacing w:before="240" w:after="0"/>
        <w:rPr>
          <w:rFonts w:cstheme="minorHAnsi"/>
          <w:lang w:val="en-IE"/>
        </w:rPr>
      </w:pPr>
      <w:r w:rsidRPr="003651DE">
        <w:rPr>
          <w:rFonts w:cstheme="minorHAnsi"/>
          <w:lang w:val="en-IE"/>
        </w:rPr>
        <w:t>As the ACCC note</w:t>
      </w:r>
      <w:r w:rsidR="00A720F3">
        <w:rPr>
          <w:rFonts w:cstheme="minorHAnsi"/>
          <w:lang w:val="en-IE"/>
        </w:rPr>
        <w:t>s</w:t>
      </w:r>
      <w:r w:rsidRPr="003651DE">
        <w:rPr>
          <w:rFonts w:cstheme="minorHAnsi"/>
          <w:lang w:val="en-IE"/>
        </w:rPr>
        <w:t xml:space="preserve">, “nbn pricing may not be sufficient to meet NBN </w:t>
      </w:r>
      <w:r w:rsidR="00F343A6" w:rsidRPr="003651DE">
        <w:rPr>
          <w:rFonts w:cstheme="minorHAnsi"/>
          <w:lang w:val="en-IE"/>
        </w:rPr>
        <w:t>Co.’s</w:t>
      </w:r>
      <w:r w:rsidRPr="003651DE">
        <w:rPr>
          <w:rFonts w:cstheme="minorHAnsi"/>
          <w:lang w:val="en-IE"/>
        </w:rPr>
        <w:t xml:space="preserve"> long term cost recovery requirements”.</w:t>
      </w:r>
      <w:r w:rsidR="001732B3">
        <w:rPr>
          <w:rStyle w:val="FootnoteReference"/>
          <w:rFonts w:cstheme="minorHAnsi"/>
          <w:lang w:val="en-IE"/>
        </w:rPr>
        <w:footnoteReference w:id="13"/>
      </w:r>
      <w:r w:rsidRPr="003651DE">
        <w:rPr>
          <w:rFonts w:cstheme="minorHAnsi"/>
          <w:lang w:val="en-IE"/>
        </w:rPr>
        <w:t xml:space="preserve"> ACCAN is concerned that increased pricing or the introduction</w:t>
      </w:r>
      <w:r w:rsidR="00141D67">
        <w:rPr>
          <w:rFonts w:cstheme="minorHAnsi"/>
          <w:lang w:val="en-IE"/>
        </w:rPr>
        <w:t xml:space="preserve"> by nbn</w:t>
      </w:r>
      <w:r w:rsidRPr="003651DE">
        <w:rPr>
          <w:rFonts w:cstheme="minorHAnsi"/>
          <w:lang w:val="en-IE"/>
        </w:rPr>
        <w:t xml:space="preserve"> of fringe charges </w:t>
      </w:r>
      <w:r w:rsidR="00811A40">
        <w:rPr>
          <w:rFonts w:cstheme="minorHAnsi"/>
          <w:lang w:val="en-IE"/>
        </w:rPr>
        <w:t xml:space="preserve">(such as installation charges or repair charges) </w:t>
      </w:r>
      <w:r w:rsidRPr="003651DE">
        <w:rPr>
          <w:rFonts w:cstheme="minorHAnsi"/>
          <w:lang w:val="en-IE"/>
        </w:rPr>
        <w:t>to help recover cost is going to exclude lower income households from access</w:t>
      </w:r>
      <w:r w:rsidR="00141D67">
        <w:rPr>
          <w:rFonts w:cstheme="minorHAnsi"/>
          <w:lang w:val="en-IE"/>
        </w:rPr>
        <w:t>ing</w:t>
      </w:r>
      <w:r w:rsidRPr="003651DE">
        <w:rPr>
          <w:rFonts w:cstheme="minorHAnsi"/>
          <w:lang w:val="en-IE"/>
        </w:rPr>
        <w:t xml:space="preserve"> fixed services.</w:t>
      </w:r>
    </w:p>
    <w:p w:rsidR="00141D67" w:rsidRDefault="00141D67" w:rsidP="002A3D4E">
      <w:pPr>
        <w:spacing w:before="240" w:after="0"/>
        <w:rPr>
          <w:rFonts w:cstheme="minorHAnsi"/>
          <w:lang w:val="en-IE"/>
        </w:rPr>
      </w:pPr>
      <w:r>
        <w:rPr>
          <w:rFonts w:cstheme="minorHAnsi"/>
          <w:lang w:val="en-IE"/>
        </w:rPr>
        <w:t>For lower income premises the cost of having and staying connected is a significant impost on their expenditure. The bottom ten percent of households spends nearly 10% of the</w:t>
      </w:r>
      <w:r w:rsidR="004F7719">
        <w:rPr>
          <w:rFonts w:cstheme="minorHAnsi"/>
          <w:lang w:val="en-IE"/>
        </w:rPr>
        <w:t>ir</w:t>
      </w:r>
      <w:r>
        <w:rPr>
          <w:rFonts w:cstheme="minorHAnsi"/>
          <w:lang w:val="en-IE"/>
        </w:rPr>
        <w:t xml:space="preserve"> disposable income on communication charges (see graph below). Increases in costs are going to threaten these households ability to stay connected. Expectations that access to NBN alone, or that the current </w:t>
      </w:r>
      <w:r w:rsidR="00811A40">
        <w:rPr>
          <w:rFonts w:cstheme="minorHAnsi"/>
          <w:lang w:val="en-IE"/>
        </w:rPr>
        <w:t xml:space="preserve">restrictions on nbn increasing its </w:t>
      </w:r>
      <w:r>
        <w:rPr>
          <w:rFonts w:cstheme="minorHAnsi"/>
          <w:lang w:val="en-IE"/>
        </w:rPr>
        <w:t>price</w:t>
      </w:r>
      <w:r w:rsidR="00811A40">
        <w:rPr>
          <w:rFonts w:cstheme="minorHAnsi"/>
          <w:lang w:val="en-IE"/>
        </w:rPr>
        <w:t>s</w:t>
      </w:r>
      <w:r>
        <w:rPr>
          <w:rFonts w:cstheme="minorHAnsi"/>
          <w:lang w:val="en-IE"/>
        </w:rPr>
        <w:t xml:space="preserve"> will </w:t>
      </w:r>
      <w:r w:rsidRPr="003651DE">
        <w:rPr>
          <w:rFonts w:cstheme="minorHAnsi"/>
        </w:rPr>
        <w:t>meet the stated purpose of “</w:t>
      </w:r>
      <w:r>
        <w:rPr>
          <w:rFonts w:cstheme="minorHAnsi"/>
          <w:lang w:val="en-IE"/>
        </w:rPr>
        <w:t>connect</w:t>
      </w:r>
      <w:r w:rsidRPr="003651DE">
        <w:rPr>
          <w:rFonts w:cstheme="minorHAnsi"/>
          <w:lang w:val="en-IE"/>
        </w:rPr>
        <w:t>ing Australia and bridging the digital divide” or “ensuring that all Australians have access to very fast broadband”</w:t>
      </w:r>
      <w:r>
        <w:rPr>
          <w:rFonts w:cstheme="minorHAnsi"/>
          <w:lang w:val="en-IE"/>
        </w:rPr>
        <w:t>, will ultimately result in an increasing digital divide and millions of excluded households</w:t>
      </w:r>
      <w:r w:rsidRPr="003651DE">
        <w:rPr>
          <w:rFonts w:cstheme="minorHAnsi"/>
          <w:lang w:val="en-IE"/>
        </w:rPr>
        <w:t>.</w:t>
      </w:r>
      <w:bookmarkStart w:id="1" w:name="sdfootnote4anc"/>
      <w:r>
        <w:rPr>
          <w:rStyle w:val="FootnoteReference"/>
          <w:rFonts w:cstheme="minorHAnsi"/>
          <w:lang w:val="en-IE"/>
        </w:rPr>
        <w:footnoteReference w:id="14"/>
      </w:r>
      <w:bookmarkEnd w:id="1"/>
    </w:p>
    <w:p w:rsidR="00887730" w:rsidRPr="003651DE" w:rsidRDefault="001732B3" w:rsidP="003651DE">
      <w:pPr>
        <w:spacing w:after="0"/>
        <w:rPr>
          <w:rFonts w:cstheme="minorHAnsi"/>
          <w:lang w:val="en-IE"/>
        </w:rPr>
      </w:pPr>
      <w:r>
        <w:rPr>
          <w:noProof/>
          <w:lang w:val="en-IE" w:eastAsia="en-IE"/>
        </w:rPr>
        <w:drawing>
          <wp:inline distT="0" distB="0" distL="0" distR="0" wp14:anchorId="03EFBCBF" wp14:editId="1F28A396">
            <wp:extent cx="5731510" cy="3665743"/>
            <wp:effectExtent l="0" t="0" r="2540" b="0"/>
            <wp:docPr id="34" name="Picture 34" descr="This is a bar chart. The y axis shows the average share of household disposable income spent on communications services (telephone and internet). The x axis shows household disposable income deciles. Shows that in 2015, the bottom 10 per cent of households by income spent almost 10 per cent of their disposable income on communications services, compared with the top 10 per cent of households, who spent approximately 1 per cent of their disposable income." title="Figure 25. Average share of household disposable income spent on mobile and fixed-line telephone rent, calls and internet charges, by household disposable income decile, 2015"/>
            <wp:cNvGraphicFramePr/>
            <a:graphic xmlns:a="http://schemas.openxmlformats.org/drawingml/2006/main">
              <a:graphicData uri="http://schemas.openxmlformats.org/drawingml/2006/picture">
                <pic:pic xmlns:pic="http://schemas.openxmlformats.org/drawingml/2006/picture">
                  <pic:nvPicPr>
                    <pic:cNvPr id="34" name="Picture 34" descr="This is a bar chart. The y axis shows the average share of household disposable income spent on communications services (telephone and internet). The x axis shows household disposable income deciles. Shows that in 2015, the bottom 10 per cent of households by income spent almost 10 per cent of their disposable income on communications services, compared with the top 10 per cent of households, who spent approximately 1 per cent of their disposable income." title="Figure 25. Average share of household disposable income spent on mobile and fixed-line telephone rent, calls and internet charges, by household disposable income decile, 201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665743"/>
                    </a:xfrm>
                    <a:prstGeom prst="rect">
                      <a:avLst/>
                    </a:prstGeom>
                    <a:noFill/>
                  </pic:spPr>
                </pic:pic>
              </a:graphicData>
            </a:graphic>
          </wp:inline>
        </w:drawing>
      </w:r>
    </w:p>
    <w:p w:rsidR="003651DE" w:rsidRDefault="00600A04" w:rsidP="003651DE">
      <w:pPr>
        <w:spacing w:after="0"/>
        <w:rPr>
          <w:rFonts w:cstheme="minorHAnsi"/>
          <w:b/>
          <w:bCs/>
          <w:lang w:val="en-IE"/>
        </w:rPr>
      </w:pPr>
      <w:r w:rsidRPr="003651DE">
        <w:rPr>
          <w:rFonts w:cstheme="minorHAnsi"/>
          <w:b/>
          <w:bCs/>
          <w:lang w:val="en-IE"/>
        </w:rPr>
        <w:lastRenderedPageBreak/>
        <w:t>Figure:</w:t>
      </w:r>
      <w:r w:rsidR="003651DE" w:rsidRPr="003651DE">
        <w:rPr>
          <w:rFonts w:cstheme="minorHAnsi"/>
          <w:b/>
          <w:bCs/>
          <w:lang w:val="en-IE"/>
        </w:rPr>
        <w:t xml:space="preserve"> Average share of household disposable income spent on mobile and fixed-line telephone rent, calls and internet charges, by household disposable income decile, 2015</w:t>
      </w:r>
      <w:r w:rsidR="00887730">
        <w:rPr>
          <w:rStyle w:val="FootnoteReference"/>
          <w:rFonts w:cstheme="minorHAnsi"/>
          <w:b/>
          <w:bCs/>
          <w:lang w:val="en-IE"/>
        </w:rPr>
        <w:footnoteReference w:id="15"/>
      </w:r>
    </w:p>
    <w:p w:rsidR="00141D67" w:rsidRDefault="00141D67" w:rsidP="00997B2F">
      <w:pPr>
        <w:spacing w:before="240" w:after="0"/>
        <w:rPr>
          <w:rFonts w:cstheme="minorHAnsi"/>
        </w:rPr>
      </w:pPr>
      <w:r>
        <w:rPr>
          <w:rFonts w:cstheme="minorHAnsi"/>
          <w:lang w:val="en-IE"/>
        </w:rPr>
        <w:t xml:space="preserve">While </w:t>
      </w:r>
      <w:r w:rsidRPr="003651DE">
        <w:rPr>
          <w:rFonts w:cstheme="minorHAnsi"/>
          <w:lang w:val="en-IE"/>
        </w:rPr>
        <w:t xml:space="preserve">ACCAN </w:t>
      </w:r>
      <w:r>
        <w:rPr>
          <w:rFonts w:cstheme="minorHAnsi"/>
          <w:lang w:val="en-IE"/>
        </w:rPr>
        <w:t xml:space="preserve">also </w:t>
      </w:r>
      <w:r w:rsidRPr="003651DE">
        <w:rPr>
          <w:rFonts w:cstheme="minorHAnsi"/>
          <w:lang w:val="en-IE"/>
        </w:rPr>
        <w:t>hopes the current pricing revi</w:t>
      </w:r>
      <w:r>
        <w:rPr>
          <w:rFonts w:cstheme="minorHAnsi"/>
          <w:lang w:val="en-IE"/>
        </w:rPr>
        <w:t>ew will lead to revised pricing</w:t>
      </w:r>
      <w:r w:rsidR="008D2179" w:rsidRPr="008D2179">
        <w:rPr>
          <w:rFonts w:cstheme="minorHAnsi"/>
          <w:lang w:val="en-IE"/>
        </w:rPr>
        <w:t xml:space="preserve"> </w:t>
      </w:r>
      <w:r w:rsidR="008D2179">
        <w:rPr>
          <w:rFonts w:cstheme="minorHAnsi"/>
          <w:lang w:val="en-IE"/>
        </w:rPr>
        <w:t xml:space="preserve">and </w:t>
      </w:r>
      <w:r w:rsidR="008D2179" w:rsidRPr="008D2179">
        <w:rPr>
          <w:rFonts w:cstheme="minorHAnsi"/>
          <w:lang w:val="en-IE"/>
        </w:rPr>
        <w:t>better support high quality services</w:t>
      </w:r>
      <w:r>
        <w:rPr>
          <w:rFonts w:cstheme="minorHAnsi"/>
          <w:lang w:val="en-IE"/>
        </w:rPr>
        <w:t xml:space="preserve">, </w:t>
      </w:r>
      <w:r w:rsidR="004F7719">
        <w:rPr>
          <w:rFonts w:cstheme="minorHAnsi"/>
          <w:lang w:val="en-IE"/>
        </w:rPr>
        <w:t xml:space="preserve">the discussion and price design needs to be broadened. </w:t>
      </w:r>
      <w:r w:rsidRPr="003651DE">
        <w:rPr>
          <w:rFonts w:cstheme="minorHAnsi"/>
          <w:lang w:val="en-IE"/>
        </w:rPr>
        <w:t xml:space="preserve"> </w:t>
      </w:r>
      <w:r>
        <w:rPr>
          <w:rFonts w:cstheme="minorHAnsi"/>
          <w:lang w:val="en-IE"/>
        </w:rPr>
        <w:t xml:space="preserve">Entry level pricing </w:t>
      </w:r>
      <w:r w:rsidR="00CD215B">
        <w:rPr>
          <w:rFonts w:cstheme="minorHAnsi"/>
          <w:lang w:val="en-IE"/>
        </w:rPr>
        <w:t xml:space="preserve">better </w:t>
      </w:r>
      <w:r>
        <w:rPr>
          <w:rFonts w:cstheme="minorHAnsi"/>
          <w:lang w:val="en-IE"/>
        </w:rPr>
        <w:t xml:space="preserve">needs to support low </w:t>
      </w:r>
      <w:r w:rsidR="008D2179">
        <w:rPr>
          <w:rFonts w:cstheme="minorHAnsi"/>
          <w:lang w:val="en-IE"/>
        </w:rPr>
        <w:t>usage consumers</w:t>
      </w:r>
      <w:r>
        <w:rPr>
          <w:rFonts w:cstheme="minorHAnsi"/>
          <w:lang w:val="en-IE"/>
        </w:rPr>
        <w:t xml:space="preserve">. </w:t>
      </w:r>
      <w:r w:rsidR="00997B2F" w:rsidRPr="00997B2F">
        <w:rPr>
          <w:rFonts w:cstheme="minorHAnsi"/>
          <w:lang w:val="en-IE"/>
        </w:rPr>
        <w:t>ACCAN also agrees that “there may not be sufficient options in the market to meet a range of consumer needs at affordable prices, such as price conscious consumers who use little data”.  Our recent desktop market research to inform our consumer information has found that mobile products are 4-5 times cheap</w:t>
      </w:r>
      <w:r w:rsidR="00C972EB">
        <w:rPr>
          <w:rFonts w:cstheme="minorHAnsi"/>
          <w:lang w:val="en-IE"/>
        </w:rPr>
        <w:t xml:space="preserve">er for entry products than NBN. </w:t>
      </w:r>
      <w:r w:rsidR="00997B2F" w:rsidRPr="00997B2F">
        <w:rPr>
          <w:rFonts w:cstheme="minorHAnsi"/>
          <w:lang w:val="en-IE"/>
        </w:rPr>
        <w:t>Fixed services, however, may be more suitable for some of these consumers due to equipment usage and coverage issues. The pricing here is distorting competition and leading to poor consumer experience.  ACCAN believes further could be done at the wholesale pricing end to make affordable products available.</w:t>
      </w:r>
      <w:r w:rsidR="00811A40">
        <w:rPr>
          <w:rFonts w:cstheme="minorHAnsi"/>
          <w:lang w:val="en-IE"/>
        </w:rPr>
        <w:t xml:space="preserve"> </w:t>
      </w:r>
      <w:r w:rsidR="00997B2F">
        <w:rPr>
          <w:rFonts w:cstheme="minorHAnsi"/>
          <w:lang w:val="en-IE"/>
        </w:rPr>
        <w:t>T</w:t>
      </w:r>
      <w:r w:rsidR="00811A40">
        <w:rPr>
          <w:rFonts w:cstheme="minorHAnsi"/>
          <w:lang w:val="en-IE"/>
        </w:rPr>
        <w:t xml:space="preserve">here needs to be more options for low users of data and voice only households. </w:t>
      </w:r>
      <w:r>
        <w:rPr>
          <w:rFonts w:cstheme="minorHAnsi"/>
          <w:lang w:val="en-IE"/>
        </w:rPr>
        <w:t xml:space="preserve">Finally, measures need to be implemented to </w:t>
      </w:r>
      <w:r w:rsidR="0091630E">
        <w:rPr>
          <w:rFonts w:cstheme="minorHAnsi"/>
          <w:lang w:val="en-IE"/>
        </w:rPr>
        <w:t>support low income households that require high amounts of data.</w:t>
      </w:r>
      <w:r w:rsidR="00811A40" w:rsidRPr="00811A40">
        <w:rPr>
          <w:rFonts w:eastAsiaTheme="minorHAnsi"/>
          <w:lang w:eastAsia="en-US"/>
        </w:rPr>
        <w:t xml:space="preserve"> </w:t>
      </w:r>
      <w:r w:rsidR="00811A40" w:rsidRPr="00811A40">
        <w:rPr>
          <w:rFonts w:cstheme="minorHAnsi"/>
        </w:rPr>
        <w:t xml:space="preserve">The 2016 ABS </w:t>
      </w:r>
      <w:r w:rsidR="00811A40" w:rsidRPr="00811A40">
        <w:rPr>
          <w:rFonts w:cstheme="minorHAnsi"/>
          <w:i/>
        </w:rPr>
        <w:t>Household Use of Information Technology</w:t>
      </w:r>
      <w:r w:rsidR="00811A40" w:rsidRPr="00811A40">
        <w:rPr>
          <w:rFonts w:cstheme="minorHAnsi"/>
        </w:rPr>
        <w:t xml:space="preserve"> survey found that for households with children and no internet connection, the main reason for not having internet access</w:t>
      </w:r>
      <w:r w:rsidR="00C972EB">
        <w:rPr>
          <w:rFonts w:cstheme="minorHAnsi"/>
        </w:rPr>
        <w:t xml:space="preserve"> was cost (43% of respondents).</w:t>
      </w:r>
      <w:r w:rsidR="00811A40" w:rsidRPr="00811A40">
        <w:rPr>
          <w:rFonts w:cstheme="minorHAnsi"/>
          <w:vertAlign w:val="superscript"/>
        </w:rPr>
        <w:footnoteReference w:id="16"/>
      </w:r>
    </w:p>
    <w:p w:rsidR="00C972EB" w:rsidRDefault="00C972EB" w:rsidP="00997B2F">
      <w:pPr>
        <w:spacing w:before="240" w:after="0"/>
        <w:rPr>
          <w:rFonts w:cstheme="minorHAnsi"/>
          <w:lang w:val="en-IE"/>
        </w:rPr>
      </w:pPr>
      <w:r>
        <w:rPr>
          <w:rFonts w:cstheme="minorHAnsi"/>
        </w:rPr>
        <w:t>As nbn pricing review develops we hope that it will address concerns about low income affordability, increase the number and affordability of low users and voice only plans and ensure higher quality services to better deliver peak hour speeds.</w:t>
      </w:r>
    </w:p>
    <w:p w:rsidR="003651DE" w:rsidRPr="003651DE" w:rsidRDefault="003651DE" w:rsidP="00866792">
      <w:pPr>
        <w:pStyle w:val="Heading2"/>
        <w:rPr>
          <w:lang w:val="en-IE"/>
        </w:rPr>
      </w:pPr>
      <w:r w:rsidRPr="003651DE">
        <w:rPr>
          <w:lang w:val="en-IE"/>
        </w:rPr>
        <w:t>Funding non-commercial services</w:t>
      </w:r>
    </w:p>
    <w:p w:rsidR="00430EC8" w:rsidRDefault="00430EC8" w:rsidP="001B2C29">
      <w:pPr>
        <w:spacing w:after="0"/>
        <w:rPr>
          <w:rFonts w:cstheme="minorHAnsi"/>
        </w:rPr>
      </w:pPr>
      <w:r w:rsidRPr="00430EC8">
        <w:rPr>
          <w:rFonts w:cstheme="minorHAnsi"/>
        </w:rPr>
        <w:t xml:space="preserve">ACCAN believes that the current arrangement, of an internal cross subsidy within nbn, is not transparent or likely to ensure regional, rural and remote services into the future. </w:t>
      </w:r>
      <w:r>
        <w:rPr>
          <w:rFonts w:cstheme="minorHAnsi"/>
        </w:rPr>
        <w:t>Similar arguments have been made about the</w:t>
      </w:r>
      <w:r w:rsidR="0069462A">
        <w:rPr>
          <w:rFonts w:cstheme="minorHAnsi"/>
        </w:rPr>
        <w:t xml:space="preserve"> current</w:t>
      </w:r>
      <w:r>
        <w:rPr>
          <w:rFonts w:cstheme="minorHAnsi"/>
        </w:rPr>
        <w:t xml:space="preserve"> funding of the Universal Service Obligation. It is important that regional, rural and remote services are supported by a funding mechanism that ensures the continuation and upgrading of services. </w:t>
      </w:r>
      <w:r w:rsidR="005D2940">
        <w:rPr>
          <w:rFonts w:cstheme="minorHAnsi"/>
        </w:rPr>
        <w:t>ACCAN supported the Regional Broadband Scheme</w:t>
      </w:r>
      <w:r>
        <w:rPr>
          <w:rFonts w:cstheme="minorHAnsi"/>
        </w:rPr>
        <w:t xml:space="preserve">, as of all the options presented by the </w:t>
      </w:r>
      <w:r w:rsidR="001B2C29">
        <w:rPr>
          <w:rFonts w:cstheme="minorHAnsi"/>
        </w:rPr>
        <w:t>Government;</w:t>
      </w:r>
      <w:r>
        <w:rPr>
          <w:rFonts w:cstheme="minorHAnsi"/>
        </w:rPr>
        <w:t xml:space="preserve"> it offer</w:t>
      </w:r>
      <w:r w:rsidR="001B2C29">
        <w:rPr>
          <w:rFonts w:cstheme="minorHAnsi"/>
        </w:rPr>
        <w:t xml:space="preserve">ed the greatest </w:t>
      </w:r>
      <w:r w:rsidR="0069462A">
        <w:rPr>
          <w:rFonts w:cstheme="minorHAnsi"/>
        </w:rPr>
        <w:t>assurance</w:t>
      </w:r>
      <w:r w:rsidR="001B2C29">
        <w:rPr>
          <w:rFonts w:cstheme="minorHAnsi"/>
        </w:rPr>
        <w:t xml:space="preserve"> of this.</w:t>
      </w:r>
      <w:r w:rsidR="005D2940">
        <w:rPr>
          <w:rFonts w:cstheme="minorHAnsi"/>
        </w:rPr>
        <w:t xml:space="preserve"> </w:t>
      </w:r>
    </w:p>
    <w:p w:rsidR="00430EC8" w:rsidRDefault="00430EC8" w:rsidP="001B2C29">
      <w:pPr>
        <w:spacing w:before="240" w:after="0"/>
        <w:rPr>
          <w:rFonts w:cstheme="minorHAnsi"/>
        </w:rPr>
      </w:pPr>
      <w:r w:rsidRPr="003651DE">
        <w:rPr>
          <w:rFonts w:cstheme="minorHAnsi"/>
        </w:rPr>
        <w:t>ACCAN supports the ACCC</w:t>
      </w:r>
      <w:r>
        <w:rPr>
          <w:rFonts w:cstheme="minorHAnsi"/>
        </w:rPr>
        <w:t>’</w:t>
      </w:r>
      <w:r w:rsidRPr="003651DE">
        <w:rPr>
          <w:rFonts w:cstheme="minorHAnsi"/>
        </w:rPr>
        <w:t>s proposed recommendation 29 to not extend the Regional Broadband Scheme to wireless services</w:t>
      </w:r>
      <w:r>
        <w:rPr>
          <w:rFonts w:cstheme="minorHAnsi"/>
        </w:rPr>
        <w:t>. While these services may be competition for nbn, extending the levy is likely to have a negative effect on competition and ultimately harm consumers</w:t>
      </w:r>
      <w:r w:rsidR="0069462A">
        <w:rPr>
          <w:rFonts w:cstheme="minorHAnsi"/>
        </w:rPr>
        <w:t xml:space="preserve"> through reduced service access and higher prices</w:t>
      </w:r>
      <w:r>
        <w:rPr>
          <w:rFonts w:cstheme="minorHAnsi"/>
        </w:rPr>
        <w:t xml:space="preserve">.  </w:t>
      </w:r>
      <w:r w:rsidRPr="003651DE">
        <w:rPr>
          <w:rFonts w:cstheme="minorHAnsi"/>
        </w:rPr>
        <w:t xml:space="preserve"> </w:t>
      </w:r>
    </w:p>
    <w:p w:rsidR="003651DE" w:rsidRPr="003651DE" w:rsidRDefault="00600A04" w:rsidP="001B2C29">
      <w:pPr>
        <w:spacing w:before="240" w:after="0"/>
        <w:rPr>
          <w:rFonts w:cstheme="minorHAnsi"/>
          <w:lang w:val="en-IE"/>
        </w:rPr>
      </w:pPr>
      <w:r>
        <w:rPr>
          <w:rFonts w:cstheme="minorHAnsi"/>
        </w:rPr>
        <w:t xml:space="preserve">In addition, </w:t>
      </w:r>
      <w:r w:rsidR="00430EC8">
        <w:rPr>
          <w:rFonts w:cstheme="minorHAnsi"/>
        </w:rPr>
        <w:t>ACCAN supports the</w:t>
      </w:r>
      <w:r w:rsidR="0069462A">
        <w:rPr>
          <w:rFonts w:cstheme="minorHAnsi"/>
        </w:rPr>
        <w:t xml:space="preserve"> ACCC’s</w:t>
      </w:r>
      <w:r w:rsidR="00430EC8">
        <w:rPr>
          <w:rFonts w:cstheme="minorHAnsi"/>
        </w:rPr>
        <w:t xml:space="preserve"> recommendation </w:t>
      </w:r>
      <w:r w:rsidR="00430EC8" w:rsidRPr="003651DE">
        <w:rPr>
          <w:rFonts w:cstheme="minorHAnsi"/>
        </w:rPr>
        <w:t>for direct budget funding arrangements for non-commercial service</w:t>
      </w:r>
      <w:r w:rsidR="00430EC8">
        <w:rPr>
          <w:rFonts w:cstheme="minorHAnsi"/>
        </w:rPr>
        <w:t>s, or alternative arr</w:t>
      </w:r>
      <w:r w:rsidR="001B2C29">
        <w:rPr>
          <w:rFonts w:cstheme="minorHAnsi"/>
        </w:rPr>
        <w:t xml:space="preserve">angements to </w:t>
      </w:r>
      <w:r w:rsidR="0069462A">
        <w:rPr>
          <w:rFonts w:cstheme="minorHAnsi"/>
        </w:rPr>
        <w:t xml:space="preserve">be put in place to </w:t>
      </w:r>
      <w:r w:rsidR="001B2C29">
        <w:rPr>
          <w:rFonts w:cstheme="minorHAnsi"/>
        </w:rPr>
        <w:t xml:space="preserve">address </w:t>
      </w:r>
      <w:r w:rsidR="0069462A">
        <w:rPr>
          <w:rFonts w:cstheme="minorHAnsi"/>
        </w:rPr>
        <w:t xml:space="preserve">low income </w:t>
      </w:r>
      <w:r w:rsidR="001B2C29">
        <w:rPr>
          <w:rFonts w:cstheme="minorHAnsi"/>
        </w:rPr>
        <w:t>affordability barriers</w:t>
      </w:r>
      <w:r w:rsidR="00430EC8" w:rsidRPr="003651DE">
        <w:rPr>
          <w:rFonts w:cstheme="minorHAnsi"/>
        </w:rPr>
        <w:t xml:space="preserve">. </w:t>
      </w:r>
      <w:r>
        <w:rPr>
          <w:rFonts w:cstheme="minorHAnsi"/>
        </w:rPr>
        <w:t xml:space="preserve">ACCAN has raised concerns </w:t>
      </w:r>
      <w:r w:rsidR="0069462A">
        <w:rPr>
          <w:rFonts w:cstheme="minorHAnsi"/>
        </w:rPr>
        <w:t xml:space="preserve">that funding arrangements for regional services </w:t>
      </w:r>
      <w:r w:rsidR="0069462A">
        <w:rPr>
          <w:rFonts w:cstheme="minorHAnsi"/>
        </w:rPr>
        <w:lastRenderedPageBreak/>
        <w:t xml:space="preserve">will </w:t>
      </w:r>
      <w:r>
        <w:rPr>
          <w:rFonts w:cstheme="minorHAnsi"/>
        </w:rPr>
        <w:t>impact low income households.</w:t>
      </w:r>
      <w:r>
        <w:rPr>
          <w:rStyle w:val="FootnoteReference"/>
          <w:rFonts w:cstheme="minorHAnsi"/>
        </w:rPr>
        <w:footnoteReference w:id="17"/>
      </w:r>
      <w:r>
        <w:rPr>
          <w:rFonts w:cstheme="minorHAnsi"/>
        </w:rPr>
        <w:t xml:space="preserve"> Funding non-commercial services costs </w:t>
      </w:r>
      <w:r w:rsidRPr="003651DE">
        <w:rPr>
          <w:rFonts w:cstheme="minorHAnsi"/>
        </w:rPr>
        <w:t>on average $7 per month from each fixed superfast broadband service</w:t>
      </w:r>
      <w:r w:rsidR="0069462A">
        <w:rPr>
          <w:rFonts w:cstheme="minorHAnsi"/>
        </w:rPr>
        <w:t xml:space="preserve"> and t</w:t>
      </w:r>
      <w:r w:rsidR="001B2C29">
        <w:rPr>
          <w:rFonts w:cstheme="minorHAnsi"/>
        </w:rPr>
        <w:t>he Telstra and Optus agreements add an extra $15 per month on average to nbn service.</w:t>
      </w:r>
      <w:bookmarkStart w:id="2" w:name="sdfootnote5anc"/>
      <w:r w:rsidR="0069462A" w:rsidRPr="0069462A">
        <w:rPr>
          <w:rStyle w:val="FootnoteReference"/>
          <w:rFonts w:cstheme="minorHAnsi"/>
        </w:rPr>
        <w:t xml:space="preserve"> </w:t>
      </w:r>
      <w:r w:rsidR="0069462A">
        <w:rPr>
          <w:rStyle w:val="FootnoteReference"/>
          <w:rFonts w:cstheme="minorHAnsi"/>
        </w:rPr>
        <w:footnoteReference w:id="18"/>
      </w:r>
      <w:bookmarkEnd w:id="2"/>
      <w:r w:rsidR="001B2C29">
        <w:rPr>
          <w:rFonts w:cstheme="minorHAnsi"/>
        </w:rPr>
        <w:t xml:space="preserve"> </w:t>
      </w:r>
      <w:r>
        <w:rPr>
          <w:rFonts w:cstheme="minorHAnsi"/>
        </w:rPr>
        <w:t>This is a significant impost</w:t>
      </w:r>
      <w:r w:rsidR="0069462A">
        <w:rPr>
          <w:rFonts w:cstheme="minorHAnsi"/>
        </w:rPr>
        <w:t xml:space="preserve"> which could discourage and prevent</w:t>
      </w:r>
      <w:r>
        <w:rPr>
          <w:rFonts w:cstheme="minorHAnsi"/>
        </w:rPr>
        <w:t xml:space="preserve"> low income households</w:t>
      </w:r>
      <w:r w:rsidR="0069462A">
        <w:rPr>
          <w:rFonts w:cstheme="minorHAnsi"/>
        </w:rPr>
        <w:t xml:space="preserve"> for affording service</w:t>
      </w:r>
      <w:r>
        <w:rPr>
          <w:rFonts w:cstheme="minorHAnsi"/>
        </w:rPr>
        <w:t>. ACCAN agrees that direct budget funding would achieve the simultaneous outcomes of supporting services in regional areas, without increasing costs for low income households or distorting competition.</w:t>
      </w:r>
    </w:p>
    <w:p w:rsidR="003651DE" w:rsidRPr="003651DE" w:rsidRDefault="003651DE" w:rsidP="00866792">
      <w:pPr>
        <w:pStyle w:val="Heading2"/>
        <w:rPr>
          <w:lang w:val="en-IE"/>
        </w:rPr>
      </w:pPr>
      <w:r w:rsidRPr="003651DE">
        <w:rPr>
          <w:lang w:val="en-IE"/>
        </w:rPr>
        <w:t>Pricing Review</w:t>
      </w:r>
    </w:p>
    <w:p w:rsidR="003651DE" w:rsidRPr="003651DE" w:rsidRDefault="003651DE" w:rsidP="003651DE">
      <w:pPr>
        <w:spacing w:after="0"/>
        <w:rPr>
          <w:rFonts w:cstheme="minorHAnsi"/>
          <w:lang w:val="en-IE"/>
        </w:rPr>
      </w:pPr>
      <w:r w:rsidRPr="003651DE">
        <w:rPr>
          <w:rFonts w:cstheme="minorHAnsi"/>
          <w:lang w:val="en-IE"/>
        </w:rPr>
        <w:t xml:space="preserve">ACCAN welcomes </w:t>
      </w:r>
      <w:r w:rsidR="00430EC8" w:rsidRPr="003651DE">
        <w:rPr>
          <w:rFonts w:cstheme="minorHAnsi"/>
          <w:lang w:val="en-IE"/>
        </w:rPr>
        <w:t>ACCC’s proposed</w:t>
      </w:r>
      <w:r w:rsidRPr="003651DE">
        <w:rPr>
          <w:rFonts w:cstheme="minorHAnsi"/>
          <w:lang w:val="en-IE"/>
        </w:rPr>
        <w:t xml:space="preserve"> action</w:t>
      </w:r>
      <w:r w:rsidR="000A25F4">
        <w:rPr>
          <w:rFonts w:cstheme="minorHAnsi"/>
          <w:lang w:val="en-IE"/>
        </w:rPr>
        <w:t xml:space="preserve"> 1</w:t>
      </w:r>
      <w:r w:rsidRPr="003651DE">
        <w:rPr>
          <w:rFonts w:cstheme="minorHAnsi"/>
          <w:lang w:val="en-IE"/>
        </w:rPr>
        <w:t xml:space="preserve"> to review </w:t>
      </w:r>
      <w:r w:rsidR="004025FE">
        <w:rPr>
          <w:rFonts w:cstheme="minorHAnsi"/>
          <w:lang w:val="en-IE"/>
        </w:rPr>
        <w:t xml:space="preserve">its </w:t>
      </w:r>
      <w:r w:rsidRPr="003651DE">
        <w:rPr>
          <w:rFonts w:cstheme="minorHAnsi"/>
          <w:lang w:val="en-IE"/>
        </w:rPr>
        <w:t>competition and price monitoring activities. We hope this will allow for greater examination of changing pric</w:t>
      </w:r>
      <w:r w:rsidR="00FB0631">
        <w:rPr>
          <w:rFonts w:cstheme="minorHAnsi"/>
          <w:lang w:val="en-IE"/>
        </w:rPr>
        <w:t>es in telecommunications market in general</w:t>
      </w:r>
      <w:r w:rsidR="004025FE">
        <w:rPr>
          <w:rFonts w:cstheme="minorHAnsi"/>
          <w:lang w:val="en-IE"/>
        </w:rPr>
        <w:t>. It would also be helpful if this monitoring tracked</w:t>
      </w:r>
      <w:r w:rsidR="00FB0631">
        <w:rPr>
          <w:rFonts w:cstheme="minorHAnsi"/>
          <w:lang w:val="en-IE"/>
        </w:rPr>
        <w:t xml:space="preserve"> different </w:t>
      </w:r>
      <w:r w:rsidR="0037131A">
        <w:rPr>
          <w:rFonts w:cstheme="minorHAnsi"/>
          <w:lang w:val="en-IE"/>
        </w:rPr>
        <w:t xml:space="preserve">product bundles </w:t>
      </w:r>
      <w:r w:rsidR="004025FE">
        <w:rPr>
          <w:rFonts w:cstheme="minorHAnsi"/>
          <w:lang w:val="en-IE"/>
        </w:rPr>
        <w:t>that suit particular c</w:t>
      </w:r>
      <w:r w:rsidR="0037131A">
        <w:rPr>
          <w:rFonts w:cstheme="minorHAnsi"/>
          <w:lang w:val="en-IE"/>
        </w:rPr>
        <w:t>onsumer segments</w:t>
      </w:r>
      <w:r w:rsidR="004025FE">
        <w:rPr>
          <w:rFonts w:cstheme="minorHAnsi"/>
          <w:lang w:val="en-IE"/>
        </w:rPr>
        <w:t>; such as voice only and low user</w:t>
      </w:r>
      <w:r w:rsidR="0037131A">
        <w:rPr>
          <w:rFonts w:cstheme="minorHAnsi"/>
          <w:lang w:val="en-IE"/>
        </w:rPr>
        <w:t xml:space="preserve"> </w:t>
      </w:r>
      <w:r w:rsidR="00FB0631">
        <w:rPr>
          <w:rFonts w:cstheme="minorHAnsi"/>
          <w:lang w:val="en-IE"/>
        </w:rPr>
        <w:t>markets.</w:t>
      </w:r>
      <w:r w:rsidR="004025FE">
        <w:rPr>
          <w:rFonts w:cstheme="minorHAnsi"/>
          <w:lang w:val="en-IE"/>
        </w:rPr>
        <w:t xml:space="preserve"> While ACCC has found that average prices have decreased</w:t>
      </w:r>
      <w:r w:rsidR="004025FE">
        <w:rPr>
          <w:rStyle w:val="FootnoteReference"/>
          <w:rFonts w:cstheme="minorHAnsi"/>
          <w:lang w:val="en-IE"/>
        </w:rPr>
        <w:footnoteReference w:id="19"/>
      </w:r>
      <w:r w:rsidR="004025FE">
        <w:rPr>
          <w:rFonts w:cstheme="minorHAnsi"/>
          <w:lang w:val="en-IE"/>
        </w:rPr>
        <w:t xml:space="preserve">, current ACCAN and SACOSS research has found that this is not the case for the lowest income quintile </w:t>
      </w:r>
      <w:r w:rsidR="00F343A6">
        <w:rPr>
          <w:rFonts w:cstheme="minorHAnsi"/>
          <w:lang w:val="en-IE"/>
        </w:rPr>
        <w:t>that</w:t>
      </w:r>
      <w:r w:rsidR="004025FE">
        <w:rPr>
          <w:rFonts w:cstheme="minorHAnsi"/>
          <w:lang w:val="en-IE"/>
        </w:rPr>
        <w:t xml:space="preserve"> have seen a real increase in their </w:t>
      </w:r>
      <w:r w:rsidR="005D2940">
        <w:rPr>
          <w:rFonts w:cstheme="minorHAnsi"/>
          <w:lang w:val="en-IE"/>
        </w:rPr>
        <w:t>telecommunications</w:t>
      </w:r>
      <w:r w:rsidR="004025FE">
        <w:rPr>
          <w:rFonts w:cstheme="minorHAnsi"/>
          <w:lang w:val="en-IE"/>
        </w:rPr>
        <w:t xml:space="preserve"> expenditure.</w:t>
      </w:r>
      <w:r w:rsidR="004025FE">
        <w:rPr>
          <w:rStyle w:val="FootnoteReference"/>
          <w:rFonts w:cstheme="minorHAnsi"/>
          <w:lang w:val="en-IE"/>
        </w:rPr>
        <w:footnoteReference w:id="20"/>
      </w:r>
    </w:p>
    <w:p w:rsidR="003651DE" w:rsidRPr="003651DE" w:rsidRDefault="003651DE" w:rsidP="00866792">
      <w:pPr>
        <w:pStyle w:val="Heading1"/>
        <w:rPr>
          <w:lang w:val="en-IE"/>
        </w:rPr>
      </w:pPr>
      <w:r w:rsidRPr="003651DE">
        <w:rPr>
          <w:lang w:val="en-IE"/>
        </w:rPr>
        <w:t>Special Access Undertaking</w:t>
      </w:r>
    </w:p>
    <w:p w:rsidR="003651DE" w:rsidRPr="003651DE" w:rsidRDefault="003651DE" w:rsidP="003651DE">
      <w:pPr>
        <w:spacing w:after="0"/>
        <w:rPr>
          <w:rFonts w:cstheme="minorHAnsi"/>
          <w:lang w:val="en-IE"/>
        </w:rPr>
      </w:pPr>
      <w:r w:rsidRPr="003651DE">
        <w:rPr>
          <w:rFonts w:cstheme="minorHAnsi"/>
          <w:lang w:val="en-IE"/>
        </w:rPr>
        <w:t xml:space="preserve">ACCAN </w:t>
      </w:r>
      <w:r w:rsidR="000A25F4">
        <w:rPr>
          <w:rFonts w:cstheme="minorHAnsi"/>
          <w:lang w:val="en-IE"/>
        </w:rPr>
        <w:t xml:space="preserve">has </w:t>
      </w:r>
      <w:r w:rsidRPr="003651DE">
        <w:rPr>
          <w:rFonts w:cstheme="minorHAnsi"/>
          <w:lang w:val="en-IE"/>
        </w:rPr>
        <w:t>welcomed the deferral of the decision on the variation to the Special Access Undertaking</w:t>
      </w:r>
      <w:r w:rsidR="000E4B78">
        <w:rPr>
          <w:rFonts w:cstheme="minorHAnsi"/>
          <w:lang w:val="en-IE"/>
        </w:rPr>
        <w:t xml:space="preserve"> (SAU)</w:t>
      </w:r>
      <w:r w:rsidRPr="003651DE">
        <w:rPr>
          <w:rFonts w:cstheme="minorHAnsi"/>
          <w:lang w:val="en-IE"/>
        </w:rPr>
        <w:t>. ACCAN has serious concerns about a number of the elements currently proposed which will:</w:t>
      </w:r>
    </w:p>
    <w:p w:rsidR="003651DE" w:rsidRPr="003651DE" w:rsidRDefault="00F343A6" w:rsidP="003651DE">
      <w:pPr>
        <w:numPr>
          <w:ilvl w:val="0"/>
          <w:numId w:val="17"/>
        </w:numPr>
        <w:spacing w:after="0"/>
        <w:rPr>
          <w:rFonts w:cstheme="minorHAnsi"/>
          <w:lang w:val="en-IE"/>
        </w:rPr>
      </w:pPr>
      <w:r w:rsidRPr="003651DE">
        <w:rPr>
          <w:rFonts w:cstheme="minorHAnsi"/>
          <w:lang w:val="en-IE"/>
        </w:rPr>
        <w:t>Put</w:t>
      </w:r>
      <w:r w:rsidR="003651DE" w:rsidRPr="003651DE">
        <w:rPr>
          <w:rFonts w:cstheme="minorHAnsi"/>
          <w:lang w:val="en-IE"/>
        </w:rPr>
        <w:t xml:space="preserve"> unfair charges on consumers, placing a heavy financial burden on vulnerable consumers</w:t>
      </w:r>
      <w:r w:rsidR="00D462AE">
        <w:rPr>
          <w:rFonts w:cstheme="minorHAnsi"/>
          <w:lang w:val="en-IE"/>
        </w:rPr>
        <w:t xml:space="preserve"> for “add-ons” which are essential and required if a consumer wants a working service</w:t>
      </w:r>
      <w:r w:rsidR="007C0053">
        <w:rPr>
          <w:rFonts w:cstheme="minorHAnsi"/>
          <w:lang w:val="en-IE"/>
        </w:rPr>
        <w:t xml:space="preserve"> (such as charges if the consumers is unable to complete a self-installation)</w:t>
      </w:r>
      <w:r w:rsidR="00D462AE">
        <w:rPr>
          <w:rFonts w:cstheme="minorHAnsi"/>
          <w:lang w:val="en-IE"/>
        </w:rPr>
        <w:t>.</w:t>
      </w:r>
    </w:p>
    <w:p w:rsidR="003651DE" w:rsidRPr="003651DE" w:rsidRDefault="000A25F4" w:rsidP="003651DE">
      <w:pPr>
        <w:numPr>
          <w:ilvl w:val="0"/>
          <w:numId w:val="17"/>
        </w:numPr>
        <w:spacing w:after="0"/>
        <w:rPr>
          <w:rFonts w:cstheme="minorHAnsi"/>
          <w:lang w:val="en-IE"/>
        </w:rPr>
      </w:pPr>
      <w:r>
        <w:rPr>
          <w:rFonts w:cstheme="minorHAnsi"/>
          <w:lang w:val="en-IE"/>
        </w:rPr>
        <w:t>A</w:t>
      </w:r>
      <w:r w:rsidR="003651DE" w:rsidRPr="003651DE">
        <w:rPr>
          <w:rFonts w:cstheme="minorHAnsi"/>
          <w:lang w:val="en-IE"/>
        </w:rPr>
        <w:t>llow for reduced speed levels over FTTN/B, without any transparency of which services are affe</w:t>
      </w:r>
      <w:r w:rsidR="000E4B78">
        <w:rPr>
          <w:rFonts w:cstheme="minorHAnsi"/>
          <w:lang w:val="en-IE"/>
        </w:rPr>
        <w:t xml:space="preserve">cted or </w:t>
      </w:r>
      <w:r w:rsidR="003651DE" w:rsidRPr="003651DE">
        <w:rPr>
          <w:rFonts w:cstheme="minorHAnsi"/>
          <w:lang w:val="en-IE"/>
        </w:rPr>
        <w:t xml:space="preserve">any reduction in pricing </w:t>
      </w:r>
      <w:r w:rsidR="00D462AE">
        <w:rPr>
          <w:rFonts w:cstheme="minorHAnsi"/>
          <w:lang w:val="en-IE"/>
        </w:rPr>
        <w:t>during the affected period</w:t>
      </w:r>
      <w:r w:rsidR="003651DE" w:rsidRPr="003651DE">
        <w:rPr>
          <w:rFonts w:cstheme="minorHAnsi"/>
          <w:lang w:val="en-IE"/>
        </w:rPr>
        <w:t>,</w:t>
      </w:r>
    </w:p>
    <w:p w:rsidR="003651DE" w:rsidRPr="003651DE" w:rsidRDefault="00F343A6" w:rsidP="003651DE">
      <w:pPr>
        <w:numPr>
          <w:ilvl w:val="0"/>
          <w:numId w:val="17"/>
        </w:numPr>
        <w:spacing w:after="0"/>
        <w:rPr>
          <w:rFonts w:cstheme="minorHAnsi"/>
          <w:lang w:val="en-IE"/>
        </w:rPr>
      </w:pPr>
      <w:r w:rsidRPr="003651DE">
        <w:rPr>
          <w:rFonts w:cstheme="minorHAnsi"/>
          <w:lang w:val="en-IE"/>
        </w:rPr>
        <w:t>Remov</w:t>
      </w:r>
      <w:r w:rsidR="000A25F4">
        <w:rPr>
          <w:rFonts w:cstheme="minorHAnsi"/>
          <w:lang w:val="en-IE"/>
        </w:rPr>
        <w:t>e</w:t>
      </w:r>
      <w:r w:rsidR="003651DE" w:rsidRPr="003651DE">
        <w:rPr>
          <w:rFonts w:cstheme="minorHAnsi"/>
          <w:lang w:val="en-IE"/>
        </w:rPr>
        <w:t xml:space="preserve"> the requirement to publish the rollout information.</w:t>
      </w:r>
    </w:p>
    <w:p w:rsidR="003651DE" w:rsidRPr="003651DE" w:rsidRDefault="003651DE" w:rsidP="00430EC8">
      <w:pPr>
        <w:spacing w:before="240" w:after="0"/>
        <w:rPr>
          <w:rFonts w:cstheme="minorHAnsi"/>
          <w:lang w:val="en-IE"/>
        </w:rPr>
      </w:pPr>
      <w:r w:rsidRPr="003651DE">
        <w:rPr>
          <w:rFonts w:cstheme="minorHAnsi"/>
          <w:lang w:val="en-IE"/>
        </w:rPr>
        <w:t>We urge the ACCC to also consider these issues when the SAU is considered again, and not just the pricing of the Multi Technology Mix</w:t>
      </w:r>
      <w:r w:rsidR="001732B3">
        <w:rPr>
          <w:rFonts w:cstheme="minorHAnsi"/>
          <w:lang w:val="en-IE"/>
        </w:rPr>
        <w:t>.</w:t>
      </w:r>
    </w:p>
    <w:p w:rsidR="007C153C" w:rsidRDefault="007C153C" w:rsidP="007C153C">
      <w:pPr>
        <w:pStyle w:val="Heading1"/>
        <w:rPr>
          <w:lang w:val="en-IE"/>
        </w:rPr>
      </w:pPr>
      <w:r w:rsidRPr="003651DE">
        <w:rPr>
          <w:lang w:val="en-IE"/>
        </w:rPr>
        <w:t>Telecommunication Consumer Protection</w:t>
      </w:r>
      <w:r w:rsidR="00BE7BCB">
        <w:rPr>
          <w:lang w:val="en-IE"/>
        </w:rPr>
        <w:t xml:space="preserve"> (TCP)</w:t>
      </w:r>
      <w:r w:rsidRPr="003651DE">
        <w:rPr>
          <w:lang w:val="en-IE"/>
        </w:rPr>
        <w:t xml:space="preserve"> Code</w:t>
      </w:r>
    </w:p>
    <w:p w:rsidR="00C872D1" w:rsidRDefault="00D671F3" w:rsidP="00430EC8">
      <w:pPr>
        <w:rPr>
          <w:lang w:val="en-IE"/>
        </w:rPr>
      </w:pPr>
      <w:r w:rsidRPr="00D671F3">
        <w:rPr>
          <w:b/>
          <w:lang w:val="en-IE"/>
        </w:rPr>
        <w:t>Proposed Recommendation 13.</w:t>
      </w:r>
      <w:r>
        <w:rPr>
          <w:lang w:val="en-IE"/>
        </w:rPr>
        <w:t xml:space="preserve"> </w:t>
      </w:r>
      <w:r w:rsidR="00C872D1">
        <w:rPr>
          <w:lang w:val="en-IE"/>
        </w:rPr>
        <w:t>The TCP Code includes a number of obligations for RSPs in relation to their relationship with customers, including the provision of information.</w:t>
      </w:r>
    </w:p>
    <w:p w:rsidR="00430EC8" w:rsidRPr="00430EC8" w:rsidRDefault="00E138BA" w:rsidP="00430EC8">
      <w:pPr>
        <w:rPr>
          <w:lang w:val="en-IE"/>
        </w:rPr>
      </w:pPr>
      <w:r>
        <w:rPr>
          <w:lang w:val="en-IE"/>
        </w:rPr>
        <w:t>The Critical Information Summary</w:t>
      </w:r>
      <w:r w:rsidR="00BE7BCB">
        <w:rPr>
          <w:lang w:val="en-IE"/>
        </w:rPr>
        <w:t xml:space="preserve"> (CIS) required by the Code</w:t>
      </w:r>
      <w:r>
        <w:rPr>
          <w:lang w:val="en-IE"/>
        </w:rPr>
        <w:t xml:space="preserve"> is a useful tool for consumers to compare post and prepaid offers</w:t>
      </w:r>
      <w:r w:rsidR="007E64E3">
        <w:rPr>
          <w:lang w:val="en-IE"/>
        </w:rPr>
        <w:t xml:space="preserve"> in a standardised format</w:t>
      </w:r>
      <w:r w:rsidR="00C872D1">
        <w:rPr>
          <w:lang w:val="en-IE"/>
        </w:rPr>
        <w:t xml:space="preserve">, to assist in assessing market offers before </w:t>
      </w:r>
      <w:r w:rsidR="00C872D1">
        <w:rPr>
          <w:lang w:val="en-IE"/>
        </w:rPr>
        <w:lastRenderedPageBreak/>
        <w:t>purchase</w:t>
      </w:r>
      <w:r>
        <w:rPr>
          <w:lang w:val="en-IE"/>
        </w:rPr>
        <w:t>.</w:t>
      </w:r>
      <w:r w:rsidR="00E90B9F">
        <w:rPr>
          <w:rStyle w:val="FootnoteReference"/>
          <w:lang w:val="en-IE"/>
        </w:rPr>
        <w:footnoteReference w:id="21"/>
      </w:r>
      <w:r>
        <w:rPr>
          <w:lang w:val="en-IE"/>
        </w:rPr>
        <w:t xml:space="preserve"> However, its utility is reduced if the wording and information is too complex</w:t>
      </w:r>
      <w:r w:rsidR="00BE7BCB">
        <w:rPr>
          <w:lang w:val="en-IE"/>
        </w:rPr>
        <w:t xml:space="preserve"> and diffic</w:t>
      </w:r>
      <w:r w:rsidR="007E64E3">
        <w:rPr>
          <w:lang w:val="en-IE"/>
        </w:rPr>
        <w:t>ult for consumers to understand</w:t>
      </w:r>
      <w:r w:rsidR="00E90B9F">
        <w:rPr>
          <w:lang w:val="en-IE"/>
        </w:rPr>
        <w:t>,</w:t>
      </w:r>
      <w:r w:rsidR="00147FFA">
        <w:rPr>
          <w:rStyle w:val="FootnoteReference"/>
          <w:lang w:val="en-IE"/>
        </w:rPr>
        <w:footnoteReference w:id="22"/>
      </w:r>
      <w:r w:rsidR="00147FFA">
        <w:rPr>
          <w:lang w:val="en-IE"/>
        </w:rPr>
        <w:t xml:space="preserve"> and if it is not consistently offered to potential customers by sales staff.</w:t>
      </w:r>
      <w:r w:rsidR="00147FFA">
        <w:rPr>
          <w:rStyle w:val="FootnoteReference"/>
          <w:lang w:val="en-IE"/>
        </w:rPr>
        <w:footnoteReference w:id="23"/>
      </w:r>
      <w:r w:rsidR="007E64E3">
        <w:rPr>
          <w:lang w:val="en-IE"/>
        </w:rPr>
        <w:t xml:space="preserve"> </w:t>
      </w:r>
      <w:r w:rsidR="00C872D1">
        <w:rPr>
          <w:lang w:val="en-IE"/>
        </w:rPr>
        <w:t>The current obligat</w:t>
      </w:r>
      <w:r w:rsidR="00B702E7">
        <w:rPr>
          <w:lang w:val="en-IE"/>
        </w:rPr>
        <w:t>ion is for the CIS to be available with current market offers/promotions.</w:t>
      </w:r>
      <w:r w:rsidR="00C872D1">
        <w:rPr>
          <w:lang w:val="en-IE"/>
        </w:rPr>
        <w:t xml:space="preserve"> </w:t>
      </w:r>
      <w:r w:rsidR="00E35FE7">
        <w:rPr>
          <w:lang w:val="en-IE"/>
        </w:rPr>
        <w:t>T</w:t>
      </w:r>
      <w:r w:rsidR="007E64E3">
        <w:rPr>
          <w:lang w:val="en-IE"/>
        </w:rPr>
        <w:t>he CIS has additional utility as a summary post sale as it allows consumers to confirm their entitlements under their agreement when needed, and compare with new offers as they become available.</w:t>
      </w:r>
      <w:r w:rsidR="00297A20">
        <w:rPr>
          <w:lang w:val="en-IE"/>
        </w:rPr>
        <w:t xml:space="preserve"> ACCAN’s research confirmed that consumers are able to use information that they regard as relevant effectively, suggesting the CIS s</w:t>
      </w:r>
      <w:r w:rsidR="007E64E3">
        <w:rPr>
          <w:lang w:val="en-IE"/>
        </w:rPr>
        <w:t xml:space="preserve">hould be available to consumers for as long as their plan is in </w:t>
      </w:r>
      <w:r w:rsidR="00B702E7">
        <w:rPr>
          <w:lang w:val="en-IE"/>
        </w:rPr>
        <w:t>use</w:t>
      </w:r>
      <w:r w:rsidR="00147FFA">
        <w:rPr>
          <w:lang w:val="en-IE"/>
        </w:rPr>
        <w:t>, not only for current offers and promotions.</w:t>
      </w:r>
      <w:r w:rsidR="004B26F8">
        <w:rPr>
          <w:rStyle w:val="FootnoteReference"/>
          <w:lang w:val="en-IE"/>
        </w:rPr>
        <w:footnoteReference w:id="24"/>
      </w:r>
      <w:r w:rsidR="00C872D1">
        <w:rPr>
          <w:lang w:val="en-IE"/>
        </w:rPr>
        <w:t xml:space="preserve"> ACCAN considers the consumer</w:t>
      </w:r>
      <w:r w:rsidR="00B702E7">
        <w:rPr>
          <w:lang w:val="en-IE"/>
        </w:rPr>
        <w:t xml:space="preserve"> benefits </w:t>
      </w:r>
      <w:r w:rsidR="00C872D1">
        <w:rPr>
          <w:lang w:val="en-IE"/>
        </w:rPr>
        <w:t xml:space="preserve">of the CIS would be enhanced if the current </w:t>
      </w:r>
      <w:r w:rsidR="00B702E7">
        <w:rPr>
          <w:lang w:val="en-IE"/>
        </w:rPr>
        <w:t xml:space="preserve">TCP Code </w:t>
      </w:r>
      <w:r w:rsidR="00C872D1">
        <w:rPr>
          <w:lang w:val="en-IE"/>
        </w:rPr>
        <w:t xml:space="preserve">review resulted in </w:t>
      </w:r>
      <w:r w:rsidR="004D34D6">
        <w:rPr>
          <w:lang w:val="en-IE"/>
        </w:rPr>
        <w:t xml:space="preserve">these improvements. </w:t>
      </w:r>
    </w:p>
    <w:p w:rsidR="00282817" w:rsidRPr="003651DE" w:rsidRDefault="00282817" w:rsidP="00282817">
      <w:pPr>
        <w:pStyle w:val="Heading1"/>
        <w:rPr>
          <w:lang w:val="en-IE"/>
        </w:rPr>
      </w:pPr>
      <w:r w:rsidRPr="003651DE">
        <w:rPr>
          <w:lang w:val="en-IE"/>
        </w:rPr>
        <w:t>Mobile</w:t>
      </w:r>
    </w:p>
    <w:p w:rsidR="00282817" w:rsidRPr="003651DE" w:rsidRDefault="00282817" w:rsidP="00282817">
      <w:pPr>
        <w:spacing w:after="0"/>
        <w:rPr>
          <w:rFonts w:cstheme="minorHAnsi"/>
          <w:lang w:val="en-IE"/>
        </w:rPr>
      </w:pPr>
      <w:r w:rsidRPr="003651DE">
        <w:rPr>
          <w:rFonts w:cstheme="minorHAnsi"/>
          <w:lang w:val="en-IE"/>
        </w:rPr>
        <w:t xml:space="preserve">The price premium charged by Telstra, identified on </w:t>
      </w:r>
      <w:r w:rsidR="00F343A6" w:rsidRPr="003651DE">
        <w:rPr>
          <w:rFonts w:cstheme="minorHAnsi"/>
          <w:lang w:val="en-IE"/>
        </w:rPr>
        <w:t>pg.</w:t>
      </w:r>
      <w:r w:rsidRPr="003651DE">
        <w:rPr>
          <w:rFonts w:cstheme="minorHAnsi"/>
          <w:lang w:val="en-IE"/>
        </w:rPr>
        <w:t xml:space="preserve"> 55, of up to 56% is significant for those that do not have a choice in provider due to limited coverage range. ACCAN supports the ACCC proposed work stream in relation to mobile coverage and</w:t>
      </w:r>
      <w:r w:rsidR="00B07A80">
        <w:rPr>
          <w:rFonts w:cstheme="minorHAnsi"/>
          <w:lang w:val="en-IE"/>
        </w:rPr>
        <w:t xml:space="preserve"> its measures to address regional market issues</w:t>
      </w:r>
      <w:r w:rsidR="005D2940">
        <w:rPr>
          <w:rFonts w:cstheme="minorHAnsi"/>
          <w:lang w:val="en-IE"/>
        </w:rPr>
        <w:t xml:space="preserve"> and looks forward to engaging further on these actions</w:t>
      </w:r>
      <w:r w:rsidR="00B07A80">
        <w:rPr>
          <w:rFonts w:cstheme="minorHAnsi"/>
          <w:lang w:val="en-IE"/>
        </w:rPr>
        <w:t>.</w:t>
      </w:r>
      <w:r w:rsidR="00B07A80">
        <w:rPr>
          <w:rStyle w:val="FootnoteReference"/>
          <w:rFonts w:cstheme="minorHAnsi"/>
          <w:lang w:val="en-IE"/>
        </w:rPr>
        <w:footnoteReference w:id="25"/>
      </w:r>
    </w:p>
    <w:p w:rsidR="00C7127B" w:rsidRDefault="00C26A44" w:rsidP="001732B3">
      <w:pPr>
        <w:pStyle w:val="BodyText1"/>
        <w:spacing w:before="240" w:after="0"/>
        <w:rPr>
          <w:rFonts w:asciiTheme="minorHAnsi" w:hAnsiTheme="minorHAnsi" w:cstheme="minorHAnsi"/>
          <w:color w:val="auto"/>
        </w:rPr>
      </w:pPr>
      <w:r>
        <w:rPr>
          <w:rFonts w:asciiTheme="minorHAnsi" w:hAnsiTheme="minorHAnsi" w:cstheme="minorHAnsi"/>
          <w:color w:val="auto"/>
        </w:rPr>
        <w:t>Yours faithfully</w:t>
      </w:r>
    </w:p>
    <w:p w:rsidR="00C7127B" w:rsidRDefault="0008239C" w:rsidP="00644CEC">
      <w:pPr>
        <w:pStyle w:val="BodyText1"/>
        <w:spacing w:after="0"/>
        <w:rPr>
          <w:rFonts w:asciiTheme="minorHAnsi" w:hAnsiTheme="minorHAnsi" w:cstheme="minorHAnsi"/>
          <w:color w:val="auto"/>
        </w:rPr>
      </w:pPr>
      <w:r>
        <w:rPr>
          <w:rFonts w:asciiTheme="minorHAnsi" w:hAnsiTheme="minorHAnsi" w:cstheme="minorHAnsi"/>
          <w:noProof/>
          <w:color w:val="auto"/>
          <w:lang w:val="en-IE" w:eastAsia="en-IE"/>
        </w:rPr>
        <w:drawing>
          <wp:inline distT="0" distB="0" distL="0" distR="0" wp14:anchorId="5A70CB09" wp14:editId="3429EE37">
            <wp:extent cx="1581912" cy="42976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912" cy="429768"/>
                    </a:xfrm>
                    <a:prstGeom prst="rect">
                      <a:avLst/>
                    </a:prstGeom>
                  </pic:spPr>
                </pic:pic>
              </a:graphicData>
            </a:graphic>
          </wp:inline>
        </w:drawing>
      </w:r>
    </w:p>
    <w:p w:rsidR="0008239C" w:rsidRDefault="0008239C" w:rsidP="001249EC">
      <w:pPr>
        <w:pStyle w:val="BodyText1"/>
        <w:spacing w:after="0"/>
        <w:rPr>
          <w:rFonts w:asciiTheme="minorHAnsi" w:hAnsiTheme="minorHAnsi" w:cstheme="minorHAnsi"/>
          <w:color w:val="auto"/>
        </w:rPr>
      </w:pPr>
      <w:r>
        <w:rPr>
          <w:rFonts w:asciiTheme="minorHAnsi" w:hAnsiTheme="minorHAnsi" w:cstheme="minorHAnsi"/>
          <w:color w:val="auto"/>
        </w:rPr>
        <w:t>Rachel Thomas</w:t>
      </w:r>
    </w:p>
    <w:p w:rsidR="00545597" w:rsidRDefault="008A6518" w:rsidP="00623A30">
      <w:pPr>
        <w:pStyle w:val="BodyText1"/>
        <w:spacing w:after="0"/>
      </w:pPr>
      <w:r>
        <w:rPr>
          <w:rFonts w:asciiTheme="minorHAnsi" w:hAnsiTheme="minorHAnsi" w:cstheme="minorHAnsi"/>
          <w:color w:val="auto"/>
        </w:rPr>
        <w:t xml:space="preserve">Senior </w:t>
      </w:r>
      <w:r w:rsidR="0008239C">
        <w:rPr>
          <w:rFonts w:asciiTheme="minorHAnsi" w:hAnsiTheme="minorHAnsi" w:cstheme="minorHAnsi"/>
          <w:color w:val="auto"/>
        </w:rPr>
        <w:t xml:space="preserve">Policy </w:t>
      </w:r>
      <w:r>
        <w:rPr>
          <w:rFonts w:asciiTheme="minorHAnsi" w:hAnsiTheme="minorHAnsi" w:cstheme="minorHAnsi"/>
          <w:color w:val="auto"/>
        </w:rPr>
        <w:t>Adviser</w:t>
      </w:r>
    </w:p>
    <w:sectPr w:rsidR="00545597" w:rsidSect="001249EC">
      <w:headerReference w:type="default" r:id="rId12"/>
      <w:footerReference w:type="default" r:id="rId13"/>
      <w:headerReference w:type="first" r:id="rId14"/>
      <w:footerReference w:type="first" r:id="rId15"/>
      <w:pgSz w:w="11906" w:h="16838"/>
      <w:pgMar w:top="1440" w:right="1440" w:bottom="2155" w:left="1440"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CC" w:rsidRDefault="009607CC" w:rsidP="00C7127B">
      <w:pPr>
        <w:spacing w:after="0" w:line="240" w:lineRule="auto"/>
      </w:pPr>
      <w:r>
        <w:separator/>
      </w:r>
    </w:p>
  </w:endnote>
  <w:endnote w:type="continuationSeparator" w:id="0">
    <w:p w:rsidR="009607CC" w:rsidRDefault="009607CC" w:rsidP="00C7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7B" w:rsidRPr="00E05115" w:rsidRDefault="00C7127B" w:rsidP="00C7127B">
    <w:pPr>
      <w:spacing w:after="0" w:line="240" w:lineRule="auto"/>
      <w:rPr>
        <w:color w:val="23B0E6"/>
      </w:rPr>
    </w:pPr>
    <w:r w:rsidRPr="00E05115">
      <w:rPr>
        <w:color w:val="23B0E6"/>
      </w:rPr>
      <w:t>www.accan.org.au | info@accan.org.au | twitter: @ACCAN_AU</w:t>
    </w:r>
    <w:r>
      <w:rPr>
        <w:color w:val="23B0E6"/>
      </w:rPr>
      <w:tab/>
    </w:r>
    <w:r>
      <w:rPr>
        <w:color w:val="23B0E6"/>
      </w:rPr>
      <w:tab/>
    </w:r>
    <w:r>
      <w:rPr>
        <w:color w:val="23B0E6"/>
      </w:rPr>
      <w:tab/>
    </w:r>
    <w:r>
      <w:rPr>
        <w:color w:val="23B0E6"/>
      </w:rPr>
      <w:tab/>
    </w:r>
    <w:r>
      <w:rPr>
        <w:color w:val="23B0E6"/>
      </w:rPr>
      <w:tab/>
    </w:r>
    <w:r w:rsidRPr="00C4251E">
      <w:fldChar w:fldCharType="begin"/>
    </w:r>
    <w:r w:rsidRPr="00C4251E">
      <w:instrText xml:space="preserve"> PAGE   \* MERGEFORMAT </w:instrText>
    </w:r>
    <w:r w:rsidRPr="00C4251E">
      <w:fldChar w:fldCharType="separate"/>
    </w:r>
    <w:r w:rsidR="009163A1">
      <w:rPr>
        <w:noProof/>
      </w:rPr>
      <w:t>9</w:t>
    </w:r>
    <w:r w:rsidRPr="00C4251E">
      <w:rPr>
        <w:noProof/>
      </w:rPr>
      <w:fldChar w:fldCharType="end"/>
    </w:r>
  </w:p>
  <w:p w:rsidR="00C7127B" w:rsidRDefault="00C71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7B" w:rsidRDefault="00C7127B">
    <w:pPr>
      <w:pStyle w:val="Footer"/>
    </w:pPr>
    <w:r>
      <w:rPr>
        <w:noProof/>
        <w:lang w:val="en-IE" w:eastAsia="en-IE"/>
      </w:rPr>
      <mc:AlternateContent>
        <mc:Choice Requires="wpg">
          <w:drawing>
            <wp:anchor distT="0" distB="0" distL="114300" distR="114300" simplePos="0" relativeHeight="251661312" behindDoc="1" locked="0" layoutInCell="1" allowOverlap="1" wp14:anchorId="2DE0472A" wp14:editId="1016EC21">
              <wp:simplePos x="0" y="0"/>
              <wp:positionH relativeFrom="column">
                <wp:posOffset>-136525</wp:posOffset>
              </wp:positionH>
              <wp:positionV relativeFrom="paragraph">
                <wp:posOffset>-763270</wp:posOffset>
              </wp:positionV>
              <wp:extent cx="6971664" cy="1473199"/>
              <wp:effectExtent l="0" t="0" r="0" b="0"/>
              <wp:wrapNone/>
              <wp:docPr id="3" name="Group 3"/>
              <wp:cNvGraphicFramePr/>
              <a:graphic xmlns:a="http://schemas.openxmlformats.org/drawingml/2006/main">
                <a:graphicData uri="http://schemas.microsoft.com/office/word/2010/wordprocessingGroup">
                  <wpg:wgp>
                    <wpg:cNvGrpSpPr/>
                    <wpg:grpSpPr>
                      <a:xfrm>
                        <a:off x="0" y="0"/>
                        <a:ext cx="6971664" cy="1473199"/>
                        <a:chOff x="-49543" y="-160097"/>
                        <a:chExt cx="6971664" cy="1382617"/>
                      </a:xfrm>
                    </wpg:grpSpPr>
                    <wps:wsp>
                      <wps:cNvPr id="2" name="Text Box 2"/>
                      <wps:cNvSpPr txBox="1">
                        <a:spLocks noChangeArrowheads="1"/>
                      </wps:cNvSpPr>
                      <wps:spPr bwMode="auto">
                        <a:xfrm>
                          <a:off x="-49543" y="-160097"/>
                          <a:ext cx="6971664" cy="1382617"/>
                        </a:xfrm>
                        <a:prstGeom prst="rect">
                          <a:avLst/>
                        </a:prstGeom>
                        <a:noFill/>
                        <a:ln w="9525">
                          <a:noFill/>
                          <a:miter lim="800000"/>
                          <a:headEnd/>
                          <a:tailEnd/>
                        </a:ln>
                      </wps:spPr>
                      <wps:txbx>
                        <w:txbxContent>
                          <w:p w:rsidR="00C7127B" w:rsidRPr="00E05115" w:rsidRDefault="00C7127B" w:rsidP="00C7127B">
                            <w:pPr>
                              <w:spacing w:after="0"/>
                              <w:rPr>
                                <w:color w:val="23B0E6"/>
                              </w:rPr>
                            </w:pPr>
                            <w:r w:rsidRPr="00E05115">
                              <w:rPr>
                                <w:color w:val="23B0E6"/>
                              </w:rPr>
                              <w:t>Australian Communications Consumer Action Network (ACCAN)</w:t>
                            </w:r>
                          </w:p>
                          <w:p w:rsidR="00C7127B" w:rsidRDefault="00C7127B" w:rsidP="00C7127B">
                            <w:pPr>
                              <w:spacing w:after="0"/>
                              <w:rPr>
                                <w:i/>
                                <w:color w:val="23B0E6"/>
                              </w:rPr>
                            </w:pPr>
                            <w:r w:rsidRPr="00E05115">
                              <w:rPr>
                                <w:i/>
                                <w:color w:val="23B0E6"/>
                              </w:rPr>
                              <w:t xml:space="preserve">Australia’s peak </w:t>
                            </w:r>
                            <w:r>
                              <w:rPr>
                                <w:i/>
                                <w:color w:val="23B0E6"/>
                              </w:rPr>
                              <w:t>body representing communications consumers</w:t>
                            </w:r>
                          </w:p>
                          <w:p w:rsidR="00C7127B" w:rsidRPr="00E05115" w:rsidRDefault="00C7127B" w:rsidP="00C7127B">
                            <w:pPr>
                              <w:spacing w:after="0"/>
                              <w:rPr>
                                <w:i/>
                                <w:color w:val="23B0E6"/>
                              </w:rPr>
                            </w:pPr>
                          </w:p>
                          <w:p w:rsidR="00C7127B" w:rsidRDefault="00C7127B" w:rsidP="00C7127B">
                            <w:pPr>
                              <w:spacing w:after="0"/>
                            </w:pPr>
                            <w:r>
                              <w:t>PO Box 639, Broadway NSW 2007</w:t>
                            </w:r>
                          </w:p>
                          <w:p w:rsidR="00C7127B" w:rsidRDefault="00C7127B" w:rsidP="00C7127B">
                            <w:pPr>
                              <w:spacing w:after="0"/>
                            </w:pPr>
                            <w:r>
                              <w:t xml:space="preserve">Tel: (02) 9288 4000 | Fax: (02) 9288 4019 | Contact us through the </w:t>
                            </w:r>
                            <w:hyperlink r:id="rId1" w:history="1">
                              <w:r w:rsidRPr="00FE6EAF">
                                <w:rPr>
                                  <w:rStyle w:val="Hyperlink"/>
                                </w:rPr>
                                <w:t>National Relay Service</w:t>
                              </w:r>
                            </w:hyperlink>
                          </w:p>
                          <w:p w:rsidR="00C7127B" w:rsidRPr="00E05115" w:rsidRDefault="00C7127B" w:rsidP="00C7127B">
                            <w:pPr>
                              <w:spacing w:after="0"/>
                              <w:rPr>
                                <w:color w:val="23B0E6"/>
                              </w:rPr>
                            </w:pPr>
                            <w:r w:rsidRPr="00E05115">
                              <w:rPr>
                                <w:color w:val="23B0E6"/>
                              </w:rPr>
                              <w:t>www.accan.org.au | info@accan.org.au | twitter: @ACCAN_AU</w:t>
                            </w:r>
                            <w:r>
                              <w:rPr>
                                <w:color w:val="23B0E6"/>
                              </w:rPr>
                              <w:t xml:space="preserve"> | www.facebook.com/accanau</w:t>
                            </w:r>
                          </w:p>
                        </w:txbxContent>
                      </wps:txbx>
                      <wps:bodyPr rot="0" vert="horz" wrap="square" lIns="91440" tIns="45720" rIns="91440" bIns="45720" anchor="t" anchorCtr="0">
                        <a:noAutofit/>
                      </wps:bodyPr>
                    </wps:wsp>
                    <wps:wsp>
                      <wps:cNvPr id="1" name="Straight Connector 1"/>
                      <wps:cNvCnPr/>
                      <wps:spPr>
                        <a:xfrm>
                          <a:off x="30738" y="316628"/>
                          <a:ext cx="6701051"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10.75pt;margin-top:-60.1pt;width:548.95pt;height:116pt;z-index:-251655168;mso-width-relative:margin;mso-height-relative:margin" coordorigin="-495,-1600" coordsize="69716,1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">
              <v:shapetype id="_x0000_t202" coordsize="21600,21600" o:spt="202" path="m,l,21600r21600,l21600,xe">
                <v:stroke joinstyle="miter"/>
                <v:path gradientshapeok="t" o:connecttype="rect"/>
              </v:shapetype>
              <v:shape id="Text Box 2" o:spid="_x0000_s1027" type="#_x0000_t202" style="position:absolute;left:-495;top:-1600;width:69716;height:13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C7127B" w:rsidRPr="00E05115" w:rsidRDefault="00C7127B" w:rsidP="00C7127B">
                      <w:pPr>
                        <w:spacing w:after="0"/>
                        <w:rPr>
                          <w:color w:val="23B0E6"/>
                        </w:rPr>
                      </w:pPr>
                      <w:r w:rsidRPr="00E05115">
                        <w:rPr>
                          <w:color w:val="23B0E6"/>
                        </w:rPr>
                        <w:t>Australian Communications Consumer Action Network (ACCAN)</w:t>
                      </w:r>
                    </w:p>
                    <w:p w:rsidR="00C7127B" w:rsidRDefault="00C7127B" w:rsidP="00C7127B">
                      <w:pPr>
                        <w:spacing w:after="0"/>
                        <w:rPr>
                          <w:i/>
                          <w:color w:val="23B0E6"/>
                        </w:rPr>
                      </w:pPr>
                      <w:r w:rsidRPr="00E05115">
                        <w:rPr>
                          <w:i/>
                          <w:color w:val="23B0E6"/>
                        </w:rPr>
                        <w:t xml:space="preserve">Australia’s peak </w:t>
                      </w:r>
                      <w:r>
                        <w:rPr>
                          <w:i/>
                          <w:color w:val="23B0E6"/>
                        </w:rPr>
                        <w:t>body representing communications consumers</w:t>
                      </w:r>
                    </w:p>
                    <w:p w:rsidR="00C7127B" w:rsidRPr="00E05115" w:rsidRDefault="00C7127B" w:rsidP="00C7127B">
                      <w:pPr>
                        <w:spacing w:after="0"/>
                        <w:rPr>
                          <w:i/>
                          <w:color w:val="23B0E6"/>
                        </w:rPr>
                      </w:pPr>
                    </w:p>
                    <w:p w:rsidR="00C7127B" w:rsidRDefault="00C7127B" w:rsidP="00C7127B">
                      <w:pPr>
                        <w:spacing w:after="0"/>
                      </w:pPr>
                      <w:r>
                        <w:t>PO Box 639, Broadway NSW 2007</w:t>
                      </w:r>
                    </w:p>
                    <w:p w:rsidR="00C7127B" w:rsidRDefault="00C7127B" w:rsidP="00C7127B">
                      <w:pPr>
                        <w:spacing w:after="0"/>
                      </w:pPr>
                      <w:r>
                        <w:t xml:space="preserve">Tel: (02) 9288 4000 | Fax: (02) 9288 4019 | Contact us through the </w:t>
                      </w:r>
                      <w:hyperlink r:id="rId2" w:history="1">
                        <w:r w:rsidRPr="00FE6EAF">
                          <w:rPr>
                            <w:rStyle w:val="Hyperlink"/>
                          </w:rPr>
                          <w:t>National Relay Service</w:t>
                        </w:r>
                      </w:hyperlink>
                    </w:p>
                    <w:p w:rsidR="00C7127B" w:rsidRPr="00E05115" w:rsidRDefault="00C7127B" w:rsidP="00C7127B">
                      <w:pPr>
                        <w:spacing w:after="0"/>
                        <w:rPr>
                          <w:color w:val="23B0E6"/>
                        </w:rPr>
                      </w:pPr>
                      <w:r w:rsidRPr="00E05115">
                        <w:rPr>
                          <w:color w:val="23B0E6"/>
                        </w:rPr>
                        <w:t>www.accan.org.au | info@accan.org.au | twitter: @ACCAN_AU</w:t>
                      </w:r>
                      <w:r>
                        <w:rPr>
                          <w:color w:val="23B0E6"/>
                        </w:rPr>
                        <w:t xml:space="preserve"> | www.facebook.com/accanau</w:t>
                      </w:r>
                    </w:p>
                  </w:txbxContent>
                </v:textbox>
              </v:shape>
              <v:line id="Straight Connector 1" o:spid="_x0000_s1028" style="position:absolute;visibility:visible;mso-wrap-style:square" from="307,3166" to="67317,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2chsEAAADaAAAADwAAAGRycy9kb3ducmV2LnhtbERPS2rDMBDdF3oHMYXuGjmhmOBaCU3A&#10;paumcXOAqTX+YGtkLDmxe/ooUMhqeLzvpNvJdOJMg2ssK1guIhDEhdUNVwpOP9nLGoTzyBo7y6Rg&#10;JgfbzeNDiom2Fz7SOfeVCCHsElRQe98nUrqiJoNuYXviwJV2MOgDHCqpB7yEcNPJVRTF0mDDoaHG&#10;nvY1FW0+GgUH2Y5/r8U8lr+ZNx+nr138LY9KPT9N728gPE3+Lv53f+owH26v3K7c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nZyGwQAAANoAAAAPAAAAAAAAAAAAAAAA&#10;AKECAABkcnMvZG93bnJldi54bWxQSwUGAAAAAAQABAD5AAAAjwMAAAAA&#10;" strokecolor="#23b0e6" strokeweight="3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CC" w:rsidRDefault="009607CC" w:rsidP="00C7127B">
      <w:pPr>
        <w:spacing w:after="0" w:line="240" w:lineRule="auto"/>
      </w:pPr>
      <w:r>
        <w:separator/>
      </w:r>
    </w:p>
  </w:footnote>
  <w:footnote w:type="continuationSeparator" w:id="0">
    <w:p w:rsidR="009607CC" w:rsidRDefault="009607CC" w:rsidP="00C7127B">
      <w:pPr>
        <w:spacing w:after="0" w:line="240" w:lineRule="auto"/>
      </w:pPr>
      <w:r>
        <w:continuationSeparator/>
      </w:r>
    </w:p>
  </w:footnote>
  <w:footnote w:id="1">
    <w:p w:rsidR="00DE4BF9" w:rsidRDefault="00DE4BF9" w:rsidP="00B00320">
      <w:pPr>
        <w:pStyle w:val="FootnoteText"/>
        <w:jc w:val="left"/>
      </w:pPr>
      <w:r>
        <w:rPr>
          <w:rStyle w:val="FootnoteReference"/>
        </w:rPr>
        <w:footnoteRef/>
      </w:r>
      <w:r>
        <w:t xml:space="preserve"> </w:t>
      </w:r>
      <w:r w:rsidR="00E90B9F">
        <w:t xml:space="preserve">Communications Alliance, Complaints in Context, July – September 2017. </w:t>
      </w:r>
      <w:hyperlink r:id="rId1" w:history="1">
        <w:r w:rsidRPr="00DE4BF9">
          <w:rPr>
            <w:rStyle w:val="Hyperlink"/>
          </w:rPr>
          <w:t>http://www.commsalliance.com.au/__data/assets/pdf_</w:t>
        </w:r>
        <w:r w:rsidRPr="00DE4BF9">
          <w:rPr>
            <w:rStyle w:val="Hyperlink"/>
          </w:rPr>
          <w:t>f</w:t>
        </w:r>
        <w:r w:rsidRPr="00DE4BF9">
          <w:rPr>
            <w:rStyle w:val="Hyperlink"/>
          </w:rPr>
          <w:t>ile/0004/58963/CiC-Jul-Sep-2017-report-v2.pdf</w:t>
        </w:r>
      </w:hyperlink>
    </w:p>
  </w:footnote>
  <w:footnote w:id="2">
    <w:p w:rsidR="005062D5" w:rsidRDefault="005062D5" w:rsidP="00B00320">
      <w:pPr>
        <w:pStyle w:val="FootnoteText"/>
        <w:jc w:val="left"/>
      </w:pPr>
      <w:r>
        <w:rPr>
          <w:rStyle w:val="FootnoteReference"/>
        </w:rPr>
        <w:footnoteRef/>
      </w:r>
      <w:r>
        <w:t xml:space="preserve"> </w:t>
      </w:r>
      <w:r w:rsidR="00E90B9F">
        <w:t xml:space="preserve">ACCAN, Complaint fatigue persists among telecommunication consumers, June 2015. </w:t>
      </w:r>
      <w:hyperlink r:id="rId2" w:history="1">
        <w:r w:rsidRPr="005062D5">
          <w:rPr>
            <w:rStyle w:val="Hyperlink"/>
          </w:rPr>
          <w:t>https://accan.org.au/our-work/1072-complaint-fatigue-re</w:t>
        </w:r>
        <w:r w:rsidRPr="005062D5">
          <w:rPr>
            <w:rStyle w:val="Hyperlink"/>
          </w:rPr>
          <w:t>l</w:t>
        </w:r>
        <w:r w:rsidRPr="005062D5">
          <w:rPr>
            <w:rStyle w:val="Hyperlink"/>
          </w:rPr>
          <w:t>ease</w:t>
        </w:r>
      </w:hyperlink>
    </w:p>
  </w:footnote>
  <w:footnote w:id="3">
    <w:p w:rsidR="00E90B9F" w:rsidRDefault="00E90B9F" w:rsidP="00B00320">
      <w:pPr>
        <w:pStyle w:val="FootnoteText"/>
        <w:jc w:val="left"/>
      </w:pPr>
      <w:r>
        <w:rPr>
          <w:rStyle w:val="FootnoteReference"/>
        </w:rPr>
        <w:footnoteRef/>
      </w:r>
      <w:r>
        <w:t xml:space="preserve"> Telecommunications Industry Ombudsman, 2016-2017 Annual Report, </w:t>
      </w:r>
      <w:hyperlink r:id="rId3" w:history="1">
        <w:r w:rsidRPr="006906AD">
          <w:rPr>
            <w:rStyle w:val="Hyperlink"/>
          </w:rPr>
          <w:t>https://annualreport.tio.com.au/#complaints/1</w:t>
        </w:r>
      </w:hyperlink>
      <w:r>
        <w:t xml:space="preserve"> </w:t>
      </w:r>
    </w:p>
  </w:footnote>
  <w:footnote w:id="4">
    <w:p w:rsidR="00E90B9F" w:rsidRDefault="00E90B9F" w:rsidP="00B00320">
      <w:pPr>
        <w:pStyle w:val="FootnoteText"/>
        <w:jc w:val="left"/>
      </w:pPr>
      <w:r>
        <w:rPr>
          <w:rStyle w:val="FootnoteReference"/>
        </w:rPr>
        <w:footnoteRef/>
      </w:r>
      <w:r>
        <w:t xml:space="preserve"> ACMA, 2011, Reconnecting the C</w:t>
      </w:r>
      <w:r w:rsidR="00B00320">
        <w:t>ustomer</w:t>
      </w:r>
      <w:r>
        <w:t xml:space="preserve">. </w:t>
      </w:r>
      <w:hyperlink r:id="rId4" w:history="1">
        <w:r w:rsidRPr="006906AD">
          <w:rPr>
            <w:rStyle w:val="Hyperlink"/>
          </w:rPr>
          <w:t>https://www.acma.gov.au/Industry/Telco/Reconnecting-the-customer/Public-inquiry/final-report-reconnecting-the-customer-acma</w:t>
        </w:r>
      </w:hyperlink>
      <w:r>
        <w:t xml:space="preserve"> </w:t>
      </w:r>
    </w:p>
  </w:footnote>
  <w:footnote w:id="5">
    <w:p w:rsidR="00904803" w:rsidRDefault="00904803" w:rsidP="00B00320">
      <w:pPr>
        <w:pStyle w:val="FootnoteText"/>
        <w:jc w:val="left"/>
      </w:pPr>
      <w:r>
        <w:rPr>
          <w:rStyle w:val="FootnoteReference"/>
        </w:rPr>
        <w:footnoteRef/>
      </w:r>
      <w:r>
        <w:t xml:space="preserve"> </w:t>
      </w:r>
      <w:r w:rsidR="00B00320">
        <w:t>ACMA, 2011, Reconnecting the Customer</w:t>
      </w:r>
      <w:r>
        <w:t>, p. 115</w:t>
      </w:r>
    </w:p>
  </w:footnote>
  <w:footnote w:id="6">
    <w:p w:rsidR="000B0934" w:rsidRDefault="000B0934" w:rsidP="00B00320">
      <w:pPr>
        <w:pStyle w:val="FootnoteText"/>
        <w:jc w:val="left"/>
      </w:pPr>
      <w:r>
        <w:rPr>
          <w:rStyle w:val="FootnoteReference"/>
        </w:rPr>
        <w:footnoteRef/>
      </w:r>
      <w:r>
        <w:t xml:space="preserve"> Pg. 42</w:t>
      </w:r>
      <w:r w:rsidR="001A2551">
        <w:t>, ACCC Draft Report</w:t>
      </w:r>
    </w:p>
  </w:footnote>
  <w:footnote w:id="7">
    <w:p w:rsidR="00293A95" w:rsidRDefault="00293A95" w:rsidP="00B00320">
      <w:pPr>
        <w:pStyle w:val="FootnoteText"/>
        <w:jc w:val="left"/>
      </w:pPr>
      <w:r>
        <w:rPr>
          <w:rStyle w:val="FootnoteReference"/>
        </w:rPr>
        <w:footnoteRef/>
      </w:r>
      <w:r>
        <w:t xml:space="preserve"> </w:t>
      </w:r>
      <w:r w:rsidR="000B0934">
        <w:t xml:space="preserve">ACCAN, 2017, Disability Mystery Shopping Project. </w:t>
      </w:r>
      <w:hyperlink w:history="1">
        <w:r w:rsidR="000B0934" w:rsidRPr="00CC76C0">
          <w:rPr>
            <w:rStyle w:val="Hyperlink"/>
          </w:rPr>
          <w:t>https://accan.org.au/hot-issues/1426-disability-mystery-shopping-blog-2017</w:t>
        </w:r>
      </w:hyperlink>
      <w:r w:rsidR="000B0934">
        <w:t xml:space="preserve"> </w:t>
      </w:r>
    </w:p>
  </w:footnote>
  <w:footnote w:id="8">
    <w:p w:rsidR="00527632" w:rsidRDefault="00527632" w:rsidP="00B00320">
      <w:pPr>
        <w:pStyle w:val="FootnoteText"/>
        <w:jc w:val="left"/>
      </w:pPr>
      <w:r>
        <w:rPr>
          <w:rStyle w:val="FootnoteReference"/>
        </w:rPr>
        <w:footnoteRef/>
      </w:r>
      <w:r>
        <w:t xml:space="preserve"> ACCAN, Migration Statement, </w:t>
      </w:r>
      <w:hyperlink r:id="rId5" w:history="1">
        <w:r w:rsidRPr="00CC76C0">
          <w:rPr>
            <w:rStyle w:val="Hyperlink"/>
          </w:rPr>
          <w:t>https://accan.org.au/our-work/policy/1458-migration-statement</w:t>
        </w:r>
      </w:hyperlink>
      <w:r>
        <w:t xml:space="preserve"> </w:t>
      </w:r>
    </w:p>
  </w:footnote>
  <w:footnote w:id="9">
    <w:p w:rsidR="0048585A" w:rsidRDefault="0048585A" w:rsidP="00B00320">
      <w:pPr>
        <w:pStyle w:val="FootnoteText"/>
        <w:jc w:val="left"/>
      </w:pPr>
      <w:r>
        <w:rPr>
          <w:rStyle w:val="FootnoteReference"/>
        </w:rPr>
        <w:footnoteRef/>
      </w:r>
      <w:r>
        <w:t xml:space="preserve"> Pg. 46 and pg. 89</w:t>
      </w:r>
    </w:p>
  </w:footnote>
  <w:footnote w:id="10">
    <w:p w:rsidR="006A0B28" w:rsidRDefault="006A0B28" w:rsidP="00B00320">
      <w:pPr>
        <w:pStyle w:val="FootnoteText"/>
        <w:jc w:val="left"/>
      </w:pPr>
      <w:r>
        <w:rPr>
          <w:rStyle w:val="FootnoteReference"/>
        </w:rPr>
        <w:footnoteRef/>
      </w:r>
      <w:r>
        <w:t xml:space="preserve"> ACCAN, Get Connected – 6 helpful steps if you can’t get a broadband service. </w:t>
      </w:r>
      <w:hyperlink r:id="rId6" w:history="1">
        <w:r w:rsidRPr="00CC76C0">
          <w:rPr>
            <w:rStyle w:val="Hyperlink"/>
          </w:rPr>
          <w:t>https://accan.org.au/broadband/get-connected/adsl-solutions</w:t>
        </w:r>
      </w:hyperlink>
      <w:r>
        <w:t xml:space="preserve"> </w:t>
      </w:r>
    </w:p>
  </w:footnote>
  <w:footnote w:id="11">
    <w:p w:rsidR="001732B3" w:rsidRDefault="001732B3" w:rsidP="00B00320">
      <w:pPr>
        <w:pStyle w:val="FootnoteText"/>
        <w:jc w:val="left"/>
      </w:pPr>
      <w:r>
        <w:rPr>
          <w:rStyle w:val="FootnoteReference"/>
        </w:rPr>
        <w:footnoteRef/>
      </w:r>
      <w:r>
        <w:t xml:space="preserve"> Pg. 68</w:t>
      </w:r>
    </w:p>
  </w:footnote>
  <w:footnote w:id="12">
    <w:p w:rsidR="002A3D4E" w:rsidRDefault="002A3D4E" w:rsidP="00B00320">
      <w:pPr>
        <w:pStyle w:val="FootnoteText"/>
        <w:jc w:val="left"/>
      </w:pPr>
      <w:r>
        <w:rPr>
          <w:rStyle w:val="FootnoteReference"/>
        </w:rPr>
        <w:footnoteRef/>
      </w:r>
      <w:r>
        <w:t xml:space="preserve"> Pg. 122</w:t>
      </w:r>
    </w:p>
  </w:footnote>
  <w:footnote w:id="13">
    <w:p w:rsidR="001732B3" w:rsidRDefault="001732B3" w:rsidP="00B00320">
      <w:pPr>
        <w:pStyle w:val="FootnoteText"/>
        <w:jc w:val="left"/>
      </w:pPr>
      <w:r>
        <w:rPr>
          <w:rStyle w:val="FootnoteReference"/>
        </w:rPr>
        <w:footnoteRef/>
      </w:r>
      <w:r>
        <w:t xml:space="preserve"> Pg. 14</w:t>
      </w:r>
    </w:p>
  </w:footnote>
  <w:footnote w:id="14">
    <w:p w:rsidR="00141D67" w:rsidRDefault="00141D67" w:rsidP="00B00320">
      <w:pPr>
        <w:spacing w:after="0"/>
        <w:jc w:val="left"/>
      </w:pPr>
      <w:r>
        <w:rPr>
          <w:rStyle w:val="FootnoteReference"/>
        </w:rPr>
        <w:footnoteRef/>
      </w:r>
      <w:r>
        <w:t xml:space="preserve"> </w:t>
      </w:r>
      <w:r w:rsidRPr="001732B3">
        <w:rPr>
          <w:rFonts w:cstheme="minorHAnsi"/>
          <w:sz w:val="20"/>
          <w:szCs w:val="20"/>
        </w:rPr>
        <w:t xml:space="preserve">NBN, About NBN, </w:t>
      </w:r>
      <w:hyperlink r:id="rId7" w:history="1">
        <w:r w:rsidRPr="001732B3">
          <w:rPr>
            <w:rStyle w:val="Hyperlink"/>
            <w:rFonts w:cstheme="minorHAnsi"/>
            <w:sz w:val="20"/>
            <w:szCs w:val="20"/>
          </w:rPr>
          <w:t>https://www.nbnco.com.au/corporate-information/about-nbn-co.html</w:t>
        </w:r>
      </w:hyperlink>
      <w:r w:rsidRPr="001732B3">
        <w:rPr>
          <w:rFonts w:cstheme="minorHAnsi"/>
          <w:sz w:val="20"/>
          <w:szCs w:val="20"/>
        </w:rPr>
        <w:t xml:space="preserve">, and </w:t>
      </w:r>
      <w:r w:rsidRPr="001732B3">
        <w:rPr>
          <w:rFonts w:cstheme="minorHAnsi"/>
          <w:sz w:val="20"/>
          <w:szCs w:val="20"/>
          <w:lang w:val="en-IE"/>
        </w:rPr>
        <w:t xml:space="preserve">Statement of Expectations </w:t>
      </w:r>
      <w:hyperlink r:id="rId8" w:history="1">
        <w:r w:rsidRPr="001732B3">
          <w:rPr>
            <w:rStyle w:val="Hyperlink"/>
            <w:rFonts w:cstheme="minorHAnsi"/>
            <w:sz w:val="20"/>
            <w:szCs w:val="20"/>
            <w:lang w:val="en-IE"/>
          </w:rPr>
          <w:t>https://www.nbnco.com.au/content/dam/nbnco2/documents/soe-shareholder-minister-letter.pdf</w:t>
        </w:r>
      </w:hyperlink>
    </w:p>
  </w:footnote>
  <w:footnote w:id="15">
    <w:p w:rsidR="00887730" w:rsidRDefault="00887730" w:rsidP="00B00320">
      <w:pPr>
        <w:pStyle w:val="FootnoteText"/>
        <w:jc w:val="left"/>
      </w:pPr>
      <w:r>
        <w:rPr>
          <w:rStyle w:val="FootnoteReference"/>
        </w:rPr>
        <w:footnoteRef/>
      </w:r>
      <w:r>
        <w:t xml:space="preserve"> </w:t>
      </w:r>
      <w:r w:rsidRPr="00887730">
        <w:rPr>
          <w:lang w:val="en-IE"/>
        </w:rPr>
        <w:t xml:space="preserve">Department of Communications and the Arts, Bureau of Communications Research. </w:t>
      </w:r>
      <w:r w:rsidRPr="00887730">
        <w:rPr>
          <w:i/>
          <w:iCs/>
          <w:lang w:val="en-IE"/>
        </w:rPr>
        <w:t>Trends and drivers in the affordability of communications services for Australian households</w:t>
      </w:r>
      <w:r w:rsidRPr="00887730">
        <w:rPr>
          <w:lang w:val="en-IE"/>
        </w:rPr>
        <w:t xml:space="preserve">, 2017. </w:t>
      </w:r>
      <w:hyperlink r:id="rId9" w:history="1">
        <w:r w:rsidRPr="00887730">
          <w:rPr>
            <w:rStyle w:val="Hyperlink"/>
            <w:lang w:val="en-IE"/>
          </w:rPr>
          <w:t>https://www.communications.gov.au/departmental-news/new-research-shows-communications-services-are-more-affordable</w:t>
        </w:r>
      </w:hyperlink>
    </w:p>
  </w:footnote>
  <w:footnote w:id="16">
    <w:p w:rsidR="00811A40" w:rsidRPr="00621FBE" w:rsidRDefault="00811A40" w:rsidP="00B00320">
      <w:pPr>
        <w:pStyle w:val="FootnoteText"/>
        <w:jc w:val="left"/>
      </w:pPr>
      <w:r w:rsidRPr="00621FBE">
        <w:rPr>
          <w:rStyle w:val="FootnoteReference"/>
        </w:rPr>
        <w:footnoteRef/>
      </w:r>
      <w:r w:rsidRPr="00621FBE">
        <w:t xml:space="preserve"> ABS</w:t>
      </w:r>
      <w:r>
        <w:t xml:space="preserve">, Households without internet access at home, </w:t>
      </w:r>
      <w:r w:rsidRPr="00425AB4">
        <w:rPr>
          <w:i/>
        </w:rPr>
        <w:t>Household Use of Information Technology</w:t>
      </w:r>
      <w:r>
        <w:rPr>
          <w:i/>
        </w:rPr>
        <w:t xml:space="preserve"> 2014-2015. 8146</w:t>
      </w:r>
      <w:r>
        <w:t>.</w:t>
      </w:r>
      <w:r w:rsidRPr="00D01768">
        <w:t xml:space="preserve"> </w:t>
      </w:r>
      <w:hyperlink r:id="rId10" w:tooltip="Go to referenced material" w:history="1">
        <w:r w:rsidRPr="00F95A56">
          <w:rPr>
            <w:rStyle w:val="Hyperlink"/>
          </w:rPr>
          <w:t>http://www.abs.gov.au/ausstats/abs@.nsf/mf/8146.0</w:t>
        </w:r>
      </w:hyperlink>
      <w:r>
        <w:t xml:space="preserve"> </w:t>
      </w:r>
    </w:p>
  </w:footnote>
  <w:footnote w:id="17">
    <w:p w:rsidR="00600A04" w:rsidRDefault="00600A04" w:rsidP="00B00320">
      <w:pPr>
        <w:pStyle w:val="FootnoteText"/>
        <w:jc w:val="left"/>
      </w:pPr>
      <w:r>
        <w:rPr>
          <w:rStyle w:val="FootnoteReference"/>
        </w:rPr>
        <w:footnoteRef/>
      </w:r>
      <w:r>
        <w:t xml:space="preserve"> ACCAN, Telecommunications Reform Bill submission.</w:t>
      </w:r>
    </w:p>
  </w:footnote>
  <w:footnote w:id="18">
    <w:p w:rsidR="0069462A" w:rsidRDefault="0069462A" w:rsidP="00B00320">
      <w:pPr>
        <w:pStyle w:val="FootnoteText"/>
        <w:jc w:val="left"/>
      </w:pPr>
      <w:r>
        <w:rPr>
          <w:rStyle w:val="FootnoteReference"/>
        </w:rPr>
        <w:footnoteRef/>
      </w:r>
      <w:r>
        <w:t xml:space="preserve"> </w:t>
      </w:r>
      <w:r w:rsidRPr="003651DE">
        <w:rPr>
          <w:rFonts w:cstheme="minorHAnsi"/>
        </w:rPr>
        <w:t>Bill Morrow at Senate hearing, 24/10/2017</w:t>
      </w:r>
    </w:p>
  </w:footnote>
  <w:footnote w:id="19">
    <w:p w:rsidR="004025FE" w:rsidRDefault="004025FE" w:rsidP="00B00320">
      <w:pPr>
        <w:pStyle w:val="FootnoteText"/>
        <w:jc w:val="left"/>
      </w:pPr>
      <w:r>
        <w:rPr>
          <w:rStyle w:val="FootnoteReference"/>
        </w:rPr>
        <w:footnoteRef/>
      </w:r>
      <w:r>
        <w:t xml:space="preserve"> Pg. 51</w:t>
      </w:r>
    </w:p>
  </w:footnote>
  <w:footnote w:id="20">
    <w:p w:rsidR="004025FE" w:rsidRDefault="004025FE" w:rsidP="00B00320">
      <w:pPr>
        <w:pStyle w:val="FootnoteText"/>
        <w:jc w:val="left"/>
      </w:pPr>
      <w:r>
        <w:rPr>
          <w:rStyle w:val="FootnoteReference"/>
        </w:rPr>
        <w:footnoteRef/>
      </w:r>
      <w:r>
        <w:t xml:space="preserve"> Ogle, G. 2017, Telecommunications Expenditure in Australia, Australian Communications Consumer Action Network, Sydney.</w:t>
      </w:r>
      <w:r w:rsidR="00EA6A71" w:rsidRPr="00EA6A71">
        <w:t xml:space="preserve"> </w:t>
      </w:r>
      <w:hyperlink r:id="rId11" w:history="1">
        <w:r w:rsidR="00EA6A71" w:rsidRPr="00CC76C0">
          <w:rPr>
            <w:rStyle w:val="Hyperlink"/>
          </w:rPr>
          <w:t>https://accan.org.au/our-work/research/1460-telecommunications-expenditure-in-australia</w:t>
        </w:r>
      </w:hyperlink>
      <w:r w:rsidR="00EA6A71">
        <w:t xml:space="preserve"> </w:t>
      </w:r>
    </w:p>
  </w:footnote>
  <w:footnote w:id="21">
    <w:p w:rsidR="00E90B9F" w:rsidRDefault="00E90B9F" w:rsidP="00B00320">
      <w:pPr>
        <w:pStyle w:val="FootnoteText"/>
        <w:jc w:val="left"/>
      </w:pPr>
      <w:r>
        <w:rPr>
          <w:rStyle w:val="FootnoteReference"/>
        </w:rPr>
        <w:footnoteRef/>
      </w:r>
      <w:r>
        <w:t xml:space="preserve"> </w:t>
      </w:r>
      <w:r w:rsidR="00B00320">
        <w:t xml:space="preserve">Communications Alliance, </w:t>
      </w:r>
      <w:r>
        <w:t>T</w:t>
      </w:r>
      <w:r w:rsidR="00B00320">
        <w:t xml:space="preserve">elecommunications </w:t>
      </w:r>
      <w:r>
        <w:t>C</w:t>
      </w:r>
      <w:r w:rsidR="00B00320">
        <w:t xml:space="preserve">onsumer </w:t>
      </w:r>
      <w:r>
        <w:t>P</w:t>
      </w:r>
      <w:r w:rsidR="00B00320">
        <w:t>rotection</w:t>
      </w:r>
      <w:r>
        <w:t xml:space="preserve"> Code, </w:t>
      </w:r>
      <w:r w:rsidR="00B00320">
        <w:t xml:space="preserve">Section </w:t>
      </w:r>
      <w:r>
        <w:t xml:space="preserve">4.1 </w:t>
      </w:r>
      <w:hyperlink r:id="rId12" w:history="1">
        <w:r w:rsidRPr="004D34D6">
          <w:rPr>
            <w:rStyle w:val="Hyperlink"/>
          </w:rPr>
          <w:t>http://www.commsalliance.com.a</w:t>
        </w:r>
        <w:r w:rsidRPr="004D34D6">
          <w:rPr>
            <w:rStyle w:val="Hyperlink"/>
          </w:rPr>
          <w:t>u</w:t>
        </w:r>
        <w:r w:rsidRPr="004D34D6">
          <w:rPr>
            <w:rStyle w:val="Hyperlink"/>
          </w:rPr>
          <w:t>/Documents/all/codes/c628</w:t>
        </w:r>
      </w:hyperlink>
    </w:p>
  </w:footnote>
  <w:footnote w:id="22">
    <w:p w:rsidR="00147FFA" w:rsidRDefault="00147FFA" w:rsidP="00B00320">
      <w:pPr>
        <w:pStyle w:val="FootnoteText"/>
        <w:jc w:val="left"/>
      </w:pPr>
      <w:r>
        <w:rPr>
          <w:rStyle w:val="FootnoteReference"/>
        </w:rPr>
        <w:footnoteRef/>
      </w:r>
      <w:r>
        <w:t xml:space="preserve"> </w:t>
      </w:r>
      <w:r w:rsidR="00B00320" w:rsidRPr="00B00320">
        <w:rPr>
          <w:lang w:val="en-IE"/>
        </w:rPr>
        <w:t>Harrison, Paul, Hill, Laura, and</w:t>
      </w:r>
      <w:r w:rsidR="00B00320">
        <w:rPr>
          <w:lang w:val="en-IE"/>
        </w:rPr>
        <w:t xml:space="preserve"> </w:t>
      </w:r>
      <w:r w:rsidR="00B00320" w:rsidRPr="00B00320">
        <w:rPr>
          <w:lang w:val="en-IE"/>
        </w:rPr>
        <w:t>Gray, Charles, 2016, Confident, but Confounded: Consumer Comprehension of Telecommunications Agreements, Australian Communications Consumer Action Network, Sydney.</w:t>
      </w:r>
      <w:r w:rsidR="00B00320" w:rsidRPr="00B00320">
        <w:t xml:space="preserve"> </w:t>
      </w:r>
      <w:hyperlink r:id="rId13" w:history="1">
        <w:r w:rsidR="00B00320" w:rsidRPr="006906AD">
          <w:rPr>
            <w:rStyle w:val="Hyperlink"/>
          </w:rPr>
          <w:t>https://accan.org.au/our-work/research/1307-confident-but-confounded</w:t>
        </w:r>
      </w:hyperlink>
      <w:r w:rsidR="004B26F8">
        <w:t>, p.36</w:t>
      </w:r>
    </w:p>
  </w:footnote>
  <w:footnote w:id="23">
    <w:p w:rsidR="00147FFA" w:rsidRDefault="00147FFA" w:rsidP="00B00320">
      <w:pPr>
        <w:pStyle w:val="FootnoteText"/>
        <w:jc w:val="left"/>
      </w:pPr>
      <w:r>
        <w:rPr>
          <w:rStyle w:val="FootnoteReference"/>
        </w:rPr>
        <w:footnoteRef/>
      </w:r>
      <w:r>
        <w:t xml:space="preserve"> A</w:t>
      </w:r>
      <w:r w:rsidR="00B702E7">
        <w:t>necdotal</w:t>
      </w:r>
      <w:r w:rsidR="00C872D1">
        <w:t xml:space="preserve"> evidence suggests that the CIS may not be </w:t>
      </w:r>
      <w:r w:rsidR="004D34D6">
        <w:t xml:space="preserve">consistently </w:t>
      </w:r>
      <w:r w:rsidR="00C872D1">
        <w:t>offered by retail staff, but is available on request.</w:t>
      </w:r>
      <w:r>
        <w:t xml:space="preserve"> </w:t>
      </w:r>
    </w:p>
  </w:footnote>
  <w:footnote w:id="24">
    <w:p w:rsidR="004B26F8" w:rsidRDefault="004B26F8" w:rsidP="00B00320">
      <w:pPr>
        <w:pStyle w:val="FootnoteText"/>
        <w:jc w:val="left"/>
      </w:pPr>
      <w:r>
        <w:rPr>
          <w:rStyle w:val="FootnoteReference"/>
        </w:rPr>
        <w:footnoteRef/>
      </w:r>
      <w:r>
        <w:t xml:space="preserve"> Harrison, P (ibid), p.38</w:t>
      </w:r>
    </w:p>
  </w:footnote>
  <w:footnote w:id="25">
    <w:p w:rsidR="00B07A80" w:rsidRDefault="00B07A80" w:rsidP="00B00320">
      <w:pPr>
        <w:pStyle w:val="FootnoteText"/>
        <w:jc w:val="left"/>
      </w:pPr>
      <w:r>
        <w:rPr>
          <w:rStyle w:val="FootnoteReference"/>
        </w:rPr>
        <w:footnoteRef/>
      </w:r>
      <w:r>
        <w:t xml:space="preserve"> ACCC. Measures to address regio</w:t>
      </w:r>
      <w:r w:rsidR="00B00320">
        <w:t xml:space="preserve">nal market issues, 2017. </w:t>
      </w:r>
      <w:hyperlink r:id="rId14" w:history="1">
        <w:r w:rsidRPr="00CC76C0">
          <w:rPr>
            <w:rStyle w:val="Hyperlink"/>
          </w:rPr>
          <w:t>https://www.accc.gov.au/system/files/Measures%20to%20address%20regional%20mobile%20issues.pdf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7B" w:rsidRDefault="00C7127B">
    <w:pPr>
      <w:pStyle w:val="Header"/>
    </w:pPr>
    <w:r>
      <w:rPr>
        <w:noProof/>
        <w:lang w:val="en-IE" w:eastAsia="en-IE"/>
      </w:rPr>
      <w:drawing>
        <wp:anchor distT="0" distB="0" distL="114300" distR="114300" simplePos="0" relativeHeight="251659264" behindDoc="1" locked="0" layoutInCell="1" allowOverlap="1" wp14:anchorId="3621EFD3" wp14:editId="4EFA4C3D">
          <wp:simplePos x="0" y="0"/>
          <wp:positionH relativeFrom="column">
            <wp:posOffset>4570370</wp:posOffset>
          </wp:positionH>
          <wp:positionV relativeFrom="paragraph">
            <wp:posOffset>-250789</wp:posOffset>
          </wp:positionV>
          <wp:extent cx="1630800" cy="756000"/>
          <wp:effectExtent l="0" t="0" r="762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1630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7B" w:rsidRDefault="00C7127B" w:rsidP="00C7127B">
    <w:pPr>
      <w:pStyle w:val="Header"/>
      <w:jc w:val="right"/>
    </w:pPr>
    <w:r>
      <w:rPr>
        <w:noProof/>
        <w:lang w:val="en-IE" w:eastAsia="en-IE"/>
      </w:rPr>
      <w:drawing>
        <wp:anchor distT="0" distB="0" distL="114300" distR="114300" simplePos="0" relativeHeight="251663360" behindDoc="1" locked="0" layoutInCell="1" allowOverlap="1" wp14:anchorId="734BB126" wp14:editId="39D7FBB6">
          <wp:simplePos x="0" y="0"/>
          <wp:positionH relativeFrom="column">
            <wp:posOffset>4248054</wp:posOffset>
          </wp:positionH>
          <wp:positionV relativeFrom="paragraph">
            <wp:posOffset>-262375</wp:posOffset>
          </wp:positionV>
          <wp:extent cx="1630800" cy="756000"/>
          <wp:effectExtent l="0" t="0" r="762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1630800" cy="7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6690"/>
    <w:multiLevelType w:val="multilevel"/>
    <w:tmpl w:val="F6EEA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6E15C5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4A1051"/>
    <w:multiLevelType w:val="hybridMultilevel"/>
    <w:tmpl w:val="28C093E6"/>
    <w:lvl w:ilvl="0" w:tplc="076AF1D6">
      <w:start w:val="28"/>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67A5598"/>
    <w:multiLevelType w:val="hybridMultilevel"/>
    <w:tmpl w:val="009A8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86F6E57"/>
    <w:multiLevelType w:val="hybridMultilevel"/>
    <w:tmpl w:val="B0125298"/>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abstractNum w:abstractNumId="5">
    <w:nsid w:val="2DAC659B"/>
    <w:multiLevelType w:val="multilevel"/>
    <w:tmpl w:val="579A1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EB0607C"/>
    <w:multiLevelType w:val="hybridMultilevel"/>
    <w:tmpl w:val="71E8729A"/>
    <w:lvl w:ilvl="0" w:tplc="076AF1D6">
      <w:start w:val="28"/>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1B4134C"/>
    <w:multiLevelType w:val="hybridMultilevel"/>
    <w:tmpl w:val="A176C4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DAC1FED"/>
    <w:multiLevelType w:val="hybridMultilevel"/>
    <w:tmpl w:val="1A70BD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1F641AE"/>
    <w:multiLevelType w:val="multilevel"/>
    <w:tmpl w:val="005C4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6F86804"/>
    <w:multiLevelType w:val="hybridMultilevel"/>
    <w:tmpl w:val="6AFE07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21711D6"/>
    <w:multiLevelType w:val="hybridMultilevel"/>
    <w:tmpl w:val="E66AEC2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282042B"/>
    <w:multiLevelType w:val="hybridMultilevel"/>
    <w:tmpl w:val="1B9C75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AC461D7"/>
    <w:multiLevelType w:val="hybridMultilevel"/>
    <w:tmpl w:val="63E818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5AC32D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68ED2835"/>
    <w:multiLevelType w:val="hybridMultilevel"/>
    <w:tmpl w:val="3238E6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DB630EB"/>
    <w:multiLevelType w:val="hybridMultilevel"/>
    <w:tmpl w:val="A572A2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72D94BC2"/>
    <w:multiLevelType w:val="hybridMultilevel"/>
    <w:tmpl w:val="3FB0A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9EB7581"/>
    <w:multiLevelType w:val="hybridMultilevel"/>
    <w:tmpl w:val="3A6CB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15"/>
  </w:num>
  <w:num w:numId="5">
    <w:abstractNumId w:val="2"/>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8"/>
  </w:num>
  <w:num w:numId="11">
    <w:abstractNumId w:val="11"/>
  </w:num>
  <w:num w:numId="12">
    <w:abstractNumId w:val="13"/>
  </w:num>
  <w:num w:numId="13">
    <w:abstractNumId w:val="7"/>
  </w:num>
  <w:num w:numId="14">
    <w:abstractNumId w:val="17"/>
  </w:num>
  <w:num w:numId="15">
    <w:abstractNumId w:val="1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9C"/>
    <w:rsid w:val="000024C6"/>
    <w:rsid w:val="0000476E"/>
    <w:rsid w:val="0002108B"/>
    <w:rsid w:val="0002697C"/>
    <w:rsid w:val="00040F66"/>
    <w:rsid w:val="000458B6"/>
    <w:rsid w:val="0008239C"/>
    <w:rsid w:val="0009136E"/>
    <w:rsid w:val="000A0AD7"/>
    <w:rsid w:val="000A25F4"/>
    <w:rsid w:val="000B0934"/>
    <w:rsid w:val="000C066C"/>
    <w:rsid w:val="000C1E5B"/>
    <w:rsid w:val="000C21FB"/>
    <w:rsid w:val="000C361F"/>
    <w:rsid w:val="000C4717"/>
    <w:rsid w:val="000E4B78"/>
    <w:rsid w:val="000F77A6"/>
    <w:rsid w:val="0010365A"/>
    <w:rsid w:val="00104A8F"/>
    <w:rsid w:val="001249EC"/>
    <w:rsid w:val="001266C6"/>
    <w:rsid w:val="00132086"/>
    <w:rsid w:val="001332D1"/>
    <w:rsid w:val="00141D67"/>
    <w:rsid w:val="00147FFA"/>
    <w:rsid w:val="00152FE9"/>
    <w:rsid w:val="001605BF"/>
    <w:rsid w:val="001708BD"/>
    <w:rsid w:val="001732B3"/>
    <w:rsid w:val="0017595C"/>
    <w:rsid w:val="001766C6"/>
    <w:rsid w:val="00177385"/>
    <w:rsid w:val="00177DD9"/>
    <w:rsid w:val="001959F8"/>
    <w:rsid w:val="001A102A"/>
    <w:rsid w:val="001A2551"/>
    <w:rsid w:val="001B2C29"/>
    <w:rsid w:val="001E0E0A"/>
    <w:rsid w:val="001E2CB4"/>
    <w:rsid w:val="001F0366"/>
    <w:rsid w:val="001F21C6"/>
    <w:rsid w:val="001F49BA"/>
    <w:rsid w:val="00205275"/>
    <w:rsid w:val="002067FE"/>
    <w:rsid w:val="00216C6A"/>
    <w:rsid w:val="002341DF"/>
    <w:rsid w:val="002345ED"/>
    <w:rsid w:val="0023653E"/>
    <w:rsid w:val="00240F5D"/>
    <w:rsid w:val="002613B6"/>
    <w:rsid w:val="002706F8"/>
    <w:rsid w:val="00282817"/>
    <w:rsid w:val="00282E28"/>
    <w:rsid w:val="0028336B"/>
    <w:rsid w:val="002939E3"/>
    <w:rsid w:val="00293A95"/>
    <w:rsid w:val="00297A20"/>
    <w:rsid w:val="00297CD3"/>
    <w:rsid w:val="002A3D4E"/>
    <w:rsid w:val="002B6F8B"/>
    <w:rsid w:val="002D089C"/>
    <w:rsid w:val="002E127B"/>
    <w:rsid w:val="003012AF"/>
    <w:rsid w:val="003155C3"/>
    <w:rsid w:val="00327361"/>
    <w:rsid w:val="00335043"/>
    <w:rsid w:val="003539E3"/>
    <w:rsid w:val="003651DE"/>
    <w:rsid w:val="0037131A"/>
    <w:rsid w:val="0037696B"/>
    <w:rsid w:val="003816BF"/>
    <w:rsid w:val="00393A53"/>
    <w:rsid w:val="003959F5"/>
    <w:rsid w:val="003B3D66"/>
    <w:rsid w:val="003B4EA0"/>
    <w:rsid w:val="003C2379"/>
    <w:rsid w:val="003C2DF6"/>
    <w:rsid w:val="003C4747"/>
    <w:rsid w:val="003D03EC"/>
    <w:rsid w:val="003D4AA4"/>
    <w:rsid w:val="003E0066"/>
    <w:rsid w:val="003E7BA3"/>
    <w:rsid w:val="003F081B"/>
    <w:rsid w:val="003F4D0E"/>
    <w:rsid w:val="004025FE"/>
    <w:rsid w:val="00414733"/>
    <w:rsid w:val="00416099"/>
    <w:rsid w:val="00417EFD"/>
    <w:rsid w:val="00422E83"/>
    <w:rsid w:val="00430EC8"/>
    <w:rsid w:val="00442E49"/>
    <w:rsid w:val="00450322"/>
    <w:rsid w:val="0045615A"/>
    <w:rsid w:val="004774BC"/>
    <w:rsid w:val="00481829"/>
    <w:rsid w:val="0048585A"/>
    <w:rsid w:val="004A2FB2"/>
    <w:rsid w:val="004B26F8"/>
    <w:rsid w:val="004C0D0A"/>
    <w:rsid w:val="004C5BEE"/>
    <w:rsid w:val="004D07D4"/>
    <w:rsid w:val="004D34D6"/>
    <w:rsid w:val="004F0D22"/>
    <w:rsid w:val="004F7719"/>
    <w:rsid w:val="00500D0E"/>
    <w:rsid w:val="00501FD7"/>
    <w:rsid w:val="005062D5"/>
    <w:rsid w:val="005160C1"/>
    <w:rsid w:val="00525FB6"/>
    <w:rsid w:val="00527632"/>
    <w:rsid w:val="00545597"/>
    <w:rsid w:val="00552CAF"/>
    <w:rsid w:val="00555211"/>
    <w:rsid w:val="00565E5A"/>
    <w:rsid w:val="00581AEC"/>
    <w:rsid w:val="0058421D"/>
    <w:rsid w:val="00594FCA"/>
    <w:rsid w:val="00597BB3"/>
    <w:rsid w:val="005A2CF5"/>
    <w:rsid w:val="005C3C0B"/>
    <w:rsid w:val="005D2940"/>
    <w:rsid w:val="005D3BFE"/>
    <w:rsid w:val="005F5DFB"/>
    <w:rsid w:val="005F6316"/>
    <w:rsid w:val="00600A04"/>
    <w:rsid w:val="00607A0F"/>
    <w:rsid w:val="006136F0"/>
    <w:rsid w:val="00617E30"/>
    <w:rsid w:val="00621342"/>
    <w:rsid w:val="00623A30"/>
    <w:rsid w:val="00623F47"/>
    <w:rsid w:val="00626530"/>
    <w:rsid w:val="006310B1"/>
    <w:rsid w:val="006425F8"/>
    <w:rsid w:val="00644CEC"/>
    <w:rsid w:val="00646BAC"/>
    <w:rsid w:val="006559E3"/>
    <w:rsid w:val="00657E39"/>
    <w:rsid w:val="006613E8"/>
    <w:rsid w:val="0069462A"/>
    <w:rsid w:val="006A06AC"/>
    <w:rsid w:val="006A0B28"/>
    <w:rsid w:val="006A6D96"/>
    <w:rsid w:val="006E1A69"/>
    <w:rsid w:val="006E1C54"/>
    <w:rsid w:val="006E25B2"/>
    <w:rsid w:val="006E6FFD"/>
    <w:rsid w:val="0070040E"/>
    <w:rsid w:val="00702C69"/>
    <w:rsid w:val="00713D3A"/>
    <w:rsid w:val="00724DF9"/>
    <w:rsid w:val="00741E53"/>
    <w:rsid w:val="00762543"/>
    <w:rsid w:val="007625D1"/>
    <w:rsid w:val="00777330"/>
    <w:rsid w:val="007841FD"/>
    <w:rsid w:val="007C0053"/>
    <w:rsid w:val="007C153C"/>
    <w:rsid w:val="007C69F1"/>
    <w:rsid w:val="007E64E3"/>
    <w:rsid w:val="00811A40"/>
    <w:rsid w:val="008159A4"/>
    <w:rsid w:val="00815F5A"/>
    <w:rsid w:val="0083590D"/>
    <w:rsid w:val="00842C50"/>
    <w:rsid w:val="008550D8"/>
    <w:rsid w:val="00860397"/>
    <w:rsid w:val="0086481C"/>
    <w:rsid w:val="00866792"/>
    <w:rsid w:val="008774E9"/>
    <w:rsid w:val="00887730"/>
    <w:rsid w:val="008A2FE1"/>
    <w:rsid w:val="008A4378"/>
    <w:rsid w:val="008A56E0"/>
    <w:rsid w:val="008A6518"/>
    <w:rsid w:val="008B6367"/>
    <w:rsid w:val="008B7192"/>
    <w:rsid w:val="008C3843"/>
    <w:rsid w:val="008D2179"/>
    <w:rsid w:val="008F122E"/>
    <w:rsid w:val="00900BAC"/>
    <w:rsid w:val="00904803"/>
    <w:rsid w:val="0091630E"/>
    <w:rsid w:val="009163A1"/>
    <w:rsid w:val="0092771F"/>
    <w:rsid w:val="0094554B"/>
    <w:rsid w:val="00950384"/>
    <w:rsid w:val="00952C42"/>
    <w:rsid w:val="009607CC"/>
    <w:rsid w:val="00965CA5"/>
    <w:rsid w:val="00980FEA"/>
    <w:rsid w:val="00990E24"/>
    <w:rsid w:val="00994942"/>
    <w:rsid w:val="00997B2F"/>
    <w:rsid w:val="009A271E"/>
    <w:rsid w:val="009B65AF"/>
    <w:rsid w:val="009C6FAA"/>
    <w:rsid w:val="009D4510"/>
    <w:rsid w:val="009E3D3D"/>
    <w:rsid w:val="009E59A7"/>
    <w:rsid w:val="009E5A94"/>
    <w:rsid w:val="009F2AAF"/>
    <w:rsid w:val="009F71E0"/>
    <w:rsid w:val="00A04A07"/>
    <w:rsid w:val="00A10BDF"/>
    <w:rsid w:val="00A16013"/>
    <w:rsid w:val="00A37A8E"/>
    <w:rsid w:val="00A720F3"/>
    <w:rsid w:val="00A72F22"/>
    <w:rsid w:val="00A755F1"/>
    <w:rsid w:val="00A76E93"/>
    <w:rsid w:val="00A86090"/>
    <w:rsid w:val="00A87950"/>
    <w:rsid w:val="00A93B95"/>
    <w:rsid w:val="00A96288"/>
    <w:rsid w:val="00AA004C"/>
    <w:rsid w:val="00AA5CBA"/>
    <w:rsid w:val="00AE4972"/>
    <w:rsid w:val="00AE678B"/>
    <w:rsid w:val="00AF2C14"/>
    <w:rsid w:val="00B00320"/>
    <w:rsid w:val="00B07A80"/>
    <w:rsid w:val="00B21BC5"/>
    <w:rsid w:val="00B232D8"/>
    <w:rsid w:val="00B42278"/>
    <w:rsid w:val="00B5341A"/>
    <w:rsid w:val="00B702E7"/>
    <w:rsid w:val="00B75BD4"/>
    <w:rsid w:val="00B87A92"/>
    <w:rsid w:val="00B90B0D"/>
    <w:rsid w:val="00B92845"/>
    <w:rsid w:val="00BB5809"/>
    <w:rsid w:val="00BC2BA4"/>
    <w:rsid w:val="00BC537E"/>
    <w:rsid w:val="00BE4890"/>
    <w:rsid w:val="00BE7BCB"/>
    <w:rsid w:val="00C26A44"/>
    <w:rsid w:val="00C3773C"/>
    <w:rsid w:val="00C51A6F"/>
    <w:rsid w:val="00C53EF6"/>
    <w:rsid w:val="00C7127B"/>
    <w:rsid w:val="00C73E10"/>
    <w:rsid w:val="00C8047F"/>
    <w:rsid w:val="00C816A9"/>
    <w:rsid w:val="00C845D0"/>
    <w:rsid w:val="00C846B8"/>
    <w:rsid w:val="00C872D1"/>
    <w:rsid w:val="00C916D7"/>
    <w:rsid w:val="00C930D8"/>
    <w:rsid w:val="00C93999"/>
    <w:rsid w:val="00C972EB"/>
    <w:rsid w:val="00CA043F"/>
    <w:rsid w:val="00CC6C7D"/>
    <w:rsid w:val="00CD215B"/>
    <w:rsid w:val="00CD2D73"/>
    <w:rsid w:val="00D13B33"/>
    <w:rsid w:val="00D24EB7"/>
    <w:rsid w:val="00D462AE"/>
    <w:rsid w:val="00D64C78"/>
    <w:rsid w:val="00D652D3"/>
    <w:rsid w:val="00D671F3"/>
    <w:rsid w:val="00D7799D"/>
    <w:rsid w:val="00D90402"/>
    <w:rsid w:val="00D9613E"/>
    <w:rsid w:val="00DA4140"/>
    <w:rsid w:val="00DC284C"/>
    <w:rsid w:val="00DC45CF"/>
    <w:rsid w:val="00DE4BF9"/>
    <w:rsid w:val="00DE6965"/>
    <w:rsid w:val="00DF258F"/>
    <w:rsid w:val="00E0771D"/>
    <w:rsid w:val="00E10A59"/>
    <w:rsid w:val="00E128AE"/>
    <w:rsid w:val="00E138BA"/>
    <w:rsid w:val="00E1423F"/>
    <w:rsid w:val="00E35ACF"/>
    <w:rsid w:val="00E35FE7"/>
    <w:rsid w:val="00E5553F"/>
    <w:rsid w:val="00E730B2"/>
    <w:rsid w:val="00E83272"/>
    <w:rsid w:val="00E90B9F"/>
    <w:rsid w:val="00E960AB"/>
    <w:rsid w:val="00EA21B3"/>
    <w:rsid w:val="00EA6A71"/>
    <w:rsid w:val="00EC6445"/>
    <w:rsid w:val="00ED21DD"/>
    <w:rsid w:val="00EE52E2"/>
    <w:rsid w:val="00EF02A3"/>
    <w:rsid w:val="00EF3FDB"/>
    <w:rsid w:val="00EF5BED"/>
    <w:rsid w:val="00F05B8E"/>
    <w:rsid w:val="00F261B3"/>
    <w:rsid w:val="00F343A6"/>
    <w:rsid w:val="00F4230A"/>
    <w:rsid w:val="00F5308D"/>
    <w:rsid w:val="00F66693"/>
    <w:rsid w:val="00F82BE3"/>
    <w:rsid w:val="00FA15C3"/>
    <w:rsid w:val="00FB0631"/>
    <w:rsid w:val="00FB0DB0"/>
    <w:rsid w:val="00FD69E2"/>
    <w:rsid w:val="00FE1868"/>
    <w:rsid w:val="00FE44A8"/>
    <w:rsid w:val="00FE6F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4B"/>
    <w:pPr>
      <w:jc w:val="both"/>
    </w:pPr>
  </w:style>
  <w:style w:type="paragraph" w:styleId="Heading1">
    <w:name w:val="heading 1"/>
    <w:basedOn w:val="Normal"/>
    <w:next w:val="Normal"/>
    <w:link w:val="Heading1Char"/>
    <w:uiPriority w:val="9"/>
    <w:qFormat/>
    <w:rsid w:val="0009136E"/>
    <w:pPr>
      <w:keepNext/>
      <w:keepLines/>
      <w:numPr>
        <w:numId w:val="1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65AF"/>
    <w:pPr>
      <w:keepNext/>
      <w:keepLines/>
      <w:numPr>
        <w:ilvl w:val="1"/>
        <w:numId w:val="1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3F47"/>
    <w:pPr>
      <w:keepNext/>
      <w:keepLines/>
      <w:numPr>
        <w:ilvl w:val="2"/>
        <w:numId w:val="1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65AF"/>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65AF"/>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65AF"/>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65AF"/>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65AF"/>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65AF"/>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27B"/>
  </w:style>
  <w:style w:type="paragraph" w:styleId="Footer">
    <w:name w:val="footer"/>
    <w:basedOn w:val="Normal"/>
    <w:link w:val="FooterChar"/>
    <w:uiPriority w:val="99"/>
    <w:unhideWhenUsed/>
    <w:rsid w:val="00C71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27B"/>
  </w:style>
  <w:style w:type="paragraph" w:customStyle="1" w:styleId="BodyText1">
    <w:name w:val="Body Text1"/>
    <w:basedOn w:val="Normal"/>
    <w:qFormat/>
    <w:rsid w:val="00C7127B"/>
    <w:rPr>
      <w:rFonts w:ascii="Arial" w:eastAsia="Calibri" w:hAnsi="Arial" w:cs="Arial"/>
      <w:color w:val="000000"/>
      <w:lang w:eastAsia="en-US"/>
    </w:rPr>
  </w:style>
  <w:style w:type="character" w:styleId="Hyperlink">
    <w:name w:val="Hyperlink"/>
    <w:basedOn w:val="DefaultParagraphFont"/>
    <w:uiPriority w:val="99"/>
    <w:unhideWhenUsed/>
    <w:rsid w:val="00C7127B"/>
    <w:rPr>
      <w:color w:val="0000FF" w:themeColor="hyperlink"/>
      <w:u w:val="single"/>
    </w:rPr>
  </w:style>
  <w:style w:type="paragraph" w:styleId="BalloonText">
    <w:name w:val="Balloon Text"/>
    <w:basedOn w:val="Normal"/>
    <w:link w:val="BalloonTextChar"/>
    <w:uiPriority w:val="99"/>
    <w:semiHidden/>
    <w:unhideWhenUsed/>
    <w:rsid w:val="00082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39C"/>
    <w:rPr>
      <w:rFonts w:ascii="Tahoma" w:hAnsi="Tahoma" w:cs="Tahoma"/>
      <w:sz w:val="16"/>
      <w:szCs w:val="16"/>
    </w:rPr>
  </w:style>
  <w:style w:type="character" w:customStyle="1" w:styleId="Heading1Char">
    <w:name w:val="Heading 1 Char"/>
    <w:basedOn w:val="DefaultParagraphFont"/>
    <w:link w:val="Heading1"/>
    <w:uiPriority w:val="9"/>
    <w:rsid w:val="000913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65AF"/>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3F08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081B"/>
    <w:rPr>
      <w:sz w:val="20"/>
      <w:szCs w:val="20"/>
    </w:rPr>
  </w:style>
  <w:style w:type="character" w:styleId="FootnoteReference">
    <w:name w:val="footnote reference"/>
    <w:basedOn w:val="DefaultParagraphFont"/>
    <w:uiPriority w:val="99"/>
    <w:semiHidden/>
    <w:unhideWhenUsed/>
    <w:rsid w:val="003F081B"/>
    <w:rPr>
      <w:vertAlign w:val="superscript"/>
    </w:rPr>
  </w:style>
  <w:style w:type="character" w:customStyle="1" w:styleId="invisible">
    <w:name w:val="invisible"/>
    <w:basedOn w:val="DefaultParagraphFont"/>
    <w:rsid w:val="005160C1"/>
  </w:style>
  <w:style w:type="character" w:customStyle="1" w:styleId="js-display-url">
    <w:name w:val="js-display-url"/>
    <w:basedOn w:val="DefaultParagraphFont"/>
    <w:rsid w:val="005160C1"/>
  </w:style>
  <w:style w:type="paragraph" w:styleId="ListParagraph">
    <w:name w:val="List Paragraph"/>
    <w:basedOn w:val="Normal"/>
    <w:uiPriority w:val="34"/>
    <w:qFormat/>
    <w:rsid w:val="00A87950"/>
    <w:pPr>
      <w:ind w:left="720"/>
      <w:contextualSpacing/>
    </w:pPr>
  </w:style>
  <w:style w:type="character" w:customStyle="1" w:styleId="Heading3Char">
    <w:name w:val="Heading 3 Char"/>
    <w:basedOn w:val="DefaultParagraphFont"/>
    <w:link w:val="Heading3"/>
    <w:uiPriority w:val="9"/>
    <w:rsid w:val="00623F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B65A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65A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B65A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B65A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65A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65AF"/>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F261B3"/>
    <w:rPr>
      <w:color w:val="800080" w:themeColor="followedHyperlink"/>
      <w:u w:val="single"/>
    </w:rPr>
  </w:style>
  <w:style w:type="character" w:styleId="CommentReference">
    <w:name w:val="annotation reference"/>
    <w:basedOn w:val="DefaultParagraphFont"/>
    <w:uiPriority w:val="99"/>
    <w:semiHidden/>
    <w:unhideWhenUsed/>
    <w:rsid w:val="008A2FE1"/>
    <w:rPr>
      <w:sz w:val="16"/>
      <w:szCs w:val="16"/>
    </w:rPr>
  </w:style>
  <w:style w:type="paragraph" w:styleId="CommentText">
    <w:name w:val="annotation text"/>
    <w:basedOn w:val="Normal"/>
    <w:link w:val="CommentTextChar"/>
    <w:uiPriority w:val="99"/>
    <w:semiHidden/>
    <w:unhideWhenUsed/>
    <w:rsid w:val="008A2FE1"/>
    <w:pPr>
      <w:spacing w:line="240" w:lineRule="auto"/>
    </w:pPr>
    <w:rPr>
      <w:sz w:val="20"/>
      <w:szCs w:val="20"/>
    </w:rPr>
  </w:style>
  <w:style w:type="character" w:customStyle="1" w:styleId="CommentTextChar">
    <w:name w:val="Comment Text Char"/>
    <w:basedOn w:val="DefaultParagraphFont"/>
    <w:link w:val="CommentText"/>
    <w:uiPriority w:val="99"/>
    <w:semiHidden/>
    <w:rsid w:val="008A2FE1"/>
    <w:rPr>
      <w:sz w:val="20"/>
      <w:szCs w:val="20"/>
    </w:rPr>
  </w:style>
  <w:style w:type="paragraph" w:styleId="CommentSubject">
    <w:name w:val="annotation subject"/>
    <w:basedOn w:val="CommentText"/>
    <w:next w:val="CommentText"/>
    <w:link w:val="CommentSubjectChar"/>
    <w:uiPriority w:val="99"/>
    <w:semiHidden/>
    <w:unhideWhenUsed/>
    <w:rsid w:val="008A2FE1"/>
    <w:rPr>
      <w:b/>
      <w:bCs/>
    </w:rPr>
  </w:style>
  <w:style w:type="character" w:customStyle="1" w:styleId="CommentSubjectChar">
    <w:name w:val="Comment Subject Char"/>
    <w:basedOn w:val="CommentTextChar"/>
    <w:link w:val="CommentSubject"/>
    <w:uiPriority w:val="99"/>
    <w:semiHidden/>
    <w:rsid w:val="008A2FE1"/>
    <w:rPr>
      <w:b/>
      <w:bCs/>
      <w:sz w:val="20"/>
      <w:szCs w:val="20"/>
    </w:rPr>
  </w:style>
  <w:style w:type="table" w:styleId="TableGrid">
    <w:name w:val="Table Grid"/>
    <w:basedOn w:val="TableNormal"/>
    <w:uiPriority w:val="59"/>
    <w:rsid w:val="000C21FB"/>
    <w:pPr>
      <w:spacing w:after="0" w:line="240" w:lineRule="auto"/>
    </w:pPr>
    <w:rPr>
      <w:rFonts w:eastAsiaTheme="minorHAnsi"/>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4B"/>
    <w:pPr>
      <w:jc w:val="both"/>
    </w:pPr>
  </w:style>
  <w:style w:type="paragraph" w:styleId="Heading1">
    <w:name w:val="heading 1"/>
    <w:basedOn w:val="Normal"/>
    <w:next w:val="Normal"/>
    <w:link w:val="Heading1Char"/>
    <w:uiPriority w:val="9"/>
    <w:qFormat/>
    <w:rsid w:val="0009136E"/>
    <w:pPr>
      <w:keepNext/>
      <w:keepLines/>
      <w:numPr>
        <w:numId w:val="1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65AF"/>
    <w:pPr>
      <w:keepNext/>
      <w:keepLines/>
      <w:numPr>
        <w:ilvl w:val="1"/>
        <w:numId w:val="1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3F47"/>
    <w:pPr>
      <w:keepNext/>
      <w:keepLines/>
      <w:numPr>
        <w:ilvl w:val="2"/>
        <w:numId w:val="1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65AF"/>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65AF"/>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65AF"/>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65AF"/>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65AF"/>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65AF"/>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27B"/>
  </w:style>
  <w:style w:type="paragraph" w:styleId="Footer">
    <w:name w:val="footer"/>
    <w:basedOn w:val="Normal"/>
    <w:link w:val="FooterChar"/>
    <w:uiPriority w:val="99"/>
    <w:unhideWhenUsed/>
    <w:rsid w:val="00C71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27B"/>
  </w:style>
  <w:style w:type="paragraph" w:customStyle="1" w:styleId="BodyText1">
    <w:name w:val="Body Text1"/>
    <w:basedOn w:val="Normal"/>
    <w:qFormat/>
    <w:rsid w:val="00C7127B"/>
    <w:rPr>
      <w:rFonts w:ascii="Arial" w:eastAsia="Calibri" w:hAnsi="Arial" w:cs="Arial"/>
      <w:color w:val="000000"/>
      <w:lang w:eastAsia="en-US"/>
    </w:rPr>
  </w:style>
  <w:style w:type="character" w:styleId="Hyperlink">
    <w:name w:val="Hyperlink"/>
    <w:basedOn w:val="DefaultParagraphFont"/>
    <w:uiPriority w:val="99"/>
    <w:unhideWhenUsed/>
    <w:rsid w:val="00C7127B"/>
    <w:rPr>
      <w:color w:val="0000FF" w:themeColor="hyperlink"/>
      <w:u w:val="single"/>
    </w:rPr>
  </w:style>
  <w:style w:type="paragraph" w:styleId="BalloonText">
    <w:name w:val="Balloon Text"/>
    <w:basedOn w:val="Normal"/>
    <w:link w:val="BalloonTextChar"/>
    <w:uiPriority w:val="99"/>
    <w:semiHidden/>
    <w:unhideWhenUsed/>
    <w:rsid w:val="00082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39C"/>
    <w:rPr>
      <w:rFonts w:ascii="Tahoma" w:hAnsi="Tahoma" w:cs="Tahoma"/>
      <w:sz w:val="16"/>
      <w:szCs w:val="16"/>
    </w:rPr>
  </w:style>
  <w:style w:type="character" w:customStyle="1" w:styleId="Heading1Char">
    <w:name w:val="Heading 1 Char"/>
    <w:basedOn w:val="DefaultParagraphFont"/>
    <w:link w:val="Heading1"/>
    <w:uiPriority w:val="9"/>
    <w:rsid w:val="0009136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65AF"/>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3F08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081B"/>
    <w:rPr>
      <w:sz w:val="20"/>
      <w:szCs w:val="20"/>
    </w:rPr>
  </w:style>
  <w:style w:type="character" w:styleId="FootnoteReference">
    <w:name w:val="footnote reference"/>
    <w:basedOn w:val="DefaultParagraphFont"/>
    <w:uiPriority w:val="99"/>
    <w:semiHidden/>
    <w:unhideWhenUsed/>
    <w:rsid w:val="003F081B"/>
    <w:rPr>
      <w:vertAlign w:val="superscript"/>
    </w:rPr>
  </w:style>
  <w:style w:type="character" w:customStyle="1" w:styleId="invisible">
    <w:name w:val="invisible"/>
    <w:basedOn w:val="DefaultParagraphFont"/>
    <w:rsid w:val="005160C1"/>
  </w:style>
  <w:style w:type="character" w:customStyle="1" w:styleId="js-display-url">
    <w:name w:val="js-display-url"/>
    <w:basedOn w:val="DefaultParagraphFont"/>
    <w:rsid w:val="005160C1"/>
  </w:style>
  <w:style w:type="paragraph" w:styleId="ListParagraph">
    <w:name w:val="List Paragraph"/>
    <w:basedOn w:val="Normal"/>
    <w:uiPriority w:val="34"/>
    <w:qFormat/>
    <w:rsid w:val="00A87950"/>
    <w:pPr>
      <w:ind w:left="720"/>
      <w:contextualSpacing/>
    </w:pPr>
  </w:style>
  <w:style w:type="character" w:customStyle="1" w:styleId="Heading3Char">
    <w:name w:val="Heading 3 Char"/>
    <w:basedOn w:val="DefaultParagraphFont"/>
    <w:link w:val="Heading3"/>
    <w:uiPriority w:val="9"/>
    <w:rsid w:val="00623F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B65A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65A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B65A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B65A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65A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65AF"/>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F261B3"/>
    <w:rPr>
      <w:color w:val="800080" w:themeColor="followedHyperlink"/>
      <w:u w:val="single"/>
    </w:rPr>
  </w:style>
  <w:style w:type="character" w:styleId="CommentReference">
    <w:name w:val="annotation reference"/>
    <w:basedOn w:val="DefaultParagraphFont"/>
    <w:uiPriority w:val="99"/>
    <w:semiHidden/>
    <w:unhideWhenUsed/>
    <w:rsid w:val="008A2FE1"/>
    <w:rPr>
      <w:sz w:val="16"/>
      <w:szCs w:val="16"/>
    </w:rPr>
  </w:style>
  <w:style w:type="paragraph" w:styleId="CommentText">
    <w:name w:val="annotation text"/>
    <w:basedOn w:val="Normal"/>
    <w:link w:val="CommentTextChar"/>
    <w:uiPriority w:val="99"/>
    <w:semiHidden/>
    <w:unhideWhenUsed/>
    <w:rsid w:val="008A2FE1"/>
    <w:pPr>
      <w:spacing w:line="240" w:lineRule="auto"/>
    </w:pPr>
    <w:rPr>
      <w:sz w:val="20"/>
      <w:szCs w:val="20"/>
    </w:rPr>
  </w:style>
  <w:style w:type="character" w:customStyle="1" w:styleId="CommentTextChar">
    <w:name w:val="Comment Text Char"/>
    <w:basedOn w:val="DefaultParagraphFont"/>
    <w:link w:val="CommentText"/>
    <w:uiPriority w:val="99"/>
    <w:semiHidden/>
    <w:rsid w:val="008A2FE1"/>
    <w:rPr>
      <w:sz w:val="20"/>
      <w:szCs w:val="20"/>
    </w:rPr>
  </w:style>
  <w:style w:type="paragraph" w:styleId="CommentSubject">
    <w:name w:val="annotation subject"/>
    <w:basedOn w:val="CommentText"/>
    <w:next w:val="CommentText"/>
    <w:link w:val="CommentSubjectChar"/>
    <w:uiPriority w:val="99"/>
    <w:semiHidden/>
    <w:unhideWhenUsed/>
    <w:rsid w:val="008A2FE1"/>
    <w:rPr>
      <w:b/>
      <w:bCs/>
    </w:rPr>
  </w:style>
  <w:style w:type="character" w:customStyle="1" w:styleId="CommentSubjectChar">
    <w:name w:val="Comment Subject Char"/>
    <w:basedOn w:val="CommentTextChar"/>
    <w:link w:val="CommentSubject"/>
    <w:uiPriority w:val="99"/>
    <w:semiHidden/>
    <w:rsid w:val="008A2FE1"/>
    <w:rPr>
      <w:b/>
      <w:bCs/>
      <w:sz w:val="20"/>
      <w:szCs w:val="20"/>
    </w:rPr>
  </w:style>
  <w:style w:type="table" w:styleId="TableGrid">
    <w:name w:val="Table Grid"/>
    <w:basedOn w:val="TableNormal"/>
    <w:uiPriority w:val="59"/>
    <w:rsid w:val="000C21FB"/>
    <w:pPr>
      <w:spacing w:after="0" w:line="240" w:lineRule="auto"/>
    </w:pPr>
    <w:rPr>
      <w:rFonts w:eastAsiaTheme="minorHAnsi"/>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8577">
      <w:bodyDiv w:val="1"/>
      <w:marLeft w:val="0"/>
      <w:marRight w:val="0"/>
      <w:marTop w:val="0"/>
      <w:marBottom w:val="0"/>
      <w:divBdr>
        <w:top w:val="none" w:sz="0" w:space="0" w:color="auto"/>
        <w:left w:val="none" w:sz="0" w:space="0" w:color="auto"/>
        <w:bottom w:val="none" w:sz="0" w:space="0" w:color="auto"/>
        <w:right w:val="none" w:sz="0" w:space="0" w:color="auto"/>
      </w:divBdr>
      <w:divsChild>
        <w:div w:id="1527787996">
          <w:marLeft w:val="0"/>
          <w:marRight w:val="0"/>
          <w:marTop w:val="0"/>
          <w:marBottom w:val="0"/>
          <w:divBdr>
            <w:top w:val="none" w:sz="0" w:space="0" w:color="auto"/>
            <w:left w:val="none" w:sz="0" w:space="0" w:color="auto"/>
            <w:bottom w:val="none" w:sz="0" w:space="0" w:color="auto"/>
            <w:right w:val="none" w:sz="0" w:space="0" w:color="auto"/>
          </w:divBdr>
        </w:div>
        <w:div w:id="1766993775">
          <w:marLeft w:val="0"/>
          <w:marRight w:val="0"/>
          <w:marTop w:val="0"/>
          <w:marBottom w:val="0"/>
          <w:divBdr>
            <w:top w:val="none" w:sz="0" w:space="0" w:color="auto"/>
            <w:left w:val="none" w:sz="0" w:space="0" w:color="auto"/>
            <w:bottom w:val="none" w:sz="0" w:space="0" w:color="auto"/>
            <w:right w:val="none" w:sz="0" w:space="0" w:color="auto"/>
          </w:divBdr>
        </w:div>
        <w:div w:id="1261371804">
          <w:marLeft w:val="0"/>
          <w:marRight w:val="0"/>
          <w:marTop w:val="0"/>
          <w:marBottom w:val="0"/>
          <w:divBdr>
            <w:top w:val="none" w:sz="0" w:space="0" w:color="auto"/>
            <w:left w:val="none" w:sz="0" w:space="0" w:color="auto"/>
            <w:bottom w:val="none" w:sz="0" w:space="0" w:color="auto"/>
            <w:right w:val="none" w:sz="0" w:space="0" w:color="auto"/>
          </w:divBdr>
        </w:div>
        <w:div w:id="960260242">
          <w:marLeft w:val="0"/>
          <w:marRight w:val="0"/>
          <w:marTop w:val="0"/>
          <w:marBottom w:val="0"/>
          <w:divBdr>
            <w:top w:val="none" w:sz="0" w:space="0" w:color="auto"/>
            <w:left w:val="none" w:sz="0" w:space="0" w:color="auto"/>
            <w:bottom w:val="none" w:sz="0" w:space="0" w:color="auto"/>
            <w:right w:val="none" w:sz="0" w:space="0" w:color="auto"/>
          </w:divBdr>
        </w:div>
        <w:div w:id="1405445643">
          <w:marLeft w:val="0"/>
          <w:marRight w:val="0"/>
          <w:marTop w:val="0"/>
          <w:marBottom w:val="0"/>
          <w:divBdr>
            <w:top w:val="none" w:sz="0" w:space="0" w:color="auto"/>
            <w:left w:val="none" w:sz="0" w:space="0" w:color="auto"/>
            <w:bottom w:val="none" w:sz="0" w:space="0" w:color="auto"/>
            <w:right w:val="none" w:sz="0" w:space="0" w:color="auto"/>
          </w:divBdr>
        </w:div>
        <w:div w:id="1631014977">
          <w:marLeft w:val="0"/>
          <w:marRight w:val="0"/>
          <w:marTop w:val="0"/>
          <w:marBottom w:val="0"/>
          <w:divBdr>
            <w:top w:val="none" w:sz="0" w:space="0" w:color="auto"/>
            <w:left w:val="none" w:sz="0" w:space="0" w:color="auto"/>
            <w:bottom w:val="none" w:sz="0" w:space="0" w:color="auto"/>
            <w:right w:val="none" w:sz="0" w:space="0" w:color="auto"/>
          </w:divBdr>
        </w:div>
        <w:div w:id="2086829466">
          <w:marLeft w:val="0"/>
          <w:marRight w:val="0"/>
          <w:marTop w:val="0"/>
          <w:marBottom w:val="0"/>
          <w:divBdr>
            <w:top w:val="none" w:sz="0" w:space="0" w:color="auto"/>
            <w:left w:val="none" w:sz="0" w:space="0" w:color="auto"/>
            <w:bottom w:val="none" w:sz="0" w:space="0" w:color="auto"/>
            <w:right w:val="none" w:sz="0" w:space="0" w:color="auto"/>
          </w:divBdr>
        </w:div>
        <w:div w:id="988903012">
          <w:marLeft w:val="0"/>
          <w:marRight w:val="0"/>
          <w:marTop w:val="0"/>
          <w:marBottom w:val="0"/>
          <w:divBdr>
            <w:top w:val="none" w:sz="0" w:space="0" w:color="auto"/>
            <w:left w:val="none" w:sz="0" w:space="0" w:color="auto"/>
            <w:bottom w:val="none" w:sz="0" w:space="0" w:color="auto"/>
            <w:right w:val="none" w:sz="0" w:space="0" w:color="auto"/>
          </w:divBdr>
        </w:div>
        <w:div w:id="72091431">
          <w:marLeft w:val="0"/>
          <w:marRight w:val="0"/>
          <w:marTop w:val="0"/>
          <w:marBottom w:val="0"/>
          <w:divBdr>
            <w:top w:val="none" w:sz="0" w:space="0" w:color="auto"/>
            <w:left w:val="none" w:sz="0" w:space="0" w:color="auto"/>
            <w:bottom w:val="none" w:sz="0" w:space="0" w:color="auto"/>
            <w:right w:val="none" w:sz="0" w:space="0" w:color="auto"/>
          </w:divBdr>
        </w:div>
        <w:div w:id="1950116975">
          <w:marLeft w:val="0"/>
          <w:marRight w:val="0"/>
          <w:marTop w:val="0"/>
          <w:marBottom w:val="0"/>
          <w:divBdr>
            <w:top w:val="none" w:sz="0" w:space="0" w:color="auto"/>
            <w:left w:val="none" w:sz="0" w:space="0" w:color="auto"/>
            <w:bottom w:val="none" w:sz="0" w:space="0" w:color="auto"/>
            <w:right w:val="none" w:sz="0" w:space="0" w:color="auto"/>
          </w:divBdr>
        </w:div>
      </w:divsChild>
    </w:div>
    <w:div w:id="316109580">
      <w:bodyDiv w:val="1"/>
      <w:marLeft w:val="0"/>
      <w:marRight w:val="0"/>
      <w:marTop w:val="0"/>
      <w:marBottom w:val="0"/>
      <w:divBdr>
        <w:top w:val="none" w:sz="0" w:space="0" w:color="auto"/>
        <w:left w:val="none" w:sz="0" w:space="0" w:color="auto"/>
        <w:bottom w:val="none" w:sz="0" w:space="0" w:color="auto"/>
        <w:right w:val="none" w:sz="0" w:space="0" w:color="auto"/>
      </w:divBdr>
    </w:div>
    <w:div w:id="1053849130">
      <w:bodyDiv w:val="1"/>
      <w:marLeft w:val="0"/>
      <w:marRight w:val="0"/>
      <w:marTop w:val="0"/>
      <w:marBottom w:val="0"/>
      <w:divBdr>
        <w:top w:val="none" w:sz="0" w:space="0" w:color="auto"/>
        <w:left w:val="none" w:sz="0" w:space="0" w:color="auto"/>
        <w:bottom w:val="none" w:sz="0" w:space="0" w:color="auto"/>
        <w:right w:val="none" w:sz="0" w:space="0" w:color="auto"/>
      </w:divBdr>
    </w:div>
    <w:div w:id="145811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Commsmarketstudy@accc.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relayservice.gov.au/" TargetMode="External"/><Relationship Id="rId1" Type="http://schemas.openxmlformats.org/officeDocument/2006/relationships/hyperlink" Target="http://relayservice.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bnco.com.au/content/dam/nbnco2/documents/soe-shareholder-minister-letter.pdf" TargetMode="External"/><Relationship Id="rId13" Type="http://schemas.openxmlformats.org/officeDocument/2006/relationships/hyperlink" Target="https://accan.org.au/our-work/research/1307-confident-but-confounded" TargetMode="External"/><Relationship Id="rId3" Type="http://schemas.openxmlformats.org/officeDocument/2006/relationships/hyperlink" Target="https://annualreport.tio.com.au/#complaints/1" TargetMode="External"/><Relationship Id="rId7" Type="http://schemas.openxmlformats.org/officeDocument/2006/relationships/hyperlink" Target="https://www.nbnco.com.au/corporate-information/about-nbn-co.html" TargetMode="External"/><Relationship Id="rId12" Type="http://schemas.openxmlformats.org/officeDocument/2006/relationships/hyperlink" Target="http://www.commsalliance.com.au/Documents/all/codes/c628" TargetMode="External"/><Relationship Id="rId2" Type="http://schemas.openxmlformats.org/officeDocument/2006/relationships/hyperlink" Target="https://accan.org.au/our-work/1072-complaint-fatigue-release" TargetMode="External"/><Relationship Id="rId1" Type="http://schemas.openxmlformats.org/officeDocument/2006/relationships/hyperlink" Target="http://www.commsalliance.com.au/__data/assets/pdf_file/0004/58963/CiC-Jul-Sep-2017-report-v2.pdf" TargetMode="External"/><Relationship Id="rId6" Type="http://schemas.openxmlformats.org/officeDocument/2006/relationships/hyperlink" Target="https://accan.org.au/broadband/get-connected/adsl-solutions" TargetMode="External"/><Relationship Id="rId11" Type="http://schemas.openxmlformats.org/officeDocument/2006/relationships/hyperlink" Target="https://accan.org.au/our-work/research/1460-telecommunications-expenditure-in-australia" TargetMode="External"/><Relationship Id="rId5" Type="http://schemas.openxmlformats.org/officeDocument/2006/relationships/hyperlink" Target="https://accan.org.au/our-work/policy/1458-migration-statement" TargetMode="External"/><Relationship Id="rId10" Type="http://schemas.openxmlformats.org/officeDocument/2006/relationships/hyperlink" Target="http://www.abs.gov.au/ausstats/abs@.nsf/mf/8146.0" TargetMode="External"/><Relationship Id="rId4" Type="http://schemas.openxmlformats.org/officeDocument/2006/relationships/hyperlink" Target="https://www.acma.gov.au/Industry/Telco/Reconnecting-the-customer/Public-inquiry/final-report-reconnecting-the-customer-acma" TargetMode="External"/><Relationship Id="rId9" Type="http://schemas.openxmlformats.org/officeDocument/2006/relationships/hyperlink" Target="https://www.communications.gov.au/departmental-news/new-research-shows-communications-services-are-more-affordable" TargetMode="External"/><Relationship Id="rId14" Type="http://schemas.openxmlformats.org/officeDocument/2006/relationships/hyperlink" Target="https://www.accc.gov.au/system/files/Measures%20to%20address%20regional%20mobile%20issu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20&amp;%20Originals\Templates%202016%20as%20at%20August%202016\Short%20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A207A-F766-40B7-A002-B735E1ED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Submission</Template>
  <TotalTime>2</TotalTime>
  <Pages>9</Pages>
  <Words>3297</Words>
  <Characters>17936</Characters>
  <Application>Microsoft Office Word</Application>
  <DocSecurity>0</DocSecurity>
  <Lines>267</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Thomas</dc:creator>
  <cp:lastModifiedBy>Rachel Thomas</cp:lastModifiedBy>
  <cp:revision>4</cp:revision>
  <cp:lastPrinted>2017-12-20T01:03:00Z</cp:lastPrinted>
  <dcterms:created xsi:type="dcterms:W3CDTF">2017-12-20T01:01:00Z</dcterms:created>
  <dcterms:modified xsi:type="dcterms:W3CDTF">2017-12-20T01:03:00Z</dcterms:modified>
</cp:coreProperties>
</file>