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BBB6" w14:textId="2AE2808E" w:rsidR="005019BC" w:rsidRPr="00DB3E9E" w:rsidRDefault="005019BC" w:rsidP="00D72EB5">
      <w:pPr>
        <w:rPr>
          <w:rFonts w:cstheme="minorHAnsi"/>
        </w:rPr>
      </w:pPr>
      <w:r w:rsidRPr="00DB3E9E">
        <w:rPr>
          <w:rFonts w:cstheme="minorHAnsi"/>
        </w:rPr>
        <w:t>1</w:t>
      </w:r>
      <w:r w:rsidR="00A01B59">
        <w:rPr>
          <w:rFonts w:cstheme="minorHAnsi"/>
        </w:rPr>
        <w:t>3</w:t>
      </w:r>
      <w:r w:rsidRPr="00DB3E9E">
        <w:rPr>
          <w:rFonts w:cstheme="minorHAnsi"/>
        </w:rPr>
        <w:t xml:space="preserve"> December 2021</w:t>
      </w:r>
    </w:p>
    <w:p w14:paraId="225E05A2" w14:textId="4E6A9C54" w:rsidR="00A01B59" w:rsidRDefault="00A01B59" w:rsidP="00A01B59">
      <w:pPr>
        <w:spacing w:after="120"/>
        <w:rPr>
          <w:sz w:val="23"/>
          <w:szCs w:val="23"/>
        </w:rPr>
      </w:pPr>
      <w:r>
        <w:rPr>
          <w:sz w:val="23"/>
          <w:szCs w:val="23"/>
        </w:rPr>
        <w:t>The Treasury</w:t>
      </w:r>
    </w:p>
    <w:p w14:paraId="0C0AE3E8" w14:textId="77777777" w:rsidR="00A01B59" w:rsidRDefault="00A01B59" w:rsidP="00A01B59">
      <w:pPr>
        <w:spacing w:after="120"/>
        <w:rPr>
          <w:sz w:val="23"/>
          <w:szCs w:val="23"/>
        </w:rPr>
      </w:pPr>
      <w:r>
        <w:rPr>
          <w:sz w:val="23"/>
          <w:szCs w:val="23"/>
        </w:rPr>
        <w:t>Langton Crescent PARKES ACT 2600</w:t>
      </w:r>
    </w:p>
    <w:p w14:paraId="0E8A433B" w14:textId="6AFC2D10" w:rsidR="00CB19F4" w:rsidRDefault="005019BC" w:rsidP="00D72EB5">
      <w:pPr>
        <w:rPr>
          <w:rStyle w:val="Hyperlink"/>
          <w:rFonts w:cstheme="minorHAnsi"/>
          <w:color w:val="auto"/>
        </w:rPr>
      </w:pPr>
      <w:r w:rsidRPr="00DB3E9E">
        <w:rPr>
          <w:rFonts w:cstheme="minorHAnsi"/>
        </w:rPr>
        <w:br/>
        <w:t xml:space="preserve">Via Email: </w:t>
      </w:r>
      <w:r w:rsidR="00874AEC">
        <w:rPr>
          <w:rFonts w:cstheme="minorHAnsi"/>
        </w:rPr>
        <w:t xml:space="preserve"> </w:t>
      </w:r>
      <w:hyperlink r:id="rId11" w:history="1">
        <w:r w:rsidR="00874AEC" w:rsidRPr="00176CDE">
          <w:rPr>
            <w:rStyle w:val="Hyperlink"/>
            <w:rFonts w:ascii="Fira Sans" w:hAnsi="Fira Sans"/>
            <w:shd w:val="clear" w:color="auto" w:fill="FFFFFF"/>
          </w:rPr>
          <w:t>data@treasury.gov.au</w:t>
        </w:r>
      </w:hyperlink>
      <w:hyperlink r:id="rId12" w:history="1"/>
    </w:p>
    <w:p w14:paraId="60772421" w14:textId="77777777" w:rsidR="00A84AFE" w:rsidRPr="00DB3E9E" w:rsidRDefault="00A84AFE" w:rsidP="00D72EB5">
      <w:pPr>
        <w:rPr>
          <w:rFonts w:cstheme="minorHAnsi"/>
        </w:rPr>
      </w:pPr>
    </w:p>
    <w:p w14:paraId="6941D9E4" w14:textId="1129DF90" w:rsidR="00CB19F4" w:rsidRPr="00DB3E9E" w:rsidRDefault="005019BC" w:rsidP="00D72EB5">
      <w:pPr>
        <w:pStyle w:val="Heading1"/>
      </w:pPr>
      <w:r w:rsidRPr="00DB3E9E">
        <w:t xml:space="preserve">Re: </w:t>
      </w:r>
      <w:r w:rsidR="003C12D2" w:rsidRPr="004910EC">
        <w:rPr>
          <w:rFonts w:ascii="Calibri" w:hAnsi="Calibri"/>
        </w:rPr>
        <w:t>Exposure Draft Consumer Data Right (Telecommunications Sector) Designation 2021</w:t>
      </w:r>
    </w:p>
    <w:p w14:paraId="09339A1F" w14:textId="50B2B82D" w:rsidR="005019BC" w:rsidRPr="00DB3E9E" w:rsidRDefault="005019BC" w:rsidP="00D72EB5">
      <w:pPr>
        <w:jc w:val="both"/>
        <w:rPr>
          <w:rFonts w:cstheme="minorHAnsi"/>
        </w:rPr>
      </w:pPr>
      <w:r w:rsidRPr="00DB3E9E">
        <w:rPr>
          <w:rFonts w:cstheme="minorHAnsi"/>
        </w:rPr>
        <w:t xml:space="preserve">The Australian Communications Consumer Action Network (ACCAN) thanks the </w:t>
      </w:r>
      <w:r w:rsidR="007B512F">
        <w:rPr>
          <w:rFonts w:cstheme="minorHAnsi"/>
        </w:rPr>
        <w:t xml:space="preserve">Treasury </w:t>
      </w:r>
      <w:r w:rsidRPr="00DB3E9E">
        <w:rPr>
          <w:rFonts w:cstheme="minorHAnsi"/>
        </w:rPr>
        <w:t xml:space="preserve">for the opportunity to comment on the </w:t>
      </w:r>
      <w:r w:rsidR="00EC0991" w:rsidRPr="004910EC">
        <w:rPr>
          <w:rFonts w:ascii="Calibri" w:hAnsi="Calibri"/>
        </w:rPr>
        <w:t>Exposure Draft Consumer Data Right (Telecommunications Sector) Designation 2021</w:t>
      </w:r>
      <w:r w:rsidRPr="00DB3E9E">
        <w:rPr>
          <w:rFonts w:cstheme="minorHAnsi"/>
        </w:rPr>
        <w:t xml:space="preserve">. </w:t>
      </w:r>
    </w:p>
    <w:p w14:paraId="6CB96263" w14:textId="60311663" w:rsidR="005019BC" w:rsidRPr="00DB3E9E" w:rsidRDefault="005019BC" w:rsidP="00D72EB5">
      <w:pPr>
        <w:jc w:val="both"/>
        <w:rPr>
          <w:rFonts w:cstheme="minorHAnsi"/>
        </w:rPr>
      </w:pPr>
      <w:r w:rsidRPr="00DB3E9E">
        <w:rPr>
          <w:rFonts w:cstheme="minorHAnsi"/>
        </w:rPr>
        <w:t>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14:paraId="7419F659" w14:textId="0EA55A51" w:rsidR="000F2FFA" w:rsidRDefault="000F2FFA" w:rsidP="00D72EB5">
      <w:pPr>
        <w:jc w:val="both"/>
        <w:rPr>
          <w:lang w:eastAsia="en-US"/>
        </w:rPr>
      </w:pPr>
    </w:p>
    <w:p w14:paraId="3A824920" w14:textId="35568CE8" w:rsidR="00117400" w:rsidRPr="00397BB4" w:rsidRDefault="00117400" w:rsidP="00117400">
      <w:pPr>
        <w:pStyle w:val="BodyText1"/>
        <w:rPr>
          <w:color w:val="auto"/>
        </w:rPr>
      </w:pPr>
      <w:r w:rsidRPr="00397BB4">
        <w:rPr>
          <w:color w:val="auto"/>
        </w:rPr>
        <w:t xml:space="preserve">As we have previously submitted, ACCAN is supportive of the introduction of the Consumer Data Rights regime across the telecommunications sector. It is widely understood that the telecommunications sector offers a wide range of complex and competing products and services to consumers. It is also widely known that issues of information asymmetry can put consumers at a disadvantage when looking for, and when choosing appropriate services. </w:t>
      </w:r>
    </w:p>
    <w:p w14:paraId="788690FE" w14:textId="2051D281" w:rsidR="00881AF6" w:rsidRPr="00397BB4" w:rsidRDefault="00F325D2" w:rsidP="00D72EB5">
      <w:pPr>
        <w:jc w:val="both"/>
        <w:rPr>
          <w:rFonts w:ascii="Arial" w:hAnsi="Arial"/>
          <w:lang w:eastAsia="en-US"/>
        </w:rPr>
      </w:pPr>
      <w:r w:rsidRPr="00397BB4">
        <w:rPr>
          <w:rFonts w:ascii="Arial" w:hAnsi="Arial"/>
          <w:lang w:eastAsia="en-US"/>
        </w:rPr>
        <w:t xml:space="preserve">ACCAN expects that the </w:t>
      </w:r>
      <w:r w:rsidR="004979A4" w:rsidRPr="00397BB4">
        <w:rPr>
          <w:rFonts w:ascii="Arial" w:hAnsi="Arial"/>
          <w:lang w:eastAsia="en-US"/>
        </w:rPr>
        <w:t xml:space="preserve">Designation of the telecommunications sector in the CDR </w:t>
      </w:r>
      <w:r w:rsidR="00E561A8" w:rsidRPr="00397BB4">
        <w:rPr>
          <w:rFonts w:ascii="Arial" w:hAnsi="Arial"/>
          <w:lang w:eastAsia="en-US"/>
        </w:rPr>
        <w:t>regime will</w:t>
      </w:r>
      <w:r w:rsidR="00507A1A" w:rsidRPr="00397BB4">
        <w:rPr>
          <w:rFonts w:ascii="Arial" w:hAnsi="Arial"/>
          <w:lang w:eastAsia="en-US"/>
        </w:rPr>
        <w:t xml:space="preserve"> </w:t>
      </w:r>
      <w:r w:rsidR="00507A1A" w:rsidRPr="00397BB4">
        <w:rPr>
          <w:rFonts w:ascii="Arial" w:hAnsi="Arial"/>
        </w:rPr>
        <w:t xml:space="preserve">mitigate some of these issues and provide consumers with greater confidence and safety when making choices and signing up for services. </w:t>
      </w:r>
      <w:r w:rsidR="00E561A8" w:rsidRPr="00397BB4">
        <w:rPr>
          <w:rFonts w:ascii="Arial" w:hAnsi="Arial"/>
          <w:lang w:eastAsia="en-US"/>
        </w:rPr>
        <w:t xml:space="preserve"> </w:t>
      </w:r>
    </w:p>
    <w:p w14:paraId="59D0178B" w14:textId="2162C086" w:rsidR="005D5F9D" w:rsidRPr="00397BB4" w:rsidRDefault="007D1111" w:rsidP="0085328A">
      <w:pPr>
        <w:pStyle w:val="Bullet"/>
        <w:numPr>
          <w:ilvl w:val="0"/>
          <w:numId w:val="0"/>
        </w:numPr>
        <w:spacing w:before="120"/>
        <w:ind w:left="567"/>
        <w:rPr>
          <w:rFonts w:ascii="Arial" w:hAnsi="Arial"/>
          <w:sz w:val="22"/>
        </w:rPr>
      </w:pPr>
      <w:r w:rsidRPr="00397BB4">
        <w:rPr>
          <w:rFonts w:ascii="Arial" w:hAnsi="Arial"/>
          <w:sz w:val="22"/>
          <w:lang w:eastAsia="en-US"/>
        </w:rPr>
        <w:t xml:space="preserve">ACCAN </w:t>
      </w:r>
      <w:r w:rsidR="00CB0046" w:rsidRPr="00397BB4">
        <w:rPr>
          <w:rFonts w:ascii="Arial" w:hAnsi="Arial"/>
          <w:sz w:val="22"/>
          <w:lang w:eastAsia="en-US"/>
        </w:rPr>
        <w:t xml:space="preserve">supports the </w:t>
      </w:r>
      <w:r w:rsidR="00633633" w:rsidRPr="00397BB4">
        <w:rPr>
          <w:rFonts w:ascii="Arial" w:hAnsi="Arial"/>
          <w:sz w:val="22"/>
          <w:lang w:eastAsia="en-US"/>
        </w:rPr>
        <w:t xml:space="preserve">classes of information to be included </w:t>
      </w:r>
      <w:r w:rsidR="00BD1D20" w:rsidRPr="00397BB4">
        <w:rPr>
          <w:rFonts w:ascii="Arial" w:hAnsi="Arial"/>
          <w:sz w:val="22"/>
          <w:lang w:eastAsia="en-US"/>
        </w:rPr>
        <w:t>as outlined in the Draft Designation</w:t>
      </w:r>
      <w:r w:rsidR="00306A36" w:rsidRPr="00397BB4">
        <w:rPr>
          <w:rFonts w:ascii="Arial" w:hAnsi="Arial"/>
          <w:sz w:val="22"/>
          <w:lang w:eastAsia="en-US"/>
        </w:rPr>
        <w:t xml:space="preserve">, Sections 6 </w:t>
      </w:r>
      <w:r w:rsidR="00F4707F" w:rsidRPr="00397BB4">
        <w:rPr>
          <w:rFonts w:ascii="Arial" w:hAnsi="Arial"/>
          <w:sz w:val="22"/>
          <w:lang w:eastAsia="en-US"/>
        </w:rPr>
        <w:t>–</w:t>
      </w:r>
      <w:r w:rsidR="00306A36" w:rsidRPr="00397BB4">
        <w:rPr>
          <w:rFonts w:ascii="Arial" w:hAnsi="Arial"/>
          <w:sz w:val="22"/>
          <w:lang w:eastAsia="en-US"/>
        </w:rPr>
        <w:t xml:space="preserve"> </w:t>
      </w:r>
      <w:r w:rsidR="009340D6" w:rsidRPr="00397BB4">
        <w:rPr>
          <w:rFonts w:ascii="Arial" w:hAnsi="Arial"/>
          <w:sz w:val="22"/>
          <w:lang w:eastAsia="en-US"/>
        </w:rPr>
        <w:t>8</w:t>
      </w:r>
      <w:r w:rsidR="00F4707F" w:rsidRPr="00397BB4">
        <w:rPr>
          <w:rFonts w:ascii="Arial" w:hAnsi="Arial"/>
          <w:sz w:val="22"/>
          <w:lang w:eastAsia="en-US"/>
        </w:rPr>
        <w:t xml:space="preserve">, </w:t>
      </w:r>
      <w:r w:rsidR="00A92E6E" w:rsidRPr="00397BB4">
        <w:rPr>
          <w:rFonts w:ascii="Arial" w:hAnsi="Arial"/>
          <w:sz w:val="22"/>
        </w:rPr>
        <w:t xml:space="preserve">and the </w:t>
      </w:r>
      <w:r w:rsidR="005D5F9D" w:rsidRPr="00397BB4">
        <w:rPr>
          <w:rFonts w:ascii="Arial" w:hAnsi="Arial"/>
          <w:sz w:val="22"/>
        </w:rPr>
        <w:t>that carriers and carriage service providers are the data holders for the classes of information that are prescribed</w:t>
      </w:r>
    </w:p>
    <w:p w14:paraId="0AA6DB95" w14:textId="5071A064" w:rsidR="009B261C" w:rsidRPr="00397BB4" w:rsidRDefault="00174336" w:rsidP="00D72EB5">
      <w:pPr>
        <w:jc w:val="both"/>
        <w:rPr>
          <w:rFonts w:ascii="Arial" w:hAnsi="Arial"/>
        </w:rPr>
      </w:pPr>
      <w:r w:rsidRPr="00397BB4">
        <w:rPr>
          <w:rFonts w:ascii="Arial" w:hAnsi="Arial"/>
        </w:rPr>
        <w:t xml:space="preserve">However, while we understand the rationale for not including </w:t>
      </w:r>
      <w:r w:rsidR="00FB401B" w:rsidRPr="00397BB4">
        <w:rPr>
          <w:rFonts w:ascii="Arial" w:hAnsi="Arial"/>
        </w:rPr>
        <w:t xml:space="preserve">broadband speed information and National Broadband Network connection </w:t>
      </w:r>
      <w:r w:rsidR="00660469" w:rsidRPr="00397BB4">
        <w:rPr>
          <w:rFonts w:ascii="Arial" w:hAnsi="Arial"/>
        </w:rPr>
        <w:t>information at</w:t>
      </w:r>
      <w:r w:rsidR="001263CB" w:rsidRPr="00397BB4">
        <w:rPr>
          <w:rFonts w:ascii="Arial" w:hAnsi="Arial"/>
        </w:rPr>
        <w:t xml:space="preserve"> this stage, ACCAN asserts that this information should be included </w:t>
      </w:r>
      <w:r w:rsidR="00C16D9F" w:rsidRPr="00397BB4">
        <w:rPr>
          <w:rFonts w:ascii="Arial" w:hAnsi="Arial"/>
        </w:rPr>
        <w:t>as designated information when clear</w:t>
      </w:r>
      <w:r w:rsidR="00C174A8" w:rsidRPr="00397BB4">
        <w:rPr>
          <w:rFonts w:ascii="Arial" w:hAnsi="Arial"/>
        </w:rPr>
        <w:t>ly comparable benchmarks can be identified.</w:t>
      </w:r>
      <w:r w:rsidR="00C16D9F" w:rsidRPr="00397BB4">
        <w:rPr>
          <w:rFonts w:ascii="Arial" w:hAnsi="Arial"/>
        </w:rPr>
        <w:t xml:space="preserve"> </w:t>
      </w:r>
    </w:p>
    <w:p w14:paraId="063158FD" w14:textId="3A7CAE51" w:rsidR="009308F7" w:rsidRPr="00397BB4" w:rsidRDefault="009B261C" w:rsidP="009308F7">
      <w:pPr>
        <w:spacing w:before="240"/>
        <w:rPr>
          <w:rFonts w:ascii="Arial" w:hAnsi="Arial"/>
          <w:shd w:val="clear" w:color="auto" w:fill="FFFFFF"/>
        </w:rPr>
      </w:pPr>
      <w:r w:rsidRPr="00397BB4">
        <w:rPr>
          <w:rFonts w:ascii="Arial" w:hAnsi="Arial"/>
        </w:rPr>
        <w:t xml:space="preserve">ACCAN is particularly pleased to see that </w:t>
      </w:r>
      <w:r w:rsidR="009308F7" w:rsidRPr="00397BB4">
        <w:rPr>
          <w:rFonts w:ascii="Arial" w:hAnsi="Arial"/>
          <w:shd w:val="clear" w:color="auto" w:fill="FFFFFF"/>
        </w:rPr>
        <w:t>The Designation does not specify any information as being subject to fees for access or use for the purposes of paragraph 56AC(2)(d) of the Act.</w:t>
      </w:r>
      <w:r w:rsidR="00BB7212" w:rsidRPr="00397BB4">
        <w:rPr>
          <w:rFonts w:ascii="Arial" w:hAnsi="Arial"/>
          <w:shd w:val="clear" w:color="auto" w:fill="FFFFFF"/>
        </w:rPr>
        <w:t xml:space="preserve"> As we stated in our Sectoral Assessment submission</w:t>
      </w:r>
      <w:r w:rsidR="003D30FF" w:rsidRPr="00397BB4">
        <w:rPr>
          <w:rFonts w:ascii="Arial" w:hAnsi="Arial"/>
          <w:shd w:val="clear" w:color="auto" w:fill="FFFFFF"/>
        </w:rPr>
        <w:t xml:space="preserve">, ACCAN believes that for the CDR regime to be effective for consumers there </w:t>
      </w:r>
      <w:r w:rsidR="00C0593E">
        <w:rPr>
          <w:rFonts w:ascii="Arial" w:hAnsi="Arial"/>
          <w:shd w:val="clear" w:color="auto" w:fill="FFFFFF"/>
        </w:rPr>
        <w:t xml:space="preserve">should </w:t>
      </w:r>
      <w:r w:rsidR="000C1BA6" w:rsidRPr="00397BB4">
        <w:rPr>
          <w:rFonts w:ascii="Arial" w:hAnsi="Arial"/>
          <w:shd w:val="clear" w:color="auto" w:fill="FFFFFF"/>
        </w:rPr>
        <w:t>be no barriers to participation.</w:t>
      </w:r>
      <w:r w:rsidR="00744737">
        <w:rPr>
          <w:rStyle w:val="FootnoteReference"/>
          <w:rFonts w:ascii="Arial" w:hAnsi="Arial"/>
          <w:shd w:val="clear" w:color="auto" w:fill="FFFFFF"/>
        </w:rPr>
        <w:footnoteReference w:id="1"/>
      </w:r>
      <w:r w:rsidR="000C1BA6" w:rsidRPr="00397BB4">
        <w:rPr>
          <w:rFonts w:ascii="Arial" w:hAnsi="Arial"/>
          <w:shd w:val="clear" w:color="auto" w:fill="FFFFFF"/>
        </w:rPr>
        <w:t xml:space="preserve"> </w:t>
      </w:r>
    </w:p>
    <w:p w14:paraId="6431B085" w14:textId="3925D842" w:rsidR="00CD42A2" w:rsidRPr="00397BB4" w:rsidRDefault="002F5C10" w:rsidP="009308F7">
      <w:pPr>
        <w:spacing w:before="240"/>
        <w:rPr>
          <w:rFonts w:ascii="Arial" w:hAnsi="Arial"/>
        </w:rPr>
      </w:pPr>
      <w:r w:rsidRPr="00397BB4">
        <w:rPr>
          <w:rFonts w:ascii="Arial" w:hAnsi="Arial"/>
          <w:shd w:val="clear" w:color="auto" w:fill="FFFFFF"/>
        </w:rPr>
        <w:t xml:space="preserve">ACCAN is also pleased to note that </w:t>
      </w:r>
      <w:r w:rsidRPr="00397BB4">
        <w:rPr>
          <w:rFonts w:ascii="Arial" w:hAnsi="Arial"/>
        </w:rPr>
        <w:t>Paragraph 7(2)(a)</w:t>
      </w:r>
      <w:r w:rsidR="009D4968" w:rsidRPr="00397BB4">
        <w:rPr>
          <w:rFonts w:ascii="Arial" w:hAnsi="Arial"/>
        </w:rPr>
        <w:t xml:space="preserve"> which excludes </w:t>
      </w:r>
      <w:r w:rsidR="009B1378" w:rsidRPr="00397BB4">
        <w:rPr>
          <w:rFonts w:ascii="Arial" w:hAnsi="Arial"/>
        </w:rPr>
        <w:t xml:space="preserve">consumer call location information as this will provide a greater level of </w:t>
      </w:r>
      <w:r w:rsidR="00B128F2" w:rsidRPr="00397BB4">
        <w:rPr>
          <w:rFonts w:ascii="Arial" w:hAnsi="Arial"/>
        </w:rPr>
        <w:t xml:space="preserve">consumer </w:t>
      </w:r>
      <w:r w:rsidR="009B1378" w:rsidRPr="00397BB4">
        <w:rPr>
          <w:rFonts w:ascii="Arial" w:hAnsi="Arial"/>
        </w:rPr>
        <w:t xml:space="preserve">privacy </w:t>
      </w:r>
    </w:p>
    <w:p w14:paraId="3EF8ECC0" w14:textId="67910C34" w:rsidR="00E40877" w:rsidRPr="00397BB4" w:rsidRDefault="006966C0" w:rsidP="00E40877">
      <w:pPr>
        <w:spacing w:before="240"/>
        <w:ind w:right="91"/>
        <w:rPr>
          <w:rFonts w:ascii="Arial" w:hAnsi="Arial"/>
        </w:rPr>
      </w:pPr>
      <w:r w:rsidRPr="00397BB4">
        <w:rPr>
          <w:rFonts w:ascii="Arial" w:hAnsi="Arial"/>
        </w:rPr>
        <w:t>Additionally, ACCAN supports the inclusion</w:t>
      </w:r>
      <w:r w:rsidR="00A851F9" w:rsidRPr="00397BB4">
        <w:rPr>
          <w:rFonts w:ascii="Arial" w:hAnsi="Arial"/>
        </w:rPr>
        <w:t xml:space="preserve">, in Section </w:t>
      </w:r>
      <w:r w:rsidR="009340D6" w:rsidRPr="00397BB4">
        <w:rPr>
          <w:rFonts w:ascii="Arial" w:hAnsi="Arial"/>
        </w:rPr>
        <w:t>8 -</w:t>
      </w:r>
      <w:r w:rsidR="00176700" w:rsidRPr="00397BB4">
        <w:rPr>
          <w:rFonts w:ascii="Arial" w:hAnsi="Arial"/>
        </w:rPr>
        <w:t xml:space="preserve"> information about products,</w:t>
      </w:r>
      <w:r w:rsidR="00E40877" w:rsidRPr="00397BB4">
        <w:rPr>
          <w:rFonts w:ascii="Arial" w:hAnsi="Arial"/>
        </w:rPr>
        <w:t xml:space="preserve"> of Paragraph 8(2)(g) </w:t>
      </w:r>
      <w:r w:rsidR="003D3413" w:rsidRPr="00397BB4">
        <w:rPr>
          <w:rFonts w:ascii="Arial" w:hAnsi="Arial"/>
        </w:rPr>
        <w:t xml:space="preserve">which </w:t>
      </w:r>
      <w:r w:rsidR="00E40877" w:rsidRPr="00397BB4">
        <w:rPr>
          <w:rFonts w:ascii="Arial" w:hAnsi="Arial"/>
        </w:rPr>
        <w:t>specifies information about services that are available for customers who require additional assistance, such as customers with disability. It is not intended that instances where a given consumer has opted to utilise such services would be included within the consumer data right, only that the offers or supply included the availability of these services.</w:t>
      </w:r>
    </w:p>
    <w:p w14:paraId="52735921" w14:textId="77777777" w:rsidR="00B202C0" w:rsidRPr="00397BB4" w:rsidRDefault="00B202C0" w:rsidP="009308F7">
      <w:pPr>
        <w:spacing w:before="240"/>
        <w:rPr>
          <w:rFonts w:ascii="Arial" w:hAnsi="Arial"/>
          <w:shd w:val="clear" w:color="auto" w:fill="FFFFFF"/>
        </w:rPr>
      </w:pPr>
    </w:p>
    <w:p w14:paraId="0FC8F762" w14:textId="2E2F9DC7" w:rsidR="005019BC" w:rsidRPr="00397BB4" w:rsidRDefault="005019BC" w:rsidP="00D72EB5">
      <w:pPr>
        <w:jc w:val="both"/>
        <w:rPr>
          <w:rFonts w:ascii="Arial" w:hAnsi="Arial" w:cstheme="minorHAnsi"/>
          <w:lang w:eastAsia="en-US"/>
        </w:rPr>
      </w:pPr>
      <w:r w:rsidRPr="00397BB4">
        <w:rPr>
          <w:rFonts w:ascii="Arial" w:hAnsi="Arial" w:cstheme="minorHAnsi"/>
          <w:lang w:eastAsia="en-US"/>
        </w:rPr>
        <w:t>ACCAN is available to discuss any of the issues we have raised in this submission.</w:t>
      </w:r>
    </w:p>
    <w:p w14:paraId="65DA1B07" w14:textId="7F536946" w:rsidR="00F44221" w:rsidRPr="00397BB4" w:rsidRDefault="005019BC" w:rsidP="00D72EB5">
      <w:pPr>
        <w:pStyle w:val="BodyText1"/>
        <w:jc w:val="both"/>
        <w:rPr>
          <w:rFonts w:cstheme="minorHAnsi"/>
          <w:color w:val="auto"/>
        </w:rPr>
      </w:pPr>
      <w:r w:rsidRPr="00397BB4">
        <w:rPr>
          <w:rFonts w:cstheme="minorHAnsi"/>
          <w:color w:val="auto"/>
        </w:rPr>
        <w:t>Sincerely</w:t>
      </w:r>
      <w:r w:rsidR="00F44221" w:rsidRPr="00397BB4">
        <w:rPr>
          <w:rFonts w:cstheme="minorHAnsi"/>
          <w:color w:val="auto"/>
        </w:rPr>
        <w:t>,</w:t>
      </w:r>
    </w:p>
    <w:p w14:paraId="69F79391" w14:textId="0B8542F1" w:rsidR="002F4FBA" w:rsidRPr="00DB3E9E" w:rsidRDefault="005019BC" w:rsidP="00D72EB5">
      <w:pPr>
        <w:pStyle w:val="BodyText1"/>
        <w:rPr>
          <w:rFonts w:asciiTheme="minorHAnsi" w:hAnsiTheme="minorHAnsi" w:cstheme="minorHAnsi"/>
          <w:color w:val="auto"/>
        </w:rPr>
      </w:pPr>
      <w:r w:rsidRPr="00DB3E9E">
        <w:rPr>
          <w:rFonts w:asciiTheme="minorHAnsi" w:hAnsiTheme="minorHAnsi" w:cstheme="minorHAnsi"/>
          <w:color w:val="auto"/>
        </w:rPr>
        <w:t>Wayne Hawkins</w:t>
      </w:r>
      <w:r w:rsidR="00F44221" w:rsidRPr="00DB3E9E">
        <w:rPr>
          <w:rFonts w:asciiTheme="minorHAnsi" w:hAnsiTheme="minorHAnsi" w:cstheme="minorHAnsi"/>
          <w:color w:val="auto"/>
        </w:rPr>
        <w:br/>
      </w:r>
      <w:r w:rsidRPr="00DB3E9E">
        <w:rPr>
          <w:rFonts w:asciiTheme="minorHAnsi" w:hAnsiTheme="minorHAnsi" w:cstheme="minorHAnsi"/>
          <w:color w:val="auto"/>
        </w:rPr>
        <w:t xml:space="preserve">Director of Inclusion </w:t>
      </w:r>
    </w:p>
    <w:sectPr w:rsidR="002F4FBA" w:rsidRPr="00DB3E9E" w:rsidSect="008232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6494" w14:textId="77777777" w:rsidR="00207F20" w:rsidRDefault="00207F20" w:rsidP="0082329E">
      <w:pPr>
        <w:spacing w:after="0" w:line="240" w:lineRule="auto"/>
      </w:pPr>
      <w:r>
        <w:separator/>
      </w:r>
    </w:p>
  </w:endnote>
  <w:endnote w:type="continuationSeparator" w:id="0">
    <w:p w14:paraId="3760C608" w14:textId="77777777" w:rsidR="00207F20" w:rsidRDefault="00207F20"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75EF" w14:textId="77777777" w:rsidR="00744737" w:rsidRDefault="0074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E29A"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014D6">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7E10" w14:textId="77777777" w:rsidR="00F014D6" w:rsidRPr="00026E5B" w:rsidRDefault="00F014D6" w:rsidP="00F014D6">
    <w:pPr>
      <w:pStyle w:val="Footerpage1"/>
      <w:ind w:right="-1440"/>
      <w:rPr>
        <w:color w:val="00B0F0"/>
      </w:rPr>
    </w:pPr>
    <w:r>
      <w:rPr>
        <w:color w:val="00B0F0"/>
      </w:rPr>
      <w:t xml:space="preserve">  </w:t>
    </w:r>
    <w:r w:rsidRPr="00026E5B">
      <w:rPr>
        <w:color w:val="00B0F0"/>
      </w:rPr>
      <w:t>Australian Communications Consumer Action Network (ACCAN)</w:t>
    </w:r>
  </w:p>
  <w:p w14:paraId="03F024D3" w14:textId="77777777" w:rsidR="00F014D6" w:rsidRPr="00026E5B" w:rsidRDefault="00F014D6" w:rsidP="00F014D6">
    <w:pPr>
      <w:pStyle w:val="Footerpage1"/>
      <w:rPr>
        <w:i/>
        <w:color w:val="00B0F0"/>
      </w:rPr>
    </w:pPr>
    <w:r>
      <w:rPr>
        <w:i/>
        <w:color w:val="00B0F0"/>
      </w:rPr>
      <w:t xml:space="preserve">  </w:t>
    </w:r>
    <w:r w:rsidRPr="00026E5B">
      <w:rPr>
        <w:i/>
        <w:color w:val="00B0F0"/>
      </w:rPr>
      <w:t>Australia’s peak body representing communications consumers</w:t>
    </w:r>
  </w:p>
  <w:p w14:paraId="2EC1739E" w14:textId="77777777" w:rsidR="00F014D6" w:rsidRPr="00026E5B" w:rsidRDefault="00F014D6" w:rsidP="00F014D6">
    <w:pPr>
      <w:pStyle w:val="Footerpage1"/>
      <w:ind w:right="-1440"/>
      <w:rPr>
        <w:i/>
      </w:rPr>
    </w:pPr>
    <w:r>
      <w:rPr>
        <w:noProof/>
        <w:lang w:val="en-US"/>
      </w:rPr>
      <mc:AlternateContent>
        <mc:Choice Requires="wps">
          <w:drawing>
            <wp:anchor distT="0" distB="0" distL="114300" distR="114300" simplePos="0" relativeHeight="251665408" behindDoc="0" locked="0" layoutInCell="1" allowOverlap="1" wp14:anchorId="68A3901E" wp14:editId="65DCBC4B">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47AC0"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" strokecolor="#23b0e6" strokeweight="3pt"/>
          </w:pict>
        </mc:Fallback>
      </mc:AlternateContent>
    </w:r>
  </w:p>
  <w:p w14:paraId="4E7D3A62" w14:textId="77777777" w:rsidR="00F014D6" w:rsidRPr="00026E5B" w:rsidRDefault="00F014D6" w:rsidP="00F014D6">
    <w:pPr>
      <w:pStyle w:val="Footerpage1"/>
    </w:pPr>
    <w:r>
      <w:t xml:space="preserve">  </w:t>
    </w:r>
    <w:r w:rsidRPr="00026E5B">
      <w:t xml:space="preserve">PO Box </w:t>
    </w:r>
    <w:r w:rsidR="00334A3F">
      <w:t>A1158</w:t>
    </w:r>
    <w:r w:rsidRPr="00026E5B">
      <w:t xml:space="preserve">, </w:t>
    </w:r>
    <w:r w:rsidR="00334A3F">
      <w:t>Sydney South</w:t>
    </w:r>
    <w:r w:rsidRPr="00026E5B">
      <w:t xml:space="preserve"> NSW </w:t>
    </w:r>
    <w:r w:rsidR="00334A3F">
      <w:t>1235</w:t>
    </w:r>
  </w:p>
  <w:p w14:paraId="35358E1B" w14:textId="77777777" w:rsidR="00F014D6" w:rsidRPr="00026E5B" w:rsidRDefault="00F014D6" w:rsidP="00F014D6">
    <w:pPr>
      <w:pStyle w:val="Footerpage1"/>
      <w:rPr>
        <w:color w:val="00B0F0"/>
      </w:rPr>
    </w:pPr>
    <w:r>
      <w:t xml:space="preserve">  </w:t>
    </w:r>
    <w:r w:rsidRPr="00026E5B">
      <w:t xml:space="preserve">Tel: (02) 9288 4000 </w:t>
    </w:r>
  </w:p>
  <w:p w14:paraId="629966BE" w14:textId="77777777" w:rsidR="00F014D6" w:rsidRPr="004D706D" w:rsidRDefault="00F014D6"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3207650F" w14:textId="77777777" w:rsidR="00F014D6" w:rsidRDefault="00F0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2098" w14:textId="77777777" w:rsidR="00207F20" w:rsidRDefault="00207F20" w:rsidP="0082329E">
      <w:pPr>
        <w:spacing w:after="0" w:line="240" w:lineRule="auto"/>
      </w:pPr>
      <w:r>
        <w:separator/>
      </w:r>
    </w:p>
  </w:footnote>
  <w:footnote w:type="continuationSeparator" w:id="0">
    <w:p w14:paraId="24960F7D" w14:textId="77777777" w:rsidR="00207F20" w:rsidRDefault="00207F20" w:rsidP="0082329E">
      <w:pPr>
        <w:spacing w:after="0" w:line="240" w:lineRule="auto"/>
      </w:pPr>
      <w:r>
        <w:continuationSeparator/>
      </w:r>
    </w:p>
  </w:footnote>
  <w:footnote w:id="1">
    <w:p w14:paraId="5C3819DD" w14:textId="552D26F7" w:rsidR="00744737" w:rsidRPr="00744737" w:rsidRDefault="00744737">
      <w:pPr>
        <w:pStyle w:val="FootnoteText"/>
        <w:rPr>
          <w:lang w:val="en-US"/>
        </w:rPr>
      </w:pPr>
      <w:r>
        <w:rPr>
          <w:rStyle w:val="FootnoteReference"/>
        </w:rPr>
        <w:footnoteRef/>
      </w:r>
      <w:r>
        <w:t xml:space="preserve"> </w:t>
      </w:r>
      <w:r w:rsidR="006372D9">
        <w:t xml:space="preserve">See </w:t>
      </w:r>
      <w:r w:rsidR="006372D9" w:rsidRPr="006372D9">
        <w:t>https://accan.org.au/accans-work/submissions/1915-cdr-telco-assessment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12DE" w14:textId="77777777" w:rsidR="00744737" w:rsidRDefault="00744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32DD" w14:textId="77777777" w:rsidR="0082329E" w:rsidRDefault="0082329E"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7ED75345" wp14:editId="25A26ACA">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669" w14:textId="77777777" w:rsidR="00004C7D" w:rsidRDefault="00004C7D">
    <w:pPr>
      <w:pStyle w:val="Header"/>
    </w:pPr>
    <w:r>
      <w:rPr>
        <w:noProof/>
        <w:lang w:val="en-US" w:eastAsia="en-US"/>
      </w:rPr>
      <w:drawing>
        <wp:anchor distT="0" distB="0" distL="114300" distR="114300" simplePos="0" relativeHeight="251663360" behindDoc="1" locked="0" layoutInCell="1" allowOverlap="1" wp14:anchorId="62E79070" wp14:editId="689CF659">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B1"/>
    <w:multiLevelType w:val="hybridMultilevel"/>
    <w:tmpl w:val="98B2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E1B6A"/>
    <w:multiLevelType w:val="hybridMultilevel"/>
    <w:tmpl w:val="7CEE1F44"/>
    <w:lvl w:ilvl="0" w:tplc="0DC49C38">
      <w:numFmt w:val="bullet"/>
      <w:pStyle w:val="ListBullet2"/>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34EF7256"/>
    <w:multiLevelType w:val="hybridMultilevel"/>
    <w:tmpl w:val="16180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D7A2ED9"/>
    <w:multiLevelType w:val="hybridMultilevel"/>
    <w:tmpl w:val="B56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24DA6"/>
    <w:multiLevelType w:val="hybridMultilevel"/>
    <w:tmpl w:val="637A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15FB9"/>
    <w:multiLevelType w:val="hybridMultilevel"/>
    <w:tmpl w:val="59208E08"/>
    <w:lvl w:ilvl="0" w:tplc="321CCD24">
      <w:start w:val="1"/>
      <w:numFmt w:val="bullet"/>
      <w:pStyle w:val="Bullet1"/>
      <w:lvlText w:val=""/>
      <w:lvlJc w:val="left"/>
      <w:pPr>
        <w:ind w:left="720" w:hanging="360"/>
      </w:pPr>
      <w:rPr>
        <w:rFonts w:ascii="Symbol" w:hAnsi="Symbol" w:hint="default"/>
        <w:color w:val="auto"/>
      </w:rPr>
    </w:lvl>
    <w:lvl w:ilvl="1" w:tplc="D43C956A">
      <w:start w:val="1"/>
      <w:numFmt w:val="bullet"/>
      <w:pStyle w:val="List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770774C"/>
    <w:multiLevelType w:val="multilevel"/>
    <w:tmpl w:val="F1BC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43C0B"/>
    <w:multiLevelType w:val="multilevel"/>
    <w:tmpl w:val="66D0DA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0"/>
  </w:num>
  <w:num w:numId="3">
    <w:abstractNumId w:val="3"/>
  </w:num>
  <w:num w:numId="4">
    <w:abstractNumId w:val="8"/>
  </w:num>
  <w:num w:numId="5">
    <w:abstractNumId w:val="2"/>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C"/>
    <w:rsid w:val="000036C5"/>
    <w:rsid w:val="00004C7D"/>
    <w:rsid w:val="00052D29"/>
    <w:rsid w:val="0009690F"/>
    <w:rsid w:val="000A3076"/>
    <w:rsid w:val="000C1BA6"/>
    <w:rsid w:val="000F2FFA"/>
    <w:rsid w:val="00117400"/>
    <w:rsid w:val="001263CB"/>
    <w:rsid w:val="00172279"/>
    <w:rsid w:val="00174336"/>
    <w:rsid w:val="00176700"/>
    <w:rsid w:val="001950B2"/>
    <w:rsid w:val="001A6BDB"/>
    <w:rsid w:val="00207F20"/>
    <w:rsid w:val="00247E40"/>
    <w:rsid w:val="00274ACF"/>
    <w:rsid w:val="002A7C00"/>
    <w:rsid w:val="002C4518"/>
    <w:rsid w:val="002F4FBA"/>
    <w:rsid w:val="002F5C10"/>
    <w:rsid w:val="00306A36"/>
    <w:rsid w:val="00306C74"/>
    <w:rsid w:val="003248B5"/>
    <w:rsid w:val="00334A3F"/>
    <w:rsid w:val="00343775"/>
    <w:rsid w:val="003938F2"/>
    <w:rsid w:val="00394396"/>
    <w:rsid w:val="0039759C"/>
    <w:rsid w:val="00397BB4"/>
    <w:rsid w:val="003A39D6"/>
    <w:rsid w:val="003C12D2"/>
    <w:rsid w:val="003D0E91"/>
    <w:rsid w:val="003D30FF"/>
    <w:rsid w:val="003D3413"/>
    <w:rsid w:val="003E37B0"/>
    <w:rsid w:val="0040074D"/>
    <w:rsid w:val="0043676C"/>
    <w:rsid w:val="00471E40"/>
    <w:rsid w:val="00487630"/>
    <w:rsid w:val="004963D7"/>
    <w:rsid w:val="004979A4"/>
    <w:rsid w:val="004A3DEC"/>
    <w:rsid w:val="004D2F90"/>
    <w:rsid w:val="004F6987"/>
    <w:rsid w:val="005019BC"/>
    <w:rsid w:val="0050743A"/>
    <w:rsid w:val="00507A1A"/>
    <w:rsid w:val="00537288"/>
    <w:rsid w:val="005568E9"/>
    <w:rsid w:val="005613AD"/>
    <w:rsid w:val="00573D00"/>
    <w:rsid w:val="00587387"/>
    <w:rsid w:val="005D5F9D"/>
    <w:rsid w:val="006069FD"/>
    <w:rsid w:val="00606FC1"/>
    <w:rsid w:val="00617865"/>
    <w:rsid w:val="00622BDA"/>
    <w:rsid w:val="006270F9"/>
    <w:rsid w:val="00633633"/>
    <w:rsid w:val="006372D9"/>
    <w:rsid w:val="0064242B"/>
    <w:rsid w:val="00660469"/>
    <w:rsid w:val="006612A1"/>
    <w:rsid w:val="00675BCE"/>
    <w:rsid w:val="0069424D"/>
    <w:rsid w:val="006966C0"/>
    <w:rsid w:val="006D0C6F"/>
    <w:rsid w:val="006E19F3"/>
    <w:rsid w:val="006F7EA1"/>
    <w:rsid w:val="00710213"/>
    <w:rsid w:val="00715916"/>
    <w:rsid w:val="00744737"/>
    <w:rsid w:val="007733C7"/>
    <w:rsid w:val="007B512F"/>
    <w:rsid w:val="007B5CD3"/>
    <w:rsid w:val="007D1111"/>
    <w:rsid w:val="007E0459"/>
    <w:rsid w:val="007E54E4"/>
    <w:rsid w:val="007E746F"/>
    <w:rsid w:val="007F6AC8"/>
    <w:rsid w:val="0082329E"/>
    <w:rsid w:val="00843211"/>
    <w:rsid w:val="00851EB8"/>
    <w:rsid w:val="0085328A"/>
    <w:rsid w:val="00874AEC"/>
    <w:rsid w:val="00881AF6"/>
    <w:rsid w:val="00887F52"/>
    <w:rsid w:val="008D18BF"/>
    <w:rsid w:val="008E5CB0"/>
    <w:rsid w:val="00927546"/>
    <w:rsid w:val="009308F7"/>
    <w:rsid w:val="009340D6"/>
    <w:rsid w:val="0093656B"/>
    <w:rsid w:val="009603A8"/>
    <w:rsid w:val="00970850"/>
    <w:rsid w:val="00970C95"/>
    <w:rsid w:val="009B1378"/>
    <w:rsid w:val="009B261C"/>
    <w:rsid w:val="009D4968"/>
    <w:rsid w:val="009F55F1"/>
    <w:rsid w:val="00A01B59"/>
    <w:rsid w:val="00A54E3E"/>
    <w:rsid w:val="00A8001C"/>
    <w:rsid w:val="00A80FE8"/>
    <w:rsid w:val="00A84AFE"/>
    <w:rsid w:val="00A851F9"/>
    <w:rsid w:val="00A92E6E"/>
    <w:rsid w:val="00AA1DB5"/>
    <w:rsid w:val="00AF66EE"/>
    <w:rsid w:val="00B128F2"/>
    <w:rsid w:val="00B202C0"/>
    <w:rsid w:val="00B21718"/>
    <w:rsid w:val="00B64D9C"/>
    <w:rsid w:val="00B81306"/>
    <w:rsid w:val="00BA2C8F"/>
    <w:rsid w:val="00BB7212"/>
    <w:rsid w:val="00BC46B4"/>
    <w:rsid w:val="00BD1D20"/>
    <w:rsid w:val="00C0593E"/>
    <w:rsid w:val="00C16D9F"/>
    <w:rsid w:val="00C174A8"/>
    <w:rsid w:val="00C63819"/>
    <w:rsid w:val="00C64910"/>
    <w:rsid w:val="00C704FD"/>
    <w:rsid w:val="00C73186"/>
    <w:rsid w:val="00C75BD7"/>
    <w:rsid w:val="00C93EC8"/>
    <w:rsid w:val="00CB0046"/>
    <w:rsid w:val="00CB19F4"/>
    <w:rsid w:val="00CB202E"/>
    <w:rsid w:val="00CD42A2"/>
    <w:rsid w:val="00D10D63"/>
    <w:rsid w:val="00D31AD8"/>
    <w:rsid w:val="00D3342B"/>
    <w:rsid w:val="00D34F9E"/>
    <w:rsid w:val="00D40CEB"/>
    <w:rsid w:val="00D66A91"/>
    <w:rsid w:val="00D66FCA"/>
    <w:rsid w:val="00D72EB5"/>
    <w:rsid w:val="00DB3E9E"/>
    <w:rsid w:val="00DC509C"/>
    <w:rsid w:val="00DE28B4"/>
    <w:rsid w:val="00E3699A"/>
    <w:rsid w:val="00E40877"/>
    <w:rsid w:val="00E42601"/>
    <w:rsid w:val="00E561A8"/>
    <w:rsid w:val="00E72577"/>
    <w:rsid w:val="00E816CA"/>
    <w:rsid w:val="00E914F8"/>
    <w:rsid w:val="00EC0991"/>
    <w:rsid w:val="00F014D6"/>
    <w:rsid w:val="00F10732"/>
    <w:rsid w:val="00F325D2"/>
    <w:rsid w:val="00F42BF8"/>
    <w:rsid w:val="00F44221"/>
    <w:rsid w:val="00F4707F"/>
    <w:rsid w:val="00F55716"/>
    <w:rsid w:val="00F66448"/>
    <w:rsid w:val="00FA4543"/>
    <w:rsid w:val="00FB401B"/>
    <w:rsid w:val="00FB53E7"/>
    <w:rsid w:val="00FE53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587BB"/>
  <w15:docId w15:val="{42BF1E91-2FA9-4BE6-B9BA-FD77A20C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3A8"/>
    <w:pPr>
      <w:jc w:val="center"/>
      <w:outlineLvl w:val="0"/>
    </w:pPr>
    <w:rPr>
      <w:rFonts w:cstheme="minorHAnsi"/>
      <w:b/>
      <w:bCs/>
    </w:rPr>
  </w:style>
  <w:style w:type="paragraph" w:styleId="Heading2">
    <w:name w:val="heading 2"/>
    <w:basedOn w:val="Normal"/>
    <w:next w:val="Normal"/>
    <w:link w:val="Heading2Char"/>
    <w:qFormat/>
    <w:rsid w:val="009603A8"/>
    <w:pPr>
      <w:outlineLvl w:val="1"/>
    </w:pPr>
    <w:rPr>
      <w:b/>
      <w:bCs/>
      <w:lang w:val="en-US"/>
    </w:rPr>
  </w:style>
  <w:style w:type="paragraph" w:styleId="Heading3">
    <w:name w:val="heading 3"/>
    <w:next w:val="Normal"/>
    <w:link w:val="Heading3Char"/>
    <w:qFormat/>
    <w:rsid w:val="005019BC"/>
    <w:pPr>
      <w:keepNext/>
      <w:numPr>
        <w:ilvl w:val="2"/>
        <w:numId w:val="4"/>
      </w:numPr>
      <w:spacing w:before="100" w:beforeAutospacing="1" w:after="240" w:line="240" w:lineRule="auto"/>
      <w:outlineLvl w:val="2"/>
    </w:pPr>
    <w:rPr>
      <w:rFonts w:ascii="Calibri" w:eastAsia="Times New Roman" w:hAnsi="Calibri" w:cs="Times New Roman"/>
      <w:bCs/>
      <w:iCs/>
      <w:sz w:val="28"/>
      <w:szCs w:val="24"/>
      <w:lang w:eastAsia="en-US"/>
    </w:rPr>
  </w:style>
  <w:style w:type="paragraph" w:styleId="Heading4">
    <w:name w:val="heading 4"/>
    <w:next w:val="Normal"/>
    <w:link w:val="Heading4Char"/>
    <w:uiPriority w:val="9"/>
    <w:unhideWhenUsed/>
    <w:qFormat/>
    <w:rsid w:val="005019BC"/>
    <w:pPr>
      <w:keepNext/>
      <w:keepLines/>
      <w:spacing w:before="100" w:beforeAutospacing="1" w:after="240" w:line="240" w:lineRule="auto"/>
      <w:outlineLvl w:val="3"/>
    </w:pPr>
    <w:rPr>
      <w:rFonts w:ascii="Calibri" w:eastAsiaTheme="majorEastAsia" w:hAnsi="Calibri" w:cstheme="majorBidi"/>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customStyle="1" w:styleId="Footerpage1">
    <w:name w:val="Footer page 1"/>
    <w:rsid w:val="00FE533B"/>
    <w:pPr>
      <w:spacing w:line="240" w:lineRule="auto"/>
      <w:ind w:left="-754"/>
      <w:contextualSpacing/>
    </w:pPr>
    <w:rPr>
      <w:rFonts w:eastAsiaTheme="minorHAnsi"/>
      <w:sz w:val="20"/>
      <w:szCs w:val="20"/>
      <w:lang w:eastAsia="en-US"/>
    </w:rPr>
  </w:style>
  <w:style w:type="paragraph" w:customStyle="1" w:styleId="Normal0">
    <w:name w:val="Normal 0"/>
    <w:rsid w:val="00D40CEB"/>
    <w:pPr>
      <w:widowControl w:val="0"/>
      <w:autoSpaceDE w:val="0"/>
      <w:autoSpaceDN w:val="0"/>
      <w:adjustRightInd w:val="0"/>
      <w:spacing w:after="0" w:line="240" w:lineRule="auto"/>
      <w:ind w:left="1224" w:firstLine="504"/>
    </w:pPr>
    <w:rPr>
      <w:rFonts w:ascii="Courier New" w:eastAsia="Times New Roman" w:hAnsi="Courier New" w:cs="Times New Roman"/>
      <w:sz w:val="24"/>
      <w:szCs w:val="24"/>
    </w:rPr>
  </w:style>
  <w:style w:type="paragraph" w:customStyle="1" w:styleId="EndnoteText1">
    <w:name w:val="Endnote Text1"/>
    <w:basedOn w:val="Normal"/>
    <w:next w:val="EndnoteText"/>
    <w:link w:val="EndnoteTextChar"/>
    <w:uiPriority w:val="99"/>
    <w:semiHidden/>
    <w:unhideWhenUsed/>
    <w:rsid w:val="002F4FB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2F4FBA"/>
    <w:rPr>
      <w:sz w:val="20"/>
      <w:szCs w:val="20"/>
    </w:rPr>
  </w:style>
  <w:style w:type="character" w:styleId="EndnoteReference">
    <w:name w:val="endnote reference"/>
    <w:basedOn w:val="DefaultParagraphFont"/>
    <w:uiPriority w:val="99"/>
    <w:semiHidden/>
    <w:unhideWhenUsed/>
    <w:rsid w:val="002F4FBA"/>
    <w:rPr>
      <w:vertAlign w:val="superscript"/>
    </w:rPr>
  </w:style>
  <w:style w:type="paragraph" w:styleId="EndnoteText">
    <w:name w:val="endnote text"/>
    <w:basedOn w:val="Normal"/>
    <w:link w:val="EndnoteTextChar1"/>
    <w:uiPriority w:val="99"/>
    <w:semiHidden/>
    <w:unhideWhenUsed/>
    <w:rsid w:val="002F4FB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F4FBA"/>
    <w:rPr>
      <w:sz w:val="20"/>
      <w:szCs w:val="20"/>
    </w:rPr>
  </w:style>
  <w:style w:type="character" w:styleId="UnresolvedMention">
    <w:name w:val="Unresolved Mention"/>
    <w:basedOn w:val="DefaultParagraphFont"/>
    <w:uiPriority w:val="99"/>
    <w:semiHidden/>
    <w:unhideWhenUsed/>
    <w:rsid w:val="005019BC"/>
    <w:rPr>
      <w:color w:val="605E5C"/>
      <w:shd w:val="clear" w:color="auto" w:fill="E1DFDD"/>
    </w:rPr>
  </w:style>
  <w:style w:type="character" w:customStyle="1" w:styleId="Heading1Char">
    <w:name w:val="Heading 1 Char"/>
    <w:basedOn w:val="DefaultParagraphFont"/>
    <w:link w:val="Heading1"/>
    <w:uiPriority w:val="9"/>
    <w:rsid w:val="009603A8"/>
    <w:rPr>
      <w:rFonts w:cstheme="minorHAnsi"/>
      <w:b/>
      <w:bCs/>
    </w:rPr>
  </w:style>
  <w:style w:type="character" w:customStyle="1" w:styleId="Heading2Char">
    <w:name w:val="Heading 2 Char"/>
    <w:basedOn w:val="DefaultParagraphFont"/>
    <w:link w:val="Heading2"/>
    <w:rsid w:val="009603A8"/>
    <w:rPr>
      <w:b/>
      <w:bCs/>
      <w:lang w:val="en-US"/>
    </w:rPr>
  </w:style>
  <w:style w:type="character" w:customStyle="1" w:styleId="Heading3Char">
    <w:name w:val="Heading 3 Char"/>
    <w:basedOn w:val="DefaultParagraphFont"/>
    <w:link w:val="Heading3"/>
    <w:rsid w:val="005019BC"/>
    <w:rPr>
      <w:rFonts w:ascii="Calibri" w:eastAsia="Times New Roman" w:hAnsi="Calibri" w:cs="Times New Roman"/>
      <w:bCs/>
      <w:iCs/>
      <w:sz w:val="28"/>
      <w:szCs w:val="24"/>
      <w:lang w:eastAsia="en-US"/>
    </w:rPr>
  </w:style>
  <w:style w:type="character" w:customStyle="1" w:styleId="Heading4Char">
    <w:name w:val="Heading 4 Char"/>
    <w:basedOn w:val="DefaultParagraphFont"/>
    <w:link w:val="Heading4"/>
    <w:uiPriority w:val="9"/>
    <w:rsid w:val="005019BC"/>
    <w:rPr>
      <w:rFonts w:ascii="Calibri" w:eastAsiaTheme="majorEastAsia" w:hAnsi="Calibri" w:cstheme="majorBidi"/>
      <w:bCs/>
      <w:i/>
      <w:iCs/>
      <w:sz w:val="24"/>
      <w:lang w:eastAsia="en-US"/>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link w:val="FootnoteTextChar"/>
    <w:uiPriority w:val="99"/>
    <w:unhideWhenUsed/>
    <w:rsid w:val="005019BC"/>
    <w:pPr>
      <w:spacing w:after="120" w:line="240" w:lineRule="auto"/>
    </w:pPr>
    <w:rPr>
      <w:rFonts w:ascii="Calibri" w:eastAsiaTheme="minorHAnsi" w:hAnsi="Calibri"/>
      <w:sz w:val="18"/>
      <w:szCs w:val="20"/>
      <w:lang w:eastAsia="en-US"/>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5019BC"/>
    <w:rPr>
      <w:rFonts w:ascii="Calibri" w:eastAsiaTheme="minorHAnsi" w:hAnsi="Calibri"/>
      <w:sz w:val="18"/>
      <w:szCs w:val="20"/>
      <w:lang w:eastAsia="en-US"/>
    </w:rPr>
  </w:style>
  <w:style w:type="character" w:styleId="FootnoteReference">
    <w:name w:val="footnote reference"/>
    <w:basedOn w:val="DefaultParagraphFont"/>
    <w:uiPriority w:val="99"/>
    <w:semiHidden/>
    <w:unhideWhenUsed/>
    <w:rsid w:val="005019BC"/>
    <w:rPr>
      <w:vertAlign w:val="superscript"/>
    </w:rPr>
  </w:style>
  <w:style w:type="paragraph" w:styleId="ListParagraph">
    <w:name w:val="List Paragraph"/>
    <w:aliases w:val="List Bullet Cab,CAB - List Bullet,Bullet Point,Bullet point,Bullet points,Bulleted Para,CV text,Content descriptions,Dot pt,L,List Paragraph Number,List Paragraph1,List Paragraph11,List Paragraph2,NFP GP Bulleted List,列出段落"/>
    <w:basedOn w:val="Normal"/>
    <w:link w:val="ListParagraphChar"/>
    <w:uiPriority w:val="34"/>
    <w:qFormat/>
    <w:rsid w:val="005019BC"/>
    <w:pPr>
      <w:spacing w:before="100" w:beforeAutospacing="1" w:after="100" w:afterAutospacing="1" w:line="240" w:lineRule="auto"/>
      <w:ind w:left="720"/>
      <w:contextualSpacing/>
    </w:pPr>
    <w:rPr>
      <w:rFonts w:ascii="Calibri" w:eastAsiaTheme="minorHAnsi" w:hAnsi="Calibri"/>
      <w:lang w:eastAsia="en-US"/>
    </w:rPr>
  </w:style>
  <w:style w:type="numbering" w:customStyle="1" w:styleId="Headings">
    <w:name w:val="Headings"/>
    <w:uiPriority w:val="99"/>
    <w:rsid w:val="005019BC"/>
    <w:pPr>
      <w:numPr>
        <w:numId w:val="4"/>
      </w:numPr>
    </w:pPr>
  </w:style>
  <w:style w:type="paragraph" w:customStyle="1" w:styleId="BodyText1">
    <w:name w:val="Body Text1"/>
    <w:basedOn w:val="Normal"/>
    <w:qFormat/>
    <w:rsid w:val="005019BC"/>
    <w:rPr>
      <w:rFonts w:ascii="Arial" w:eastAsia="Calibri" w:hAnsi="Arial" w:cs="Arial"/>
      <w:color w:val="000000"/>
      <w:lang w:eastAsia="en-US"/>
    </w:rPr>
  </w:style>
  <w:style w:type="paragraph" w:styleId="ListBullet">
    <w:name w:val="List Bullet"/>
    <w:aliases w:val="List Bullet 1"/>
    <w:basedOn w:val="Normal"/>
    <w:uiPriority w:val="99"/>
    <w:semiHidden/>
    <w:unhideWhenUsed/>
    <w:rsid w:val="005019BC"/>
    <w:pPr>
      <w:numPr>
        <w:ilvl w:val="1"/>
        <w:numId w:val="6"/>
      </w:numPr>
      <w:contextualSpacing/>
    </w:pPr>
    <w:rPr>
      <w:rFonts w:ascii="Calibri" w:eastAsia="Calibri" w:hAnsi="Calibri" w:cs="Calibri"/>
      <w:w w:val="105"/>
      <w:kern w:val="40"/>
      <w:lang w:eastAsia="en-US"/>
    </w:rPr>
  </w:style>
  <w:style w:type="paragraph" w:styleId="ListBullet2">
    <w:name w:val="List Bullet 2"/>
    <w:basedOn w:val="Normal"/>
    <w:uiPriority w:val="99"/>
    <w:unhideWhenUsed/>
    <w:rsid w:val="005019BC"/>
    <w:pPr>
      <w:numPr>
        <w:numId w:val="7"/>
      </w:numPr>
      <w:tabs>
        <w:tab w:val="num" w:pos="360"/>
      </w:tabs>
      <w:spacing w:after="160" w:line="256" w:lineRule="auto"/>
      <w:ind w:left="0" w:firstLine="0"/>
      <w:contextualSpacing/>
    </w:pPr>
    <w:rPr>
      <w:rFonts w:eastAsiaTheme="minorHAnsi"/>
      <w:lang w:eastAsia="en-US"/>
    </w:rPr>
  </w:style>
  <w:style w:type="character" w:customStyle="1" w:styleId="ListParagraphChar">
    <w:name w:val="List Paragraph Char"/>
    <w:aliases w:val="List Bullet Cab Char,CAB - List Bullet Char,Bullet Point Char,Bullet point Char,Bullet points Char,Bulleted Para Char,CV text Char,Content descriptions Char,Dot pt Char,L Char,List Paragraph Number Char,List Paragraph1 Char,列出段落 Char"/>
    <w:basedOn w:val="DefaultParagraphFont"/>
    <w:link w:val="ListParagraph"/>
    <w:uiPriority w:val="34"/>
    <w:qFormat/>
    <w:locked/>
    <w:rsid w:val="005019BC"/>
    <w:rPr>
      <w:rFonts w:ascii="Calibri" w:eastAsiaTheme="minorHAnsi" w:hAnsi="Calibri"/>
      <w:lang w:eastAsia="en-US"/>
    </w:rPr>
  </w:style>
  <w:style w:type="paragraph" w:customStyle="1" w:styleId="Bullet1">
    <w:name w:val="Bullet 1"/>
    <w:basedOn w:val="ListBullet2"/>
    <w:qFormat/>
    <w:rsid w:val="005019BC"/>
    <w:pPr>
      <w:numPr>
        <w:numId w:val="6"/>
      </w:numPr>
      <w:spacing w:after="200" w:line="276" w:lineRule="auto"/>
    </w:pPr>
    <w:rPr>
      <w:rFonts w:ascii="Calibri" w:eastAsia="Calibri" w:hAnsi="Calibri" w:cs="Calibri"/>
      <w:w w:val="105"/>
      <w:kern w:val="40"/>
    </w:rPr>
  </w:style>
  <w:style w:type="paragraph" w:styleId="Revision">
    <w:name w:val="Revision"/>
    <w:hidden/>
    <w:uiPriority w:val="99"/>
    <w:semiHidden/>
    <w:rsid w:val="005019BC"/>
    <w:pPr>
      <w:spacing w:after="0" w:line="240" w:lineRule="auto"/>
    </w:pPr>
  </w:style>
  <w:style w:type="character" w:styleId="CommentReference">
    <w:name w:val="annotation reference"/>
    <w:basedOn w:val="DefaultParagraphFont"/>
    <w:uiPriority w:val="99"/>
    <w:semiHidden/>
    <w:unhideWhenUsed/>
    <w:rsid w:val="006E19F3"/>
    <w:rPr>
      <w:sz w:val="16"/>
      <w:szCs w:val="16"/>
    </w:rPr>
  </w:style>
  <w:style w:type="paragraph" w:styleId="CommentText">
    <w:name w:val="annotation text"/>
    <w:basedOn w:val="Normal"/>
    <w:link w:val="CommentTextChar"/>
    <w:uiPriority w:val="99"/>
    <w:unhideWhenUsed/>
    <w:rsid w:val="006E19F3"/>
    <w:pPr>
      <w:spacing w:line="240" w:lineRule="auto"/>
    </w:pPr>
    <w:rPr>
      <w:sz w:val="20"/>
      <w:szCs w:val="20"/>
    </w:rPr>
  </w:style>
  <w:style w:type="character" w:customStyle="1" w:styleId="CommentTextChar">
    <w:name w:val="Comment Text Char"/>
    <w:basedOn w:val="DefaultParagraphFont"/>
    <w:link w:val="CommentText"/>
    <w:uiPriority w:val="99"/>
    <w:rsid w:val="006E19F3"/>
    <w:rPr>
      <w:sz w:val="20"/>
      <w:szCs w:val="20"/>
    </w:rPr>
  </w:style>
  <w:style w:type="paragraph" w:styleId="CommentSubject">
    <w:name w:val="annotation subject"/>
    <w:basedOn w:val="CommentText"/>
    <w:next w:val="CommentText"/>
    <w:link w:val="CommentSubjectChar"/>
    <w:uiPriority w:val="99"/>
    <w:semiHidden/>
    <w:unhideWhenUsed/>
    <w:rsid w:val="006E19F3"/>
    <w:rPr>
      <w:b/>
      <w:bCs/>
    </w:rPr>
  </w:style>
  <w:style w:type="character" w:customStyle="1" w:styleId="CommentSubjectChar">
    <w:name w:val="Comment Subject Char"/>
    <w:basedOn w:val="CommentTextChar"/>
    <w:link w:val="CommentSubject"/>
    <w:uiPriority w:val="99"/>
    <w:semiHidden/>
    <w:rsid w:val="006E19F3"/>
    <w:rPr>
      <w:b/>
      <w:bCs/>
      <w:sz w:val="20"/>
      <w:szCs w:val="20"/>
    </w:rPr>
  </w:style>
  <w:style w:type="paragraph" w:styleId="Quote">
    <w:name w:val="Quote"/>
    <w:basedOn w:val="Normal"/>
    <w:next w:val="Normal"/>
    <w:link w:val="QuoteChar"/>
    <w:uiPriority w:val="29"/>
    <w:qFormat/>
    <w:rsid w:val="007B5C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5CD3"/>
    <w:rPr>
      <w:i/>
      <w:iCs/>
      <w:color w:val="404040" w:themeColor="text1" w:themeTint="BF"/>
    </w:rPr>
  </w:style>
  <w:style w:type="character" w:styleId="FollowedHyperlink">
    <w:name w:val="FollowedHyperlink"/>
    <w:basedOn w:val="DefaultParagraphFont"/>
    <w:uiPriority w:val="99"/>
    <w:semiHidden/>
    <w:unhideWhenUsed/>
    <w:rsid w:val="00DC509C"/>
    <w:rPr>
      <w:color w:val="800080" w:themeColor="followedHyperlink"/>
      <w:u w:val="single"/>
    </w:rPr>
  </w:style>
  <w:style w:type="paragraph" w:customStyle="1" w:styleId="Bullet">
    <w:name w:val="Bullet"/>
    <w:basedOn w:val="Normal"/>
    <w:link w:val="BulletChar"/>
    <w:rsid w:val="005D5F9D"/>
    <w:pPr>
      <w:numPr>
        <w:numId w:val="9"/>
      </w:numPr>
      <w:spacing w:before="240" w:after="120" w:line="240" w:lineRule="auto"/>
    </w:pPr>
    <w:rPr>
      <w:rFonts w:ascii="Times New Roman" w:eastAsia="Times New Roman" w:hAnsi="Times New Roman" w:cs="Times New Roman"/>
      <w:sz w:val="24"/>
      <w:szCs w:val="23"/>
    </w:rPr>
  </w:style>
  <w:style w:type="character" w:customStyle="1" w:styleId="BulletChar">
    <w:name w:val="Bullet Char"/>
    <w:basedOn w:val="DefaultParagraphFont"/>
    <w:link w:val="Bullet"/>
    <w:rsid w:val="005D5F9D"/>
    <w:rPr>
      <w:rFonts w:ascii="Times New Roman" w:eastAsia="Times New Roman" w:hAnsi="Times New Roman" w:cs="Times New Roman"/>
      <w:sz w:val="24"/>
      <w:szCs w:val="23"/>
    </w:rPr>
  </w:style>
  <w:style w:type="paragraph" w:customStyle="1" w:styleId="Dash">
    <w:name w:val="Dash"/>
    <w:basedOn w:val="Normal"/>
    <w:rsid w:val="005D5F9D"/>
    <w:pPr>
      <w:numPr>
        <w:ilvl w:val="1"/>
        <w:numId w:val="9"/>
      </w:numPr>
      <w:spacing w:before="240" w:after="120" w:line="240" w:lineRule="auto"/>
    </w:pPr>
    <w:rPr>
      <w:rFonts w:ascii="Times New Roman" w:eastAsia="Times New Roman" w:hAnsi="Times New Roman" w:cs="Times New Roman"/>
      <w:sz w:val="24"/>
      <w:szCs w:val="23"/>
    </w:rPr>
  </w:style>
  <w:style w:type="paragraph" w:customStyle="1" w:styleId="DoubleDot">
    <w:name w:val="Double Dot"/>
    <w:basedOn w:val="Normal"/>
    <w:rsid w:val="005D5F9D"/>
    <w:pPr>
      <w:numPr>
        <w:ilvl w:val="2"/>
        <w:numId w:val="9"/>
      </w:numPr>
      <w:spacing w:before="240" w:after="120" w:line="240" w:lineRule="auto"/>
    </w:pPr>
    <w:rPr>
      <w:rFonts w:ascii="Times New Roman" w:eastAsia="Times New Roman" w:hAnsi="Times New Roman" w:cs="Times New Roman"/>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758135622">
      <w:bodyDiv w:val="1"/>
      <w:marLeft w:val="0"/>
      <w:marRight w:val="0"/>
      <w:marTop w:val="0"/>
      <w:marBottom w:val="0"/>
      <w:divBdr>
        <w:top w:val="none" w:sz="0" w:space="0" w:color="auto"/>
        <w:left w:val="none" w:sz="0" w:space="0" w:color="auto"/>
        <w:bottom w:val="none" w:sz="0" w:space="0" w:color="auto"/>
        <w:right w:val="none" w:sz="0" w:space="0" w:color="auto"/>
      </w:divBdr>
    </w:div>
    <w:div w:id="1198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linePrivacyBill@ag.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treasury.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Draft%20Letterhead%202%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99CCC-232D-4AEA-8886-23FEDD5327D0}">
  <ds:schemaRefs>
    <ds:schemaRef ds:uri="http://schemas.microsoft.com/sharepoint/v3/contenttype/forms"/>
  </ds:schemaRefs>
</ds:datastoreItem>
</file>

<file path=customXml/itemProps2.xml><?xml version="1.0" encoding="utf-8"?>
<ds:datastoreItem xmlns:ds="http://schemas.openxmlformats.org/officeDocument/2006/customXml" ds:itemID="{04211212-B407-41F6-ADC3-FAF17DBE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5908D-7470-484D-87D4-7F15C368C77F}">
  <ds:schemaRefs>
    <ds:schemaRef ds:uri="http://schemas.openxmlformats.org/officeDocument/2006/bibliography"/>
  </ds:schemaRefs>
</ds:datastoreItem>
</file>

<file path=customXml/itemProps4.xml><?xml version="1.0" encoding="utf-8"?>
<ds:datastoreItem xmlns:ds="http://schemas.openxmlformats.org/officeDocument/2006/customXml" ds:itemID="{5EC4D4FD-12F6-4408-A0BC-C1A7BA68D7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Letterhead 2 Page</Template>
  <TotalTime>1</TotalTime>
  <Pages>1</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Caidee Heriot</cp:lastModifiedBy>
  <cp:revision>2</cp:revision>
  <dcterms:created xsi:type="dcterms:W3CDTF">2022-03-07T04:56:00Z</dcterms:created>
  <dcterms:modified xsi:type="dcterms:W3CDTF">2022-03-07T04:56:00Z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