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90" w:rsidRDefault="00311F90" w:rsidP="004B275A">
      <w:pPr>
        <w:pStyle w:val="Title"/>
        <w:jc w:val="center"/>
      </w:pPr>
    </w:p>
    <w:p w:rsidR="00311F90" w:rsidRDefault="00311F90" w:rsidP="004B275A">
      <w:pPr>
        <w:pStyle w:val="Title"/>
        <w:jc w:val="center"/>
      </w:pPr>
    </w:p>
    <w:p w:rsidR="00311F90" w:rsidRDefault="00311F90" w:rsidP="004B275A">
      <w:pPr>
        <w:pStyle w:val="Title"/>
        <w:jc w:val="center"/>
      </w:pPr>
    </w:p>
    <w:p w:rsidR="00311F90" w:rsidRDefault="00311F90" w:rsidP="004B275A">
      <w:pPr>
        <w:pStyle w:val="Title"/>
        <w:jc w:val="center"/>
      </w:pPr>
    </w:p>
    <w:p w:rsidR="00311F90" w:rsidRDefault="00311F90" w:rsidP="004B275A">
      <w:pPr>
        <w:pStyle w:val="Title"/>
        <w:jc w:val="center"/>
      </w:pPr>
    </w:p>
    <w:p w:rsidR="00311F90" w:rsidRDefault="00311F90" w:rsidP="004B275A">
      <w:pPr>
        <w:pStyle w:val="Title"/>
        <w:jc w:val="center"/>
      </w:pPr>
    </w:p>
    <w:p w:rsidR="005820C9" w:rsidRPr="003441E5" w:rsidRDefault="00AA0E58" w:rsidP="004B275A">
      <w:pPr>
        <w:pStyle w:val="Title"/>
        <w:jc w:val="center"/>
      </w:pPr>
      <w:r>
        <w:t>Australian Consumer Law Review</w:t>
      </w:r>
      <w:r w:rsidR="001458DD">
        <w:br/>
      </w:r>
      <w:r w:rsidR="001458DD">
        <w:br/>
        <w:t>Response to Interim Report</w:t>
      </w:r>
    </w:p>
    <w:p w:rsidR="009F4B9D" w:rsidRPr="003441E5" w:rsidRDefault="009F4B9D" w:rsidP="004B275A">
      <w:pPr>
        <w:pStyle w:val="Subtitle"/>
        <w:jc w:val="center"/>
      </w:pPr>
      <w:r w:rsidRPr="003441E5">
        <w:t>Submission by the Australian Communi</w:t>
      </w:r>
      <w:r w:rsidR="00AA0E58">
        <w:t>cations Consumer Action Network (ACCAN)</w:t>
      </w:r>
    </w:p>
    <w:p w:rsidR="009F4B9D" w:rsidRPr="003441E5" w:rsidRDefault="00311F90" w:rsidP="004B275A">
      <w:pPr>
        <w:pStyle w:val="Subtitle"/>
        <w:jc w:val="center"/>
      </w:pPr>
      <w:r>
        <w:t xml:space="preserve">9 </w:t>
      </w:r>
      <w:r w:rsidR="001458DD">
        <w:t>December</w:t>
      </w:r>
      <w:r w:rsidR="00AA0E58">
        <w:t xml:space="preserve"> 2016</w:t>
      </w:r>
    </w:p>
    <w:p w:rsidR="009F4B9D" w:rsidRPr="003441E5" w:rsidRDefault="009F4B9D" w:rsidP="00A13B92">
      <w:r w:rsidRPr="003441E5">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4A6236" w:rsidRDefault="00E459DE" w:rsidP="00E459DE">
      <w:pPr>
        <w:pStyle w:val="About"/>
      </w:pPr>
      <w:r w:rsidRPr="003441E5">
        <w:t>Contact</w:t>
      </w:r>
    </w:p>
    <w:p w:rsidR="00311F90" w:rsidRPr="00EA6CE8" w:rsidRDefault="00311F90" w:rsidP="00A06372">
      <w:pPr>
        <w:pStyle w:val="About"/>
        <w:spacing w:after="0"/>
        <w:rPr>
          <w:b w:val="0"/>
        </w:rPr>
      </w:pPr>
      <w:r w:rsidRPr="00EA6CE8">
        <w:rPr>
          <w:b w:val="0"/>
        </w:rPr>
        <w:t>Una Lawrence</w:t>
      </w:r>
    </w:p>
    <w:p w:rsidR="00311F90" w:rsidRPr="00EA6CE8" w:rsidRDefault="00311F90" w:rsidP="00A06372">
      <w:pPr>
        <w:pStyle w:val="About"/>
        <w:spacing w:after="0"/>
        <w:rPr>
          <w:b w:val="0"/>
        </w:rPr>
      </w:pPr>
      <w:r w:rsidRPr="00EA6CE8">
        <w:rPr>
          <w:b w:val="0"/>
        </w:rPr>
        <w:t>Director of Policy</w:t>
      </w:r>
    </w:p>
    <w:p w:rsidR="00311F90" w:rsidRPr="003441E5" w:rsidRDefault="00311F90" w:rsidP="00A06372">
      <w:pPr>
        <w:pStyle w:val="About"/>
        <w:spacing w:after="0"/>
      </w:pPr>
    </w:p>
    <w:p w:rsidR="00E459DE" w:rsidRPr="00E459DE" w:rsidRDefault="00E459DE" w:rsidP="00E459DE">
      <w:pPr>
        <w:spacing w:after="0"/>
        <w:rPr>
          <w:rFonts w:eastAsiaTheme="minorHAnsi"/>
          <w:lang w:val="en-US"/>
        </w:rPr>
      </w:pPr>
      <w:r w:rsidRPr="00E459DE">
        <w:rPr>
          <w:rFonts w:eastAsiaTheme="minorHAnsi"/>
          <w:lang w:val="en-US"/>
        </w:rPr>
        <w:t>PO Box 639</w:t>
      </w:r>
    </w:p>
    <w:p w:rsidR="00E459DE" w:rsidRPr="00E459DE" w:rsidRDefault="00E459DE" w:rsidP="00E459DE">
      <w:pPr>
        <w:rPr>
          <w:rFonts w:eastAsiaTheme="minorHAnsi"/>
          <w:lang w:val="en-US"/>
        </w:rPr>
      </w:pPr>
      <w:r w:rsidRPr="00E459DE">
        <w:rPr>
          <w:rFonts w:eastAsiaTheme="minorHAnsi"/>
          <w:lang w:val="en-US"/>
        </w:rPr>
        <w:t>Broadway NSW, 2007</w:t>
      </w:r>
      <w:r w:rsidRPr="00E459DE">
        <w:rPr>
          <w:rFonts w:eastAsiaTheme="minorHAnsi"/>
          <w:lang w:val="en-US"/>
        </w:rPr>
        <w:br/>
        <w:t xml:space="preserve">Email: </w:t>
      </w:r>
      <w:hyperlink r:id="rId9" w:history="1">
        <w:r w:rsidRPr="00E459DE">
          <w:rPr>
            <w:rFonts w:eastAsiaTheme="minorHAnsi"/>
            <w:color w:val="0000FF" w:themeColor="hyperlink"/>
            <w:u w:val="single"/>
            <w:lang w:val="en-US"/>
          </w:rPr>
          <w:t>info@accan.org.au</w:t>
        </w:r>
      </w:hyperlink>
      <w:r w:rsidRPr="00E459DE">
        <w:rPr>
          <w:rFonts w:eastAsiaTheme="minorHAnsi"/>
          <w:color w:val="0000FF" w:themeColor="hyperlink"/>
          <w:u w:val="single"/>
          <w:lang w:val="en-US"/>
        </w:rPr>
        <w:br/>
      </w:r>
      <w:r w:rsidRPr="00E459DE">
        <w:rPr>
          <w:rFonts w:eastAsiaTheme="minorHAnsi"/>
          <w:lang w:val="en-US"/>
        </w:rPr>
        <w:t>Phone: (02) 9288 4000</w:t>
      </w:r>
      <w:r w:rsidRPr="00E459DE">
        <w:rPr>
          <w:rFonts w:eastAsiaTheme="minorHAnsi"/>
          <w:lang w:val="en-US"/>
        </w:rPr>
        <w:br/>
        <w:t>Fax: (02) 9288 4019</w:t>
      </w:r>
      <w:r w:rsidRPr="00E459DE">
        <w:rPr>
          <w:rFonts w:eastAsiaTheme="minorHAnsi"/>
          <w:lang w:val="en-US"/>
        </w:rPr>
        <w:br/>
        <w:t xml:space="preserve">Contact us through the </w:t>
      </w:r>
      <w:hyperlink r:id="rId10" w:history="1">
        <w:r w:rsidRPr="00E459DE">
          <w:rPr>
            <w:rFonts w:eastAsiaTheme="minorHAnsi"/>
            <w:color w:val="0000FF" w:themeColor="hyperlink"/>
            <w:u w:val="single"/>
            <w:lang w:val="en-US"/>
          </w:rPr>
          <w:t>National Relay Service</w:t>
        </w:r>
      </w:hyperlink>
    </w:p>
    <w:p w:rsidR="00302E2C" w:rsidRDefault="00302E2C" w:rsidP="00302E2C">
      <w:pPr>
        <w:pStyle w:val="Heading3"/>
      </w:pPr>
      <w:bookmarkStart w:id="0" w:name="_Toc452125511"/>
      <w:r>
        <w:br w:type="page"/>
      </w:r>
    </w:p>
    <w:p w:rsidR="00D80157" w:rsidRDefault="00882C43" w:rsidP="00D80157">
      <w:bookmarkStart w:id="1" w:name="_Toc452125513"/>
      <w:bookmarkEnd w:id="0"/>
      <w:r>
        <w:lastRenderedPageBreak/>
        <w:t xml:space="preserve">ACCAN welcomes the opportunity to respond to the Interim Report by Consumer Affairs Australia and New Zealand. </w:t>
      </w:r>
      <w:r w:rsidR="00D80157">
        <w:t xml:space="preserve">ACCAN has provided feedback on a number of the proposals outlined in the </w:t>
      </w:r>
      <w:r w:rsidR="0053338B">
        <w:t>Report.</w:t>
      </w:r>
      <w:r w:rsidR="00D80157">
        <w:t xml:space="preserve"> </w:t>
      </w:r>
    </w:p>
    <w:p w:rsidR="000C787A" w:rsidRDefault="009530F2" w:rsidP="00D80157">
      <w:pPr>
        <w:pStyle w:val="Heading2"/>
        <w:numPr>
          <w:ilvl w:val="0"/>
          <w:numId w:val="44"/>
        </w:numPr>
      </w:pPr>
      <w:r>
        <w:t xml:space="preserve">Provide </w:t>
      </w:r>
      <w:r w:rsidR="00302E2C">
        <w:t>telecommunications</w:t>
      </w:r>
      <w:r>
        <w:t>-specific guidance on the application of consum</w:t>
      </w:r>
      <w:r w:rsidR="005B7BB4">
        <w:t xml:space="preserve">er guarantees </w:t>
      </w:r>
    </w:p>
    <w:p w:rsidR="000C787A" w:rsidRDefault="000C787A" w:rsidP="000C787A">
      <w:pPr>
        <w:pStyle w:val="NoSpacing"/>
      </w:pPr>
    </w:p>
    <w:p w:rsidR="00DD48DC" w:rsidRPr="00684646" w:rsidRDefault="000C787A" w:rsidP="000C787A">
      <w:pPr>
        <w:pStyle w:val="NoSpacing"/>
        <w:pBdr>
          <w:top w:val="single" w:sz="4" w:space="1" w:color="auto"/>
          <w:left w:val="single" w:sz="4" w:space="4" w:color="auto"/>
          <w:bottom w:val="single" w:sz="4" w:space="1" w:color="auto"/>
          <w:right w:val="single" w:sz="4" w:space="4" w:color="auto"/>
        </w:pBdr>
      </w:pPr>
      <w:r w:rsidRPr="00684646">
        <w:t>14. Can issues raised in particular industries be adequately addressed by generic approaches to law reform, such as Option 1 below, in conjunction with industry-specific compliance, enforcement and education activities? What are the advantages and disadvantages of this approach?</w:t>
      </w:r>
    </w:p>
    <w:p w:rsidR="00522149" w:rsidRDefault="000C787A" w:rsidP="00522149">
      <w:r>
        <w:br/>
      </w:r>
      <w:r w:rsidR="00522149">
        <w:t xml:space="preserve">Australians rely upon their various telecommunications devices for work, to conduct essential transactions and to engage with the digital economy more broadly.  As at June 2016, 93% of Australians use a mobile phone, with 76% of Australians using a smartphone. </w:t>
      </w:r>
      <w:r w:rsidR="00522149">
        <w:rPr>
          <w:rStyle w:val="FootnoteReference"/>
        </w:rPr>
        <w:footnoteReference w:id="1"/>
      </w:r>
      <w:r w:rsidR="00522149">
        <w:t xml:space="preserve"> 5.78 million people only use a mobile phone and have no fixed-line telephone at home.</w:t>
      </w:r>
      <w:r w:rsidR="00522149">
        <w:rPr>
          <w:rStyle w:val="FootnoteReference"/>
        </w:rPr>
        <w:footnoteReference w:id="2"/>
      </w:r>
      <w:r w:rsidR="00522149">
        <w:t xml:space="preserve">  There are also 21.97 million mobile phone internet subscriptions.</w:t>
      </w:r>
      <w:r w:rsidR="00522149">
        <w:rPr>
          <w:rStyle w:val="FootnoteReference"/>
        </w:rPr>
        <w:footnoteReference w:id="3"/>
      </w:r>
      <w:r w:rsidR="00522149">
        <w:t xml:space="preserve">   Given that these devices provide access to essential telecommunications services it is critical that consumers are able to get an effective remedy when there is a problem with their device.  </w:t>
      </w:r>
    </w:p>
    <w:p w:rsidR="009530F2" w:rsidRDefault="00522149" w:rsidP="00DD48DC">
      <w:r>
        <w:t>ACCAN supports the view of Telecommunications Industry Ombudsman (TIO) that there should be increased guidance on how consumer guarantees for goods</w:t>
      </w:r>
      <w:r w:rsidR="00A06372">
        <w:t xml:space="preserve"> and services</w:t>
      </w:r>
      <w:r>
        <w:t xml:space="preserve"> apply in the telecommunications context.</w:t>
      </w:r>
      <w:r>
        <w:rPr>
          <w:rStyle w:val="FootnoteReference"/>
        </w:rPr>
        <w:footnoteReference w:id="4"/>
      </w:r>
      <w:r>
        <w:t xml:space="preserve">  </w:t>
      </w:r>
      <w:r w:rsidR="001C40D5">
        <w:t xml:space="preserve">Increased guidance will provide greater certainty to manufacturers, mobile phone providers and consumers.  </w:t>
      </w:r>
      <w:r>
        <w:t xml:space="preserve">ACCAN believes the ACCC, working with the TIO, would be best placed to provide this guidance.   </w:t>
      </w:r>
      <w:r w:rsidR="00E36DA7">
        <w:t>Below are several important priorities for improved guidance:</w:t>
      </w:r>
    </w:p>
    <w:p w:rsidR="006E63CE" w:rsidRDefault="006E63CE" w:rsidP="00E36DA7">
      <w:pPr>
        <w:pStyle w:val="Heading3"/>
        <w:numPr>
          <w:ilvl w:val="0"/>
          <w:numId w:val="46"/>
        </w:numPr>
      </w:pPr>
      <w:r>
        <w:t xml:space="preserve">Need for guidance – example 1 – </w:t>
      </w:r>
      <w:r w:rsidR="0053338B">
        <w:t>‘would not have purchased’</w:t>
      </w:r>
      <w:r w:rsidR="00C23199">
        <w:t xml:space="preserve"> (question 11)</w:t>
      </w:r>
      <w:r>
        <w:br/>
      </w:r>
    </w:p>
    <w:p w:rsidR="006E63CE" w:rsidRDefault="0053338B" w:rsidP="006E63CE">
      <w:r>
        <w:t>Section</w:t>
      </w:r>
      <w:r w:rsidR="006E63CE">
        <w:t xml:space="preserve"> 260(a) provid</w:t>
      </w:r>
      <w:r>
        <w:t xml:space="preserve">es that a failure is </w:t>
      </w:r>
      <w:r w:rsidR="006E63CE">
        <w:t>major if a reasonable consumer would not have purchased the good with knowledge of the failure.</w:t>
      </w:r>
      <w:r w:rsidR="006E63CE" w:rsidRPr="00AF599E">
        <w:t xml:space="preserve"> </w:t>
      </w:r>
      <w:r w:rsidR="006E63CE">
        <w:t xml:space="preserve"> For example, a consumer </w:t>
      </w:r>
      <w:r w:rsidR="00E36DA7">
        <w:t>would not buy a</w:t>
      </w:r>
      <w:r>
        <w:t xml:space="preserve"> new</w:t>
      </w:r>
      <w:r w:rsidR="00E36DA7">
        <w:t xml:space="preserve"> phone knowing t</w:t>
      </w:r>
      <w:r w:rsidR="006E63CE">
        <w:t>hat</w:t>
      </w:r>
      <w:r w:rsidR="00E36DA7">
        <w:t xml:space="preserve"> it</w:t>
      </w:r>
      <w:r w:rsidR="006E63CE">
        <w:t xml:space="preserve"> </w:t>
      </w:r>
      <w:r w:rsidR="00E36DA7">
        <w:t>randomly</w:t>
      </w:r>
      <w:r w:rsidR="006E63CE">
        <w:t xml:space="preserve"> </w:t>
      </w:r>
      <w:r w:rsidR="00E36DA7">
        <w:t>restarts itself</w:t>
      </w:r>
      <w:r w:rsidR="006E63CE">
        <w:t>.  However, as the TIO notes, most consumers are not aware of this right and some experience difficulty when relying on this section when engaged in disputes with mobile providers.</w:t>
      </w:r>
      <w:r w:rsidR="006E63CE">
        <w:rPr>
          <w:rStyle w:val="FootnoteReference"/>
        </w:rPr>
        <w:footnoteReference w:id="5"/>
      </w:r>
      <w:r w:rsidR="006E63CE">
        <w:t xml:space="preserve">  </w:t>
      </w:r>
    </w:p>
    <w:p w:rsidR="006E63CE" w:rsidRDefault="006E63CE" w:rsidP="00E36DA7">
      <w:pPr>
        <w:pStyle w:val="Heading3"/>
        <w:numPr>
          <w:ilvl w:val="0"/>
          <w:numId w:val="46"/>
        </w:numPr>
      </w:pPr>
      <w:r>
        <w:t>Need for guidance – example 2 - how long should a device last for it to be of ‘acceptable quality’?</w:t>
      </w:r>
      <w:r w:rsidR="00C23199">
        <w:t xml:space="preserve">  (questions 10 and 13)</w:t>
      </w:r>
    </w:p>
    <w:p w:rsidR="006E63CE" w:rsidRDefault="006E63CE" w:rsidP="006E63CE">
      <w:r>
        <w:br/>
        <w:t>In determining what is acceptable quality, goods need to be as ‘durable’ and generally ‘fit for the purposes’ as a reasonable consumer would expect, having regard to the nature and price of the goods.</w:t>
      </w:r>
      <w:r>
        <w:rPr>
          <w:rStyle w:val="FootnoteReference"/>
        </w:rPr>
        <w:footnoteReference w:id="6"/>
      </w:r>
      <w:r w:rsidR="0099111D">
        <w:t xml:space="preserve"> </w:t>
      </w:r>
    </w:p>
    <w:p w:rsidR="006E63CE" w:rsidRDefault="006E63CE" w:rsidP="006E63CE">
      <w:r>
        <w:lastRenderedPageBreak/>
        <w:t>As noted by the TIO, consumers generally expect their telecommunications equipment to work well for at least as long as their service contract (that is, 2 years).</w:t>
      </w:r>
      <w:r>
        <w:rPr>
          <w:rStyle w:val="FootnoteReference"/>
        </w:rPr>
        <w:footnoteReference w:id="7"/>
      </w:r>
      <w:r>
        <w:t xml:space="preserve">   However, the TIO notes that some providers ‘do not consistently use a two year timeframe’ particularly if a significant problem arises closer to the end of a 2 year contract.</w:t>
      </w:r>
      <w:r>
        <w:rPr>
          <w:rStyle w:val="FootnoteReference"/>
        </w:rPr>
        <w:footnoteReference w:id="8"/>
      </w:r>
      <w:r>
        <w:t xml:space="preserve"> </w:t>
      </w:r>
    </w:p>
    <w:p w:rsidR="006E63CE" w:rsidRDefault="006E63CE" w:rsidP="006E63CE">
      <w:r>
        <w:t>ACCAN believes that a reasonable consumer who buys a smartphone</w:t>
      </w:r>
      <w:r w:rsidR="00B4179C">
        <w:t xml:space="preserve"> would expect </w:t>
      </w:r>
      <w:r>
        <w:t xml:space="preserve"> </w:t>
      </w:r>
      <w:r w:rsidR="00B4179C">
        <w:t xml:space="preserve">it to </w:t>
      </w:r>
      <w:r>
        <w:t>be durable enough to last at least 2 years, taking into account the price and nature of the goods</w:t>
      </w:r>
      <w:r w:rsidR="00B4179C">
        <w:t xml:space="preserve">, noting that </w:t>
      </w:r>
      <w:r w:rsidR="00B4179C" w:rsidRPr="00B4179C">
        <w:t>the smallest capacity model of the latest iPhone 7 costs $1079</w:t>
      </w:r>
      <w:r w:rsidR="00B4179C">
        <w:t>.</w:t>
      </w:r>
    </w:p>
    <w:p w:rsidR="006E63CE" w:rsidRDefault="006E63CE" w:rsidP="00E36DA7">
      <w:pPr>
        <w:pStyle w:val="Heading3"/>
        <w:numPr>
          <w:ilvl w:val="0"/>
          <w:numId w:val="46"/>
        </w:numPr>
      </w:pPr>
      <w:r>
        <w:t>Need for guidance – example 3 - what is a ‘reasonable period’ in terms of time taken to remedy a failure</w:t>
      </w:r>
      <w:r w:rsidR="00EA6CE8">
        <w:t xml:space="preserve"> (question 11)</w:t>
      </w:r>
      <w:r>
        <w:br/>
      </w:r>
    </w:p>
    <w:p w:rsidR="00E36DA7" w:rsidRDefault="006E63CE" w:rsidP="00DD48DC">
      <w:r>
        <w:t>T</w:t>
      </w:r>
      <w:r w:rsidRPr="00806747">
        <w:t xml:space="preserve">here is no guidance </w:t>
      </w:r>
      <w:r>
        <w:t>about what is a</w:t>
      </w:r>
      <w:r w:rsidRPr="00806747">
        <w:t xml:space="preserve"> </w:t>
      </w:r>
      <w:r>
        <w:t>‘</w:t>
      </w:r>
      <w:r w:rsidRPr="00806747">
        <w:t>reasonable period</w:t>
      </w:r>
      <w:r>
        <w:t>’</w:t>
      </w:r>
      <w:r w:rsidRPr="00806747">
        <w:t xml:space="preserve"> for allowing the supplier to remedy </w:t>
      </w:r>
      <w:r w:rsidR="00D63737">
        <w:t>a</w:t>
      </w:r>
      <w:r w:rsidRPr="00806747">
        <w:t xml:space="preserve"> defect.</w:t>
      </w:r>
      <w:r>
        <w:t xml:space="preserve"> </w:t>
      </w:r>
      <w:r w:rsidR="00D63737">
        <w:t xml:space="preserve"> </w:t>
      </w:r>
      <w:r>
        <w:t>As the TIO notes, consumers who have problems with their device often have to hand their phone over to be assessed.  This can take up to several days.</w:t>
      </w:r>
      <w:r>
        <w:rPr>
          <w:rStyle w:val="FootnoteReference"/>
        </w:rPr>
        <w:footnoteReference w:id="9"/>
      </w:r>
      <w:r>
        <w:t xml:space="preserve">  </w:t>
      </w:r>
      <w:r>
        <w:br/>
      </w:r>
      <w:r>
        <w:br/>
        <w:t xml:space="preserve">ACCAN supports the TIO’s view that there should be greater clarity about the expected timeframes, as well as guidance on what circumstances the consumer should be offered an interim replacement so that they can continue to enjoy their communications service. </w:t>
      </w:r>
    </w:p>
    <w:p w:rsidR="00E36DA7" w:rsidRDefault="00E36DA7" w:rsidP="00E36DA7">
      <w:pPr>
        <w:pStyle w:val="Heading3"/>
        <w:numPr>
          <w:ilvl w:val="0"/>
          <w:numId w:val="46"/>
        </w:numPr>
      </w:pPr>
      <w:r>
        <w:t xml:space="preserve">Need for guidance – example 4 – how do consumer guarantees apply to </w:t>
      </w:r>
      <w:r w:rsidR="00806BAD">
        <w:t>communications services</w:t>
      </w:r>
      <w:r>
        <w:t xml:space="preserve"> as opposed to goods</w:t>
      </w:r>
      <w:r w:rsidR="00EA6CE8">
        <w:t xml:space="preserve"> (question 11)</w:t>
      </w:r>
    </w:p>
    <w:p w:rsidR="00E36DA7" w:rsidRDefault="00D80157" w:rsidP="00E36DA7">
      <w:r>
        <w:br/>
      </w:r>
      <w:r w:rsidR="005D3EF8">
        <w:t>As noted in our earlier submission,</w:t>
      </w:r>
      <w:r w:rsidR="00D63737">
        <w:rPr>
          <w:rStyle w:val="FootnoteReference"/>
        </w:rPr>
        <w:footnoteReference w:id="10"/>
      </w:r>
      <w:r w:rsidR="005D3EF8">
        <w:t xml:space="preserve"> the trouble with relying on the consumer guarantees is there is little guidance on what they mean in the context of delivery of telecommunications services. There has been very little case law around how these protections would practically be implemented in telecommunications. </w:t>
      </w:r>
      <w:r w:rsidR="00E36DA7">
        <w:t xml:space="preserve"> For example, would a mobile phone service that consistently loses coverage be one that suffered from a ‘major failure’? </w:t>
      </w:r>
      <w:r w:rsidR="00E36DA7">
        <w:br/>
      </w:r>
      <w:r w:rsidR="00E36DA7">
        <w:br/>
      </w:r>
      <w:r w:rsidR="005D3EF8">
        <w:t>This makes it difficult for consumers to understand their rights and remedies under the ACL.  ACCAN supports proposals that would see guidance notes produced and tribunal decisions published to help consumers better understand their rights in relation to specific services.</w:t>
      </w:r>
      <w:r w:rsidR="005D3EF8">
        <w:cr/>
      </w:r>
    </w:p>
    <w:p w:rsidR="00EA6CE8" w:rsidRDefault="00EA6CE8" w:rsidP="00E36DA7"/>
    <w:p w:rsidR="00EA6CE8" w:rsidRDefault="00EA6CE8" w:rsidP="00E36DA7"/>
    <w:p w:rsidR="00EA6CE8" w:rsidRDefault="00EA6CE8" w:rsidP="00E36DA7"/>
    <w:p w:rsidR="00336C22" w:rsidRDefault="009530F2" w:rsidP="00D80157">
      <w:pPr>
        <w:pStyle w:val="Heading2"/>
        <w:numPr>
          <w:ilvl w:val="0"/>
          <w:numId w:val="44"/>
        </w:numPr>
      </w:pPr>
      <w:r>
        <w:lastRenderedPageBreak/>
        <w:t>Update the definition of</w:t>
      </w:r>
      <w:r w:rsidR="006E63CE">
        <w:t xml:space="preserve"> </w:t>
      </w:r>
      <w:r>
        <w:t>‘major failure’</w:t>
      </w:r>
      <w:r w:rsidR="00336C22">
        <w:br/>
      </w:r>
    </w:p>
    <w:p w:rsidR="000C787A" w:rsidRPr="000C787A" w:rsidRDefault="000C787A" w:rsidP="000C787A">
      <w:pPr>
        <w:pBdr>
          <w:top w:val="single" w:sz="4" w:space="1" w:color="auto"/>
          <w:left w:val="single" w:sz="4" w:space="4" w:color="auto"/>
          <w:bottom w:val="single" w:sz="4" w:space="1" w:color="auto"/>
          <w:right w:val="single" w:sz="4" w:space="4" w:color="auto"/>
        </w:pBdr>
      </w:pPr>
      <w:r>
        <w:t xml:space="preserve">16. In what circumstances are repairs and replacement not considered appropriate remedies? Or put another way, are there circumstances that are inherently likely to involve, or point to, a ‘major’ failure? </w:t>
      </w:r>
      <w:r>
        <w:br/>
      </w:r>
      <w:r>
        <w:br/>
        <w:t xml:space="preserve">• What are these circumstances, and should they be defined, or deemed, to be major failures? For example, should there be discretion for courts to determine the number of ‘non-major failures’ or type of safety defect that would trigger a ‘major failure’? </w:t>
      </w:r>
      <w:r>
        <w:br/>
        <w:t>• Are there any relevant exceptions or qualifications?</w:t>
      </w:r>
    </w:p>
    <w:p w:rsidR="00302E2C" w:rsidRDefault="00AF599E" w:rsidP="005D3EF8">
      <w:r>
        <w:t>ACCAN</w:t>
      </w:r>
      <w:r w:rsidR="00462B85">
        <w:t xml:space="preserve"> supports </w:t>
      </w:r>
      <w:r w:rsidR="00D63737">
        <w:t>a specific change to the law to say that</w:t>
      </w:r>
      <w:r w:rsidR="00462B85">
        <w:t xml:space="preserve"> multiple ‘non-major failures’ could </w:t>
      </w:r>
      <w:r w:rsidR="00C01873">
        <w:t xml:space="preserve">constitute </w:t>
      </w:r>
      <w:r w:rsidR="00462B85">
        <w:t>a ‘major failure’.</w:t>
      </w:r>
      <w:r w:rsidR="00462B85">
        <w:rPr>
          <w:rStyle w:val="FootnoteReference"/>
        </w:rPr>
        <w:footnoteReference w:id="11"/>
      </w:r>
      <w:r w:rsidR="00462B85">
        <w:t xml:space="preserve">  </w:t>
      </w:r>
      <w:r w:rsidR="00A52D75">
        <w:t xml:space="preserve">As noted by the TIO, there have been cases where consumers have </w:t>
      </w:r>
      <w:r w:rsidR="00C01873">
        <w:t>handed over</w:t>
      </w:r>
      <w:r w:rsidR="00A52D75">
        <w:t xml:space="preserve"> their devices to be repaired several times before being offered a replacement or cancellation of contract.</w:t>
      </w:r>
      <w:r w:rsidR="00C01873" w:rsidRPr="00C01873">
        <w:rPr>
          <w:rStyle w:val="FootnoteReference"/>
        </w:rPr>
        <w:t xml:space="preserve"> </w:t>
      </w:r>
      <w:r w:rsidR="00C01873">
        <w:rPr>
          <w:rStyle w:val="FootnoteReference"/>
        </w:rPr>
        <w:footnoteReference w:id="12"/>
      </w:r>
      <w:r w:rsidR="00A52D75">
        <w:t xml:space="preserve">  In these cases, devices are often faulty again or are returned with the fault still present.</w:t>
      </w:r>
      <w:r w:rsidR="00A52D75">
        <w:rPr>
          <w:rStyle w:val="FootnoteReference"/>
        </w:rPr>
        <w:footnoteReference w:id="13"/>
      </w:r>
      <w:r>
        <w:t xml:space="preserve"> </w:t>
      </w:r>
      <w:r w:rsidR="000154D2">
        <w:t xml:space="preserve"> ACCAN believe</w:t>
      </w:r>
      <w:r w:rsidR="00D63737">
        <w:t>s that</w:t>
      </w:r>
      <w:r w:rsidR="00C01873">
        <w:t xml:space="preserve"> in these cases, there would be a ‘major failure’ and the consumer </w:t>
      </w:r>
      <w:r w:rsidR="000154D2">
        <w:t xml:space="preserve">should be able to choose to receive a full refund, not just submit the device to another round of repairs, or accept a refurbished handset </w:t>
      </w:r>
      <w:r w:rsidR="00D63737">
        <w:t xml:space="preserve">of the same model </w:t>
      </w:r>
      <w:r w:rsidR="000154D2">
        <w:t>wh</w:t>
      </w:r>
      <w:bookmarkStart w:id="2" w:name="_Toc448909788"/>
      <w:bookmarkStart w:id="3" w:name="_Toc452125518"/>
      <w:r w:rsidR="0099111D">
        <w:t xml:space="preserve">ich may have similar problems. </w:t>
      </w:r>
    </w:p>
    <w:p w:rsidR="000C787A" w:rsidRDefault="00C35898" w:rsidP="00EA6CE8">
      <w:pPr>
        <w:pStyle w:val="Heading2"/>
        <w:numPr>
          <w:ilvl w:val="0"/>
          <w:numId w:val="44"/>
        </w:numPr>
      </w:pPr>
      <w:r w:rsidRPr="006E63CE">
        <w:t>Extended warranties</w:t>
      </w:r>
      <w:bookmarkEnd w:id="2"/>
      <w:bookmarkEnd w:id="3"/>
      <w:r w:rsidR="00EA6CE8">
        <w:t xml:space="preserve"> </w:t>
      </w:r>
      <w:r w:rsidR="00EA6CE8">
        <w:br/>
      </w:r>
    </w:p>
    <w:p w:rsidR="000C787A" w:rsidRDefault="000C787A" w:rsidP="000C787A">
      <w:pPr>
        <w:pBdr>
          <w:top w:val="single" w:sz="4" w:space="1" w:color="auto"/>
          <w:left w:val="single" w:sz="4" w:space="4" w:color="auto"/>
          <w:bottom w:val="single" w:sz="4" w:space="1" w:color="auto"/>
          <w:right w:val="single" w:sz="4" w:space="4" w:color="auto"/>
        </w:pBdr>
      </w:pPr>
      <w:r>
        <w:t xml:space="preserve">21. Is there a need for greater regulation of extended warranties? If so: </w:t>
      </w:r>
      <w:r w:rsidR="00684646">
        <w:br/>
      </w:r>
      <w:r>
        <w:t xml:space="preserve">• is enhanced disclosure adequate or is more required? </w:t>
      </w:r>
      <w:r w:rsidR="00684646">
        <w:br/>
      </w:r>
      <w:r>
        <w:t xml:space="preserve">• what are the costs of providing general and specific disclosure for businesses? Would disclosure change, in practice, outcomes for consumers? </w:t>
      </w:r>
      <w:r w:rsidR="00684646">
        <w:br/>
      </w:r>
      <w:r>
        <w:t xml:space="preserve">• what has been the experience of consumers and traders in jurisdictions where enhanced disclosure applies (such as in New Zealand)? </w:t>
      </w:r>
    </w:p>
    <w:p w:rsidR="000C787A" w:rsidRPr="000C787A" w:rsidRDefault="000C787A" w:rsidP="000C787A">
      <w:pPr>
        <w:pBdr>
          <w:top w:val="single" w:sz="4" w:space="1" w:color="auto"/>
          <w:left w:val="single" w:sz="4" w:space="4" w:color="auto"/>
          <w:bottom w:val="single" w:sz="4" w:space="1" w:color="auto"/>
          <w:right w:val="single" w:sz="4" w:space="4" w:color="auto"/>
        </w:pBdr>
      </w:pPr>
      <w:r>
        <w:t xml:space="preserve">22. What guidance and transition arrangements would businesses need? </w:t>
      </w:r>
    </w:p>
    <w:p w:rsidR="00C35898" w:rsidRDefault="0006721E" w:rsidP="00955CEF">
      <w:pPr>
        <w:pStyle w:val="Heading4"/>
        <w:numPr>
          <w:ilvl w:val="0"/>
          <w:numId w:val="47"/>
        </w:numPr>
      </w:pPr>
      <w:r>
        <w:t>Clarification of ACCAN’s position</w:t>
      </w:r>
      <w:r w:rsidR="00117897">
        <w:br/>
      </w:r>
    </w:p>
    <w:p w:rsidR="009D5BDF" w:rsidRDefault="00C35898" w:rsidP="00C35898">
      <w:r>
        <w:t xml:space="preserve">In the Interim Report, appears that </w:t>
      </w:r>
      <w:r w:rsidR="00C01873">
        <w:t>ACCAN’s</w:t>
      </w:r>
      <w:r>
        <w:t xml:space="preserve"> position </w:t>
      </w:r>
      <w:r w:rsidR="00C01873">
        <w:t xml:space="preserve">on extended warranties </w:t>
      </w:r>
      <w:r w:rsidR="00955CEF">
        <w:t xml:space="preserve">was inadvertently misquoted.  </w:t>
      </w:r>
      <w:r>
        <w:t>In our submission, we recommended</w:t>
      </w:r>
      <w:r w:rsidR="009D5BDF">
        <w:t xml:space="preserve"> that</w:t>
      </w:r>
      <w:r w:rsidR="00C01873">
        <w:t>:</w:t>
      </w:r>
      <w:r w:rsidR="00955CEF" w:rsidRPr="00955CEF">
        <w:rPr>
          <w:rStyle w:val="FootnoteReference"/>
        </w:rPr>
        <w:t xml:space="preserve"> </w:t>
      </w:r>
      <w:r w:rsidR="00955CEF">
        <w:rPr>
          <w:rStyle w:val="FootnoteReference"/>
        </w:rPr>
        <w:footnoteReference w:id="14"/>
      </w:r>
    </w:p>
    <w:p w:rsidR="009D5BDF" w:rsidRDefault="009D5BDF" w:rsidP="009D5BDF">
      <w:pPr>
        <w:pStyle w:val="ListParagraph"/>
        <w:numPr>
          <w:ilvl w:val="0"/>
          <w:numId w:val="41"/>
        </w:numPr>
      </w:pPr>
      <w:r w:rsidRPr="009D5BDF">
        <w:t>businesses selling add-on warranties be required t</w:t>
      </w:r>
      <w:r>
        <w:t>o provide</w:t>
      </w:r>
      <w:r w:rsidR="00C01873">
        <w:t xml:space="preserve"> a ‘cooling off’ period; and</w:t>
      </w:r>
      <w:r w:rsidR="00B5464B">
        <w:t xml:space="preserve"> </w:t>
      </w:r>
      <w:r w:rsidR="002F068F">
        <w:t xml:space="preserve"> </w:t>
      </w:r>
    </w:p>
    <w:p w:rsidR="009D5BDF" w:rsidRDefault="009D5BDF" w:rsidP="009D5BDF">
      <w:pPr>
        <w:pStyle w:val="ListParagraph"/>
        <w:numPr>
          <w:ilvl w:val="0"/>
          <w:numId w:val="41"/>
        </w:numPr>
      </w:pPr>
      <w:proofErr w:type="gramStart"/>
      <w:r w:rsidRPr="009D5BDF">
        <w:t>businesses</w:t>
      </w:r>
      <w:proofErr w:type="gramEnd"/>
      <w:r w:rsidRPr="009D5BDF">
        <w:t xml:space="preserve"> offering extended warranties be required to provide clear, accessible information on how these warranties differ from statutory guarantees </w:t>
      </w:r>
      <w:r w:rsidR="007352FE">
        <w:t>to aid consumer decision making (“the transparency measure”)</w:t>
      </w:r>
      <w:r w:rsidR="00D63737">
        <w:t>.</w:t>
      </w:r>
      <w:bookmarkStart w:id="4" w:name="_GoBack"/>
      <w:bookmarkEnd w:id="4"/>
    </w:p>
    <w:p w:rsidR="00382B6A" w:rsidRPr="00C01873" w:rsidRDefault="00382B6A" w:rsidP="00382B6A">
      <w:r>
        <w:lastRenderedPageBreak/>
        <w:t>We continue to recommend both of</w:t>
      </w:r>
      <w:r w:rsidR="00C01873">
        <w:t xml:space="preserve"> these proposals be implemented together as changes to the </w:t>
      </w:r>
      <w:r w:rsidR="00C01873">
        <w:rPr>
          <w:i/>
        </w:rPr>
        <w:t>ACL</w:t>
      </w:r>
      <w:r w:rsidR="00C01873">
        <w:t xml:space="preserve">. </w:t>
      </w:r>
    </w:p>
    <w:p w:rsidR="00AA084A" w:rsidRDefault="00382B6A" w:rsidP="00AA084A">
      <w:r>
        <w:t>However, t</w:t>
      </w:r>
      <w:r w:rsidR="009D5BDF">
        <w:t xml:space="preserve">he </w:t>
      </w:r>
      <w:r w:rsidR="00C35898">
        <w:t xml:space="preserve">Interim Report </w:t>
      </w:r>
      <w:r w:rsidR="002E262E">
        <w:t>suggested</w:t>
      </w:r>
      <w:r w:rsidR="00C35898">
        <w:t xml:space="preserve"> that ACCAN </w:t>
      </w:r>
      <w:r>
        <w:t>potentially supports</w:t>
      </w:r>
      <w:r w:rsidR="00C35898">
        <w:t xml:space="preserve"> an</w:t>
      </w:r>
      <w:r w:rsidR="009D5BDF">
        <w:t>”</w:t>
      </w:r>
      <w:r w:rsidR="00C35898">
        <w:t xml:space="preserve"> opt-in process</w:t>
      </w:r>
      <w:r w:rsidR="009D5BDF">
        <w:t xml:space="preserve">” for extended warranties </w:t>
      </w:r>
      <w:r w:rsidR="002E262E">
        <w:t>instead of a</w:t>
      </w:r>
      <w:r w:rsidR="009D5BDF">
        <w:t xml:space="preserve"> cooling-off right</w:t>
      </w:r>
      <w:r w:rsidR="002E262E">
        <w:t>.</w:t>
      </w:r>
      <w:r>
        <w:t xml:space="preserve">   </w:t>
      </w:r>
      <w:r w:rsidR="00311F90">
        <w:t xml:space="preserve">This is not the case.  </w:t>
      </w:r>
      <w:r>
        <w:t xml:space="preserve">ACCAN is not </w:t>
      </w:r>
      <w:r w:rsidR="0006721E">
        <w:t xml:space="preserve">familiar with the idea of ‘opt-in process’ for extended warranties. </w:t>
      </w:r>
      <w:r>
        <w:t xml:space="preserve">  </w:t>
      </w:r>
      <w:r w:rsidR="0006721E">
        <w:t xml:space="preserve">ACCAN </w:t>
      </w:r>
      <w:r>
        <w:t xml:space="preserve">continues to support </w:t>
      </w:r>
      <w:r w:rsidRPr="00D5314D">
        <w:rPr>
          <w:u w:val="single"/>
        </w:rPr>
        <w:t>both</w:t>
      </w:r>
      <w:r>
        <w:t xml:space="preserve"> of the recommendations outlined above</w:t>
      </w:r>
      <w:r w:rsidR="00D5314D">
        <w:t xml:space="preserve"> as they complement one another and are not </w:t>
      </w:r>
      <w:r w:rsidR="00655FDB">
        <w:t>alternatives</w:t>
      </w:r>
      <w:r>
        <w:t>.</w:t>
      </w:r>
    </w:p>
    <w:p w:rsidR="0006721E" w:rsidRDefault="0006721E" w:rsidP="00955CEF">
      <w:pPr>
        <w:pStyle w:val="Heading4"/>
        <w:numPr>
          <w:ilvl w:val="0"/>
          <w:numId w:val="47"/>
        </w:numPr>
      </w:pPr>
      <w:r>
        <w:t>Benefits of providing ‘clear, accessible information’ on extended warranties</w:t>
      </w:r>
      <w:r>
        <w:br/>
      </w:r>
    </w:p>
    <w:p w:rsidR="007352FE" w:rsidRDefault="007352FE" w:rsidP="00AA084A">
      <w:r>
        <w:t xml:space="preserve">ACCAN believes that </w:t>
      </w:r>
      <w:r w:rsidR="0006721E">
        <w:t>providing this information will positively affect consumer</w:t>
      </w:r>
      <w:r>
        <w:t xml:space="preserve"> outcomes because it will </w:t>
      </w:r>
      <w:r w:rsidR="00104416">
        <w:t>allow</w:t>
      </w:r>
      <w:r>
        <w:t xml:space="preserve"> businesses to</w:t>
      </w:r>
      <w:r w:rsidR="00104416">
        <w:t xml:space="preserve"> compete on actual benefits of their services rather than rely on consumer confusion.  </w:t>
      </w:r>
      <w:r>
        <w:t xml:space="preserve"> </w:t>
      </w:r>
      <w:r w:rsidR="00104416">
        <w:t xml:space="preserve">ACCAN does not believe that requiring transparency will create a significant </w:t>
      </w:r>
      <w:r w:rsidR="000C2893">
        <w:t>regulatory burden</w:t>
      </w:r>
      <w:r w:rsidR="00104416">
        <w:t xml:space="preserve"> for businesses.   In New Zealand, where there is enhanced disclosure, t</w:t>
      </w:r>
      <w:r>
        <w:t>he regulator provides sample text that businesses could use to differentiate their warranty:</w:t>
      </w:r>
      <w:r>
        <w:rPr>
          <w:rStyle w:val="FootnoteReference"/>
        </w:rPr>
        <w:footnoteReference w:id="15"/>
      </w:r>
      <w:r>
        <w:t xml:space="preserve"> </w:t>
      </w:r>
    </w:p>
    <w:p w:rsidR="00104416" w:rsidRDefault="007352FE" w:rsidP="00104416">
      <w:pPr>
        <w:ind w:left="720"/>
        <w:rPr>
          <w:sz w:val="20"/>
          <w:szCs w:val="20"/>
        </w:rPr>
      </w:pPr>
      <w:r w:rsidRPr="007352FE">
        <w:rPr>
          <w:sz w:val="20"/>
          <w:szCs w:val="20"/>
        </w:rPr>
        <w:t xml:space="preserve">The Extended Warranty Agreement will apply for XYZ years. </w:t>
      </w:r>
      <w:r w:rsidRPr="007352FE">
        <w:rPr>
          <w:sz w:val="20"/>
          <w:szCs w:val="20"/>
        </w:rPr>
        <w:br/>
      </w:r>
      <w:r w:rsidRPr="007352FE">
        <w:rPr>
          <w:sz w:val="20"/>
          <w:szCs w:val="20"/>
        </w:rPr>
        <w:br/>
        <w:t xml:space="preserve">The Consumer Guarantees Act means people can expect goods to be durable for as long as most would expect that kind of good to last. We estimate this Extended Warranty Agreement provides you with protection for </w:t>
      </w:r>
      <w:r w:rsidRPr="007352FE">
        <w:rPr>
          <w:b/>
          <w:sz w:val="20"/>
          <w:szCs w:val="20"/>
        </w:rPr>
        <w:t>XXX</w:t>
      </w:r>
      <w:r w:rsidRPr="007352FE">
        <w:rPr>
          <w:sz w:val="20"/>
          <w:szCs w:val="20"/>
        </w:rPr>
        <w:t xml:space="preserve"> years longer than the protection you have under the Consumer Guarantees Act.</w:t>
      </w:r>
    </w:p>
    <w:p w:rsidR="00104416" w:rsidRDefault="00104416" w:rsidP="00104416">
      <w:r>
        <w:t xml:space="preserve">It is difficult to argue that this clear and simple guidance would prohibitive to large electronics retailers and mobile providers. </w:t>
      </w:r>
    </w:p>
    <w:p w:rsidR="007D2453" w:rsidRDefault="00EE3B4A" w:rsidP="00D80157">
      <w:pPr>
        <w:pStyle w:val="Heading2"/>
        <w:numPr>
          <w:ilvl w:val="0"/>
          <w:numId w:val="44"/>
        </w:numPr>
        <w:spacing w:before="0" w:after="240"/>
      </w:pPr>
      <w:r>
        <w:t>Application of the consumer guarantees in the online environment – digital content</w:t>
      </w:r>
    </w:p>
    <w:p w:rsidR="007D2453" w:rsidRDefault="00AD6669" w:rsidP="007D2453">
      <w:r>
        <w:t xml:space="preserve">ACCAN firmly disagrees with statements made by some stakeholders that the existing consumer guarantees are clear enough to protect consumers </w:t>
      </w:r>
      <w:r w:rsidR="00492780">
        <w:t>of digital content and hybrid good</w:t>
      </w:r>
      <w:r w:rsidR="003D7BAF">
        <w:t>s</w:t>
      </w:r>
      <w:r w:rsidR="00492780">
        <w:t xml:space="preserve">/services. </w:t>
      </w:r>
      <w:r>
        <w:t>As we stated in our submission to the Issues Paper,</w:t>
      </w:r>
      <w:r w:rsidR="00302E2C">
        <w:rPr>
          <w:rStyle w:val="FootnoteReference"/>
        </w:rPr>
        <w:footnoteReference w:id="16"/>
      </w:r>
      <w:r>
        <w:t xml:space="preserve"> there is a significant lack of clarity about how consumer guarantees apply to </w:t>
      </w:r>
      <w:r w:rsidR="00492780">
        <w:t>these products.</w:t>
      </w:r>
      <w:r>
        <w:t xml:space="preserve">   </w:t>
      </w:r>
      <w:r w:rsidR="007D2453">
        <w:t xml:space="preserve">We </w:t>
      </w:r>
      <w:r w:rsidR="00D61223">
        <w:t xml:space="preserve">strongly </w:t>
      </w:r>
      <w:r w:rsidR="007D2453">
        <w:t>support CAANZ’s comment in the Interim Report that it will continue to monitor this area closely</w:t>
      </w:r>
      <w:r>
        <w:t xml:space="preserve">, particularly given recent </w:t>
      </w:r>
      <w:r w:rsidR="00492780">
        <w:t xml:space="preserve">market </w:t>
      </w:r>
      <w:r>
        <w:t>developments.</w:t>
      </w:r>
      <w:r w:rsidR="007D2453">
        <w:rPr>
          <w:rStyle w:val="FootnoteReference"/>
        </w:rPr>
        <w:footnoteReference w:id="17"/>
      </w:r>
      <w:r w:rsidR="007D2453">
        <w:t xml:space="preserve"> </w:t>
      </w:r>
    </w:p>
    <w:p w:rsidR="00302E2C" w:rsidRDefault="002D6E4C" w:rsidP="00EE3B4A">
      <w:r>
        <w:t>T</w:t>
      </w:r>
      <w:r w:rsidRPr="002D6E4C">
        <w:t>he</w:t>
      </w:r>
      <w:r w:rsidR="005D0C7C">
        <w:t xml:space="preserve"> customer base for </w:t>
      </w:r>
      <w:r>
        <w:t>digital</w:t>
      </w:r>
      <w:r w:rsidRPr="002D6E4C">
        <w:t xml:space="preserve"> products</w:t>
      </w:r>
      <w:r w:rsidR="003D7BAF">
        <w:t xml:space="preserve"> and hybrid goods/services</w:t>
      </w:r>
      <w:r w:rsidR="005D0C7C">
        <w:t xml:space="preserve"> is continually growing.</w:t>
      </w:r>
      <w:r w:rsidRPr="002D6E4C">
        <w:t xml:space="preserve"> </w:t>
      </w:r>
      <w:r>
        <w:t>For example, i</w:t>
      </w:r>
      <w:r w:rsidR="0093307C">
        <w:t>n mid-November 2016,</w:t>
      </w:r>
      <w:r w:rsidR="007D2453">
        <w:t xml:space="preserve"> Telstra released its first two Internet-of-Things products, which provide equipment </w:t>
      </w:r>
      <w:r w:rsidR="00302E2C">
        <w:t xml:space="preserve">together with </w:t>
      </w:r>
      <w:proofErr w:type="gramStart"/>
      <w:r w:rsidR="00302E2C">
        <w:t>an</w:t>
      </w:r>
      <w:r w:rsidR="007D2453">
        <w:t xml:space="preserve"> ongoing</w:t>
      </w:r>
      <w:proofErr w:type="gramEnd"/>
      <w:r w:rsidR="0091788C">
        <w:t xml:space="preserve"> software and monitoring</w:t>
      </w:r>
      <w:r w:rsidR="007D2453">
        <w:t xml:space="preserve"> service.</w:t>
      </w:r>
      <w:r w:rsidR="007D2453">
        <w:rPr>
          <w:rStyle w:val="FootnoteReference"/>
        </w:rPr>
        <w:footnoteReference w:id="18"/>
      </w:r>
      <w:r w:rsidR="007D2453">
        <w:t xml:space="preserve">  </w:t>
      </w:r>
      <w:r>
        <w:t>I</w:t>
      </w:r>
      <w:r w:rsidR="0093307C">
        <w:t>n early December 2016,</w:t>
      </w:r>
      <w:r w:rsidR="009D7DDB">
        <w:t xml:space="preserve"> the ACMA released its latest report finding that there are over 2.7 million Subscription Video on Demand accounts in Australia from providers such as Stan, Presto and Netflix and that in the last </w:t>
      </w:r>
      <w:r w:rsidR="009D7DDB">
        <w:lastRenderedPageBreak/>
        <w:t>week of the financial year 2016, 19 per cent of adult Australians had used a streaming music service such as Spotify, Pandora or iTunes radio.</w:t>
      </w:r>
      <w:r w:rsidR="009D7DDB">
        <w:rPr>
          <w:rStyle w:val="FootnoteReference"/>
        </w:rPr>
        <w:footnoteReference w:id="19"/>
      </w:r>
      <w:r w:rsidR="00AD6669">
        <w:t xml:space="preserve">  </w:t>
      </w:r>
    </w:p>
    <w:p w:rsidR="00EA6CE8" w:rsidRDefault="00EA6CE8" w:rsidP="00EE3B4A">
      <w:r>
        <w:t xml:space="preserve">Due to the size of the existing market and its rapid growth, </w:t>
      </w:r>
      <w:r w:rsidRPr="002D6E4C">
        <w:t>ACCAN believes it would not be prudent to adopt a wait-and-see approach, as this</w:t>
      </w:r>
      <w:r>
        <w:t xml:space="preserve"> approach</w:t>
      </w:r>
      <w:r w:rsidRPr="002D6E4C">
        <w:t xml:space="preserve"> c</w:t>
      </w:r>
      <w:r>
        <w:t>ould allow for significant detriment to consumers and confusion about supplier responsibilities in the digital marketplace</w:t>
      </w:r>
      <w:r w:rsidRPr="002D6E4C">
        <w:t>.</w:t>
      </w:r>
    </w:p>
    <w:p w:rsidR="000C787A" w:rsidRDefault="00302E2C" w:rsidP="000C787A">
      <w:pPr>
        <w:pStyle w:val="Heading2"/>
        <w:numPr>
          <w:ilvl w:val="0"/>
          <w:numId w:val="44"/>
        </w:numPr>
      </w:pPr>
      <w:r>
        <w:t xml:space="preserve">Enhancing accessibility </w:t>
      </w:r>
      <w:r w:rsidR="007028D6">
        <w:br/>
      </w:r>
    </w:p>
    <w:p w:rsidR="000C787A" w:rsidRPr="000C787A" w:rsidRDefault="000C787A" w:rsidP="000C787A">
      <w:pPr>
        <w:pBdr>
          <w:top w:val="single" w:sz="4" w:space="1" w:color="auto"/>
          <w:left w:val="single" w:sz="4" w:space="4" w:color="auto"/>
          <w:bottom w:val="single" w:sz="4" w:space="1" w:color="auto"/>
          <w:right w:val="single" w:sz="4" w:space="4" w:color="auto"/>
        </w:pBdr>
      </w:pPr>
      <w:r>
        <w:t>57. Are there other ways to enhance the accessibility of the ACL and related guidance material that should be considered?</w:t>
      </w:r>
    </w:p>
    <w:p w:rsidR="00302E2C" w:rsidRDefault="00302E2C" w:rsidP="00302E2C">
      <w:r>
        <w:t xml:space="preserve">ACCAN recommends that Australian Consumer Law (ACL) regulators continue to ensure the accessibility and usability of information about consumer rights for consumers with special needs, including people with a disability, people with low-literacy, ESL consumers and CALD consumers.  </w:t>
      </w:r>
    </w:p>
    <w:p w:rsidR="00302E2C" w:rsidRDefault="00302E2C" w:rsidP="00302E2C">
      <w:r>
        <w:t>At present, the ACCC and some State and Territory fair trading regulators have a variety of resources in languages other than English, as well as Easy English.</w:t>
      </w:r>
      <w:r>
        <w:rPr>
          <w:rStyle w:val="FootnoteReference"/>
        </w:rPr>
        <w:footnoteReference w:id="20"/>
      </w:r>
      <w:r>
        <w:t xml:space="preserve">  The ACCC also has dedicated resources for consumers with a disability.</w:t>
      </w:r>
      <w:r>
        <w:rPr>
          <w:rStyle w:val="FootnoteReference"/>
        </w:rPr>
        <w:t xml:space="preserve"> </w:t>
      </w:r>
      <w:r>
        <w:rPr>
          <w:rStyle w:val="FootnoteReference"/>
        </w:rPr>
        <w:footnoteReference w:id="21"/>
      </w:r>
      <w:r>
        <w:t xml:space="preserve">  ACCAN urges all ACL regulators in every state and territory to create similar resources or provide links to existing resources developed by other agencies. </w:t>
      </w:r>
    </w:p>
    <w:p w:rsidR="00302E2C" w:rsidRDefault="00302E2C" w:rsidP="00302E2C">
      <w:r>
        <w:t xml:space="preserve">Consumers with disabilities disproportionately depend on their telecommunications services and devices to ensure they can communicate and engage in everyday activities.  When these products and services do not function, these consumers need to be able to promptly discover their consumer rights and solve their problems.  These consumers should continue to be able to access the ACL and related guidance material across multiple formats, including online and hard copy. </w:t>
      </w:r>
    </w:p>
    <w:p w:rsidR="00D61223" w:rsidRDefault="00302E2C" w:rsidP="00EE3B4A">
      <w:r>
        <w:t xml:space="preserve">Consumer rights information should also continue to be accessible for ESL consumers through the Easy English format and materials in common foreign languages.  </w:t>
      </w:r>
    </w:p>
    <w:p w:rsidR="000C787A" w:rsidRDefault="00C335DC" w:rsidP="000C787A">
      <w:pPr>
        <w:pStyle w:val="Heading2"/>
        <w:numPr>
          <w:ilvl w:val="0"/>
          <w:numId w:val="44"/>
        </w:numPr>
        <w:spacing w:after="240"/>
      </w:pPr>
      <w:r>
        <w:t>Unfair terms</w:t>
      </w:r>
      <w:r w:rsidRPr="00466B15">
        <w:t xml:space="preserve"> </w:t>
      </w:r>
      <w:r w:rsidR="00D61223">
        <w:t xml:space="preserve">- </w:t>
      </w:r>
      <w:r w:rsidR="00DD5D96">
        <w:t>non-disclosure</w:t>
      </w:r>
      <w:r w:rsidR="006B265A">
        <w:t xml:space="preserve"> clauses</w:t>
      </w:r>
      <w:r w:rsidR="00EA6CE8">
        <w:t xml:space="preserve"> </w:t>
      </w:r>
    </w:p>
    <w:p w:rsidR="000C787A" w:rsidRDefault="000C787A" w:rsidP="000C787A">
      <w:pPr>
        <w:pBdr>
          <w:top w:val="single" w:sz="4" w:space="1" w:color="auto"/>
          <w:left w:val="single" w:sz="4" w:space="4" w:color="auto"/>
          <w:bottom w:val="single" w:sz="4" w:space="1" w:color="auto"/>
          <w:right w:val="single" w:sz="4" w:space="4" w:color="auto"/>
        </w:pBdr>
      </w:pPr>
      <w:r>
        <w:t xml:space="preserve">47. Should the ‘grey list’ of examples of unfair contract terms be expanded? If so: </w:t>
      </w:r>
    </w:p>
    <w:p w:rsidR="000C787A" w:rsidRPr="000C787A" w:rsidRDefault="000C787A" w:rsidP="000C787A">
      <w:pPr>
        <w:pBdr>
          <w:top w:val="single" w:sz="4" w:space="1" w:color="auto"/>
          <w:left w:val="single" w:sz="4" w:space="4" w:color="auto"/>
          <w:bottom w:val="single" w:sz="4" w:space="1" w:color="auto"/>
          <w:right w:val="single" w:sz="4" w:space="4" w:color="auto"/>
        </w:pBdr>
      </w:pPr>
      <w:r>
        <w:t xml:space="preserve">- What examples should be added? </w:t>
      </w:r>
      <w:r>
        <w:br/>
        <w:t xml:space="preserve">- Would this help address systemic issues or provide greater clarity for businesses and consumers? </w:t>
      </w:r>
      <w:r>
        <w:br/>
        <w:t>- Are there any unintended consequences, risks or challenges that should be considered?</w:t>
      </w:r>
    </w:p>
    <w:p w:rsidR="0099111D" w:rsidRDefault="00C335DC" w:rsidP="00377663">
      <w:r>
        <w:t xml:space="preserve">ACCAN agrees with </w:t>
      </w:r>
      <w:r w:rsidR="00DD5D96">
        <w:t xml:space="preserve">the </w:t>
      </w:r>
      <w:r>
        <w:t>submission</w:t>
      </w:r>
      <w:r w:rsidR="0006721E">
        <w:t>s</w:t>
      </w:r>
      <w:r>
        <w:t xml:space="preserve"> made by Queensland </w:t>
      </w:r>
      <w:r w:rsidR="00C15FFC">
        <w:t>Consumers Association</w:t>
      </w:r>
      <w:r>
        <w:t xml:space="preserve"> </w:t>
      </w:r>
      <w:r w:rsidR="00C15FFC">
        <w:t xml:space="preserve">and CHOICE </w:t>
      </w:r>
      <w:r>
        <w:t xml:space="preserve">that </w:t>
      </w:r>
      <w:r w:rsidR="00C15FFC">
        <w:t>term</w:t>
      </w:r>
      <w:r w:rsidR="00806619">
        <w:t>s</w:t>
      </w:r>
      <w:r w:rsidR="006649AC">
        <w:t xml:space="preserve"> which require</w:t>
      </w:r>
      <w:r w:rsidR="00C15FFC">
        <w:t xml:space="preserve"> </w:t>
      </w:r>
      <w:r w:rsidR="00DD5D96">
        <w:t>confidentiality or non-disclosure a</w:t>
      </w:r>
      <w:r w:rsidR="00C15FFC">
        <w:t>s</w:t>
      </w:r>
      <w:r w:rsidR="00DD5D96">
        <w:t xml:space="preserve"> </w:t>
      </w:r>
      <w:r w:rsidR="00806619">
        <w:t xml:space="preserve">a </w:t>
      </w:r>
      <w:r w:rsidR="00DD5D96">
        <w:t>condition of resolving a dispute with a business</w:t>
      </w:r>
      <w:r w:rsidR="00806619">
        <w:t xml:space="preserve"> should be restricted. </w:t>
      </w:r>
      <w:r w:rsidR="006649AC">
        <w:t>ACCAN is specifically aware of one company in the telecommunications sector which requires customers to</w:t>
      </w:r>
      <w:r w:rsidR="0006721E">
        <w:t xml:space="preserve"> sign non-disclosure agreements of this kind.</w:t>
      </w:r>
      <w:r w:rsidR="004B4C3C">
        <w:t xml:space="preserve"> </w:t>
      </w:r>
      <w:r w:rsidR="00806619">
        <w:t xml:space="preserve">ACCAN rejects this practice because it stifles consumer discussion and conceals potentially harmful </w:t>
      </w:r>
      <w:r w:rsidR="00806619">
        <w:lastRenderedPageBreak/>
        <w:t>conduct</w:t>
      </w:r>
      <w:r w:rsidR="00C50019">
        <w:t>. It is also potentially inconsistent with a right to statutory remedies under the ACL consumer guarantees</w:t>
      </w:r>
      <w:r w:rsidR="00806619">
        <w:t xml:space="preserve">.  </w:t>
      </w:r>
      <w:r w:rsidR="00C15FFC">
        <w:t xml:space="preserve">Queensland Consumers Association </w:t>
      </w:r>
      <w:r w:rsidR="000E4A32">
        <w:t>suggested</w:t>
      </w:r>
      <w:r w:rsidR="00C15FFC">
        <w:t xml:space="preserve"> that these clauses could be considered </w:t>
      </w:r>
      <w:r w:rsidR="00DD5D96">
        <w:t>‘unfair</w:t>
      </w:r>
      <w:r w:rsidR="00C15FFC">
        <w:t xml:space="preserve"> terms’, while CHOICE advocated for a separate prohibition of </w:t>
      </w:r>
      <w:r w:rsidR="000E4A32">
        <w:t>these agreements</w:t>
      </w:r>
      <w:r w:rsidR="00C15FFC">
        <w:t xml:space="preserve"> in cases where the consumer had an existing right to the same or greater remedies under the consumer guarantees regime.</w:t>
      </w:r>
      <w:r w:rsidR="00C15FFC">
        <w:rPr>
          <w:rStyle w:val="FootnoteReference"/>
        </w:rPr>
        <w:footnoteReference w:id="22"/>
      </w:r>
    </w:p>
    <w:p w:rsidR="005D3EF8" w:rsidRDefault="0099111D" w:rsidP="00377663">
      <w:r>
        <w:t xml:space="preserve"> </w:t>
      </w:r>
      <w:r w:rsidR="006649AC">
        <w:t xml:space="preserve">ACCAN believes there is significant merit in </w:t>
      </w:r>
      <w:r w:rsidR="000C2893">
        <w:t>adopting these</w:t>
      </w:r>
      <w:r w:rsidR="002A55E6">
        <w:t xml:space="preserve"> proposals. </w:t>
      </w:r>
      <w:r w:rsidR="006649AC">
        <w:t xml:space="preserve"> Technology </w:t>
      </w:r>
      <w:r w:rsidR="002A55E6">
        <w:t>has provided consumers with the ability to dramatically improve competitive outcomes and consumer welfare by sharing their experiences of products and services.  Put simply, businesses which treat their customers well will be rewarded by customers, especially if the business provides a transparent and fair way to resolve disputes</w:t>
      </w:r>
      <w:r w:rsidR="004B4C3C">
        <w:t>.</w:t>
      </w:r>
      <w:r w:rsidR="00DB57B4">
        <w:t xml:space="preserve"> </w:t>
      </w:r>
    </w:p>
    <w:p w:rsidR="005D3EF8" w:rsidRDefault="005D3EF8" w:rsidP="005D3EF8">
      <w:pPr>
        <w:pStyle w:val="Heading2"/>
        <w:numPr>
          <w:ilvl w:val="0"/>
          <w:numId w:val="44"/>
        </w:numPr>
      </w:pPr>
      <w:r>
        <w:t>Extending unf</w:t>
      </w:r>
      <w:r w:rsidR="009053D4">
        <w:t>air contract terms to insurance products</w:t>
      </w:r>
      <w:r w:rsidR="00806BAD">
        <w:t xml:space="preserve"> </w:t>
      </w:r>
      <w:r w:rsidR="000C787A">
        <w:br/>
      </w:r>
    </w:p>
    <w:p w:rsidR="000C787A" w:rsidRDefault="000C787A" w:rsidP="000C787A">
      <w:pPr>
        <w:pBdr>
          <w:top w:val="single" w:sz="4" w:space="1" w:color="auto"/>
          <w:left w:val="single" w:sz="4" w:space="4" w:color="auto"/>
          <w:bottom w:val="single" w:sz="4" w:space="1" w:color="auto"/>
          <w:right w:val="single" w:sz="4" w:space="4" w:color="auto"/>
        </w:pBdr>
        <w:spacing w:after="0"/>
      </w:pPr>
      <w:r>
        <w:t xml:space="preserve">43. Should the ASIC Act’s unfair contract terms protections be applied to contracts regulated under the Insurance Contracts Act? If so: </w:t>
      </w:r>
      <w:r>
        <w:br/>
      </w:r>
      <w:r>
        <w:br/>
        <w:t>How should it be designed? For example, should it apply to all types of insurance contracts, or are some exemptions appropriate? Would any changes to the definition of ‘main subject matter’ be required? Would the same types of terms be considered ‘unfair’? What this result in any likely changes to the insurance contracts that are offered to consumers? For example, to what extent would this option address the issues or examples of unfair terms raised by stakeholders?</w:t>
      </w:r>
    </w:p>
    <w:p w:rsidR="00E26799" w:rsidRDefault="009053D4" w:rsidP="009053D4">
      <w:pPr>
        <w:spacing w:after="0"/>
      </w:pPr>
      <w:r>
        <w:rPr>
          <w:rFonts w:asciiTheme="majorHAnsi" w:eastAsiaTheme="majorEastAsia" w:hAnsiTheme="majorHAnsi" w:cstheme="majorBidi"/>
          <w:b/>
          <w:bCs/>
          <w:color w:val="4F81BD" w:themeColor="accent1"/>
          <w:sz w:val="26"/>
          <w:szCs w:val="26"/>
        </w:rPr>
        <w:br/>
      </w:r>
      <w:r>
        <w:t>ACCAN supports the extension of unfair terms</w:t>
      </w:r>
      <w:r w:rsidR="00E12EE2">
        <w:t xml:space="preserve"> protection</w:t>
      </w:r>
      <w:r>
        <w:t xml:space="preserve"> to insurance products</w:t>
      </w:r>
      <w:r w:rsidR="00E12EE2">
        <w:t xml:space="preserve"> regulated under the </w:t>
      </w:r>
      <w:r w:rsidR="00E12EE2">
        <w:rPr>
          <w:i/>
        </w:rPr>
        <w:t>Insurance Contracts Act</w:t>
      </w:r>
      <w:r w:rsidR="00E12EE2">
        <w:t xml:space="preserve"> </w:t>
      </w:r>
      <w:r w:rsidR="00E12EE2">
        <w:rPr>
          <w:i/>
        </w:rPr>
        <w:t>1984</w:t>
      </w:r>
      <w:r>
        <w:t xml:space="preserve">.   </w:t>
      </w:r>
      <w:r w:rsidR="005D3EF8">
        <w:t xml:space="preserve">As noted in our earlier submission, consumers of telecommunications goods are bombarded with a variety of insurance </w:t>
      </w:r>
      <w:r>
        <w:t xml:space="preserve">options offered by the supplier </w:t>
      </w:r>
      <w:r w:rsidR="005D3EF8">
        <w:t>and carrier.  Some of these policies contain terms so restrictive</w:t>
      </w:r>
      <w:r w:rsidR="00E12EE2">
        <w:t xml:space="preserve"> that the ordinary consumer would rarely be able to claim under them.</w:t>
      </w:r>
      <w:r w:rsidR="00E12EE2">
        <w:rPr>
          <w:rStyle w:val="FootnoteReference"/>
        </w:rPr>
        <w:footnoteReference w:id="23"/>
      </w:r>
      <w:r w:rsidR="00E12EE2">
        <w:t xml:space="preserve">  </w:t>
      </w:r>
      <w:r w:rsidR="005D3EF8">
        <w:t xml:space="preserve"> </w:t>
      </w:r>
      <w:r w:rsidR="00E12EE2">
        <w:t xml:space="preserve">Removing the current exemption would provide consumers with greater protection and encourage better industry practice. </w:t>
      </w:r>
      <w:r w:rsidR="00C15FFC">
        <w:br/>
      </w:r>
    </w:p>
    <w:p w:rsidR="00F10D4C" w:rsidRDefault="00D80157" w:rsidP="00F10D4C">
      <w:pPr>
        <w:pStyle w:val="Heading2"/>
        <w:numPr>
          <w:ilvl w:val="0"/>
          <w:numId w:val="44"/>
        </w:numPr>
        <w:spacing w:after="240"/>
      </w:pPr>
      <w:r w:rsidRPr="00466B15">
        <w:t xml:space="preserve">Increased penalties </w:t>
      </w:r>
    </w:p>
    <w:p w:rsidR="00F10D4C" w:rsidRPr="00F10D4C" w:rsidRDefault="00F10D4C" w:rsidP="00F10D4C">
      <w:pPr>
        <w:pBdr>
          <w:top w:val="single" w:sz="4" w:space="1" w:color="auto"/>
          <w:left w:val="single" w:sz="4" w:space="4" w:color="auto"/>
          <w:bottom w:val="single" w:sz="4" w:space="1" w:color="auto"/>
          <w:right w:val="single" w:sz="4" w:space="4" w:color="auto"/>
        </w:pBdr>
      </w:pPr>
      <w:r>
        <w:t xml:space="preserve">63. Are the current maximum financial penalties adequate to deter future breaches of the ACL? Would an increase be an appropriate response to the issues raised? If so, what approach should be adopted? </w:t>
      </w:r>
      <w:r w:rsidR="00684646">
        <w:br/>
      </w:r>
      <w:r>
        <w:t>64. Are there alternative approaches to addressing the issues raised?</w:t>
      </w:r>
    </w:p>
    <w:p w:rsidR="005132A0" w:rsidRPr="00492780" w:rsidRDefault="00F10D4C" w:rsidP="00492780">
      <w:r>
        <w:t xml:space="preserve">As noted in our earlier submission, ACCAN does not believe the current maximum financial penalties are adequate to deter future breaches of the ACL.  This is particularly the case in the telecommunications sector, where profits are likely to increase considerably over the next few years with a surge in connected technologies across consumers’ lives.   </w:t>
      </w:r>
      <w:r w:rsidR="00EA6CE8">
        <w:br/>
      </w:r>
      <w:r w:rsidR="00D80157">
        <w:t xml:space="preserve">ACCAN supports Option 1 in </w:t>
      </w:r>
      <w:r>
        <w:t>section</w:t>
      </w:r>
      <w:r w:rsidR="00D80157">
        <w:t xml:space="preserve"> 3.2.3</w:t>
      </w:r>
      <w:r>
        <w:t xml:space="preserve"> of the Report</w:t>
      </w:r>
      <w:r w:rsidR="00D80157">
        <w:t xml:space="preserve"> to increase the maximum financial penalties available for breaches of the </w:t>
      </w:r>
      <w:r w:rsidR="00D80157" w:rsidRPr="0006721E">
        <w:rPr>
          <w:i/>
        </w:rPr>
        <w:t>ACL</w:t>
      </w:r>
      <w:r w:rsidR="00D80157">
        <w:t xml:space="preserve">.   While ACCAN does not </w:t>
      </w:r>
      <w:r w:rsidR="003F3E75">
        <w:t xml:space="preserve">have a view on </w:t>
      </w:r>
      <w:r w:rsidR="00D80157">
        <w:t xml:space="preserve"> a specific maximum penalty amount (such as $10,000,000 as proposed in the Interim Report</w:t>
      </w:r>
      <w:r w:rsidR="00AC7871">
        <w:t xml:space="preserve"> as for competition law breaches</w:t>
      </w:r>
      <w:r w:rsidR="00D80157">
        <w:t xml:space="preserve">), we do support the ability for courts to decide on a penalty taking into account the revenue earned by the company, as well as adjustments for inflation. </w:t>
      </w:r>
      <w:bookmarkEnd w:id="1"/>
    </w:p>
    <w:sectPr w:rsidR="005132A0" w:rsidRPr="00492780" w:rsidSect="00522149">
      <w:headerReference w:type="default" r:id="rId11"/>
      <w:footerReference w:type="default" r:id="rId12"/>
      <w:headerReference w:type="first" r:id="rId13"/>
      <w:footerReference w:type="first" r:id="rId14"/>
      <w:pgSz w:w="11906" w:h="16838" w:code="9"/>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AF" w:rsidRDefault="003D7BAF" w:rsidP="00B14DFB">
      <w:r>
        <w:separator/>
      </w:r>
    </w:p>
  </w:endnote>
  <w:endnote w:type="continuationSeparator" w:id="0">
    <w:p w:rsidR="003D7BAF" w:rsidRDefault="003D7BAF"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AF" w:rsidRDefault="003D7BAF"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4A46B9">
      <w:rPr>
        <w:noProof/>
      </w:rPr>
      <w:t>1</w:t>
    </w:r>
    <w:r w:rsidRPr="00C4251E">
      <w:rPr>
        <w:noProof/>
      </w:rPr>
      <w:fldChar w:fldCharType="end"/>
    </w:r>
  </w:p>
  <w:p w:rsidR="003D7BAF" w:rsidRPr="000F58CC" w:rsidRDefault="003D7BAF"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AF" w:rsidRDefault="003D7BAF" w:rsidP="00A13B92">
    <w:pPr>
      <w:pStyle w:val="Footerpage1"/>
    </w:pPr>
    <w:r w:rsidRPr="004A0B0A">
      <w:rPr>
        <w:color w:val="44C8F5"/>
      </w:rPr>
      <w:t>Australian Communications Consumer Action Network (ACCAN)</w:t>
    </w:r>
  </w:p>
  <w:p w:rsidR="003D7BAF" w:rsidRDefault="003D7BAF" w:rsidP="00A13B92">
    <w:pPr>
      <w:pStyle w:val="Footerpage1"/>
      <w:rPr>
        <w:i/>
      </w:rPr>
    </w:pPr>
    <w:r w:rsidRPr="004A0B0A">
      <w:rPr>
        <w:i/>
        <w:color w:val="44C8F5"/>
      </w:rPr>
      <w:t>Australia’s peak telecommunications consumer organisation</w:t>
    </w:r>
  </w:p>
  <w:p w:rsidR="003D7BAF" w:rsidRDefault="003D7BAF" w:rsidP="00A13B92">
    <w:pPr>
      <w:pStyle w:val="Footerpage1"/>
    </w:pPr>
    <w:r w:rsidRPr="008E763A">
      <w:rPr>
        <w:noProof/>
        <w:lang w:val="en-US"/>
      </w:rPr>
      <mc:AlternateContent>
        <mc:Choice Requires="wps">
          <w:drawing>
            <wp:inline distT="0" distB="0" distL="0" distR="0" wp14:anchorId="43558B12" wp14:editId="43C51040">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3D7BAF" w:rsidRDefault="003D7BAF" w:rsidP="00A13B92">
    <w:pPr>
      <w:pStyle w:val="Footerpage1"/>
    </w:pPr>
    <w:r w:rsidRPr="008E763A">
      <w:t>Tel: (02) 9288 4000 | TTY: (02) 9281 5322 | Fax: (02) 9288 4019</w:t>
    </w:r>
  </w:p>
  <w:p w:rsidR="003D7BAF" w:rsidRDefault="003D7BAF"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AF" w:rsidRDefault="003D7BAF" w:rsidP="00B14DFB">
      <w:r>
        <w:separator/>
      </w:r>
    </w:p>
  </w:footnote>
  <w:footnote w:type="continuationSeparator" w:id="0">
    <w:p w:rsidR="003D7BAF" w:rsidRDefault="003D7BAF" w:rsidP="00B14DFB">
      <w:r>
        <w:continuationSeparator/>
      </w:r>
    </w:p>
  </w:footnote>
  <w:footnote w:id="1">
    <w:p w:rsidR="003D7BAF" w:rsidRPr="00D80157" w:rsidRDefault="003D7BAF" w:rsidP="00055524">
      <w:pPr>
        <w:pStyle w:val="NoSpacing"/>
        <w:rPr>
          <w:sz w:val="16"/>
          <w:szCs w:val="16"/>
        </w:rPr>
      </w:pPr>
      <w:r w:rsidRPr="00D80157">
        <w:rPr>
          <w:rStyle w:val="FootnoteReference"/>
          <w:sz w:val="16"/>
          <w:szCs w:val="16"/>
        </w:rPr>
        <w:footnoteRef/>
      </w:r>
      <w:r w:rsidRPr="00D80157">
        <w:rPr>
          <w:sz w:val="16"/>
          <w:szCs w:val="16"/>
        </w:rPr>
        <w:t xml:space="preserve"> </w:t>
      </w:r>
      <w:hyperlink r:id="rId1" w:history="1">
        <w:r w:rsidRPr="00D80157">
          <w:rPr>
            <w:rStyle w:val="Hyperlink"/>
            <w:sz w:val="16"/>
            <w:szCs w:val="16"/>
          </w:rPr>
          <w:t>ACMA, Communications Report 2015-16</w:t>
        </w:r>
      </w:hyperlink>
      <w:r w:rsidRPr="00D80157">
        <w:rPr>
          <w:sz w:val="16"/>
          <w:szCs w:val="16"/>
        </w:rPr>
        <w:t xml:space="preserve">, November 2016, p. 19. </w:t>
      </w:r>
    </w:p>
  </w:footnote>
  <w:footnote w:id="2">
    <w:p w:rsidR="003D7BAF" w:rsidRPr="00D80157" w:rsidRDefault="003D7BAF" w:rsidP="00055524">
      <w:pPr>
        <w:pStyle w:val="NoSpacing"/>
        <w:rPr>
          <w:sz w:val="16"/>
          <w:szCs w:val="16"/>
        </w:rPr>
      </w:pPr>
      <w:r w:rsidRPr="00D80157">
        <w:rPr>
          <w:rStyle w:val="FootnoteReference"/>
          <w:sz w:val="16"/>
          <w:szCs w:val="16"/>
        </w:rPr>
        <w:footnoteRef/>
      </w:r>
      <w:r w:rsidRPr="00D80157">
        <w:rPr>
          <w:sz w:val="16"/>
          <w:szCs w:val="16"/>
        </w:rPr>
        <w:t xml:space="preserve"> </w:t>
      </w:r>
      <w:hyperlink r:id="rId2" w:history="1">
        <w:r w:rsidRPr="00D80157">
          <w:rPr>
            <w:rStyle w:val="Hyperlink"/>
            <w:sz w:val="16"/>
            <w:szCs w:val="16"/>
          </w:rPr>
          <w:t>ACMA, Communications Report 2015-16</w:t>
        </w:r>
      </w:hyperlink>
      <w:r w:rsidRPr="00D80157">
        <w:rPr>
          <w:sz w:val="16"/>
          <w:szCs w:val="16"/>
        </w:rPr>
        <w:t>, November 2016, p. 53.</w:t>
      </w:r>
    </w:p>
  </w:footnote>
  <w:footnote w:id="3">
    <w:p w:rsidR="003D7BAF" w:rsidRPr="00D80157" w:rsidRDefault="003D7BAF" w:rsidP="00055524">
      <w:pPr>
        <w:pStyle w:val="NoSpacing"/>
        <w:rPr>
          <w:sz w:val="16"/>
          <w:szCs w:val="16"/>
        </w:rPr>
      </w:pPr>
      <w:r w:rsidRPr="00D80157">
        <w:rPr>
          <w:rStyle w:val="FootnoteReference"/>
          <w:sz w:val="16"/>
          <w:szCs w:val="16"/>
        </w:rPr>
        <w:footnoteRef/>
      </w:r>
      <w:r w:rsidRPr="00D80157">
        <w:rPr>
          <w:sz w:val="16"/>
          <w:szCs w:val="16"/>
        </w:rPr>
        <w:t xml:space="preserve"> </w:t>
      </w:r>
      <w:hyperlink r:id="rId3" w:history="1">
        <w:r w:rsidRPr="00D80157">
          <w:rPr>
            <w:rStyle w:val="Hyperlink"/>
            <w:sz w:val="16"/>
            <w:szCs w:val="16"/>
          </w:rPr>
          <w:t>ACMA, Communications Report 2015-16</w:t>
        </w:r>
      </w:hyperlink>
      <w:r w:rsidRPr="00D80157">
        <w:rPr>
          <w:sz w:val="16"/>
          <w:szCs w:val="16"/>
        </w:rPr>
        <w:t>, November 2016, p. 28.</w:t>
      </w:r>
    </w:p>
  </w:footnote>
  <w:footnote w:id="4">
    <w:p w:rsidR="003D7BAF" w:rsidRPr="00D80157" w:rsidRDefault="003D7BAF" w:rsidP="00055524">
      <w:pPr>
        <w:pStyle w:val="NoSpacing"/>
        <w:rPr>
          <w:sz w:val="16"/>
          <w:szCs w:val="16"/>
        </w:rPr>
      </w:pPr>
      <w:r w:rsidRPr="00D80157">
        <w:rPr>
          <w:rStyle w:val="FootnoteReference"/>
          <w:sz w:val="16"/>
          <w:szCs w:val="16"/>
        </w:rPr>
        <w:footnoteRef/>
      </w:r>
      <w:r w:rsidRPr="00D80157">
        <w:rPr>
          <w:sz w:val="16"/>
          <w:szCs w:val="16"/>
        </w:rPr>
        <w:t xml:space="preserve"> </w:t>
      </w:r>
      <w:hyperlink r:id="rId4" w:history="1">
        <w:r w:rsidRPr="00D80157">
          <w:rPr>
            <w:rStyle w:val="Hyperlink"/>
            <w:sz w:val="16"/>
            <w:szCs w:val="16"/>
          </w:rPr>
          <w:t>Telecommunications Industry Ombudsman submission to Issues Paper</w:t>
        </w:r>
      </w:hyperlink>
      <w:r w:rsidRPr="00D80157">
        <w:rPr>
          <w:sz w:val="16"/>
          <w:szCs w:val="16"/>
        </w:rPr>
        <w:t>, June 2016, p. 7.</w:t>
      </w:r>
    </w:p>
  </w:footnote>
  <w:footnote w:id="5">
    <w:p w:rsidR="003D7BAF" w:rsidRPr="00D80157" w:rsidRDefault="003D7BAF" w:rsidP="006E63CE">
      <w:pPr>
        <w:pStyle w:val="NoSpacing"/>
        <w:rPr>
          <w:sz w:val="16"/>
          <w:szCs w:val="16"/>
        </w:rPr>
      </w:pPr>
      <w:r w:rsidRPr="00D80157">
        <w:rPr>
          <w:rStyle w:val="FootnoteReference"/>
          <w:sz w:val="16"/>
          <w:szCs w:val="16"/>
        </w:rPr>
        <w:footnoteRef/>
      </w:r>
      <w:r w:rsidRPr="00D80157">
        <w:rPr>
          <w:sz w:val="16"/>
          <w:szCs w:val="16"/>
        </w:rPr>
        <w:t xml:space="preserve"> </w:t>
      </w:r>
      <w:hyperlink r:id="rId5" w:history="1">
        <w:r w:rsidRPr="00D80157">
          <w:rPr>
            <w:rStyle w:val="Hyperlink"/>
            <w:sz w:val="16"/>
            <w:szCs w:val="16"/>
          </w:rPr>
          <w:t>Telecommunications Industry Ombudsman submission to Issues Paper</w:t>
        </w:r>
      </w:hyperlink>
      <w:r w:rsidRPr="00D80157">
        <w:rPr>
          <w:sz w:val="16"/>
          <w:szCs w:val="16"/>
        </w:rPr>
        <w:t>, June 2016, p. 9.</w:t>
      </w:r>
    </w:p>
  </w:footnote>
  <w:footnote w:id="6">
    <w:p w:rsidR="003D7BAF" w:rsidRPr="00D80157" w:rsidRDefault="003D7BAF" w:rsidP="006E63CE">
      <w:pPr>
        <w:pStyle w:val="NoSpacing"/>
        <w:rPr>
          <w:sz w:val="16"/>
          <w:szCs w:val="16"/>
        </w:rPr>
      </w:pPr>
      <w:r w:rsidRPr="00D80157">
        <w:rPr>
          <w:rStyle w:val="FootnoteReference"/>
          <w:sz w:val="16"/>
          <w:szCs w:val="16"/>
        </w:rPr>
        <w:footnoteRef/>
      </w:r>
      <w:r w:rsidRPr="00D80157">
        <w:rPr>
          <w:sz w:val="16"/>
          <w:szCs w:val="16"/>
        </w:rPr>
        <w:t xml:space="preserve">  </w:t>
      </w:r>
      <w:r w:rsidRPr="00D80157">
        <w:rPr>
          <w:i/>
          <w:sz w:val="16"/>
          <w:szCs w:val="16"/>
        </w:rPr>
        <w:t>Australian Consumer Law</w:t>
      </w:r>
      <w:r w:rsidRPr="00D80157">
        <w:rPr>
          <w:sz w:val="16"/>
          <w:szCs w:val="16"/>
        </w:rPr>
        <w:t>,</w:t>
      </w:r>
      <w:r w:rsidRPr="00D80157">
        <w:rPr>
          <w:i/>
          <w:sz w:val="16"/>
          <w:szCs w:val="16"/>
        </w:rPr>
        <w:t xml:space="preserve"> </w:t>
      </w:r>
      <w:r w:rsidRPr="00D80157">
        <w:rPr>
          <w:sz w:val="16"/>
          <w:szCs w:val="16"/>
        </w:rPr>
        <w:t>clause 54(2).</w:t>
      </w:r>
    </w:p>
  </w:footnote>
  <w:footnote w:id="7">
    <w:p w:rsidR="003D7BAF" w:rsidRPr="00D80157" w:rsidRDefault="003D7BAF" w:rsidP="006E63CE">
      <w:pPr>
        <w:pStyle w:val="NoSpacing"/>
        <w:rPr>
          <w:sz w:val="16"/>
          <w:szCs w:val="16"/>
        </w:rPr>
      </w:pPr>
      <w:r w:rsidRPr="00D80157">
        <w:rPr>
          <w:rStyle w:val="FootnoteReference"/>
          <w:sz w:val="16"/>
          <w:szCs w:val="16"/>
        </w:rPr>
        <w:footnoteRef/>
      </w:r>
      <w:r w:rsidRPr="00D80157">
        <w:rPr>
          <w:sz w:val="16"/>
          <w:szCs w:val="16"/>
        </w:rPr>
        <w:t xml:space="preserve"> </w:t>
      </w:r>
      <w:hyperlink r:id="rId6" w:history="1">
        <w:r w:rsidRPr="00D80157">
          <w:rPr>
            <w:rStyle w:val="Hyperlink"/>
            <w:sz w:val="16"/>
            <w:szCs w:val="16"/>
          </w:rPr>
          <w:t>Telecommunications Industry Ombudsman submission to Issues Paper</w:t>
        </w:r>
      </w:hyperlink>
      <w:r w:rsidRPr="00D80157">
        <w:rPr>
          <w:sz w:val="16"/>
          <w:szCs w:val="16"/>
        </w:rPr>
        <w:t>, June 2016, p. 9.</w:t>
      </w:r>
    </w:p>
  </w:footnote>
  <w:footnote w:id="8">
    <w:p w:rsidR="003D7BAF" w:rsidRPr="00D80157" w:rsidRDefault="003D7BAF" w:rsidP="006E63CE">
      <w:pPr>
        <w:pStyle w:val="NoSpacing"/>
        <w:rPr>
          <w:sz w:val="16"/>
          <w:szCs w:val="16"/>
        </w:rPr>
      </w:pPr>
      <w:r w:rsidRPr="00D80157">
        <w:rPr>
          <w:rStyle w:val="FootnoteReference"/>
          <w:sz w:val="16"/>
          <w:szCs w:val="16"/>
        </w:rPr>
        <w:footnoteRef/>
      </w:r>
      <w:r w:rsidRPr="00D80157">
        <w:rPr>
          <w:sz w:val="16"/>
          <w:szCs w:val="16"/>
        </w:rPr>
        <w:t xml:space="preserve"> </w:t>
      </w:r>
      <w:hyperlink r:id="rId7" w:history="1">
        <w:r w:rsidRPr="00D80157">
          <w:rPr>
            <w:rStyle w:val="Hyperlink"/>
            <w:sz w:val="16"/>
            <w:szCs w:val="16"/>
          </w:rPr>
          <w:t>Telecommunications Industry Ombudsman submission to Issues Paper</w:t>
        </w:r>
      </w:hyperlink>
      <w:r w:rsidRPr="00D80157">
        <w:rPr>
          <w:sz w:val="16"/>
          <w:szCs w:val="16"/>
        </w:rPr>
        <w:t>, June 2016, p. 9.</w:t>
      </w:r>
    </w:p>
  </w:footnote>
  <w:footnote w:id="9">
    <w:p w:rsidR="003D7BAF" w:rsidRPr="00D80157" w:rsidRDefault="003D7BAF" w:rsidP="006E63CE">
      <w:pPr>
        <w:pStyle w:val="NoSpacing"/>
        <w:rPr>
          <w:sz w:val="16"/>
          <w:szCs w:val="16"/>
        </w:rPr>
      </w:pPr>
      <w:r w:rsidRPr="00D80157">
        <w:rPr>
          <w:rStyle w:val="FootnoteReference"/>
          <w:sz w:val="16"/>
          <w:szCs w:val="16"/>
        </w:rPr>
        <w:footnoteRef/>
      </w:r>
      <w:r w:rsidRPr="00D80157">
        <w:rPr>
          <w:sz w:val="16"/>
          <w:szCs w:val="16"/>
        </w:rPr>
        <w:t xml:space="preserve"> </w:t>
      </w:r>
      <w:hyperlink r:id="rId8" w:history="1">
        <w:r w:rsidRPr="00D80157">
          <w:rPr>
            <w:rStyle w:val="Hyperlink"/>
            <w:sz w:val="16"/>
            <w:szCs w:val="16"/>
          </w:rPr>
          <w:t>Telecommunications Industry Ombudsman submission to Issues Paper</w:t>
        </w:r>
      </w:hyperlink>
      <w:r w:rsidRPr="00D80157">
        <w:rPr>
          <w:sz w:val="16"/>
          <w:szCs w:val="16"/>
        </w:rPr>
        <w:t>, June 2016, p. 9.</w:t>
      </w:r>
    </w:p>
  </w:footnote>
  <w:footnote w:id="10">
    <w:p w:rsidR="003D7BAF" w:rsidRPr="00D63737" w:rsidRDefault="003D7BAF" w:rsidP="00D63737">
      <w:pPr>
        <w:pStyle w:val="NoSpacing"/>
        <w:rPr>
          <w:sz w:val="16"/>
          <w:szCs w:val="16"/>
        </w:rPr>
      </w:pPr>
      <w:r w:rsidRPr="00D63737">
        <w:rPr>
          <w:rStyle w:val="FootnoteReference"/>
          <w:sz w:val="16"/>
          <w:szCs w:val="16"/>
        </w:rPr>
        <w:footnoteRef/>
      </w:r>
      <w:r w:rsidRPr="00D63737">
        <w:rPr>
          <w:sz w:val="16"/>
          <w:szCs w:val="16"/>
        </w:rPr>
        <w:t xml:space="preserve"> </w:t>
      </w:r>
      <w:hyperlink r:id="rId9" w:history="1">
        <w:r w:rsidRPr="00D63737">
          <w:rPr>
            <w:rStyle w:val="Hyperlink"/>
            <w:sz w:val="16"/>
            <w:szCs w:val="16"/>
          </w:rPr>
          <w:t>ACCAN, Submission to the Issues Paper, August 2016</w:t>
        </w:r>
      </w:hyperlink>
      <w:r w:rsidRPr="00D63737">
        <w:rPr>
          <w:sz w:val="16"/>
          <w:szCs w:val="16"/>
        </w:rPr>
        <w:t>, p. 14.</w:t>
      </w:r>
    </w:p>
    <w:p w:rsidR="003D7BAF" w:rsidRDefault="003D7BAF">
      <w:pPr>
        <w:pStyle w:val="FootnoteText"/>
      </w:pPr>
    </w:p>
  </w:footnote>
  <w:footnote w:id="11">
    <w:p w:rsidR="003D7BAF" w:rsidRPr="00D80157" w:rsidRDefault="003D7BAF" w:rsidP="00055524">
      <w:pPr>
        <w:pStyle w:val="NoSpacing"/>
        <w:rPr>
          <w:sz w:val="16"/>
          <w:szCs w:val="16"/>
        </w:rPr>
      </w:pPr>
      <w:r w:rsidRPr="00D80157">
        <w:rPr>
          <w:rStyle w:val="FootnoteReference"/>
          <w:sz w:val="16"/>
          <w:szCs w:val="16"/>
        </w:rPr>
        <w:footnoteRef/>
      </w:r>
      <w:r w:rsidRPr="00D80157">
        <w:rPr>
          <w:sz w:val="16"/>
          <w:szCs w:val="16"/>
        </w:rPr>
        <w:t xml:space="preserve"> CAANZ, </w:t>
      </w:r>
      <w:r w:rsidRPr="00D80157">
        <w:rPr>
          <w:i/>
          <w:sz w:val="16"/>
          <w:szCs w:val="16"/>
        </w:rPr>
        <w:t>ACL Review Interim Report</w:t>
      </w:r>
      <w:r w:rsidRPr="00D80157">
        <w:rPr>
          <w:sz w:val="16"/>
          <w:szCs w:val="16"/>
        </w:rPr>
        <w:t>, p. 62.</w:t>
      </w:r>
    </w:p>
  </w:footnote>
  <w:footnote w:id="12">
    <w:p w:rsidR="003D7BAF" w:rsidRPr="00D80157" w:rsidRDefault="003D7BAF" w:rsidP="00055524">
      <w:pPr>
        <w:pStyle w:val="NoSpacing"/>
        <w:rPr>
          <w:sz w:val="16"/>
          <w:szCs w:val="16"/>
        </w:rPr>
      </w:pPr>
      <w:r w:rsidRPr="00D80157">
        <w:rPr>
          <w:rStyle w:val="FootnoteReference"/>
          <w:sz w:val="16"/>
          <w:szCs w:val="16"/>
        </w:rPr>
        <w:footnoteRef/>
      </w:r>
      <w:r w:rsidRPr="00D80157">
        <w:rPr>
          <w:sz w:val="16"/>
          <w:szCs w:val="16"/>
        </w:rPr>
        <w:t xml:space="preserve"> </w:t>
      </w:r>
      <w:hyperlink r:id="rId10" w:history="1">
        <w:r w:rsidRPr="00D80157">
          <w:rPr>
            <w:rStyle w:val="Hyperlink"/>
            <w:sz w:val="16"/>
            <w:szCs w:val="16"/>
          </w:rPr>
          <w:t>Telecommunications Industry Ombudsman submission to Issues Paper</w:t>
        </w:r>
      </w:hyperlink>
      <w:r w:rsidRPr="00D80157">
        <w:rPr>
          <w:sz w:val="16"/>
          <w:szCs w:val="16"/>
        </w:rPr>
        <w:t>, June 2016, p. 13 and Case Study 1 (at p. 14).</w:t>
      </w:r>
    </w:p>
  </w:footnote>
  <w:footnote w:id="13">
    <w:p w:rsidR="003D7BAF" w:rsidRPr="00D80157" w:rsidRDefault="003D7BAF" w:rsidP="00055524">
      <w:pPr>
        <w:pStyle w:val="NoSpacing"/>
        <w:rPr>
          <w:sz w:val="16"/>
          <w:szCs w:val="16"/>
        </w:rPr>
      </w:pPr>
      <w:r w:rsidRPr="00D80157">
        <w:rPr>
          <w:rStyle w:val="FootnoteReference"/>
          <w:sz w:val="16"/>
          <w:szCs w:val="16"/>
        </w:rPr>
        <w:footnoteRef/>
      </w:r>
      <w:r w:rsidRPr="00D80157">
        <w:rPr>
          <w:sz w:val="16"/>
          <w:szCs w:val="16"/>
        </w:rPr>
        <w:t xml:space="preserve"> </w:t>
      </w:r>
      <w:hyperlink r:id="rId11" w:history="1">
        <w:r w:rsidRPr="00D80157">
          <w:rPr>
            <w:rStyle w:val="Hyperlink"/>
            <w:sz w:val="16"/>
            <w:szCs w:val="16"/>
          </w:rPr>
          <w:t>Telecommunications Industry Ombudsman submission to Issues Paper</w:t>
        </w:r>
      </w:hyperlink>
      <w:r w:rsidRPr="00D80157">
        <w:rPr>
          <w:sz w:val="16"/>
          <w:szCs w:val="16"/>
        </w:rPr>
        <w:t>, June 2016, p. 13 and Case Study 1 (at p. 14).</w:t>
      </w:r>
    </w:p>
  </w:footnote>
  <w:footnote w:id="14">
    <w:p w:rsidR="003D7BAF" w:rsidRPr="00D80157" w:rsidRDefault="003D7BAF" w:rsidP="00955CEF">
      <w:pPr>
        <w:pStyle w:val="NoSpacing"/>
        <w:rPr>
          <w:sz w:val="16"/>
          <w:szCs w:val="16"/>
        </w:rPr>
      </w:pPr>
      <w:r w:rsidRPr="00D80157">
        <w:rPr>
          <w:rStyle w:val="FootnoteReference"/>
          <w:sz w:val="16"/>
          <w:szCs w:val="16"/>
        </w:rPr>
        <w:footnoteRef/>
      </w:r>
      <w:hyperlink r:id="rId12" w:history="1">
        <w:r w:rsidRPr="00D80157">
          <w:rPr>
            <w:rStyle w:val="Hyperlink"/>
            <w:sz w:val="16"/>
            <w:szCs w:val="16"/>
          </w:rPr>
          <w:t xml:space="preserve"> Recommendation 7 in ACCAN, Submission to the Issues Paper, August 2016</w:t>
        </w:r>
      </w:hyperlink>
      <w:r w:rsidRPr="00D80157">
        <w:rPr>
          <w:sz w:val="16"/>
          <w:szCs w:val="16"/>
        </w:rPr>
        <w:t>, p. 12.</w:t>
      </w:r>
    </w:p>
  </w:footnote>
  <w:footnote w:id="15">
    <w:p w:rsidR="003D7BAF" w:rsidRPr="00D80157" w:rsidRDefault="003D7BAF" w:rsidP="00055524">
      <w:pPr>
        <w:pStyle w:val="FootnoteText"/>
        <w:spacing w:after="0"/>
        <w:rPr>
          <w:sz w:val="16"/>
          <w:szCs w:val="16"/>
        </w:rPr>
      </w:pPr>
      <w:r w:rsidRPr="00D80157">
        <w:rPr>
          <w:rStyle w:val="FootnoteReference"/>
          <w:sz w:val="16"/>
          <w:szCs w:val="16"/>
        </w:rPr>
        <w:footnoteRef/>
      </w:r>
      <w:r w:rsidRPr="00D80157">
        <w:rPr>
          <w:sz w:val="16"/>
          <w:szCs w:val="16"/>
        </w:rPr>
        <w:t xml:space="preserve"> </w:t>
      </w:r>
      <w:hyperlink r:id="rId13" w:history="1">
        <w:r w:rsidRPr="00D80157">
          <w:rPr>
            <w:rStyle w:val="Hyperlink"/>
            <w:sz w:val="16"/>
            <w:szCs w:val="16"/>
          </w:rPr>
          <w:t>CHOICE, Submission to the Issues Paper</w:t>
        </w:r>
      </w:hyperlink>
      <w:r w:rsidRPr="00D80157">
        <w:rPr>
          <w:sz w:val="16"/>
          <w:szCs w:val="16"/>
        </w:rPr>
        <w:t>, p. 53.</w:t>
      </w:r>
    </w:p>
  </w:footnote>
  <w:footnote w:id="16">
    <w:p w:rsidR="003D7BAF" w:rsidRPr="00D80157" w:rsidRDefault="003D7BAF" w:rsidP="00302E2C">
      <w:pPr>
        <w:pStyle w:val="FootnoteText"/>
        <w:spacing w:after="0"/>
        <w:rPr>
          <w:sz w:val="16"/>
          <w:szCs w:val="16"/>
        </w:rPr>
      </w:pPr>
      <w:r w:rsidRPr="00D80157">
        <w:rPr>
          <w:rStyle w:val="FootnoteReference"/>
          <w:sz w:val="16"/>
          <w:szCs w:val="16"/>
        </w:rPr>
        <w:footnoteRef/>
      </w:r>
      <w:r w:rsidRPr="00D80157">
        <w:rPr>
          <w:sz w:val="16"/>
          <w:szCs w:val="16"/>
        </w:rPr>
        <w:t xml:space="preserve"> </w:t>
      </w:r>
      <w:hyperlink r:id="rId14" w:history="1">
        <w:r w:rsidRPr="00D80157">
          <w:rPr>
            <w:rStyle w:val="Hyperlink"/>
            <w:sz w:val="16"/>
            <w:szCs w:val="16"/>
          </w:rPr>
          <w:t>ACCAN submission to Issues Paper, pp 12-13.</w:t>
        </w:r>
      </w:hyperlink>
    </w:p>
  </w:footnote>
  <w:footnote w:id="17">
    <w:p w:rsidR="003D7BAF" w:rsidRPr="00D80157" w:rsidRDefault="003D7BAF" w:rsidP="00302E2C">
      <w:pPr>
        <w:pStyle w:val="FootnoteText"/>
        <w:spacing w:after="0"/>
        <w:rPr>
          <w:sz w:val="16"/>
          <w:szCs w:val="16"/>
        </w:rPr>
      </w:pPr>
      <w:r w:rsidRPr="00D80157">
        <w:rPr>
          <w:rStyle w:val="FootnoteReference"/>
          <w:sz w:val="16"/>
          <w:szCs w:val="16"/>
        </w:rPr>
        <w:footnoteRef/>
      </w:r>
      <w:r w:rsidRPr="00D80157">
        <w:rPr>
          <w:sz w:val="16"/>
          <w:szCs w:val="16"/>
        </w:rPr>
        <w:t xml:space="preserve"> Interim Report, p. 200.</w:t>
      </w:r>
    </w:p>
  </w:footnote>
  <w:footnote w:id="18">
    <w:p w:rsidR="003D7BAF" w:rsidRPr="00D80157" w:rsidRDefault="003D7BAF" w:rsidP="00302E2C">
      <w:pPr>
        <w:pStyle w:val="FootnoteText"/>
        <w:spacing w:after="0"/>
        <w:rPr>
          <w:sz w:val="16"/>
          <w:szCs w:val="16"/>
        </w:rPr>
      </w:pPr>
      <w:r w:rsidRPr="00D80157">
        <w:rPr>
          <w:rStyle w:val="FootnoteReference"/>
          <w:sz w:val="16"/>
          <w:szCs w:val="16"/>
        </w:rPr>
        <w:footnoteRef/>
      </w:r>
      <w:r w:rsidRPr="00D80157">
        <w:rPr>
          <w:sz w:val="16"/>
          <w:szCs w:val="16"/>
        </w:rPr>
        <w:t xml:space="preserve"> See </w:t>
      </w:r>
      <w:hyperlink r:id="rId15" w:history="1">
        <w:r w:rsidRPr="00D80157">
          <w:rPr>
            <w:rStyle w:val="Hyperlink"/>
            <w:sz w:val="16"/>
            <w:szCs w:val="16"/>
          </w:rPr>
          <w:t>https://www.telstra.com.au/smart-home</w:t>
        </w:r>
      </w:hyperlink>
      <w:r w:rsidRPr="00D80157">
        <w:rPr>
          <w:sz w:val="16"/>
          <w:szCs w:val="16"/>
        </w:rPr>
        <w:t xml:space="preserve"> and Corinne Reichert, </w:t>
      </w:r>
      <w:hyperlink r:id="rId16" w:history="1">
        <w:r w:rsidRPr="00D80157">
          <w:rPr>
            <w:rStyle w:val="Hyperlink"/>
            <w:sz w:val="16"/>
            <w:szCs w:val="16"/>
          </w:rPr>
          <w:t>‘Telstra launches Smart Home devices and pricing’, November 15 2016</w:t>
        </w:r>
      </w:hyperlink>
      <w:r>
        <w:rPr>
          <w:sz w:val="16"/>
          <w:szCs w:val="16"/>
        </w:rPr>
        <w:t>.</w:t>
      </w:r>
    </w:p>
  </w:footnote>
  <w:footnote w:id="19">
    <w:p w:rsidR="003D7BAF" w:rsidRPr="00D80157" w:rsidRDefault="003D7BAF" w:rsidP="009D7DDB">
      <w:pPr>
        <w:pStyle w:val="FootnoteText"/>
        <w:spacing w:after="0"/>
        <w:rPr>
          <w:sz w:val="16"/>
          <w:szCs w:val="16"/>
        </w:rPr>
      </w:pPr>
      <w:r w:rsidRPr="00D80157">
        <w:rPr>
          <w:rStyle w:val="FootnoteReference"/>
          <w:sz w:val="16"/>
          <w:szCs w:val="16"/>
        </w:rPr>
        <w:footnoteRef/>
      </w:r>
      <w:r w:rsidRPr="00D80157">
        <w:rPr>
          <w:sz w:val="16"/>
          <w:szCs w:val="16"/>
        </w:rPr>
        <w:t xml:space="preserve"> </w:t>
      </w:r>
      <w:hyperlink r:id="rId17" w:history="1">
        <w:r w:rsidRPr="00D80157">
          <w:rPr>
            <w:rStyle w:val="Hyperlink"/>
            <w:sz w:val="16"/>
            <w:szCs w:val="16"/>
          </w:rPr>
          <w:t>ACMA, Communications Report 2015-16, p. 5</w:t>
        </w:r>
      </w:hyperlink>
      <w:r w:rsidRPr="00D80157">
        <w:rPr>
          <w:sz w:val="16"/>
          <w:szCs w:val="16"/>
        </w:rPr>
        <w:t xml:space="preserve"> and 76. </w:t>
      </w:r>
    </w:p>
  </w:footnote>
  <w:footnote w:id="20">
    <w:p w:rsidR="003D7BAF" w:rsidRPr="00D80157" w:rsidRDefault="003D7BAF" w:rsidP="00302E2C">
      <w:pPr>
        <w:pStyle w:val="FootnoteText"/>
        <w:spacing w:after="0"/>
        <w:jc w:val="both"/>
        <w:rPr>
          <w:sz w:val="16"/>
          <w:szCs w:val="16"/>
        </w:rPr>
      </w:pPr>
      <w:r w:rsidRPr="00D80157">
        <w:rPr>
          <w:rStyle w:val="FootnoteReference"/>
          <w:sz w:val="16"/>
          <w:szCs w:val="16"/>
        </w:rPr>
        <w:footnoteRef/>
      </w:r>
      <w:r w:rsidRPr="00D80157">
        <w:rPr>
          <w:sz w:val="16"/>
          <w:szCs w:val="16"/>
        </w:rPr>
        <w:t xml:space="preserve"> See for example </w:t>
      </w:r>
      <w:hyperlink r:id="rId18" w:tooltip="Opens in new (or separate) window" w:history="1">
        <w:r w:rsidRPr="00D80157">
          <w:rPr>
            <w:rStyle w:val="Hyperlink"/>
            <w:sz w:val="16"/>
            <w:szCs w:val="16"/>
          </w:rPr>
          <w:t>Victorian ACL regulator</w:t>
        </w:r>
      </w:hyperlink>
      <w:r w:rsidRPr="00D80157">
        <w:rPr>
          <w:sz w:val="16"/>
          <w:szCs w:val="16"/>
        </w:rPr>
        <w:t xml:space="preserve"> and the </w:t>
      </w:r>
      <w:hyperlink r:id="rId19" w:tooltip="Opens in new (or separate) window" w:history="1">
        <w:r w:rsidRPr="00D80157">
          <w:rPr>
            <w:rStyle w:val="Hyperlink"/>
            <w:sz w:val="16"/>
            <w:szCs w:val="16"/>
          </w:rPr>
          <w:t>ACCC</w:t>
        </w:r>
      </w:hyperlink>
      <w:r w:rsidRPr="00D80157">
        <w:rPr>
          <w:sz w:val="16"/>
          <w:szCs w:val="16"/>
        </w:rPr>
        <w:t>.</w:t>
      </w:r>
    </w:p>
  </w:footnote>
  <w:footnote w:id="21">
    <w:p w:rsidR="003D7BAF" w:rsidRPr="00D80157" w:rsidRDefault="003D7BAF" w:rsidP="00302E2C">
      <w:pPr>
        <w:pStyle w:val="FootnoteText"/>
        <w:spacing w:after="0"/>
        <w:rPr>
          <w:sz w:val="16"/>
          <w:szCs w:val="16"/>
        </w:rPr>
      </w:pPr>
      <w:r w:rsidRPr="00D80157">
        <w:rPr>
          <w:rStyle w:val="FootnoteReference"/>
          <w:sz w:val="16"/>
          <w:szCs w:val="16"/>
        </w:rPr>
        <w:footnoteRef/>
      </w:r>
      <w:r w:rsidRPr="00D80157">
        <w:rPr>
          <w:sz w:val="16"/>
          <w:szCs w:val="16"/>
        </w:rPr>
        <w:t xml:space="preserve"> See for example the </w:t>
      </w:r>
      <w:hyperlink r:id="rId20" w:tooltip="Opens in new (or separate) window" w:history="1">
        <w:r w:rsidRPr="00D80157">
          <w:rPr>
            <w:rStyle w:val="Hyperlink"/>
            <w:sz w:val="16"/>
            <w:szCs w:val="16"/>
          </w:rPr>
          <w:t>ACCC’s resources</w:t>
        </w:r>
      </w:hyperlink>
      <w:r w:rsidRPr="00D80157">
        <w:rPr>
          <w:sz w:val="16"/>
          <w:szCs w:val="16"/>
        </w:rPr>
        <w:t xml:space="preserve">. </w:t>
      </w:r>
    </w:p>
  </w:footnote>
  <w:footnote w:id="22">
    <w:p w:rsidR="003D7BAF" w:rsidRPr="00D80157" w:rsidRDefault="003D7BAF" w:rsidP="009D7DDB">
      <w:pPr>
        <w:pStyle w:val="FootnoteText"/>
        <w:spacing w:after="0"/>
        <w:rPr>
          <w:sz w:val="16"/>
          <w:szCs w:val="16"/>
        </w:rPr>
      </w:pPr>
      <w:r w:rsidRPr="00D80157">
        <w:rPr>
          <w:rStyle w:val="FootnoteReference"/>
          <w:sz w:val="16"/>
          <w:szCs w:val="16"/>
        </w:rPr>
        <w:footnoteRef/>
      </w:r>
      <w:r w:rsidRPr="00D80157">
        <w:rPr>
          <w:sz w:val="16"/>
          <w:szCs w:val="16"/>
        </w:rPr>
        <w:t xml:space="preserve"> </w:t>
      </w:r>
      <w:hyperlink r:id="rId21" w:history="1">
        <w:r w:rsidRPr="00D80157">
          <w:rPr>
            <w:rStyle w:val="Hyperlink"/>
            <w:sz w:val="16"/>
            <w:szCs w:val="16"/>
          </w:rPr>
          <w:t>CHOICE, Submission to the Issues Paper</w:t>
        </w:r>
      </w:hyperlink>
      <w:r w:rsidRPr="00D80157">
        <w:rPr>
          <w:sz w:val="16"/>
          <w:szCs w:val="16"/>
        </w:rPr>
        <w:t>, p. 24.</w:t>
      </w:r>
    </w:p>
  </w:footnote>
  <w:footnote w:id="23">
    <w:p w:rsidR="003D7BAF" w:rsidRDefault="003D7BAF">
      <w:pPr>
        <w:pStyle w:val="FootnoteText"/>
      </w:pPr>
      <w:r>
        <w:rPr>
          <w:rStyle w:val="FootnoteReference"/>
        </w:rPr>
        <w:footnoteRef/>
      </w:r>
      <w:r>
        <w:t xml:space="preserve"> </w:t>
      </w:r>
      <w:hyperlink r:id="rId22" w:history="1">
        <w:r w:rsidRPr="00D80157">
          <w:rPr>
            <w:rStyle w:val="Hyperlink"/>
            <w:sz w:val="16"/>
            <w:szCs w:val="16"/>
          </w:rPr>
          <w:t>ACCAN subm</w:t>
        </w:r>
        <w:r>
          <w:rPr>
            <w:rStyle w:val="Hyperlink"/>
            <w:sz w:val="16"/>
            <w:szCs w:val="16"/>
          </w:rPr>
          <w:t>ission to Issues Paper, p 9</w:t>
        </w:r>
        <w:r w:rsidRPr="00D80157">
          <w:rPr>
            <w:rStyle w:val="Hyperlink"/>
            <w:sz w:val="16"/>
            <w:szCs w:val="16"/>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AF" w:rsidRDefault="003D7BAF" w:rsidP="00E45E4C">
    <w:pPr>
      <w:pStyle w:val="Header"/>
      <w:jc w:val="right"/>
    </w:pPr>
    <w:r>
      <w:rPr>
        <w:noProof/>
        <w:lang w:val="en-US"/>
      </w:rPr>
      <w:drawing>
        <wp:inline distT="0" distB="0" distL="0" distR="0" wp14:anchorId="7DC84AE4" wp14:editId="07EE02D8">
          <wp:extent cx="678787" cy="296066"/>
          <wp:effectExtent l="0" t="0" r="7620" b="8890"/>
          <wp:docPr id="2" name="Picture 2"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BAF" w:rsidRDefault="003D7BAF" w:rsidP="00B14DFB">
    <w:pPr>
      <w:pStyle w:val="Header"/>
      <w:jc w:val="center"/>
    </w:pPr>
    <w:r>
      <w:rPr>
        <w:noProof/>
        <w:lang w:val="en-US"/>
      </w:rPr>
      <w:drawing>
        <wp:inline distT="0" distB="0" distL="0" distR="0" wp14:anchorId="50EFCF3E" wp14:editId="1AEE4EE6">
          <wp:extent cx="3057525" cy="1581150"/>
          <wp:effectExtent l="0" t="0" r="0" b="0"/>
          <wp:docPr id="3"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68D0"/>
    <w:multiLevelType w:val="hybridMultilevel"/>
    <w:tmpl w:val="BC162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30D44"/>
    <w:multiLevelType w:val="hybridMultilevel"/>
    <w:tmpl w:val="CDC0CE6E"/>
    <w:lvl w:ilvl="0" w:tplc="D9CC079A">
      <w:start w:val="1"/>
      <w:numFmt w:val="decimal"/>
      <w:pStyle w:val="BoxNumbering"/>
      <w:lvlText w:val="%1. "/>
      <w:lvlJc w:val="left"/>
      <w:pPr>
        <w:tabs>
          <w:tab w:val="num" w:pos="425"/>
        </w:tabs>
        <w:ind w:left="425" w:hanging="425"/>
      </w:pPr>
      <w:rPr>
        <w:rFonts w:asciiTheme="minorHAnsi" w:hAnsiTheme="minorHAnsi" w:cs="Symbol" w:hint="default"/>
        <w:b w:val="0"/>
        <w:i w:val="0"/>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474783"/>
    <w:multiLevelType w:val="hybridMultilevel"/>
    <w:tmpl w:val="58F40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D642D"/>
    <w:multiLevelType w:val="hybridMultilevel"/>
    <w:tmpl w:val="63368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A40D6"/>
    <w:multiLevelType w:val="hybridMultilevel"/>
    <w:tmpl w:val="65C0D0F6"/>
    <w:lvl w:ilvl="0" w:tplc="0409000F">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02EF9"/>
    <w:multiLevelType w:val="hybridMultilevel"/>
    <w:tmpl w:val="7A28B738"/>
    <w:lvl w:ilvl="0" w:tplc="04090011">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DDE08D8"/>
    <w:multiLevelType w:val="hybridMultilevel"/>
    <w:tmpl w:val="4FEA1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BF66CA"/>
    <w:multiLevelType w:val="hybridMultilevel"/>
    <w:tmpl w:val="ED2EBCF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9">
    <w:nsid w:val="337C5FB2"/>
    <w:multiLevelType w:val="multilevel"/>
    <w:tmpl w:val="6AFEEB4C"/>
    <w:numStyleLink w:val="Bullets"/>
  </w:abstractNum>
  <w:abstractNum w:abstractNumId="10">
    <w:nsid w:val="33D9536F"/>
    <w:multiLevelType w:val="multilevel"/>
    <w:tmpl w:val="A7920A6E"/>
    <w:numStyleLink w:val="Headings"/>
  </w:abstractNum>
  <w:abstractNum w:abstractNumId="11">
    <w:nsid w:val="34D3512B"/>
    <w:multiLevelType w:val="hybridMultilevel"/>
    <w:tmpl w:val="F47A9ABC"/>
    <w:lvl w:ilvl="0" w:tplc="BE42822A">
      <w:start w:val="1"/>
      <w:numFmt w:val="decimal"/>
      <w:pStyle w:val="BoxQuestions"/>
      <w:lvlText w:val="%1. "/>
      <w:lvlJc w:val="left"/>
      <w:pPr>
        <w:tabs>
          <w:tab w:val="num" w:pos="425"/>
        </w:tabs>
        <w:ind w:left="425" w:hanging="425"/>
      </w:pPr>
      <w:rPr>
        <w:rFonts w:asciiTheme="minorHAnsi" w:hAnsiTheme="minorHAnsi" w:cs="Symbol" w:hint="default"/>
        <w:b w:val="0"/>
        <w:i w:val="0"/>
        <w:sz w:val="22"/>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F41370"/>
    <w:multiLevelType w:val="multilevel"/>
    <w:tmpl w:val="19FC352C"/>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3">
    <w:nsid w:val="39860C67"/>
    <w:multiLevelType w:val="multilevel"/>
    <w:tmpl w:val="A7920A6E"/>
    <w:numStyleLink w:val="Headings"/>
  </w:abstractNum>
  <w:abstractNum w:abstractNumId="14">
    <w:nsid w:val="3DF936BD"/>
    <w:multiLevelType w:val="multilevel"/>
    <w:tmpl w:val="A7920A6E"/>
    <w:numStyleLink w:val="Headings"/>
  </w:abstractNum>
  <w:abstractNum w:abstractNumId="15">
    <w:nsid w:val="47D863F8"/>
    <w:multiLevelType w:val="hybridMultilevel"/>
    <w:tmpl w:val="DA60415A"/>
    <w:lvl w:ilvl="0" w:tplc="EF484FC4">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A3635"/>
    <w:multiLevelType w:val="hybridMultilevel"/>
    <w:tmpl w:val="7A94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10D69"/>
    <w:multiLevelType w:val="hybridMultilevel"/>
    <w:tmpl w:val="71A6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58101827"/>
    <w:multiLevelType w:val="multilevel"/>
    <w:tmpl w:val="18E68440"/>
    <w:name w:val="BoxBulletedList"/>
    <w:lvl w:ilvl="0">
      <w:start w:val="1"/>
      <w:numFmt w:val="bullet"/>
      <w:lvlRestart w:val="0"/>
      <w:pStyle w:val="BoxBullet"/>
      <w:lvlText w:val="•"/>
      <w:lvlJc w:val="left"/>
      <w:pPr>
        <w:tabs>
          <w:tab w:val="num" w:pos="425"/>
        </w:tabs>
        <w:ind w:left="425" w:hanging="425"/>
      </w:pPr>
      <w:rPr>
        <w:rFonts w:ascii="Times New Roman" w:hAnsi="Times New Roman" w:cs="Times New Roman" w:hint="default"/>
        <w:b w:val="0"/>
        <w:i w:val="0"/>
        <w:color w:val="auto"/>
        <w:sz w:val="20"/>
      </w:rPr>
    </w:lvl>
    <w:lvl w:ilvl="1">
      <w:start w:val="1"/>
      <w:numFmt w:val="bullet"/>
      <w:pStyle w:val="BoxDash"/>
      <w:lvlText w:val="–"/>
      <w:lvlJc w:val="left"/>
      <w:pPr>
        <w:tabs>
          <w:tab w:val="num" w:pos="851"/>
        </w:tabs>
        <w:ind w:left="851" w:hanging="426"/>
      </w:pPr>
      <w:rPr>
        <w:rFonts w:hint="default"/>
        <w:b w:val="0"/>
        <w:i w:val="0"/>
      </w:rPr>
    </w:lvl>
    <w:lvl w:ilvl="2">
      <w:start w:val="1"/>
      <w:numFmt w:val="bullet"/>
      <w:pStyle w:val="BoxDoubleDot"/>
      <w:lvlText w:val=":"/>
      <w:lvlJc w:val="left"/>
      <w:pPr>
        <w:tabs>
          <w:tab w:val="num" w:pos="140"/>
        </w:tabs>
        <w:ind w:left="140" w:hanging="283"/>
      </w:pPr>
      <w:rPr>
        <w:rFonts w:hint="default"/>
        <w:b w:val="0"/>
        <w:i w:val="0"/>
      </w:rPr>
    </w:lvl>
    <w:lvl w:ilvl="3">
      <w:start w:val="1"/>
      <w:numFmt w:val="decimal"/>
      <w:lvlText w:val="(%4)"/>
      <w:lvlJc w:val="left"/>
      <w:pPr>
        <w:tabs>
          <w:tab w:val="num" w:pos="730"/>
        </w:tabs>
        <w:ind w:left="730" w:hanging="360"/>
      </w:pPr>
      <w:rPr>
        <w:rFonts w:hint="default"/>
        <w:b w:val="0"/>
        <w:i w:val="0"/>
      </w:rPr>
    </w:lvl>
    <w:lvl w:ilvl="4">
      <w:start w:val="1"/>
      <w:numFmt w:val="lowerLetter"/>
      <w:lvlText w:val="(%5)"/>
      <w:lvlJc w:val="left"/>
      <w:pPr>
        <w:tabs>
          <w:tab w:val="num" w:pos="1090"/>
        </w:tabs>
        <w:ind w:left="1090" w:hanging="360"/>
      </w:pPr>
      <w:rPr>
        <w:rFonts w:hint="default"/>
        <w:b w:val="0"/>
        <w:i w:val="0"/>
      </w:rPr>
    </w:lvl>
    <w:lvl w:ilvl="5">
      <w:start w:val="1"/>
      <w:numFmt w:val="lowerRoman"/>
      <w:lvlText w:val="(%6)"/>
      <w:lvlJc w:val="left"/>
      <w:pPr>
        <w:tabs>
          <w:tab w:val="num" w:pos="1450"/>
        </w:tabs>
        <w:ind w:left="1450" w:hanging="360"/>
      </w:pPr>
      <w:rPr>
        <w:rFonts w:hint="default"/>
        <w:b w:val="0"/>
        <w:i w:val="0"/>
      </w:rPr>
    </w:lvl>
    <w:lvl w:ilvl="6">
      <w:start w:val="1"/>
      <w:numFmt w:val="decimal"/>
      <w:lvlText w:val="%7."/>
      <w:lvlJc w:val="left"/>
      <w:pPr>
        <w:tabs>
          <w:tab w:val="num" w:pos="1810"/>
        </w:tabs>
        <w:ind w:left="1810" w:hanging="360"/>
      </w:pPr>
      <w:rPr>
        <w:rFonts w:hint="default"/>
        <w:b w:val="0"/>
        <w:i w:val="0"/>
      </w:rPr>
    </w:lvl>
    <w:lvl w:ilvl="7">
      <w:start w:val="1"/>
      <w:numFmt w:val="lowerLetter"/>
      <w:lvlText w:val="%8."/>
      <w:lvlJc w:val="left"/>
      <w:pPr>
        <w:tabs>
          <w:tab w:val="num" w:pos="2170"/>
        </w:tabs>
        <w:ind w:left="2170" w:hanging="360"/>
      </w:pPr>
      <w:rPr>
        <w:rFonts w:hint="default"/>
        <w:b w:val="0"/>
        <w:i w:val="0"/>
      </w:rPr>
    </w:lvl>
    <w:lvl w:ilvl="8">
      <w:start w:val="1"/>
      <w:numFmt w:val="lowerRoman"/>
      <w:lvlText w:val="%9."/>
      <w:lvlJc w:val="left"/>
      <w:pPr>
        <w:tabs>
          <w:tab w:val="num" w:pos="2530"/>
        </w:tabs>
        <w:ind w:left="2530" w:hanging="360"/>
      </w:pPr>
      <w:rPr>
        <w:rFonts w:hint="default"/>
        <w:b w:val="0"/>
        <w:i w:val="0"/>
      </w:rPr>
    </w:lvl>
  </w:abstractNum>
  <w:abstractNum w:abstractNumId="20">
    <w:nsid w:val="5A467144"/>
    <w:multiLevelType w:val="multilevel"/>
    <w:tmpl w:val="989E8E90"/>
    <w:numStyleLink w:val="Appendices"/>
  </w:abstractNum>
  <w:abstractNum w:abstractNumId="21">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15723F5"/>
    <w:multiLevelType w:val="hybridMultilevel"/>
    <w:tmpl w:val="B888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F098D"/>
    <w:multiLevelType w:val="multilevel"/>
    <w:tmpl w:val="A7920A6E"/>
    <w:numStyleLink w:val="Headings"/>
  </w:abstractNum>
  <w:abstractNum w:abstractNumId="24">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6D7C7371"/>
    <w:multiLevelType w:val="hybridMultilevel"/>
    <w:tmpl w:val="25A24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74F47778"/>
    <w:multiLevelType w:val="hybridMultilevel"/>
    <w:tmpl w:val="8F40224A"/>
    <w:lvl w:ilvl="0" w:tplc="99F6FAEA">
      <w:start w:val="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D3604"/>
    <w:multiLevelType w:val="hybridMultilevel"/>
    <w:tmpl w:val="0F12A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9">
    <w:nsid w:val="7CBF77FD"/>
    <w:multiLevelType w:val="hybridMultilevel"/>
    <w:tmpl w:val="65C0D0F6"/>
    <w:lvl w:ilvl="0" w:tplc="0409000F">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8"/>
  </w:num>
  <w:num w:numId="7">
    <w:abstractNumId w:val="14"/>
  </w:num>
  <w:num w:numId="8">
    <w:abstractNumId w:val="9"/>
  </w:num>
  <w:num w:numId="9">
    <w:abstractNumId w:val="9"/>
  </w:num>
  <w:num w:numId="10">
    <w:abstractNumId w:val="9"/>
  </w:num>
  <w:num w:numId="11">
    <w:abstractNumId w:val="9"/>
  </w:num>
  <w:num w:numId="12">
    <w:abstractNumId w:val="8"/>
  </w:num>
  <w:num w:numId="13">
    <w:abstractNumId w:val="10"/>
  </w:num>
  <w:num w:numId="14">
    <w:abstractNumId w:val="10"/>
  </w:num>
  <w:num w:numId="15">
    <w:abstractNumId w:val="10"/>
  </w:num>
  <w:num w:numId="16">
    <w:abstractNumId w:val="28"/>
  </w:num>
  <w:num w:numId="17">
    <w:abstractNumId w:val="18"/>
  </w:num>
  <w:num w:numId="18">
    <w:abstractNumId w:val="20"/>
  </w:num>
  <w:num w:numId="19">
    <w:abstractNumId w:val="20"/>
  </w:num>
  <w:num w:numId="20">
    <w:abstractNumId w:val="24"/>
  </w:num>
  <w:num w:numId="21">
    <w:abstractNumId w:val="24"/>
  </w:num>
  <w:num w:numId="22">
    <w:abstractNumId w:val="12"/>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6"/>
  </w:num>
  <w:num w:numId="28">
    <w:abstractNumId w:val="12"/>
    <w:lvlOverride w:ilvl="0">
      <w:startOverride w:val="1"/>
      <w:lvl w:ilvl="0">
        <w:start w:val="1"/>
        <w:numFmt w:val="decimal"/>
        <w:pStyle w:val="Recommendation"/>
        <w:lvlText w:val="Recommendation %1:"/>
        <w:lvlJc w:val="left"/>
        <w:pPr>
          <w:ind w:left="851" w:firstLine="0"/>
        </w:pPr>
        <w:rPr>
          <w:rFonts w:hint="default"/>
          <w:b/>
        </w:rPr>
      </w:lvl>
    </w:lvlOverride>
  </w:num>
  <w:num w:numId="29">
    <w:abstractNumId w:val="12"/>
    <w:lvlOverride w:ilvl="0">
      <w:lvl w:ilvl="0">
        <w:start w:val="1"/>
        <w:numFmt w:val="decimal"/>
        <w:pStyle w:val="Recommendation"/>
        <w:lvlText w:val="Recommendation %1:"/>
        <w:lvlJc w:val="left"/>
        <w:pPr>
          <w:ind w:left="851" w:firstLine="0"/>
        </w:pPr>
        <w:rPr>
          <w:rFonts w:hint="default"/>
          <w:b/>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0">
    <w:abstractNumId w:val="12"/>
  </w:num>
  <w:num w:numId="31">
    <w:abstractNumId w:val="19"/>
  </w:num>
  <w:num w:numId="32">
    <w:abstractNumId w:val="11"/>
  </w:num>
  <w:num w:numId="33">
    <w:abstractNumId w:val="7"/>
  </w:num>
  <w:num w:numId="34">
    <w:abstractNumId w:val="1"/>
  </w:num>
  <w:num w:numId="35">
    <w:abstractNumId w:val="1"/>
    <w:lvlOverride w:ilvl="0">
      <w:startOverride w:val="1"/>
    </w:lvlOverride>
  </w:num>
  <w:num w:numId="36">
    <w:abstractNumId w:val="29"/>
  </w:num>
  <w:num w:numId="37">
    <w:abstractNumId w:val="15"/>
  </w:num>
  <w:num w:numId="38">
    <w:abstractNumId w:val="16"/>
  </w:num>
  <w:num w:numId="39">
    <w:abstractNumId w:val="12"/>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40">
    <w:abstractNumId w:val="26"/>
  </w:num>
  <w:num w:numId="41">
    <w:abstractNumId w:val="5"/>
  </w:num>
  <w:num w:numId="42">
    <w:abstractNumId w:val="4"/>
  </w:num>
  <w:num w:numId="43">
    <w:abstractNumId w:val="12"/>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44">
    <w:abstractNumId w:val="22"/>
  </w:num>
  <w:num w:numId="45">
    <w:abstractNumId w:val="3"/>
  </w:num>
  <w:num w:numId="46">
    <w:abstractNumId w:val="0"/>
  </w:num>
  <w:num w:numId="47">
    <w:abstractNumId w:val="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revisionView w:markup="0"/>
  <w:defaultTabStop w:val="720"/>
  <w:hyphenationZone w:val="357"/>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2Mjc2MTMxNzSxsDRW0lEKTi0uzszPAykwqgUA09s10ywAAAA="/>
  </w:docVars>
  <w:rsids>
    <w:rsidRoot w:val="00AA0E58"/>
    <w:rsid w:val="00006AB5"/>
    <w:rsid w:val="0001151C"/>
    <w:rsid w:val="000154D2"/>
    <w:rsid w:val="000175D5"/>
    <w:rsid w:val="00027253"/>
    <w:rsid w:val="0003411A"/>
    <w:rsid w:val="000372FB"/>
    <w:rsid w:val="00047257"/>
    <w:rsid w:val="000479B2"/>
    <w:rsid w:val="00055524"/>
    <w:rsid w:val="0006721E"/>
    <w:rsid w:val="00067735"/>
    <w:rsid w:val="00080516"/>
    <w:rsid w:val="00086E80"/>
    <w:rsid w:val="000C2893"/>
    <w:rsid w:val="000C787A"/>
    <w:rsid w:val="000D51F4"/>
    <w:rsid w:val="000E4A32"/>
    <w:rsid w:val="000F3095"/>
    <w:rsid w:val="000F58CC"/>
    <w:rsid w:val="00100B30"/>
    <w:rsid w:val="00104416"/>
    <w:rsid w:val="00117897"/>
    <w:rsid w:val="0014373D"/>
    <w:rsid w:val="001458DD"/>
    <w:rsid w:val="00147A7F"/>
    <w:rsid w:val="00154B69"/>
    <w:rsid w:val="00156825"/>
    <w:rsid w:val="001B3319"/>
    <w:rsid w:val="001C28E7"/>
    <w:rsid w:val="001C40D5"/>
    <w:rsid w:val="001C62F7"/>
    <w:rsid w:val="001C6657"/>
    <w:rsid w:val="001E6420"/>
    <w:rsid w:val="001F1FEE"/>
    <w:rsid w:val="00200A46"/>
    <w:rsid w:val="002127F0"/>
    <w:rsid w:val="00234042"/>
    <w:rsid w:val="00273382"/>
    <w:rsid w:val="00277679"/>
    <w:rsid w:val="0028407E"/>
    <w:rsid w:val="002A55E6"/>
    <w:rsid w:val="002A629E"/>
    <w:rsid w:val="002D6E4C"/>
    <w:rsid w:val="002E262E"/>
    <w:rsid w:val="002E4872"/>
    <w:rsid w:val="002F068F"/>
    <w:rsid w:val="00302E2C"/>
    <w:rsid w:val="00311F90"/>
    <w:rsid w:val="00321432"/>
    <w:rsid w:val="00321813"/>
    <w:rsid w:val="00332425"/>
    <w:rsid w:val="00336C22"/>
    <w:rsid w:val="003372C4"/>
    <w:rsid w:val="003441E5"/>
    <w:rsid w:val="0036351B"/>
    <w:rsid w:val="00377663"/>
    <w:rsid w:val="00382B6A"/>
    <w:rsid w:val="00387177"/>
    <w:rsid w:val="00387ACB"/>
    <w:rsid w:val="00394B81"/>
    <w:rsid w:val="003B1499"/>
    <w:rsid w:val="003D4F35"/>
    <w:rsid w:val="003D7BAF"/>
    <w:rsid w:val="003E2DF3"/>
    <w:rsid w:val="003E6503"/>
    <w:rsid w:val="003E76C5"/>
    <w:rsid w:val="003F3E75"/>
    <w:rsid w:val="003F4FE2"/>
    <w:rsid w:val="003F6199"/>
    <w:rsid w:val="00422036"/>
    <w:rsid w:val="00431981"/>
    <w:rsid w:val="00447E1F"/>
    <w:rsid w:val="00452B69"/>
    <w:rsid w:val="004552EA"/>
    <w:rsid w:val="00462B85"/>
    <w:rsid w:val="00466B15"/>
    <w:rsid w:val="00472C7E"/>
    <w:rsid w:val="00472CA7"/>
    <w:rsid w:val="00475E17"/>
    <w:rsid w:val="00477BDB"/>
    <w:rsid w:val="00492780"/>
    <w:rsid w:val="00495EA6"/>
    <w:rsid w:val="004A01EB"/>
    <w:rsid w:val="004A46B9"/>
    <w:rsid w:val="004A55CC"/>
    <w:rsid w:val="004A6236"/>
    <w:rsid w:val="004A791B"/>
    <w:rsid w:val="004B1795"/>
    <w:rsid w:val="004B275A"/>
    <w:rsid w:val="004B4C3C"/>
    <w:rsid w:val="004B7462"/>
    <w:rsid w:val="004C055B"/>
    <w:rsid w:val="004C3886"/>
    <w:rsid w:val="004F2201"/>
    <w:rsid w:val="005044BC"/>
    <w:rsid w:val="00511400"/>
    <w:rsid w:val="005132A0"/>
    <w:rsid w:val="00522149"/>
    <w:rsid w:val="00527A99"/>
    <w:rsid w:val="00527BBF"/>
    <w:rsid w:val="0053338B"/>
    <w:rsid w:val="00542267"/>
    <w:rsid w:val="00553427"/>
    <w:rsid w:val="005649B6"/>
    <w:rsid w:val="00571728"/>
    <w:rsid w:val="005748EF"/>
    <w:rsid w:val="005820C9"/>
    <w:rsid w:val="00584F64"/>
    <w:rsid w:val="005908A9"/>
    <w:rsid w:val="00592615"/>
    <w:rsid w:val="00593975"/>
    <w:rsid w:val="005A673E"/>
    <w:rsid w:val="005B7BB4"/>
    <w:rsid w:val="005C2EBF"/>
    <w:rsid w:val="005D0C7C"/>
    <w:rsid w:val="005D3EF8"/>
    <w:rsid w:val="005D4F04"/>
    <w:rsid w:val="00600E05"/>
    <w:rsid w:val="00613698"/>
    <w:rsid w:val="00630B17"/>
    <w:rsid w:val="0063747F"/>
    <w:rsid w:val="006453F6"/>
    <w:rsid w:val="00645E2B"/>
    <w:rsid w:val="00654E49"/>
    <w:rsid w:val="00655FDB"/>
    <w:rsid w:val="006578D7"/>
    <w:rsid w:val="00657A87"/>
    <w:rsid w:val="006649AC"/>
    <w:rsid w:val="006803F6"/>
    <w:rsid w:val="00684646"/>
    <w:rsid w:val="00693FF6"/>
    <w:rsid w:val="006B25A4"/>
    <w:rsid w:val="006B265A"/>
    <w:rsid w:val="006C7C58"/>
    <w:rsid w:val="006D153D"/>
    <w:rsid w:val="006D4A1F"/>
    <w:rsid w:val="006D4B09"/>
    <w:rsid w:val="006E63CE"/>
    <w:rsid w:val="007028D6"/>
    <w:rsid w:val="007352FE"/>
    <w:rsid w:val="00746A32"/>
    <w:rsid w:val="007506AE"/>
    <w:rsid w:val="007571FD"/>
    <w:rsid w:val="00773988"/>
    <w:rsid w:val="00775682"/>
    <w:rsid w:val="007A3E1A"/>
    <w:rsid w:val="007A5498"/>
    <w:rsid w:val="007A6A1C"/>
    <w:rsid w:val="007D0B5D"/>
    <w:rsid w:val="007D19CA"/>
    <w:rsid w:val="007D2453"/>
    <w:rsid w:val="007D2F73"/>
    <w:rsid w:val="007D3F16"/>
    <w:rsid w:val="007F0737"/>
    <w:rsid w:val="007F600E"/>
    <w:rsid w:val="007F6790"/>
    <w:rsid w:val="008045DA"/>
    <w:rsid w:val="00806619"/>
    <w:rsid w:val="00806747"/>
    <w:rsid w:val="00806BAD"/>
    <w:rsid w:val="008338A0"/>
    <w:rsid w:val="00867AC7"/>
    <w:rsid w:val="008729D0"/>
    <w:rsid w:val="00874386"/>
    <w:rsid w:val="00882C43"/>
    <w:rsid w:val="0088571C"/>
    <w:rsid w:val="00886444"/>
    <w:rsid w:val="00891540"/>
    <w:rsid w:val="0089647F"/>
    <w:rsid w:val="008A19E7"/>
    <w:rsid w:val="008A46B2"/>
    <w:rsid w:val="008D6618"/>
    <w:rsid w:val="008D7013"/>
    <w:rsid w:val="008E1CC4"/>
    <w:rsid w:val="008F7E90"/>
    <w:rsid w:val="0090070D"/>
    <w:rsid w:val="009053D4"/>
    <w:rsid w:val="0091788C"/>
    <w:rsid w:val="00921279"/>
    <w:rsid w:val="00927102"/>
    <w:rsid w:val="0093307C"/>
    <w:rsid w:val="009508D4"/>
    <w:rsid w:val="009530F2"/>
    <w:rsid w:val="00955CEF"/>
    <w:rsid w:val="00956C83"/>
    <w:rsid w:val="00962FE6"/>
    <w:rsid w:val="0097478E"/>
    <w:rsid w:val="00985831"/>
    <w:rsid w:val="0099111D"/>
    <w:rsid w:val="00991863"/>
    <w:rsid w:val="009971CC"/>
    <w:rsid w:val="009A227B"/>
    <w:rsid w:val="009B2A83"/>
    <w:rsid w:val="009C61C5"/>
    <w:rsid w:val="009D0920"/>
    <w:rsid w:val="009D5BDF"/>
    <w:rsid w:val="009D7DDB"/>
    <w:rsid w:val="009F2797"/>
    <w:rsid w:val="009F4B9D"/>
    <w:rsid w:val="00A022BC"/>
    <w:rsid w:val="00A06372"/>
    <w:rsid w:val="00A12FA4"/>
    <w:rsid w:val="00A13B92"/>
    <w:rsid w:val="00A14B13"/>
    <w:rsid w:val="00A4447D"/>
    <w:rsid w:val="00A5275B"/>
    <w:rsid w:val="00A52D75"/>
    <w:rsid w:val="00A615CC"/>
    <w:rsid w:val="00A96349"/>
    <w:rsid w:val="00A97581"/>
    <w:rsid w:val="00AA084A"/>
    <w:rsid w:val="00AA0E58"/>
    <w:rsid w:val="00AA686C"/>
    <w:rsid w:val="00AC7871"/>
    <w:rsid w:val="00AD032B"/>
    <w:rsid w:val="00AD6669"/>
    <w:rsid w:val="00AE2840"/>
    <w:rsid w:val="00AF4F32"/>
    <w:rsid w:val="00AF599E"/>
    <w:rsid w:val="00B02AEB"/>
    <w:rsid w:val="00B123BB"/>
    <w:rsid w:val="00B14DFB"/>
    <w:rsid w:val="00B4140A"/>
    <w:rsid w:val="00B4146E"/>
    <w:rsid w:val="00B4179C"/>
    <w:rsid w:val="00B418A0"/>
    <w:rsid w:val="00B4715E"/>
    <w:rsid w:val="00B52817"/>
    <w:rsid w:val="00B5464B"/>
    <w:rsid w:val="00B6582A"/>
    <w:rsid w:val="00B87233"/>
    <w:rsid w:val="00B94596"/>
    <w:rsid w:val="00B947CF"/>
    <w:rsid w:val="00B953FD"/>
    <w:rsid w:val="00BA5C36"/>
    <w:rsid w:val="00BA6A5D"/>
    <w:rsid w:val="00BB496C"/>
    <w:rsid w:val="00BB603A"/>
    <w:rsid w:val="00BC3B4C"/>
    <w:rsid w:val="00BC52D3"/>
    <w:rsid w:val="00BC6D4D"/>
    <w:rsid w:val="00BE5E2B"/>
    <w:rsid w:val="00BE79C3"/>
    <w:rsid w:val="00BF3760"/>
    <w:rsid w:val="00C01873"/>
    <w:rsid w:val="00C02722"/>
    <w:rsid w:val="00C12182"/>
    <w:rsid w:val="00C15FFC"/>
    <w:rsid w:val="00C23199"/>
    <w:rsid w:val="00C335DC"/>
    <w:rsid w:val="00C35898"/>
    <w:rsid w:val="00C50019"/>
    <w:rsid w:val="00C613FC"/>
    <w:rsid w:val="00C853A7"/>
    <w:rsid w:val="00C860BB"/>
    <w:rsid w:val="00CC7462"/>
    <w:rsid w:val="00CF5B31"/>
    <w:rsid w:val="00D17C22"/>
    <w:rsid w:val="00D23BB6"/>
    <w:rsid w:val="00D34878"/>
    <w:rsid w:val="00D3636E"/>
    <w:rsid w:val="00D42FA2"/>
    <w:rsid w:val="00D5314D"/>
    <w:rsid w:val="00D6056F"/>
    <w:rsid w:val="00D60E10"/>
    <w:rsid w:val="00D61223"/>
    <w:rsid w:val="00D62BCE"/>
    <w:rsid w:val="00D63737"/>
    <w:rsid w:val="00D76C0E"/>
    <w:rsid w:val="00D80157"/>
    <w:rsid w:val="00DB57B4"/>
    <w:rsid w:val="00DD48DC"/>
    <w:rsid w:val="00DD5D96"/>
    <w:rsid w:val="00DD7C1C"/>
    <w:rsid w:val="00DE6379"/>
    <w:rsid w:val="00DF2349"/>
    <w:rsid w:val="00DF287A"/>
    <w:rsid w:val="00E05115"/>
    <w:rsid w:val="00E111C7"/>
    <w:rsid w:val="00E12EE2"/>
    <w:rsid w:val="00E248E6"/>
    <w:rsid w:val="00E26799"/>
    <w:rsid w:val="00E27B78"/>
    <w:rsid w:val="00E30643"/>
    <w:rsid w:val="00E36DA7"/>
    <w:rsid w:val="00E42B8B"/>
    <w:rsid w:val="00E459DE"/>
    <w:rsid w:val="00E45E4C"/>
    <w:rsid w:val="00E54047"/>
    <w:rsid w:val="00E80BC0"/>
    <w:rsid w:val="00E81ECD"/>
    <w:rsid w:val="00E8505A"/>
    <w:rsid w:val="00E879CE"/>
    <w:rsid w:val="00E922E4"/>
    <w:rsid w:val="00EA6CE8"/>
    <w:rsid w:val="00EC1696"/>
    <w:rsid w:val="00ED1A9D"/>
    <w:rsid w:val="00EE1CFF"/>
    <w:rsid w:val="00EE3B4A"/>
    <w:rsid w:val="00EF6CC1"/>
    <w:rsid w:val="00F10D4C"/>
    <w:rsid w:val="00F12A72"/>
    <w:rsid w:val="00F3683B"/>
    <w:rsid w:val="00F43B24"/>
    <w:rsid w:val="00F47B16"/>
    <w:rsid w:val="00F57E7C"/>
    <w:rsid w:val="00F61950"/>
    <w:rsid w:val="00F627A6"/>
    <w:rsid w:val="00F72857"/>
    <w:rsid w:val="00F77AEE"/>
    <w:rsid w:val="00F82E88"/>
    <w:rsid w:val="00F860D4"/>
    <w:rsid w:val="00F91DBB"/>
    <w:rsid w:val="00F92582"/>
    <w:rsid w:val="00FA4485"/>
    <w:rsid w:val="00FA4E6B"/>
    <w:rsid w:val="00FF3CCA"/>
    <w:rsid w:val="00FF5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4B275A"/>
  </w:style>
  <w:style w:type="paragraph" w:styleId="Heading1">
    <w:name w:val="heading 1"/>
    <w:basedOn w:val="Normal"/>
    <w:next w:val="Normal"/>
    <w:link w:val="Heading1Char"/>
    <w:uiPriority w:val="9"/>
    <w:qFormat/>
    <w:rsid w:val="004B2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7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27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B27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B27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27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27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B27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7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27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27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27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B27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B275A"/>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4B275A"/>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basedOn w:val="Normal"/>
    <w:next w:val="Normal"/>
    <w:link w:val="TitleChar"/>
    <w:uiPriority w:val="10"/>
    <w:qFormat/>
    <w:rsid w:val="004B2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Submission Char"/>
    <w:basedOn w:val="DefaultParagraphFont"/>
    <w:link w:val="Title"/>
    <w:uiPriority w:val="10"/>
    <w:rsid w:val="004B275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aliases w:val="AJTDE 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4B275A"/>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75A"/>
    <w:pPr>
      <w:ind w:left="720"/>
      <w:contextualSpacing/>
    </w:pPr>
  </w:style>
  <w:style w:type="paragraph" w:styleId="TOCHeading">
    <w:name w:val="TOC Heading"/>
    <w:basedOn w:val="Heading1"/>
    <w:next w:val="Normal"/>
    <w:uiPriority w:val="39"/>
    <w:unhideWhenUsed/>
    <w:qFormat/>
    <w:rsid w:val="004B275A"/>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4B275A"/>
    <w:pPr>
      <w:spacing w:after="0" w:line="240" w:lineRule="auto"/>
    </w:p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basedOn w:val="Normal"/>
    <w:next w:val="Normal"/>
    <w:link w:val="SubtitleChar"/>
    <w:uiPriority w:val="11"/>
    <w:qFormat/>
    <w:rsid w:val="004B2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275A"/>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4B275A"/>
    <w:rPr>
      <w:rFonts w:asciiTheme="majorHAnsi" w:eastAsiaTheme="majorEastAsia" w:hAnsiTheme="majorHAnsi" w:cstheme="majorBidi"/>
      <w:i/>
      <w:iCs/>
      <w:color w:val="404040" w:themeColor="text1" w:themeTint="BF"/>
    </w:rPr>
  </w:style>
  <w:style w:type="paragraph" w:customStyle="1" w:styleId="Recommendation">
    <w:name w:val="Recommendation"/>
    <w:basedOn w:val="Normal"/>
    <w:link w:val="RecommendationChar"/>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4B275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B275A"/>
    <w:rPr>
      <w:rFonts w:asciiTheme="majorHAnsi" w:eastAsiaTheme="majorEastAsia" w:hAnsiTheme="majorHAnsi" w:cstheme="majorBidi"/>
      <w:i/>
      <w:iCs/>
      <w:color w:val="404040" w:themeColor="text1" w:themeTint="BF"/>
      <w:sz w:val="20"/>
      <w:szCs w:val="20"/>
    </w:rPr>
  </w:style>
  <w:style w:type="paragraph" w:customStyle="1" w:styleId="Bulletlist1">
    <w:name w:val="Bullet list 1"/>
    <w:basedOn w:val="Normal"/>
    <w:link w:val="Bulletlist1Char"/>
    <w:rsid w:val="00EC1696"/>
    <w:pPr>
      <w:numPr>
        <w:numId w:val="12"/>
      </w:numPr>
    </w:pPr>
  </w:style>
  <w:style w:type="paragraph" w:customStyle="1" w:styleId="Bulletlist2">
    <w:name w:val="Bullet list 2"/>
    <w:basedOn w:val="Bulletlist1"/>
    <w:link w:val="Bulletlist2Char"/>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ind w:left="-754"/>
      <w:contextualSpacing/>
    </w:pPr>
    <w:rPr>
      <w:sz w:val="20"/>
      <w:szCs w:val="20"/>
    </w:rPr>
  </w:style>
  <w:style w:type="paragraph" w:customStyle="1" w:styleId="Celltext">
    <w:name w:val="Cell text"/>
    <w:basedOn w:val="Normal"/>
    <w:rsid w:val="00EC1696"/>
    <w:pPr>
      <w:contextualSpacing/>
    </w:pPr>
    <w:rPr>
      <w:sz w:val="20"/>
    </w:rPr>
  </w:style>
  <w:style w:type="paragraph" w:customStyle="1" w:styleId="Appendixheading1">
    <w:name w:val="Appendix heading 1"/>
    <w:basedOn w:val="Heading1"/>
    <w:next w:val="Normal"/>
    <w:link w:val="Appendixheading1Char"/>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
      <w:bCs/>
      <w:color w:val="365F91" w:themeColor="accent1" w:themeShade="BF"/>
      <w:sz w:val="48"/>
      <w:szCs w:val="28"/>
      <w:lang w:val="en-GB"/>
    </w:rPr>
  </w:style>
  <w:style w:type="paragraph" w:customStyle="1" w:styleId="Appendixheading2">
    <w:name w:val="Appendix heading 2"/>
    <w:basedOn w:val="Heading2"/>
    <w:next w:val="Normal"/>
    <w:link w:val="Appendixheading2Char"/>
    <w:rsid w:val="00047257"/>
    <w:rPr>
      <w:b w:val="0"/>
    </w:rPr>
  </w:style>
  <w:style w:type="character" w:customStyle="1" w:styleId="Appendixheading2Char">
    <w:name w:val="Appendix heading 2 Char"/>
    <w:basedOn w:val="Heading2Char"/>
    <w:link w:val="Appendixheading2"/>
    <w:rsid w:val="00047257"/>
    <w:rPr>
      <w:rFonts w:asciiTheme="majorHAnsi" w:eastAsiaTheme="majorEastAsia" w:hAnsiTheme="majorHAnsi" w:cstheme="majorBidi"/>
      <w:b w:val="0"/>
      <w:bCs/>
      <w:color w:val="4F81BD" w:themeColor="accent1"/>
      <w:sz w:val="26"/>
      <w:szCs w:val="26"/>
    </w:rPr>
  </w:style>
  <w:style w:type="paragraph" w:customStyle="1" w:styleId="Appendixheading3">
    <w:name w:val="Appendix heading 3"/>
    <w:basedOn w:val="Heading3"/>
    <w:next w:val="Normal"/>
    <w:link w:val="Appendixheading3Char"/>
    <w:rsid w:val="00047257"/>
    <w:rPr>
      <w:b w:val="0"/>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val="0"/>
      <w:bCs/>
      <w:iCs w:val="0"/>
      <w:color w:val="4F81BD" w:themeColor="accent1"/>
      <w:sz w:val="24"/>
      <w:szCs w:val="24"/>
      <w:lang w:val="en-US"/>
    </w:rPr>
  </w:style>
  <w:style w:type="paragraph" w:customStyle="1" w:styleId="Blockquote2">
    <w:name w:val="Blockquote 2"/>
    <w:basedOn w:val="Blockquote"/>
    <w:link w:val="Blockquote2Char"/>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0"/>
      </w:numPr>
    </w:pPr>
  </w:style>
  <w:style w:type="character" w:styleId="Emphasis">
    <w:name w:val="Emphasis"/>
    <w:basedOn w:val="DefaultParagraphFont"/>
    <w:uiPriority w:val="20"/>
    <w:qFormat/>
    <w:rsid w:val="004B275A"/>
    <w:rPr>
      <w:i/>
      <w:iCs/>
    </w:rPr>
  </w:style>
  <w:style w:type="paragraph" w:styleId="Quote">
    <w:name w:val="Quote"/>
    <w:basedOn w:val="Normal"/>
    <w:next w:val="Normal"/>
    <w:link w:val="QuoteChar"/>
    <w:uiPriority w:val="29"/>
    <w:qFormat/>
    <w:rsid w:val="004B275A"/>
    <w:rPr>
      <w:i/>
      <w:iCs/>
      <w:color w:val="000000" w:themeColor="text1"/>
    </w:rPr>
  </w:style>
  <w:style w:type="character" w:customStyle="1" w:styleId="QuoteChar">
    <w:name w:val="Quote Char"/>
    <w:basedOn w:val="DefaultParagraphFont"/>
    <w:link w:val="Quote"/>
    <w:uiPriority w:val="29"/>
    <w:rsid w:val="004B275A"/>
    <w:rPr>
      <w:i/>
      <w:iCs/>
      <w:color w:val="000000" w:themeColor="text1"/>
    </w:rPr>
  </w:style>
  <w:style w:type="paragraph" w:styleId="IntenseQuote">
    <w:name w:val="Intense Quote"/>
    <w:basedOn w:val="Normal"/>
    <w:next w:val="Normal"/>
    <w:link w:val="IntenseQuoteChar"/>
    <w:uiPriority w:val="30"/>
    <w:qFormat/>
    <w:rsid w:val="004B27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275A"/>
    <w:rPr>
      <w:b/>
      <w:bCs/>
      <w:i/>
      <w:iCs/>
      <w:color w:val="4F81BD" w:themeColor="accent1"/>
    </w:rPr>
  </w:style>
  <w:style w:type="character" w:styleId="SubtleEmphasis">
    <w:name w:val="Subtle Emphasis"/>
    <w:basedOn w:val="DefaultParagraphFont"/>
    <w:uiPriority w:val="19"/>
    <w:qFormat/>
    <w:rsid w:val="004B275A"/>
    <w:rPr>
      <w:i/>
      <w:iCs/>
      <w:color w:val="808080" w:themeColor="text1" w:themeTint="7F"/>
    </w:rPr>
  </w:style>
  <w:style w:type="character" w:styleId="IntenseEmphasis">
    <w:name w:val="Intense Emphasis"/>
    <w:basedOn w:val="DefaultParagraphFont"/>
    <w:uiPriority w:val="21"/>
    <w:qFormat/>
    <w:rsid w:val="004B275A"/>
    <w:rPr>
      <w:b/>
      <w:bCs/>
      <w:i/>
      <w:iCs/>
      <w:color w:val="4F81BD" w:themeColor="accent1"/>
    </w:rPr>
  </w:style>
  <w:style w:type="character" w:styleId="SubtleReference">
    <w:name w:val="Subtle Reference"/>
    <w:basedOn w:val="DefaultParagraphFont"/>
    <w:uiPriority w:val="31"/>
    <w:qFormat/>
    <w:rsid w:val="004B275A"/>
    <w:rPr>
      <w:smallCaps/>
      <w:color w:val="C0504D" w:themeColor="accent2"/>
      <w:u w:val="single"/>
    </w:rPr>
  </w:style>
  <w:style w:type="character" w:styleId="IntenseReference">
    <w:name w:val="Intense Reference"/>
    <w:basedOn w:val="DefaultParagraphFont"/>
    <w:uiPriority w:val="32"/>
    <w:qFormat/>
    <w:rsid w:val="004B275A"/>
    <w:rPr>
      <w:b/>
      <w:bCs/>
      <w:smallCaps/>
      <w:color w:val="C0504D" w:themeColor="accent2"/>
      <w:spacing w:val="5"/>
      <w:u w:val="single"/>
    </w:rPr>
  </w:style>
  <w:style w:type="character" w:styleId="BookTitle">
    <w:name w:val="Book Title"/>
    <w:basedOn w:val="DefaultParagraphFont"/>
    <w:uiPriority w:val="33"/>
    <w:qFormat/>
    <w:rsid w:val="004B275A"/>
    <w:rPr>
      <w:b/>
      <w:bCs/>
      <w:smallCaps/>
      <w:spacing w:val="5"/>
    </w:rPr>
  </w:style>
  <w:style w:type="paragraph" w:customStyle="1" w:styleId="BoxBullet">
    <w:name w:val="Box Bullet"/>
    <w:basedOn w:val="Normal"/>
    <w:rsid w:val="007A5498"/>
    <w:pPr>
      <w:widowControl w:val="0"/>
      <w:numPr>
        <w:numId w:val="31"/>
      </w:numPr>
      <w:spacing w:before="120" w:after="120" w:line="240" w:lineRule="auto"/>
      <w:jc w:val="both"/>
    </w:pPr>
    <w:rPr>
      <w:rFonts w:eastAsia="Times New Roman" w:cs="Arial"/>
      <w:color w:val="000000" w:themeColor="text1"/>
      <w:szCs w:val="20"/>
      <w:lang w:eastAsia="en-AU"/>
    </w:rPr>
  </w:style>
  <w:style w:type="paragraph" w:customStyle="1" w:styleId="BoxDash">
    <w:name w:val="Box Dash"/>
    <w:basedOn w:val="Normal"/>
    <w:rsid w:val="007A5498"/>
    <w:pPr>
      <w:widowControl w:val="0"/>
      <w:numPr>
        <w:ilvl w:val="1"/>
        <w:numId w:val="31"/>
      </w:numPr>
      <w:spacing w:before="120" w:after="120" w:line="240" w:lineRule="auto"/>
      <w:jc w:val="both"/>
    </w:pPr>
    <w:rPr>
      <w:rFonts w:eastAsia="Times New Roman" w:cs="Arial"/>
      <w:color w:val="000000"/>
      <w:lang w:eastAsia="en-AU"/>
    </w:rPr>
  </w:style>
  <w:style w:type="paragraph" w:customStyle="1" w:styleId="BoxDoubleDot">
    <w:name w:val="Box Double Dot"/>
    <w:basedOn w:val="Normal"/>
    <w:rsid w:val="007A5498"/>
    <w:pPr>
      <w:numPr>
        <w:ilvl w:val="2"/>
        <w:numId w:val="31"/>
      </w:numPr>
      <w:spacing w:before="120" w:after="120" w:line="240" w:lineRule="auto"/>
    </w:pPr>
    <w:rPr>
      <w:rFonts w:eastAsia="Times New Roman" w:cs="Times New Roman"/>
      <w:color w:val="000000"/>
      <w:szCs w:val="20"/>
      <w:lang w:eastAsia="en-AU"/>
    </w:rPr>
  </w:style>
  <w:style w:type="paragraph" w:customStyle="1" w:styleId="BoxHeading">
    <w:name w:val="Box Heading"/>
    <w:basedOn w:val="Normal"/>
    <w:next w:val="Normal"/>
    <w:rsid w:val="007A5498"/>
    <w:pPr>
      <w:widowControl w:val="0"/>
      <w:tabs>
        <w:tab w:val="left" w:pos="992"/>
      </w:tabs>
      <w:spacing w:before="120" w:after="120" w:line="240" w:lineRule="auto"/>
      <w:ind w:left="993" w:hanging="993"/>
    </w:pPr>
    <w:rPr>
      <w:rFonts w:eastAsia="Times New Roman" w:cs="Times New Roman"/>
      <w:b/>
      <w:color w:val="4BACC6" w:themeColor="accent5"/>
      <w:sz w:val="24"/>
      <w:lang w:eastAsia="en-AU"/>
    </w:rPr>
  </w:style>
  <w:style w:type="paragraph" w:customStyle="1" w:styleId="BoxQuestions">
    <w:name w:val="Box Questions"/>
    <w:basedOn w:val="Normal"/>
    <w:rsid w:val="007A5498"/>
    <w:pPr>
      <w:widowControl w:val="0"/>
      <w:numPr>
        <w:numId w:val="32"/>
      </w:numPr>
      <w:spacing w:before="120" w:after="120" w:line="240" w:lineRule="auto"/>
      <w:jc w:val="both"/>
    </w:pPr>
    <w:rPr>
      <w:rFonts w:eastAsia="Times New Roman" w:cs="Times New Roman"/>
      <w:lang w:eastAsia="en-AU"/>
    </w:rPr>
  </w:style>
  <w:style w:type="paragraph" w:customStyle="1" w:styleId="BoxBullet-Indent">
    <w:name w:val="Box Bullet - Indent"/>
    <w:basedOn w:val="BoxBullet"/>
    <w:rsid w:val="007A5498"/>
    <w:pPr>
      <w:tabs>
        <w:tab w:val="clear" w:pos="425"/>
        <w:tab w:val="num" w:pos="851"/>
      </w:tabs>
      <w:ind w:left="850"/>
    </w:pPr>
  </w:style>
  <w:style w:type="paragraph" w:customStyle="1" w:styleId="BoxNumbering">
    <w:name w:val="Box Numbering"/>
    <w:basedOn w:val="Normal"/>
    <w:rsid w:val="006B25A4"/>
    <w:pPr>
      <w:numPr>
        <w:numId w:val="34"/>
      </w:numPr>
      <w:spacing w:before="120" w:after="120" w:line="240" w:lineRule="auto"/>
      <w:jc w:val="both"/>
    </w:pPr>
    <w:rPr>
      <w:rFonts w:eastAsia="Times New Roman" w:cs="Arial"/>
      <w:color w:val="00000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4B275A"/>
  </w:style>
  <w:style w:type="paragraph" w:styleId="Heading1">
    <w:name w:val="heading 1"/>
    <w:basedOn w:val="Normal"/>
    <w:next w:val="Normal"/>
    <w:link w:val="Heading1Char"/>
    <w:uiPriority w:val="9"/>
    <w:qFormat/>
    <w:rsid w:val="004B2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7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27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B27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B27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27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275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B27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7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27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27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27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B27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B275A"/>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qFormat/>
    <w:rsid w:val="004B275A"/>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basedOn w:val="Normal"/>
    <w:next w:val="Normal"/>
    <w:link w:val="TitleChar"/>
    <w:uiPriority w:val="10"/>
    <w:qFormat/>
    <w:rsid w:val="004B2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Submission Char"/>
    <w:basedOn w:val="DefaultParagraphFont"/>
    <w:link w:val="Title"/>
    <w:uiPriority w:val="10"/>
    <w:rsid w:val="004B275A"/>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aliases w:val="AJTDE 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4B275A"/>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75A"/>
    <w:pPr>
      <w:ind w:left="720"/>
      <w:contextualSpacing/>
    </w:pPr>
  </w:style>
  <w:style w:type="paragraph" w:styleId="TOCHeading">
    <w:name w:val="TOC Heading"/>
    <w:basedOn w:val="Heading1"/>
    <w:next w:val="Normal"/>
    <w:uiPriority w:val="39"/>
    <w:unhideWhenUsed/>
    <w:qFormat/>
    <w:rsid w:val="004B275A"/>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4B275A"/>
    <w:pPr>
      <w:spacing w:after="0" w:line="240" w:lineRule="auto"/>
    </w:p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basedOn w:val="Normal"/>
    <w:next w:val="Normal"/>
    <w:link w:val="SubtitleChar"/>
    <w:uiPriority w:val="11"/>
    <w:qFormat/>
    <w:rsid w:val="004B2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275A"/>
    <w:rPr>
      <w:rFonts w:asciiTheme="majorHAnsi" w:eastAsiaTheme="majorEastAsia" w:hAnsiTheme="majorHAnsi" w:cstheme="majorBidi"/>
      <w:i/>
      <w:iCs/>
      <w:color w:val="4F81BD" w:themeColor="accent1"/>
      <w:spacing w:val="15"/>
      <w:sz w:val="24"/>
      <w:szCs w:val="24"/>
    </w:rPr>
  </w:style>
  <w:style w:type="character" w:customStyle="1" w:styleId="Heading7Char">
    <w:name w:val="Heading 7 Char"/>
    <w:basedOn w:val="DefaultParagraphFont"/>
    <w:link w:val="Heading7"/>
    <w:uiPriority w:val="9"/>
    <w:semiHidden/>
    <w:rsid w:val="004B275A"/>
    <w:rPr>
      <w:rFonts w:asciiTheme="majorHAnsi" w:eastAsiaTheme="majorEastAsia" w:hAnsiTheme="majorHAnsi" w:cstheme="majorBidi"/>
      <w:i/>
      <w:iCs/>
      <w:color w:val="404040" w:themeColor="text1" w:themeTint="BF"/>
    </w:rPr>
  </w:style>
  <w:style w:type="paragraph" w:customStyle="1" w:styleId="Recommendation">
    <w:name w:val="Recommendation"/>
    <w:basedOn w:val="Normal"/>
    <w:link w:val="RecommendationChar"/>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4B275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B275A"/>
    <w:rPr>
      <w:rFonts w:asciiTheme="majorHAnsi" w:eastAsiaTheme="majorEastAsia" w:hAnsiTheme="majorHAnsi" w:cstheme="majorBidi"/>
      <w:i/>
      <w:iCs/>
      <w:color w:val="404040" w:themeColor="text1" w:themeTint="BF"/>
      <w:sz w:val="20"/>
      <w:szCs w:val="20"/>
    </w:rPr>
  </w:style>
  <w:style w:type="paragraph" w:customStyle="1" w:styleId="Bulletlist1">
    <w:name w:val="Bullet list 1"/>
    <w:basedOn w:val="Normal"/>
    <w:link w:val="Bulletlist1Char"/>
    <w:rsid w:val="00EC1696"/>
    <w:pPr>
      <w:numPr>
        <w:numId w:val="12"/>
      </w:numPr>
    </w:pPr>
  </w:style>
  <w:style w:type="paragraph" w:customStyle="1" w:styleId="Bulletlist2">
    <w:name w:val="Bullet list 2"/>
    <w:basedOn w:val="Bulletlist1"/>
    <w:link w:val="Bulletlist2Char"/>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ind w:left="-754"/>
      <w:contextualSpacing/>
    </w:pPr>
    <w:rPr>
      <w:sz w:val="20"/>
      <w:szCs w:val="20"/>
    </w:rPr>
  </w:style>
  <w:style w:type="paragraph" w:customStyle="1" w:styleId="Celltext">
    <w:name w:val="Cell text"/>
    <w:basedOn w:val="Normal"/>
    <w:rsid w:val="00EC1696"/>
    <w:pPr>
      <w:contextualSpacing/>
    </w:pPr>
    <w:rPr>
      <w:sz w:val="20"/>
    </w:rPr>
  </w:style>
  <w:style w:type="paragraph" w:customStyle="1" w:styleId="Appendixheading1">
    <w:name w:val="Appendix heading 1"/>
    <w:basedOn w:val="Heading1"/>
    <w:next w:val="Normal"/>
    <w:link w:val="Appendixheading1Char"/>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
      <w:bCs/>
      <w:color w:val="365F91" w:themeColor="accent1" w:themeShade="BF"/>
      <w:sz w:val="48"/>
      <w:szCs w:val="28"/>
      <w:lang w:val="en-GB"/>
    </w:rPr>
  </w:style>
  <w:style w:type="paragraph" w:customStyle="1" w:styleId="Appendixheading2">
    <w:name w:val="Appendix heading 2"/>
    <w:basedOn w:val="Heading2"/>
    <w:next w:val="Normal"/>
    <w:link w:val="Appendixheading2Char"/>
    <w:rsid w:val="00047257"/>
    <w:rPr>
      <w:b w:val="0"/>
    </w:rPr>
  </w:style>
  <w:style w:type="character" w:customStyle="1" w:styleId="Appendixheading2Char">
    <w:name w:val="Appendix heading 2 Char"/>
    <w:basedOn w:val="Heading2Char"/>
    <w:link w:val="Appendixheading2"/>
    <w:rsid w:val="00047257"/>
    <w:rPr>
      <w:rFonts w:asciiTheme="majorHAnsi" w:eastAsiaTheme="majorEastAsia" w:hAnsiTheme="majorHAnsi" w:cstheme="majorBidi"/>
      <w:b w:val="0"/>
      <w:bCs/>
      <w:color w:val="4F81BD" w:themeColor="accent1"/>
      <w:sz w:val="26"/>
      <w:szCs w:val="26"/>
    </w:rPr>
  </w:style>
  <w:style w:type="paragraph" w:customStyle="1" w:styleId="Appendixheading3">
    <w:name w:val="Appendix heading 3"/>
    <w:basedOn w:val="Heading3"/>
    <w:next w:val="Normal"/>
    <w:link w:val="Appendixheading3Char"/>
    <w:rsid w:val="00047257"/>
    <w:rPr>
      <w:b w:val="0"/>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val="0"/>
      <w:bCs/>
      <w:iCs w:val="0"/>
      <w:color w:val="4F81BD" w:themeColor="accent1"/>
      <w:sz w:val="24"/>
      <w:szCs w:val="24"/>
      <w:lang w:val="en-US"/>
    </w:rPr>
  </w:style>
  <w:style w:type="paragraph" w:customStyle="1" w:styleId="Blockquote2">
    <w:name w:val="Blockquote 2"/>
    <w:basedOn w:val="Blockquote"/>
    <w:link w:val="Blockquote2Char"/>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0"/>
      </w:numPr>
    </w:pPr>
  </w:style>
  <w:style w:type="character" w:styleId="Emphasis">
    <w:name w:val="Emphasis"/>
    <w:basedOn w:val="DefaultParagraphFont"/>
    <w:uiPriority w:val="20"/>
    <w:qFormat/>
    <w:rsid w:val="004B275A"/>
    <w:rPr>
      <w:i/>
      <w:iCs/>
    </w:rPr>
  </w:style>
  <w:style w:type="paragraph" w:styleId="Quote">
    <w:name w:val="Quote"/>
    <w:basedOn w:val="Normal"/>
    <w:next w:val="Normal"/>
    <w:link w:val="QuoteChar"/>
    <w:uiPriority w:val="29"/>
    <w:qFormat/>
    <w:rsid w:val="004B275A"/>
    <w:rPr>
      <w:i/>
      <w:iCs/>
      <w:color w:val="000000" w:themeColor="text1"/>
    </w:rPr>
  </w:style>
  <w:style w:type="character" w:customStyle="1" w:styleId="QuoteChar">
    <w:name w:val="Quote Char"/>
    <w:basedOn w:val="DefaultParagraphFont"/>
    <w:link w:val="Quote"/>
    <w:uiPriority w:val="29"/>
    <w:rsid w:val="004B275A"/>
    <w:rPr>
      <w:i/>
      <w:iCs/>
      <w:color w:val="000000" w:themeColor="text1"/>
    </w:rPr>
  </w:style>
  <w:style w:type="paragraph" w:styleId="IntenseQuote">
    <w:name w:val="Intense Quote"/>
    <w:basedOn w:val="Normal"/>
    <w:next w:val="Normal"/>
    <w:link w:val="IntenseQuoteChar"/>
    <w:uiPriority w:val="30"/>
    <w:qFormat/>
    <w:rsid w:val="004B27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275A"/>
    <w:rPr>
      <w:b/>
      <w:bCs/>
      <w:i/>
      <w:iCs/>
      <w:color w:val="4F81BD" w:themeColor="accent1"/>
    </w:rPr>
  </w:style>
  <w:style w:type="character" w:styleId="SubtleEmphasis">
    <w:name w:val="Subtle Emphasis"/>
    <w:basedOn w:val="DefaultParagraphFont"/>
    <w:uiPriority w:val="19"/>
    <w:qFormat/>
    <w:rsid w:val="004B275A"/>
    <w:rPr>
      <w:i/>
      <w:iCs/>
      <w:color w:val="808080" w:themeColor="text1" w:themeTint="7F"/>
    </w:rPr>
  </w:style>
  <w:style w:type="character" w:styleId="IntenseEmphasis">
    <w:name w:val="Intense Emphasis"/>
    <w:basedOn w:val="DefaultParagraphFont"/>
    <w:uiPriority w:val="21"/>
    <w:qFormat/>
    <w:rsid w:val="004B275A"/>
    <w:rPr>
      <w:b/>
      <w:bCs/>
      <w:i/>
      <w:iCs/>
      <w:color w:val="4F81BD" w:themeColor="accent1"/>
    </w:rPr>
  </w:style>
  <w:style w:type="character" w:styleId="SubtleReference">
    <w:name w:val="Subtle Reference"/>
    <w:basedOn w:val="DefaultParagraphFont"/>
    <w:uiPriority w:val="31"/>
    <w:qFormat/>
    <w:rsid w:val="004B275A"/>
    <w:rPr>
      <w:smallCaps/>
      <w:color w:val="C0504D" w:themeColor="accent2"/>
      <w:u w:val="single"/>
    </w:rPr>
  </w:style>
  <w:style w:type="character" w:styleId="IntenseReference">
    <w:name w:val="Intense Reference"/>
    <w:basedOn w:val="DefaultParagraphFont"/>
    <w:uiPriority w:val="32"/>
    <w:qFormat/>
    <w:rsid w:val="004B275A"/>
    <w:rPr>
      <w:b/>
      <w:bCs/>
      <w:smallCaps/>
      <w:color w:val="C0504D" w:themeColor="accent2"/>
      <w:spacing w:val="5"/>
      <w:u w:val="single"/>
    </w:rPr>
  </w:style>
  <w:style w:type="character" w:styleId="BookTitle">
    <w:name w:val="Book Title"/>
    <w:basedOn w:val="DefaultParagraphFont"/>
    <w:uiPriority w:val="33"/>
    <w:qFormat/>
    <w:rsid w:val="004B275A"/>
    <w:rPr>
      <w:b/>
      <w:bCs/>
      <w:smallCaps/>
      <w:spacing w:val="5"/>
    </w:rPr>
  </w:style>
  <w:style w:type="paragraph" w:customStyle="1" w:styleId="BoxBullet">
    <w:name w:val="Box Bullet"/>
    <w:basedOn w:val="Normal"/>
    <w:rsid w:val="007A5498"/>
    <w:pPr>
      <w:widowControl w:val="0"/>
      <w:numPr>
        <w:numId w:val="31"/>
      </w:numPr>
      <w:spacing w:before="120" w:after="120" w:line="240" w:lineRule="auto"/>
      <w:jc w:val="both"/>
    </w:pPr>
    <w:rPr>
      <w:rFonts w:eastAsia="Times New Roman" w:cs="Arial"/>
      <w:color w:val="000000" w:themeColor="text1"/>
      <w:szCs w:val="20"/>
      <w:lang w:eastAsia="en-AU"/>
    </w:rPr>
  </w:style>
  <w:style w:type="paragraph" w:customStyle="1" w:styleId="BoxDash">
    <w:name w:val="Box Dash"/>
    <w:basedOn w:val="Normal"/>
    <w:rsid w:val="007A5498"/>
    <w:pPr>
      <w:widowControl w:val="0"/>
      <w:numPr>
        <w:ilvl w:val="1"/>
        <w:numId w:val="31"/>
      </w:numPr>
      <w:spacing w:before="120" w:after="120" w:line="240" w:lineRule="auto"/>
      <w:jc w:val="both"/>
    </w:pPr>
    <w:rPr>
      <w:rFonts w:eastAsia="Times New Roman" w:cs="Arial"/>
      <w:color w:val="000000"/>
      <w:lang w:eastAsia="en-AU"/>
    </w:rPr>
  </w:style>
  <w:style w:type="paragraph" w:customStyle="1" w:styleId="BoxDoubleDot">
    <w:name w:val="Box Double Dot"/>
    <w:basedOn w:val="Normal"/>
    <w:rsid w:val="007A5498"/>
    <w:pPr>
      <w:numPr>
        <w:ilvl w:val="2"/>
        <w:numId w:val="31"/>
      </w:numPr>
      <w:spacing w:before="120" w:after="120" w:line="240" w:lineRule="auto"/>
    </w:pPr>
    <w:rPr>
      <w:rFonts w:eastAsia="Times New Roman" w:cs="Times New Roman"/>
      <w:color w:val="000000"/>
      <w:szCs w:val="20"/>
      <w:lang w:eastAsia="en-AU"/>
    </w:rPr>
  </w:style>
  <w:style w:type="paragraph" w:customStyle="1" w:styleId="BoxHeading">
    <w:name w:val="Box Heading"/>
    <w:basedOn w:val="Normal"/>
    <w:next w:val="Normal"/>
    <w:rsid w:val="007A5498"/>
    <w:pPr>
      <w:widowControl w:val="0"/>
      <w:tabs>
        <w:tab w:val="left" w:pos="992"/>
      </w:tabs>
      <w:spacing w:before="120" w:after="120" w:line="240" w:lineRule="auto"/>
      <w:ind w:left="993" w:hanging="993"/>
    </w:pPr>
    <w:rPr>
      <w:rFonts w:eastAsia="Times New Roman" w:cs="Times New Roman"/>
      <w:b/>
      <w:color w:val="4BACC6" w:themeColor="accent5"/>
      <w:sz w:val="24"/>
      <w:lang w:eastAsia="en-AU"/>
    </w:rPr>
  </w:style>
  <w:style w:type="paragraph" w:customStyle="1" w:styleId="BoxQuestions">
    <w:name w:val="Box Questions"/>
    <w:basedOn w:val="Normal"/>
    <w:rsid w:val="007A5498"/>
    <w:pPr>
      <w:widowControl w:val="0"/>
      <w:numPr>
        <w:numId w:val="32"/>
      </w:numPr>
      <w:spacing w:before="120" w:after="120" w:line="240" w:lineRule="auto"/>
      <w:jc w:val="both"/>
    </w:pPr>
    <w:rPr>
      <w:rFonts w:eastAsia="Times New Roman" w:cs="Times New Roman"/>
      <w:lang w:eastAsia="en-AU"/>
    </w:rPr>
  </w:style>
  <w:style w:type="paragraph" w:customStyle="1" w:styleId="BoxBullet-Indent">
    <w:name w:val="Box Bullet - Indent"/>
    <w:basedOn w:val="BoxBullet"/>
    <w:rsid w:val="007A5498"/>
    <w:pPr>
      <w:tabs>
        <w:tab w:val="clear" w:pos="425"/>
        <w:tab w:val="num" w:pos="851"/>
      </w:tabs>
      <w:ind w:left="850"/>
    </w:pPr>
  </w:style>
  <w:style w:type="paragraph" w:customStyle="1" w:styleId="BoxNumbering">
    <w:name w:val="Box Numbering"/>
    <w:basedOn w:val="Normal"/>
    <w:rsid w:val="006B25A4"/>
    <w:pPr>
      <w:numPr>
        <w:numId w:val="34"/>
      </w:numPr>
      <w:spacing w:before="120" w:after="120" w:line="240" w:lineRule="auto"/>
      <w:jc w:val="both"/>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4321">
      <w:bodyDiv w:val="1"/>
      <w:marLeft w:val="0"/>
      <w:marRight w:val="0"/>
      <w:marTop w:val="0"/>
      <w:marBottom w:val="0"/>
      <w:divBdr>
        <w:top w:val="none" w:sz="0" w:space="0" w:color="auto"/>
        <w:left w:val="none" w:sz="0" w:space="0" w:color="auto"/>
        <w:bottom w:val="none" w:sz="0" w:space="0" w:color="auto"/>
        <w:right w:val="none" w:sz="0" w:space="0" w:color="auto"/>
      </w:divBdr>
    </w:div>
    <w:div w:id="32317231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51108326">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810951017">
      <w:bodyDiv w:val="1"/>
      <w:marLeft w:val="0"/>
      <w:marRight w:val="0"/>
      <w:marTop w:val="0"/>
      <w:marBottom w:val="0"/>
      <w:divBdr>
        <w:top w:val="none" w:sz="0" w:space="0" w:color="auto"/>
        <w:left w:val="none" w:sz="0" w:space="0" w:color="auto"/>
        <w:bottom w:val="none" w:sz="0" w:space="0" w:color="auto"/>
        <w:right w:val="none" w:sz="0" w:space="0" w:color="auto"/>
      </w:divBdr>
    </w:div>
    <w:div w:id="1009254862">
      <w:bodyDiv w:val="1"/>
      <w:marLeft w:val="0"/>
      <w:marRight w:val="0"/>
      <w:marTop w:val="0"/>
      <w:marBottom w:val="0"/>
      <w:divBdr>
        <w:top w:val="none" w:sz="0" w:space="0" w:color="auto"/>
        <w:left w:val="none" w:sz="0" w:space="0" w:color="auto"/>
        <w:bottom w:val="none" w:sz="0" w:space="0" w:color="auto"/>
        <w:right w:val="none" w:sz="0" w:space="0" w:color="auto"/>
      </w:divBdr>
    </w:div>
    <w:div w:id="1090587389">
      <w:bodyDiv w:val="1"/>
      <w:marLeft w:val="0"/>
      <w:marRight w:val="0"/>
      <w:marTop w:val="0"/>
      <w:marBottom w:val="0"/>
      <w:divBdr>
        <w:top w:val="none" w:sz="0" w:space="0" w:color="auto"/>
        <w:left w:val="none" w:sz="0" w:space="0" w:color="auto"/>
        <w:bottom w:val="none" w:sz="0" w:space="0" w:color="auto"/>
        <w:right w:val="none" w:sz="0" w:space="0" w:color="auto"/>
      </w:divBdr>
    </w:div>
    <w:div w:id="1181580621">
      <w:bodyDiv w:val="1"/>
      <w:marLeft w:val="0"/>
      <w:marRight w:val="0"/>
      <w:marTop w:val="0"/>
      <w:marBottom w:val="0"/>
      <w:divBdr>
        <w:top w:val="none" w:sz="0" w:space="0" w:color="auto"/>
        <w:left w:val="none" w:sz="0" w:space="0" w:color="auto"/>
        <w:bottom w:val="none" w:sz="0" w:space="0" w:color="auto"/>
        <w:right w:val="none" w:sz="0" w:space="0" w:color="auto"/>
      </w:divBdr>
    </w:div>
    <w:div w:id="1498885570">
      <w:bodyDiv w:val="1"/>
      <w:marLeft w:val="0"/>
      <w:marRight w:val="0"/>
      <w:marTop w:val="0"/>
      <w:marBottom w:val="0"/>
      <w:divBdr>
        <w:top w:val="none" w:sz="0" w:space="0" w:color="auto"/>
        <w:left w:val="none" w:sz="0" w:space="0" w:color="auto"/>
        <w:bottom w:val="none" w:sz="0" w:space="0" w:color="auto"/>
        <w:right w:val="none" w:sz="0" w:space="0" w:color="auto"/>
      </w:divBdr>
    </w:div>
    <w:div w:id="1798985161">
      <w:bodyDiv w:val="1"/>
      <w:marLeft w:val="0"/>
      <w:marRight w:val="0"/>
      <w:marTop w:val="0"/>
      <w:marBottom w:val="0"/>
      <w:divBdr>
        <w:top w:val="none" w:sz="0" w:space="0" w:color="auto"/>
        <w:left w:val="none" w:sz="0" w:space="0" w:color="auto"/>
        <w:bottom w:val="none" w:sz="0" w:space="0" w:color="auto"/>
        <w:right w:val="none" w:sz="0" w:space="0" w:color="auto"/>
      </w:divBdr>
    </w:div>
    <w:div w:id="18351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cdn.tspace.gov.au/uploads/sites/60/2016/07/Telecommunications_Industry_Ombudsman.pdf" TargetMode="External"/><Relationship Id="rId13" Type="http://schemas.openxmlformats.org/officeDocument/2006/relationships/hyperlink" Target="https://www.choice.com.au/~/media/9abffb328e3c4cd9a9b43a8a0c6d1b6f.ashx" TargetMode="External"/><Relationship Id="rId18" Type="http://schemas.openxmlformats.org/officeDocument/2006/relationships/hyperlink" Target="https://www.consumer.vic.gov.au/resources-and-education/other-languages" TargetMode="External"/><Relationship Id="rId3" Type="http://schemas.openxmlformats.org/officeDocument/2006/relationships/hyperlink" Target="http://www.acma.gov.au/~/media/Research%20and%20Analysis/Report/pdf/ACMA%20Communications%20report%202015-16%20pdf.pdf" TargetMode="External"/><Relationship Id="rId21" Type="http://schemas.openxmlformats.org/officeDocument/2006/relationships/hyperlink" Target="https://www.choice.com.au/~/media/9abffb328e3c4cd9a9b43a8a0c6d1b6f.ashx" TargetMode="External"/><Relationship Id="rId7" Type="http://schemas.openxmlformats.org/officeDocument/2006/relationships/hyperlink" Target="https://cdn.tspace.gov.au/uploads/sites/60/2016/07/Telecommunications_Industry_Ombudsman.pdf" TargetMode="External"/><Relationship Id="rId12" Type="http://schemas.openxmlformats.org/officeDocument/2006/relationships/hyperlink" Target="https://cdn.tspace.gov.au/uploads/sites/60/2016/07/Australian_Communications_Consumer_Action_Network.pdf" TargetMode="External"/><Relationship Id="rId17" Type="http://schemas.openxmlformats.org/officeDocument/2006/relationships/hyperlink" Target="http://www.acma.gov.au/~/media/Research%20and%20Analysis/Report/pdf/ACMA%20Communications%20report%202015-16%20pdf.pdf" TargetMode="External"/><Relationship Id="rId2" Type="http://schemas.openxmlformats.org/officeDocument/2006/relationships/hyperlink" Target="http://www.acma.gov.au/~/media/Research%20and%20Analysis/Report/pdf/ACMA%20Communications%20report%202015-16%20pdf.pdf" TargetMode="External"/><Relationship Id="rId16" Type="http://schemas.openxmlformats.org/officeDocument/2006/relationships/hyperlink" Target="http://www.zdnet.com/article/telstra-launches-smart-home-devices-and-pricing/" TargetMode="External"/><Relationship Id="rId20" Type="http://schemas.openxmlformats.org/officeDocument/2006/relationships/hyperlink" Target="http://www.accc.gov.au/about-us/information-for/consumers-with-disability" TargetMode="External"/><Relationship Id="rId1" Type="http://schemas.openxmlformats.org/officeDocument/2006/relationships/hyperlink" Target="http://www.acma.gov.au/~/media/Research%20and%20Analysis/Report/pdf/ACMA%20Communications%20report%202015-16%20pdf.pdf" TargetMode="External"/><Relationship Id="rId6" Type="http://schemas.openxmlformats.org/officeDocument/2006/relationships/hyperlink" Target="https://cdn.tspace.gov.au/uploads/sites/60/2016/07/Telecommunications_Industry_Ombudsman.pdf" TargetMode="External"/><Relationship Id="rId11" Type="http://schemas.openxmlformats.org/officeDocument/2006/relationships/hyperlink" Target="https://cdn.tspace.gov.au/uploads/sites/60/2016/07/Telecommunications_Industry_Ombudsman.pdf" TargetMode="External"/><Relationship Id="rId5" Type="http://schemas.openxmlformats.org/officeDocument/2006/relationships/hyperlink" Target="https://cdn.tspace.gov.au/uploads/sites/60/2016/07/Telecommunications_Industry_Ombudsman.pdf" TargetMode="External"/><Relationship Id="rId15" Type="http://schemas.openxmlformats.org/officeDocument/2006/relationships/hyperlink" Target="https://www.telstra.com.au/smart-home" TargetMode="External"/><Relationship Id="rId10" Type="http://schemas.openxmlformats.org/officeDocument/2006/relationships/hyperlink" Target="https://cdn.tspace.gov.au/uploads/sites/60/2016/07/Telecommunications_Industry_Ombudsman.pdf" TargetMode="External"/><Relationship Id="rId19" Type="http://schemas.openxmlformats.org/officeDocument/2006/relationships/hyperlink" Target="http://www.accc.gov.au/about-us/information-for/non-english-speaking-background" TargetMode="External"/><Relationship Id="rId4" Type="http://schemas.openxmlformats.org/officeDocument/2006/relationships/hyperlink" Target="https://cdn.tspace.gov.au/uploads/sites/60/2016/07/Telecommunications_Industry_Ombudsman.pdf" TargetMode="External"/><Relationship Id="rId9" Type="http://schemas.openxmlformats.org/officeDocument/2006/relationships/hyperlink" Target="https://cdn.tspace.gov.au/uploads/sites/60/2016/07/Australian_Communications_Consumer_Action_Network.pdf" TargetMode="External"/><Relationship Id="rId14" Type="http://schemas.openxmlformats.org/officeDocument/2006/relationships/hyperlink" Target="https://accan.org.au/files/Submissions/Australian%20Consumer%20Law%20Review%20ACCAN%20submission.pdf" TargetMode="External"/><Relationship Id="rId22" Type="http://schemas.openxmlformats.org/officeDocument/2006/relationships/hyperlink" Target="https://accan.org.au/files/Submissions/Australian%20Consumer%20Law%20Review%20ACCAN%20submi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5B0A-2BE7-440C-9C90-CFBA97E6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4</TotalTime>
  <Pages>9</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ACCAN response to ACL Review Interim Report</dc:title>
  <dc:creator>Una Lawrence</dc:creator>
  <cp:lastModifiedBy>Jax Arnold</cp:lastModifiedBy>
  <cp:revision>4</cp:revision>
  <cp:lastPrinted>2016-12-09T05:40:00Z</cp:lastPrinted>
  <dcterms:created xsi:type="dcterms:W3CDTF">2016-12-09T05:39:00Z</dcterms:created>
  <dcterms:modified xsi:type="dcterms:W3CDTF">2016-12-09T05:42:00Z</dcterms:modified>
  <cp:contentStatus/>
</cp:coreProperties>
</file>