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Pr="003441E5" w:rsidRDefault="00236C46" w:rsidP="00B14DFB">
      <w:pPr>
        <w:pStyle w:val="Title"/>
      </w:pPr>
      <w:r>
        <w:t>Pre-Budget Submission 2018-19</w:t>
      </w:r>
    </w:p>
    <w:p w:rsidR="009F4B9D" w:rsidRPr="003441E5" w:rsidRDefault="009F4B9D" w:rsidP="00B14DFB">
      <w:pPr>
        <w:pStyle w:val="Subtitle"/>
      </w:pPr>
      <w:r w:rsidRPr="003441E5">
        <w:t xml:space="preserve">Submission by the Australian Communications </w:t>
      </w:r>
      <w:r w:rsidR="00236C46">
        <w:t>Consumer Action Network to the Australian Treasury</w:t>
      </w:r>
    </w:p>
    <w:p w:rsidR="009F4B9D" w:rsidRPr="003441E5" w:rsidRDefault="005A5DD0" w:rsidP="00B14DFB">
      <w:pPr>
        <w:pStyle w:val="Subtitle"/>
      </w:pPr>
      <w:r>
        <w:t xml:space="preserve">30 </w:t>
      </w:r>
      <w:r w:rsidR="004427B8">
        <w:t>January 2018</w:t>
      </w:r>
    </w:p>
    <w:p w:rsidR="009F4B9D" w:rsidRPr="003441E5" w:rsidRDefault="009F4B9D" w:rsidP="00A13B92">
      <w:pPr>
        <w:rPr>
          <w:lang w:eastAsia="en-US"/>
        </w:rPr>
      </w:pPr>
      <w:r w:rsidRPr="003441E5">
        <w:rPr>
          <w:lang w:eastAsia="en-US"/>
        </w:rPr>
        <w:br w:type="page"/>
      </w:r>
    </w:p>
    <w:p w:rsidR="009F4B9D" w:rsidRPr="003441E5" w:rsidRDefault="009F4B9D" w:rsidP="00B14DFB">
      <w:pPr>
        <w:pStyle w:val="About"/>
      </w:pPr>
      <w:r w:rsidRPr="003441E5">
        <w:lastRenderedPageBreak/>
        <w:t>Contact</w:t>
      </w:r>
      <w:r w:rsidR="00AB69D1">
        <w:t xml:space="preserve"> ACCAN</w:t>
      </w:r>
    </w:p>
    <w:p w:rsidR="00BF754D" w:rsidRDefault="00D2777E" w:rsidP="00BF754D">
      <w:pPr>
        <w:spacing w:after="0" w:afterAutospacing="0"/>
      </w:pPr>
      <w:r>
        <w:t>PO Box 639</w:t>
      </w:r>
    </w:p>
    <w:p w:rsidR="00BF754D" w:rsidRDefault="00BF754D" w:rsidP="00BF754D">
      <w:pPr>
        <w:spacing w:before="0" w:beforeAutospacing="0"/>
      </w:pPr>
      <w:r>
        <w:t>Broadway</w:t>
      </w:r>
      <w:r w:rsidR="009F4B9D" w:rsidRPr="003441E5">
        <w:t xml:space="preserve"> NSW, 2007</w:t>
      </w:r>
      <w:r w:rsidR="009F4B9D" w:rsidRPr="003441E5">
        <w:br/>
        <w:t xml:space="preserve">Email: </w:t>
      </w:r>
      <w:hyperlink r:id="rId9" w:history="1">
        <w:r w:rsidR="009F4B9D" w:rsidRPr="003441E5">
          <w:rPr>
            <w:rStyle w:val="Hyperlink"/>
          </w:rPr>
          <w:t>info@accan.org.au</w:t>
        </w:r>
      </w:hyperlink>
      <w:r w:rsidR="009F4B9D" w:rsidRPr="003441E5">
        <w:rPr>
          <w:rStyle w:val="Hyperlink"/>
        </w:rPr>
        <w:br/>
      </w:r>
      <w:r w:rsidR="009F4B9D" w:rsidRPr="003441E5">
        <w:t>Phone: (02) 9288 4000</w:t>
      </w:r>
      <w:r w:rsidR="009F4B9D" w:rsidRPr="003441E5">
        <w:br/>
        <w:t>Fax: (02) 9288 4019</w:t>
      </w:r>
      <w:r w:rsidR="009F4B9D" w:rsidRPr="003441E5">
        <w:br/>
      </w:r>
      <w:r>
        <w:t xml:space="preserve">Contact us through the </w:t>
      </w:r>
      <w:hyperlink r:id="rId10" w:history="1">
        <w:r w:rsidRPr="00FE6EAF">
          <w:rPr>
            <w:rStyle w:val="Hyperlink"/>
          </w:rPr>
          <w:t>National Relay Service</w:t>
        </w:r>
      </w:hyperlink>
    </w:p>
    <w:p w:rsidR="009F4B9D" w:rsidRPr="003441E5" w:rsidRDefault="009F4B9D" w:rsidP="00BF754D">
      <w:pPr>
        <w:spacing w:before="0" w:beforeAutospacing="0"/>
      </w:pPr>
    </w:p>
    <w:p w:rsidR="009F4B9D" w:rsidRPr="003441E5" w:rsidRDefault="009F4B9D" w:rsidP="00B14DFB">
      <w:pPr>
        <w:rPr>
          <w:lang w:eastAsia="en-US"/>
        </w:rPr>
      </w:pPr>
    </w:p>
    <w:p w:rsidR="00027253" w:rsidRPr="003441E5" w:rsidRDefault="00955091" w:rsidP="002A629E">
      <w:pPr>
        <w:pStyle w:val="Heading1"/>
      </w:pPr>
      <w:r>
        <w:lastRenderedPageBreak/>
        <w:t>Introduction</w:t>
      </w:r>
    </w:p>
    <w:p w:rsidR="00AB69D1" w:rsidRDefault="00AB69D1" w:rsidP="00AB69D1">
      <w:pPr>
        <w:pStyle w:val="Heading6"/>
        <w:jc w:val="both"/>
        <w:rPr>
          <w:rFonts w:eastAsiaTheme="minorHAnsi"/>
          <w:lang w:val="en-IE"/>
        </w:rPr>
      </w:pPr>
      <w:r>
        <w:rPr>
          <w:rFonts w:eastAsiaTheme="minorHAnsi"/>
          <w:lang w:val="en-IE"/>
        </w:rPr>
        <w:t>About ACCAN</w:t>
      </w:r>
    </w:p>
    <w:p w:rsidR="00AB69D1" w:rsidRPr="003441E5" w:rsidRDefault="00AB69D1" w:rsidP="00AB69D1">
      <w:pPr>
        <w:jc w:val="both"/>
      </w:pPr>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asciiTheme="minorHAnsi" w:hAnsiTheme="minorHAnsi" w:cstheme="minorHAnsi"/>
        </w:rPr>
        <w:t>availability</w:t>
      </w:r>
      <w:r w:rsidRPr="003441E5">
        <w:t>, accessibility and affordability of communications services for all Australians.</w:t>
      </w:r>
    </w:p>
    <w:p w:rsidR="00AB69D1" w:rsidRPr="00AB69D1" w:rsidRDefault="00AB69D1" w:rsidP="00AB69D1">
      <w:pPr>
        <w:jc w:val="both"/>
      </w:pPr>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rsidR="00955091" w:rsidRPr="00826E67" w:rsidRDefault="00955091" w:rsidP="00AB69D1">
      <w:pPr>
        <w:pStyle w:val="Heading6"/>
        <w:jc w:val="both"/>
        <w:rPr>
          <w:rFonts w:eastAsiaTheme="minorHAnsi"/>
          <w:lang w:val="en-IE"/>
        </w:rPr>
      </w:pPr>
      <w:r w:rsidRPr="00826E67">
        <w:rPr>
          <w:rFonts w:eastAsiaTheme="minorHAnsi"/>
          <w:lang w:val="en-IE"/>
        </w:rPr>
        <w:t>Essentiality of communications services</w:t>
      </w:r>
    </w:p>
    <w:p w:rsidR="00955091" w:rsidRPr="00826E67" w:rsidRDefault="00955091" w:rsidP="00AB69D1">
      <w:pPr>
        <w:jc w:val="both"/>
        <w:rPr>
          <w:rFonts w:eastAsiaTheme="minorHAnsi"/>
          <w:lang w:val="en-US" w:eastAsia="en-US"/>
        </w:rPr>
      </w:pPr>
      <w:r w:rsidRPr="00826E67">
        <w:rPr>
          <w:rFonts w:eastAsiaTheme="minorHAnsi"/>
          <w:lang w:val="en-US" w:eastAsia="en-US"/>
        </w:rPr>
        <w:t xml:space="preserve">Telecommunication services have always been essential for public health and safety, but today they are a necessity for participation in civic society and transacting with government, for business operations, productivity and growth.  The economic benefits of digital technology to government and the community as a whole are well established – if 20% more transactions with government were to be conducted online by 2025 it is estimated that this </w:t>
      </w:r>
      <w:r w:rsidR="00DB4164">
        <w:rPr>
          <w:rFonts w:eastAsiaTheme="minorHAnsi"/>
          <w:lang w:val="en-US" w:eastAsia="en-US"/>
        </w:rPr>
        <w:t>would</w:t>
      </w:r>
      <w:r w:rsidRPr="00826E67">
        <w:rPr>
          <w:rFonts w:eastAsiaTheme="minorHAnsi"/>
          <w:lang w:val="en-US" w:eastAsia="en-US"/>
        </w:rPr>
        <w:t xml:space="preserve"> result in productivit</w:t>
      </w:r>
      <w:r w:rsidR="00DB4164">
        <w:rPr>
          <w:rFonts w:eastAsiaTheme="minorHAnsi"/>
          <w:lang w:val="en-US" w:eastAsia="en-US"/>
        </w:rPr>
        <w:t>y, efficiency and other gains</w:t>
      </w:r>
      <w:r w:rsidRPr="00826E67">
        <w:rPr>
          <w:rFonts w:eastAsiaTheme="minorHAnsi"/>
          <w:lang w:val="en-US" w:eastAsia="en-US"/>
        </w:rPr>
        <w:t xml:space="preserve"> to government of approximately $17.9 billion, and overall savings of $8.7 billion to the community.</w:t>
      </w:r>
      <w:r w:rsidRPr="00826E67">
        <w:rPr>
          <w:rFonts w:eastAsiaTheme="minorHAnsi"/>
          <w:vertAlign w:val="superscript"/>
          <w:lang w:val="en-US" w:eastAsia="en-US"/>
        </w:rPr>
        <w:footnoteReference w:id="1"/>
      </w:r>
    </w:p>
    <w:p w:rsidR="00955091" w:rsidRPr="00826E67" w:rsidRDefault="00955091" w:rsidP="00AB69D1">
      <w:pPr>
        <w:pStyle w:val="Heading6"/>
        <w:jc w:val="both"/>
        <w:rPr>
          <w:rFonts w:eastAsiaTheme="minorHAnsi"/>
          <w:lang w:val="en-IE"/>
        </w:rPr>
      </w:pPr>
      <w:r w:rsidRPr="00826E67">
        <w:rPr>
          <w:rFonts w:eastAsiaTheme="minorHAnsi"/>
          <w:lang w:val="en-IE"/>
        </w:rPr>
        <w:t>Market gaps</w:t>
      </w:r>
    </w:p>
    <w:p w:rsidR="00AB69D1" w:rsidRDefault="00955091" w:rsidP="00AB69D1">
      <w:pPr>
        <w:jc w:val="both"/>
        <w:rPr>
          <w:rFonts w:eastAsiaTheme="minorHAnsi"/>
          <w:lang w:val="en-IE" w:eastAsia="en-US"/>
        </w:rPr>
      </w:pPr>
      <w:r w:rsidRPr="00826E67">
        <w:rPr>
          <w:rFonts w:eastAsiaTheme="minorHAnsi"/>
          <w:lang w:val="en-IE" w:eastAsia="en-US"/>
        </w:rPr>
        <w:t>While private sector investment in the telecommunications market is delivering many benefits for consumers in general, there are areas where public sector funding is required for service delivery in geographically unprofitable areas, and to support sectors of the community who are excluded from participation by affordability barriers</w:t>
      </w:r>
      <w:r w:rsidRPr="00826E67">
        <w:rPr>
          <w:rFonts w:eastAsiaTheme="minorHAnsi"/>
          <w:vertAlign w:val="superscript"/>
          <w:lang w:val="en-IE" w:eastAsia="en-US"/>
        </w:rPr>
        <w:footnoteReference w:id="2"/>
      </w:r>
      <w:r w:rsidRPr="00826E67">
        <w:rPr>
          <w:rFonts w:eastAsiaTheme="minorHAnsi"/>
          <w:lang w:val="en-IE" w:eastAsia="en-US"/>
        </w:rPr>
        <w:t>, low levels of digital literacy</w:t>
      </w:r>
      <w:r w:rsidRPr="00826E67">
        <w:rPr>
          <w:rFonts w:eastAsiaTheme="minorHAnsi"/>
          <w:vertAlign w:val="superscript"/>
          <w:lang w:val="en-IE" w:eastAsia="en-US"/>
        </w:rPr>
        <w:footnoteReference w:id="3"/>
      </w:r>
      <w:r w:rsidRPr="00826E67">
        <w:rPr>
          <w:rFonts w:eastAsiaTheme="minorHAnsi"/>
          <w:lang w:val="en-IE" w:eastAsia="en-US"/>
        </w:rPr>
        <w:t xml:space="preserve">, and disability. </w:t>
      </w:r>
    </w:p>
    <w:p w:rsidR="00AB69D1" w:rsidRDefault="00AB69D1">
      <w:pPr>
        <w:spacing w:before="0" w:beforeAutospacing="0" w:after="0" w:afterAutospacing="0"/>
        <w:rPr>
          <w:rFonts w:eastAsiaTheme="minorHAnsi"/>
          <w:lang w:val="en-IE" w:eastAsia="en-US"/>
        </w:rPr>
      </w:pPr>
      <w:r>
        <w:rPr>
          <w:rFonts w:eastAsiaTheme="minorHAnsi"/>
          <w:lang w:val="en-IE" w:eastAsia="en-US"/>
        </w:rPr>
        <w:br w:type="page"/>
      </w:r>
    </w:p>
    <w:p w:rsidR="00886444" w:rsidRDefault="00B4327A" w:rsidP="00613698">
      <w:pPr>
        <w:pStyle w:val="Heading2"/>
      </w:pPr>
      <w:bookmarkStart w:id="0" w:name="_Toc351382482"/>
      <w:bookmarkStart w:id="1" w:name="_Toc351382624"/>
      <w:r>
        <w:lastRenderedPageBreak/>
        <w:t>Summary</w:t>
      </w:r>
      <w:r w:rsidR="008E1CC4" w:rsidRPr="003441E5">
        <w:t xml:space="preserve"> of recommendations</w:t>
      </w:r>
      <w:bookmarkEnd w:id="0"/>
      <w:bookmarkEnd w:id="1"/>
    </w:p>
    <w:p w:rsidR="00621047" w:rsidRPr="00621047" w:rsidRDefault="00621047" w:rsidP="00621047">
      <w:pPr>
        <w:rPr>
          <w:lang w:eastAsia="en-US"/>
        </w:rPr>
      </w:pPr>
      <w:r>
        <w:rPr>
          <w:lang w:eastAsia="en-US"/>
        </w:rPr>
        <w:t>Given the above, ACCAN would like</w:t>
      </w:r>
      <w:r w:rsidR="00F0418C">
        <w:rPr>
          <w:lang w:eastAsia="en-US"/>
        </w:rPr>
        <w:t xml:space="preserve"> to make the following recommen</w:t>
      </w:r>
      <w:r>
        <w:rPr>
          <w:lang w:eastAsia="en-US"/>
        </w:rPr>
        <w:t>dations:</w:t>
      </w:r>
    </w:p>
    <w:p w:rsidR="00955091" w:rsidRPr="00955091" w:rsidRDefault="00EE718D" w:rsidP="00542267">
      <w:pPr>
        <w:pStyle w:val="Recommendation"/>
      </w:pPr>
      <w:r>
        <w:rPr>
          <w:rFonts w:eastAsiaTheme="minorHAnsi"/>
          <w:bCs/>
          <w:lang w:val="en-US"/>
        </w:rPr>
        <w:t>That the Government f</w:t>
      </w:r>
      <w:r w:rsidR="00955091" w:rsidRPr="00955091">
        <w:rPr>
          <w:rFonts w:eastAsiaTheme="minorHAnsi"/>
          <w:bCs/>
          <w:lang w:val="en-US"/>
        </w:rPr>
        <w:t>und</w:t>
      </w:r>
      <w:r>
        <w:rPr>
          <w:rFonts w:eastAsiaTheme="minorHAnsi"/>
          <w:bCs/>
          <w:lang w:val="en-US"/>
        </w:rPr>
        <w:t>s</w:t>
      </w:r>
      <w:r w:rsidR="00955091" w:rsidRPr="00955091">
        <w:rPr>
          <w:rFonts w:eastAsiaTheme="minorHAnsi"/>
          <w:bCs/>
          <w:lang w:val="en-US"/>
        </w:rPr>
        <w:t xml:space="preserve"> further rounds of the Mobile Black S</w:t>
      </w:r>
      <w:r w:rsidR="008A34A1">
        <w:rPr>
          <w:rFonts w:eastAsiaTheme="minorHAnsi"/>
          <w:bCs/>
          <w:lang w:val="en-US"/>
        </w:rPr>
        <w:t>pot Program</w:t>
      </w:r>
      <w:r w:rsidR="00955091" w:rsidRPr="00955091">
        <w:rPr>
          <w:rFonts w:eastAsiaTheme="minorHAnsi"/>
          <w:bCs/>
          <w:lang w:val="en-US"/>
        </w:rPr>
        <w:t xml:space="preserve"> or commit</w:t>
      </w:r>
      <w:r>
        <w:rPr>
          <w:rFonts w:eastAsiaTheme="minorHAnsi"/>
          <w:bCs/>
          <w:lang w:val="en-US"/>
        </w:rPr>
        <w:t>s</w:t>
      </w:r>
      <w:r w:rsidR="00955091" w:rsidRPr="00955091">
        <w:rPr>
          <w:rFonts w:eastAsiaTheme="minorHAnsi"/>
          <w:bCs/>
          <w:lang w:val="en-US"/>
        </w:rPr>
        <w:t xml:space="preserve"> to longer term programs to expand mobile services.  </w:t>
      </w:r>
      <w:r w:rsidR="008A34A1">
        <w:rPr>
          <w:rFonts w:eastAsiaTheme="minorHAnsi"/>
          <w:bCs/>
          <w:lang w:val="en-US"/>
        </w:rPr>
        <w:br/>
      </w:r>
    </w:p>
    <w:p w:rsidR="00955091" w:rsidRPr="00724C22" w:rsidRDefault="00EE718D" w:rsidP="00542267">
      <w:pPr>
        <w:pStyle w:val="Recommendation"/>
      </w:pPr>
      <w:r>
        <w:rPr>
          <w:rFonts w:eastAsiaTheme="minorHAnsi" w:cs="Calibri"/>
          <w:lang w:val="en-US"/>
        </w:rPr>
        <w:t>That the Government a</w:t>
      </w:r>
      <w:r w:rsidR="00724C22" w:rsidRPr="00724C22">
        <w:rPr>
          <w:rFonts w:eastAsiaTheme="minorHAnsi" w:cs="Calibri"/>
          <w:lang w:val="en-US"/>
        </w:rPr>
        <w:t>llocate</w:t>
      </w:r>
      <w:r>
        <w:rPr>
          <w:rFonts w:eastAsiaTheme="minorHAnsi" w:cs="Calibri"/>
          <w:lang w:val="en-US"/>
        </w:rPr>
        <w:t>s</w:t>
      </w:r>
      <w:r w:rsidR="00724C22" w:rsidRPr="00724C22">
        <w:rPr>
          <w:rFonts w:eastAsiaTheme="minorHAnsi" w:cs="Calibri"/>
          <w:lang w:val="en-US"/>
        </w:rPr>
        <w:t xml:space="preserve"> additional funding for an updated Commonwealth Telecommunications Allowance with baseline levels that reflect the real cost of contemporary telecommunications services, and improved targeting to assist those who need it most.  </w:t>
      </w:r>
      <w:r w:rsidR="008A34A1">
        <w:rPr>
          <w:rFonts w:eastAsiaTheme="minorHAnsi" w:cs="Calibri"/>
          <w:lang w:val="en-US"/>
        </w:rPr>
        <w:br/>
      </w:r>
    </w:p>
    <w:p w:rsidR="00D2777E" w:rsidRPr="00D2777E" w:rsidRDefault="00EE718D" w:rsidP="00542267">
      <w:pPr>
        <w:pStyle w:val="Recommendation"/>
      </w:pPr>
      <w:r>
        <w:rPr>
          <w:rFonts w:eastAsiaTheme="minorHAnsi" w:cs="Calibri"/>
          <w:lang w:val="en-US"/>
        </w:rPr>
        <w:t>That the Government i</w:t>
      </w:r>
      <w:r w:rsidR="00446176" w:rsidRPr="00446176">
        <w:rPr>
          <w:rFonts w:eastAsiaTheme="minorHAnsi" w:cs="Calibri"/>
          <w:lang w:val="en-US"/>
        </w:rPr>
        <w:t>nvestigate</w:t>
      </w:r>
      <w:r>
        <w:rPr>
          <w:rFonts w:eastAsiaTheme="minorHAnsi" w:cs="Calibri"/>
          <w:lang w:val="en-US"/>
        </w:rPr>
        <w:t>s</w:t>
      </w:r>
      <w:r w:rsidR="00446176" w:rsidRPr="00446176">
        <w:rPr>
          <w:rFonts w:eastAsiaTheme="minorHAnsi" w:cs="Calibri"/>
          <w:lang w:val="en-US"/>
        </w:rPr>
        <w:t xml:space="preserve"> funding and possibilities for a telecommunications co</w:t>
      </w:r>
      <w:r w:rsidR="008A34A1">
        <w:rPr>
          <w:rFonts w:eastAsiaTheme="minorHAnsi" w:cs="Calibri"/>
          <w:lang w:val="en-US"/>
        </w:rPr>
        <w:t xml:space="preserve">ncession </w:t>
      </w:r>
      <w:r w:rsidR="00446176" w:rsidRPr="00446176">
        <w:rPr>
          <w:rFonts w:eastAsiaTheme="minorHAnsi" w:cs="Calibri"/>
          <w:lang w:val="en-US"/>
        </w:rPr>
        <w:t>that will better target support and ensure that consumers receive an amount that is proportionate to their need.</w:t>
      </w:r>
      <w:r w:rsidR="00D2777E">
        <w:rPr>
          <w:rFonts w:eastAsiaTheme="minorHAnsi" w:cs="Calibri"/>
          <w:lang w:val="en-US"/>
        </w:rPr>
        <w:br/>
      </w:r>
    </w:p>
    <w:p w:rsidR="00724C22" w:rsidRPr="008A34A1" w:rsidRDefault="00D2777E" w:rsidP="00542267">
      <w:pPr>
        <w:pStyle w:val="Recommendation"/>
      </w:pPr>
      <w:r>
        <w:rPr>
          <w:rFonts w:eastAsiaTheme="minorHAnsi" w:cs="Calibri"/>
          <w:lang w:val="en-US"/>
        </w:rPr>
        <w:t xml:space="preserve">That the Government provides funding to assist vulnerable consumers to switch to the NBN. </w:t>
      </w:r>
      <w:r>
        <w:rPr>
          <w:rFonts w:eastAsiaTheme="minorHAnsi" w:cs="Calibri"/>
          <w:lang w:val="en-US"/>
        </w:rPr>
        <w:br/>
      </w:r>
    </w:p>
    <w:p w:rsidR="00955091" w:rsidRPr="00694BE3" w:rsidRDefault="003873F9" w:rsidP="00955091">
      <w:pPr>
        <w:pStyle w:val="Recommendation"/>
      </w:pPr>
      <w:r>
        <w:rPr>
          <w:bCs/>
        </w:rPr>
        <w:t>That the Government a</w:t>
      </w:r>
      <w:r w:rsidR="008A34A1" w:rsidRPr="008A34A1">
        <w:rPr>
          <w:bCs/>
        </w:rPr>
        <w:t>llocate</w:t>
      </w:r>
      <w:r>
        <w:rPr>
          <w:bCs/>
        </w:rPr>
        <w:t>s</w:t>
      </w:r>
      <w:r w:rsidR="008A34A1" w:rsidRPr="008A34A1">
        <w:rPr>
          <w:bCs/>
        </w:rPr>
        <w:t xml:space="preserve"> additional funding to the ACCC to expand its Broadband Performance Monitoring Program to include Fixed Wireless and Satellite areas.</w:t>
      </w:r>
      <w:r w:rsidR="00694BE3">
        <w:rPr>
          <w:bCs/>
        </w:rPr>
        <w:br/>
      </w:r>
    </w:p>
    <w:p w:rsidR="00694BE3" w:rsidRDefault="00694BE3" w:rsidP="00694BE3">
      <w:pPr>
        <w:pStyle w:val="Recommendation"/>
      </w:pPr>
      <w:r>
        <w:t>T</w:t>
      </w:r>
      <w:r w:rsidRPr="00955091">
        <w:t>hat the Government allocate</w:t>
      </w:r>
      <w:r>
        <w:t>s</w:t>
      </w:r>
      <w:r w:rsidRPr="00955091">
        <w:t xml:space="preserve"> </w:t>
      </w:r>
      <w:r>
        <w:br/>
      </w:r>
      <w:r w:rsidRPr="00955091">
        <w:t>dedicated funding in the 2018-19 Budg</w:t>
      </w:r>
      <w:r>
        <w:t>et to introduce permanent audio</w:t>
      </w:r>
      <w:r>
        <w:noBreakHyphen/>
      </w:r>
      <w:r w:rsidRPr="00955091">
        <w:t>description services across all Australian television broadcasters.</w:t>
      </w:r>
      <w:r>
        <w:br/>
      </w:r>
    </w:p>
    <w:p w:rsidR="00694BE3" w:rsidRPr="00694BE3" w:rsidRDefault="00694BE3" w:rsidP="00694BE3">
      <w:pPr>
        <w:pStyle w:val="Recommendation"/>
      </w:pPr>
      <w:r>
        <w:t>That</w:t>
      </w:r>
      <w:r w:rsidRPr="00955091">
        <w:t xml:space="preserve"> the Government allocate</w:t>
      </w:r>
      <w:r w:rsidR="008A6693">
        <w:t>s</w:t>
      </w:r>
      <w:r w:rsidRPr="00955091">
        <w:t xml:space="preserve"> de</w:t>
      </w:r>
      <w:r>
        <w:t>dicated funding in the 2018-19 B</w:t>
      </w:r>
      <w:r w:rsidRPr="00955091">
        <w:t>udget to establish a National Disability Telecommunications Service.</w:t>
      </w:r>
    </w:p>
    <w:p w:rsidR="00955091" w:rsidRDefault="00955091" w:rsidP="00955091">
      <w:pPr>
        <w:pStyle w:val="Heading1"/>
        <w:rPr>
          <w:rFonts w:eastAsiaTheme="minorHAnsi"/>
          <w:lang w:val="en-IE"/>
        </w:rPr>
      </w:pPr>
      <w:r>
        <w:rPr>
          <w:rFonts w:eastAsiaTheme="minorHAnsi"/>
          <w:lang w:val="en-IE"/>
        </w:rPr>
        <w:lastRenderedPageBreak/>
        <w:t>Recommendations</w:t>
      </w:r>
    </w:p>
    <w:p w:rsidR="00955091" w:rsidRDefault="00621047" w:rsidP="00955091">
      <w:pPr>
        <w:pStyle w:val="BodyText1"/>
        <w:rPr>
          <w:rFonts w:asciiTheme="minorHAnsi" w:hAnsiTheme="minorHAnsi" w:cstheme="minorHAnsi"/>
          <w:color w:val="auto"/>
        </w:rPr>
      </w:pPr>
      <w:r>
        <w:rPr>
          <w:rFonts w:asciiTheme="minorHAnsi" w:hAnsiTheme="minorHAnsi" w:cstheme="minorHAnsi"/>
          <w:color w:val="auto"/>
        </w:rPr>
        <w:t xml:space="preserve">The following are priority areas that ACCAN believes are in need of increased government focus and funding.  </w:t>
      </w:r>
    </w:p>
    <w:p w:rsidR="00955091" w:rsidRPr="00AC01F1" w:rsidRDefault="00955091" w:rsidP="00955091">
      <w:pPr>
        <w:pStyle w:val="Heading2"/>
        <w:rPr>
          <w:rFonts w:eastAsiaTheme="minorHAnsi"/>
          <w:lang w:val="en-US"/>
        </w:rPr>
      </w:pPr>
      <w:r w:rsidRPr="00AC01F1">
        <w:rPr>
          <w:rFonts w:eastAsiaTheme="minorHAnsi"/>
          <w:lang w:val="en-US"/>
        </w:rPr>
        <w:t xml:space="preserve">Continued commitment </w:t>
      </w:r>
      <w:r w:rsidR="00D36B68">
        <w:rPr>
          <w:rFonts w:eastAsiaTheme="minorHAnsi"/>
          <w:lang w:val="en-US"/>
        </w:rPr>
        <w:t>to</w:t>
      </w:r>
      <w:r w:rsidRPr="00AC01F1">
        <w:rPr>
          <w:rFonts w:eastAsiaTheme="minorHAnsi"/>
          <w:lang w:val="en-US"/>
        </w:rPr>
        <w:t xml:space="preserve"> further mobile network expansion</w:t>
      </w:r>
    </w:p>
    <w:p w:rsidR="00B141E4" w:rsidRDefault="00B07DF5" w:rsidP="00B07DF5">
      <w:pPr>
        <w:jc w:val="both"/>
      </w:pPr>
      <w:r w:rsidRPr="00826E67">
        <w:rPr>
          <w:rFonts w:eastAsiaTheme="minorHAnsi"/>
          <w:lang w:val="en-IE" w:eastAsia="en-IE"/>
        </w:rPr>
        <w:t xml:space="preserve">Expansion </w:t>
      </w:r>
      <w:r>
        <w:rPr>
          <w:rFonts w:eastAsiaTheme="minorHAnsi"/>
          <w:lang w:val="en-IE" w:eastAsia="en-IE"/>
        </w:rPr>
        <w:t xml:space="preserve">and improvement </w:t>
      </w:r>
      <w:r w:rsidRPr="00826E67">
        <w:rPr>
          <w:rFonts w:eastAsiaTheme="minorHAnsi"/>
          <w:lang w:val="en-IE" w:eastAsia="en-IE"/>
        </w:rPr>
        <w:t xml:space="preserve">of mobile coverage is </w:t>
      </w:r>
      <w:r>
        <w:rPr>
          <w:rFonts w:eastAsiaTheme="minorHAnsi"/>
          <w:lang w:val="en-IE" w:eastAsia="en-IE"/>
        </w:rPr>
        <w:t xml:space="preserve">a priority issue for </w:t>
      </w:r>
      <w:r w:rsidRPr="00826E67">
        <w:rPr>
          <w:rFonts w:eastAsiaTheme="minorHAnsi"/>
          <w:lang w:val="en-IE" w:eastAsia="en-IE"/>
        </w:rPr>
        <w:t xml:space="preserve">regional and rural </w:t>
      </w:r>
      <w:r>
        <w:rPr>
          <w:rFonts w:eastAsiaTheme="minorHAnsi"/>
          <w:lang w:val="en-IE" w:eastAsia="en-IE"/>
        </w:rPr>
        <w:t>Australia</w:t>
      </w:r>
      <w:r>
        <w:rPr>
          <w:rFonts w:eastAsiaTheme="minorHAnsi"/>
          <w:lang w:val="en-IE" w:eastAsia="en-IE"/>
        </w:rPr>
        <w:t>.</w:t>
      </w:r>
      <w:r w:rsidRPr="00826E67">
        <w:rPr>
          <w:rFonts w:eastAsiaTheme="minorHAnsi"/>
          <w:lang w:val="en-IE" w:eastAsia="en-IE"/>
        </w:rPr>
        <w:t xml:space="preserve"> </w:t>
      </w:r>
      <w:r w:rsidR="00955091" w:rsidRPr="00826E67">
        <w:rPr>
          <w:rFonts w:eastAsiaTheme="minorHAnsi"/>
          <w:lang w:val="en-IE" w:eastAsia="en-IE"/>
        </w:rPr>
        <w:t xml:space="preserve">Current and previous programs have resulted in further coverage. However, there remain premises, vital community areas and high traffic areas that are at risk from having no mobile coverage. Continuation of publically funded mobile network expansion, through the Mobile Black Spot Programme </w:t>
      </w:r>
      <w:r w:rsidR="005825C1">
        <w:rPr>
          <w:rFonts w:eastAsiaTheme="minorHAnsi"/>
          <w:lang w:val="en-IE" w:eastAsia="en-IE"/>
        </w:rPr>
        <w:t xml:space="preserve">(the program) </w:t>
      </w:r>
      <w:r w:rsidR="00955091" w:rsidRPr="00826E67">
        <w:rPr>
          <w:rFonts w:eastAsiaTheme="minorHAnsi"/>
          <w:lang w:val="en-IE" w:eastAsia="en-IE"/>
        </w:rPr>
        <w:t>or similar, to maximise infrastructure sharing by all network providers, needs to be guaranteed and funding committed. As expansion is required into more remote areas the funding and conditions required to meet community needs will require increased flexibility from the program.</w:t>
      </w:r>
      <w:r w:rsidR="00955091" w:rsidRPr="0075293E">
        <w:t xml:space="preserve"> </w:t>
      </w:r>
    </w:p>
    <w:p w:rsidR="00955091" w:rsidRPr="00826E67" w:rsidRDefault="00955091" w:rsidP="00B07DF5">
      <w:pPr>
        <w:jc w:val="both"/>
        <w:rPr>
          <w:rFonts w:eastAsiaTheme="minorHAnsi"/>
          <w:lang w:val="en-IE" w:eastAsia="en-IE"/>
        </w:rPr>
      </w:pPr>
      <w:r>
        <w:t xml:space="preserve">Mobile broadband is an important contributor to the economy, with an estimated </w:t>
      </w:r>
      <w:r w:rsidRPr="0075293E">
        <w:rPr>
          <w:rFonts w:eastAsiaTheme="minorHAnsi"/>
          <w:lang w:eastAsia="en-IE"/>
        </w:rPr>
        <w:t>2.28 per cent contribution to Australia’s total GDP</w:t>
      </w:r>
      <w:r>
        <w:rPr>
          <w:rFonts w:eastAsiaTheme="minorHAnsi"/>
          <w:lang w:eastAsia="en-IE"/>
        </w:rPr>
        <w:t xml:space="preserve"> in 2013</w:t>
      </w:r>
      <w:r w:rsidRPr="0075293E">
        <w:rPr>
          <w:rFonts w:eastAsiaTheme="minorHAnsi"/>
          <w:lang w:eastAsia="en-IE"/>
        </w:rPr>
        <w:t>.</w:t>
      </w:r>
      <w:r>
        <w:rPr>
          <w:rStyle w:val="FootnoteReference"/>
          <w:rFonts w:eastAsiaTheme="minorHAnsi"/>
          <w:lang w:eastAsia="en-IE"/>
        </w:rPr>
        <w:footnoteReference w:id="4"/>
      </w:r>
      <w:r>
        <w:rPr>
          <w:rFonts w:eastAsiaTheme="minorHAnsi"/>
          <w:lang w:eastAsia="en-IE"/>
        </w:rPr>
        <w:t xml:space="preserve"> Funding further rounds of mobile expansion </w:t>
      </w:r>
      <w:r w:rsidR="00B141E4">
        <w:rPr>
          <w:rFonts w:eastAsiaTheme="minorHAnsi"/>
          <w:lang w:eastAsia="en-IE"/>
        </w:rPr>
        <w:t>will fuel economic growth by increasing productivity and participation.  Deloitte Access Economics found in 2016 that mobile technologies contribute $34b to Australia’s economy. Mobile has also contributed an additional $8.9b to labour force participation.</w:t>
      </w:r>
      <w:r w:rsidR="00B141E4">
        <w:rPr>
          <w:rStyle w:val="FootnoteReference"/>
          <w:rFonts w:eastAsiaTheme="minorHAnsi"/>
          <w:lang w:eastAsia="en-IE"/>
        </w:rPr>
        <w:footnoteReference w:id="5"/>
      </w:r>
    </w:p>
    <w:p w:rsidR="00955091" w:rsidRPr="00826E67" w:rsidRDefault="00D2777E" w:rsidP="00B07DF5">
      <w:pPr>
        <w:jc w:val="both"/>
        <w:rPr>
          <w:rFonts w:eastAsiaTheme="minorHAnsi"/>
          <w:lang w:val="en-US" w:eastAsia="en-US"/>
        </w:rPr>
      </w:pPr>
      <w:r>
        <w:rPr>
          <w:rFonts w:eastAsiaTheme="minorHAnsi"/>
          <w:lang w:val="en-US" w:eastAsia="en-US"/>
        </w:rPr>
        <w:t>Rounds 1 and 2 of the program</w:t>
      </w:r>
      <w:r w:rsidR="00955091" w:rsidRPr="00826E67">
        <w:rPr>
          <w:rFonts w:eastAsiaTheme="minorHAnsi"/>
          <w:lang w:val="en-US" w:eastAsia="en-US"/>
        </w:rPr>
        <w:t xml:space="preserve"> represent the type of successful co-investment model that is needed to </w:t>
      </w:r>
      <w:r w:rsidR="005825C1">
        <w:rPr>
          <w:rFonts w:eastAsiaTheme="minorHAnsi"/>
          <w:lang w:val="en-US" w:eastAsia="en-US"/>
        </w:rPr>
        <w:t>expand</w:t>
      </w:r>
      <w:r w:rsidR="00955091" w:rsidRPr="00826E67">
        <w:rPr>
          <w:rFonts w:eastAsiaTheme="minorHAnsi"/>
          <w:lang w:val="en-US" w:eastAsia="en-US"/>
        </w:rPr>
        <w:t xml:space="preserve"> mobile coverage in rural and remote Australia. We urge the Australian Government to commit beyond Round </w:t>
      </w:r>
      <w:r w:rsidR="00955091">
        <w:rPr>
          <w:rFonts w:eastAsiaTheme="minorHAnsi"/>
          <w:lang w:val="en-US" w:eastAsia="en-US"/>
        </w:rPr>
        <w:t>3</w:t>
      </w:r>
      <w:r w:rsidR="00955091" w:rsidRPr="00826E67">
        <w:rPr>
          <w:rFonts w:eastAsiaTheme="minorHAnsi"/>
          <w:lang w:val="en-US" w:eastAsia="en-US"/>
        </w:rPr>
        <w:t xml:space="preserve"> of the program to longer</w:t>
      </w:r>
      <w:r w:rsidR="005825C1">
        <w:rPr>
          <w:rFonts w:eastAsiaTheme="minorHAnsi"/>
          <w:lang w:val="en-US" w:eastAsia="en-US"/>
        </w:rPr>
        <w:t>-</w:t>
      </w:r>
      <w:r w:rsidR="00955091" w:rsidRPr="00826E67">
        <w:rPr>
          <w:rFonts w:eastAsiaTheme="minorHAnsi"/>
          <w:lang w:val="en-US" w:eastAsia="en-US"/>
        </w:rPr>
        <w:t xml:space="preserve">term programs, designed for greater open access by mobile networks to publically funded infrastructure, to encourage efficient use of resources and avoid costly duplication of infrastructure. </w:t>
      </w:r>
    </w:p>
    <w:p w:rsidR="00550BBC" w:rsidRDefault="00955091" w:rsidP="00B07DF5">
      <w:pPr>
        <w:jc w:val="both"/>
        <w:rPr>
          <w:rFonts w:eastAsiaTheme="minorHAnsi"/>
          <w:lang w:val="en-US" w:eastAsia="en-US"/>
        </w:rPr>
      </w:pPr>
      <w:r w:rsidRPr="00826E67">
        <w:rPr>
          <w:rFonts w:eastAsiaTheme="minorHAnsi"/>
          <w:lang w:val="en-US" w:eastAsia="en-US"/>
        </w:rPr>
        <w:t xml:space="preserve">ACCAN </w:t>
      </w:r>
      <w:r w:rsidR="00550BBC">
        <w:rPr>
          <w:rFonts w:eastAsiaTheme="minorHAnsi"/>
          <w:lang w:val="en-US" w:eastAsia="en-US"/>
        </w:rPr>
        <w:t xml:space="preserve">notes that the community initially nominated 6,221 black spots on the Department of Communications database in December 2016. This total rose to 10,802 during the Round 2 consultation. We estimate that Rounds 1, </w:t>
      </w:r>
      <w:r w:rsidR="00D2777E">
        <w:rPr>
          <w:rFonts w:eastAsiaTheme="minorHAnsi"/>
          <w:lang w:val="en-US" w:eastAsia="en-US"/>
        </w:rPr>
        <w:t>2 and 3 of the program</w:t>
      </w:r>
      <w:r w:rsidR="00550BBC">
        <w:rPr>
          <w:rFonts w:eastAsiaTheme="minorHAnsi"/>
          <w:lang w:val="en-US" w:eastAsia="en-US"/>
        </w:rPr>
        <w:t xml:space="preserve"> may cover up to 5,356 black spots, leaving approximately 5,446 remaining. It is also </w:t>
      </w:r>
      <w:r w:rsidR="00612958">
        <w:rPr>
          <w:rFonts w:eastAsiaTheme="minorHAnsi"/>
          <w:lang w:val="en-US" w:eastAsia="en-US"/>
        </w:rPr>
        <w:t xml:space="preserve">highly likely </w:t>
      </w:r>
      <w:r w:rsidR="00550BBC">
        <w:rPr>
          <w:rFonts w:eastAsiaTheme="minorHAnsi"/>
          <w:lang w:val="en-US" w:eastAsia="en-US"/>
        </w:rPr>
        <w:t>that there are a number of other areas where black spots exist, that have not been nominated</w:t>
      </w:r>
      <w:r w:rsidR="00612958">
        <w:rPr>
          <w:rFonts w:eastAsiaTheme="minorHAnsi"/>
          <w:lang w:val="en-US" w:eastAsia="en-US"/>
        </w:rPr>
        <w:t xml:space="preserve"> as many communities were not aware of the call for contributions</w:t>
      </w:r>
      <w:r w:rsidR="00550BBC">
        <w:rPr>
          <w:rFonts w:eastAsiaTheme="minorHAnsi"/>
          <w:lang w:val="en-US" w:eastAsia="en-US"/>
        </w:rPr>
        <w:t xml:space="preserve">. </w:t>
      </w:r>
    </w:p>
    <w:p w:rsidR="00955091" w:rsidRPr="00826E67" w:rsidRDefault="00550BBC" w:rsidP="00B07DF5">
      <w:pPr>
        <w:jc w:val="both"/>
        <w:rPr>
          <w:rFonts w:eastAsiaTheme="minorHAnsi"/>
          <w:lang w:val="en-US" w:eastAsia="en-US"/>
        </w:rPr>
      </w:pPr>
      <w:r>
        <w:rPr>
          <w:rFonts w:eastAsiaTheme="minorHAnsi"/>
          <w:lang w:val="en-US" w:eastAsia="en-US"/>
        </w:rPr>
        <w:t xml:space="preserve">In order to address this demand, ACCAN </w:t>
      </w:r>
      <w:r w:rsidR="00955091" w:rsidRPr="00826E67">
        <w:rPr>
          <w:rFonts w:eastAsiaTheme="minorHAnsi"/>
          <w:lang w:val="en-US" w:eastAsia="en-US"/>
        </w:rPr>
        <w:t>recommends that the Government commit</w:t>
      </w:r>
      <w:r w:rsidR="005825C1">
        <w:rPr>
          <w:rFonts w:eastAsiaTheme="minorHAnsi"/>
          <w:lang w:val="en-US" w:eastAsia="en-US"/>
        </w:rPr>
        <w:t>s</w:t>
      </w:r>
      <w:r w:rsidR="00955091" w:rsidRPr="00826E67">
        <w:rPr>
          <w:rFonts w:eastAsiaTheme="minorHAnsi"/>
          <w:lang w:val="en-US" w:eastAsia="en-US"/>
        </w:rPr>
        <w:t xml:space="preserve"> at least $</w:t>
      </w:r>
      <w:r>
        <w:rPr>
          <w:rFonts w:eastAsiaTheme="minorHAnsi"/>
          <w:lang w:val="en-US" w:eastAsia="en-US"/>
        </w:rPr>
        <w:t>100m</w:t>
      </w:r>
      <w:r w:rsidR="00955091" w:rsidRPr="00826E67">
        <w:rPr>
          <w:rFonts w:eastAsiaTheme="minorHAnsi"/>
          <w:lang w:val="en-US" w:eastAsia="en-US"/>
        </w:rPr>
        <w:t xml:space="preserve"> each year </w:t>
      </w:r>
      <w:r w:rsidR="00955091">
        <w:rPr>
          <w:rFonts w:eastAsiaTheme="minorHAnsi"/>
          <w:lang w:val="en-US" w:eastAsia="en-US"/>
        </w:rPr>
        <w:t>to</w:t>
      </w:r>
      <w:r w:rsidR="00955091" w:rsidRPr="00826E67">
        <w:rPr>
          <w:rFonts w:eastAsiaTheme="minorHAnsi"/>
          <w:lang w:val="en-US" w:eastAsia="en-US"/>
        </w:rPr>
        <w:t xml:space="preserve"> the Mobile Black Spot Program, or equivalent program, which </w:t>
      </w:r>
      <w:proofErr w:type="spellStart"/>
      <w:r w:rsidR="00955091" w:rsidRPr="00826E67">
        <w:rPr>
          <w:rFonts w:eastAsiaTheme="minorHAnsi"/>
          <w:lang w:val="en-US" w:eastAsia="en-US"/>
        </w:rPr>
        <w:t>prioritises</w:t>
      </w:r>
      <w:proofErr w:type="spellEnd"/>
      <w:r w:rsidR="00955091" w:rsidRPr="00826E67">
        <w:rPr>
          <w:rFonts w:eastAsiaTheme="minorHAnsi"/>
          <w:lang w:val="en-US" w:eastAsia="en-US"/>
        </w:rPr>
        <w:t xml:space="preserve"> community</w:t>
      </w:r>
      <w:r w:rsidR="005825C1">
        <w:rPr>
          <w:rFonts w:eastAsiaTheme="minorHAnsi"/>
          <w:lang w:val="en-US" w:eastAsia="en-US"/>
        </w:rPr>
        <w:t>-</w:t>
      </w:r>
      <w:r w:rsidR="00955091" w:rsidRPr="00826E67">
        <w:rPr>
          <w:rFonts w:eastAsiaTheme="minorHAnsi"/>
          <w:lang w:val="en-US" w:eastAsia="en-US"/>
        </w:rPr>
        <w:t xml:space="preserve">identified areas </w:t>
      </w:r>
      <w:r w:rsidR="005825C1">
        <w:rPr>
          <w:rFonts w:eastAsiaTheme="minorHAnsi"/>
          <w:lang w:val="en-US" w:eastAsia="en-US"/>
        </w:rPr>
        <w:t xml:space="preserve">of need, </w:t>
      </w:r>
      <w:r w:rsidR="00955091" w:rsidRPr="00826E67">
        <w:rPr>
          <w:rFonts w:eastAsiaTheme="minorHAnsi"/>
          <w:lang w:val="en-US" w:eastAsia="en-US"/>
        </w:rPr>
        <w:t xml:space="preserve">and open access facilities. </w:t>
      </w:r>
    </w:p>
    <w:p w:rsidR="00955091" w:rsidRPr="00826E67" w:rsidRDefault="00955091" w:rsidP="00B07DF5">
      <w:pPr>
        <w:jc w:val="both"/>
        <w:rPr>
          <w:rFonts w:eastAsiaTheme="minorHAnsi"/>
          <w:lang w:val="en-US" w:eastAsia="en-US"/>
        </w:rPr>
      </w:pPr>
      <w:r>
        <w:rPr>
          <w:rFonts w:eastAsiaTheme="minorHAnsi"/>
          <w:b/>
          <w:bCs/>
          <w:lang w:val="en-US" w:eastAsia="en-US"/>
        </w:rPr>
        <w:t>Recommendation</w:t>
      </w:r>
      <w:r w:rsidRPr="00826E67">
        <w:rPr>
          <w:rFonts w:eastAsiaTheme="minorHAnsi"/>
          <w:b/>
          <w:bCs/>
          <w:lang w:val="en-US" w:eastAsia="en-US"/>
        </w:rPr>
        <w:t>: Fund further rounds of the Mobile Black</w:t>
      </w:r>
      <w:r>
        <w:rPr>
          <w:rFonts w:eastAsiaTheme="minorHAnsi"/>
          <w:b/>
          <w:bCs/>
          <w:lang w:val="en-US" w:eastAsia="en-US"/>
        </w:rPr>
        <w:t xml:space="preserve"> S</w:t>
      </w:r>
      <w:r w:rsidRPr="00826E67">
        <w:rPr>
          <w:rFonts w:eastAsiaTheme="minorHAnsi"/>
          <w:b/>
          <w:bCs/>
          <w:lang w:val="en-US" w:eastAsia="en-US"/>
        </w:rPr>
        <w:t>pot Program</w:t>
      </w:r>
      <w:r>
        <w:rPr>
          <w:rFonts w:eastAsiaTheme="minorHAnsi"/>
          <w:b/>
          <w:bCs/>
          <w:lang w:val="en-US" w:eastAsia="en-US"/>
        </w:rPr>
        <w:t xml:space="preserve"> or</w:t>
      </w:r>
      <w:r w:rsidR="00550BBC">
        <w:rPr>
          <w:rFonts w:eastAsiaTheme="minorHAnsi"/>
          <w:b/>
          <w:bCs/>
          <w:lang w:val="en-US" w:eastAsia="en-US"/>
        </w:rPr>
        <w:t xml:space="preserve"> significant</w:t>
      </w:r>
      <w:r>
        <w:rPr>
          <w:rFonts w:eastAsiaTheme="minorHAnsi"/>
          <w:b/>
          <w:bCs/>
          <w:lang w:val="en-US" w:eastAsia="en-US"/>
        </w:rPr>
        <w:t xml:space="preserve"> </w:t>
      </w:r>
      <w:r w:rsidR="00550BBC">
        <w:rPr>
          <w:rFonts w:eastAsiaTheme="minorHAnsi"/>
          <w:b/>
          <w:bCs/>
          <w:lang w:val="en-US" w:eastAsia="en-US"/>
        </w:rPr>
        <w:t xml:space="preserve">commitment </w:t>
      </w:r>
      <w:r w:rsidRPr="00826E67">
        <w:rPr>
          <w:rFonts w:eastAsiaTheme="minorHAnsi"/>
          <w:b/>
          <w:bCs/>
          <w:lang w:val="en-US" w:eastAsia="en-US"/>
        </w:rPr>
        <w:t>to longer</w:t>
      </w:r>
      <w:r w:rsidR="00DE3597">
        <w:rPr>
          <w:rFonts w:eastAsiaTheme="minorHAnsi"/>
          <w:b/>
          <w:bCs/>
          <w:lang w:val="en-US" w:eastAsia="en-US"/>
        </w:rPr>
        <w:noBreakHyphen/>
      </w:r>
      <w:r w:rsidRPr="00826E67">
        <w:rPr>
          <w:rFonts w:eastAsiaTheme="minorHAnsi"/>
          <w:b/>
          <w:bCs/>
          <w:lang w:val="en-US" w:eastAsia="en-US"/>
        </w:rPr>
        <w:t>term programs to expand mobile services</w:t>
      </w:r>
      <w:r>
        <w:rPr>
          <w:rFonts w:eastAsiaTheme="minorHAnsi"/>
          <w:b/>
          <w:bCs/>
          <w:lang w:val="en-US" w:eastAsia="en-US"/>
        </w:rPr>
        <w:t>.</w:t>
      </w:r>
      <w:r w:rsidRPr="00826E67">
        <w:rPr>
          <w:rFonts w:eastAsiaTheme="minorHAnsi"/>
          <w:b/>
          <w:bCs/>
          <w:lang w:val="en-US" w:eastAsia="en-US"/>
        </w:rPr>
        <w:t xml:space="preserve">  </w:t>
      </w:r>
    </w:p>
    <w:p w:rsidR="00955091" w:rsidRPr="000D2961" w:rsidRDefault="00955091" w:rsidP="00724C22">
      <w:pPr>
        <w:pStyle w:val="Heading2"/>
        <w:rPr>
          <w:rFonts w:eastAsiaTheme="minorHAnsi"/>
          <w:lang w:val="en-US"/>
        </w:rPr>
      </w:pPr>
      <w:r w:rsidRPr="000D2961">
        <w:rPr>
          <w:rFonts w:eastAsiaTheme="minorHAnsi"/>
          <w:lang w:val="en-US"/>
        </w:rPr>
        <w:lastRenderedPageBreak/>
        <w:t>Low</w:t>
      </w:r>
      <w:r>
        <w:rPr>
          <w:rFonts w:eastAsiaTheme="minorHAnsi"/>
          <w:lang w:val="en-US"/>
        </w:rPr>
        <w:t>-</w:t>
      </w:r>
      <w:r w:rsidRPr="000D2961">
        <w:rPr>
          <w:rFonts w:eastAsiaTheme="minorHAnsi"/>
          <w:lang w:val="en-US"/>
        </w:rPr>
        <w:t>income measures</w:t>
      </w:r>
      <w:r w:rsidR="00180034">
        <w:rPr>
          <w:rFonts w:eastAsiaTheme="minorHAnsi"/>
          <w:lang w:val="en-US"/>
        </w:rPr>
        <w:t>:</w:t>
      </w:r>
      <w:r w:rsidRPr="000D2961">
        <w:rPr>
          <w:rFonts w:eastAsiaTheme="minorHAnsi"/>
          <w:lang w:val="en-US"/>
        </w:rPr>
        <w:t xml:space="preserve"> Review of the Centrelink Telephone Allowance (CTA)</w:t>
      </w:r>
      <w:r w:rsidRPr="00AC01F1">
        <w:rPr>
          <w:rFonts w:eastAsiaTheme="minorHAnsi"/>
          <w:lang w:val="en-US"/>
        </w:rPr>
        <w:t xml:space="preserve"> and investigation into a F</w:t>
      </w:r>
      <w:r w:rsidR="009D45C9">
        <w:rPr>
          <w:rFonts w:eastAsiaTheme="minorHAnsi"/>
          <w:lang w:val="en-US"/>
        </w:rPr>
        <w:t>ederal Telecommunications C</w:t>
      </w:r>
      <w:r w:rsidRPr="000D2961">
        <w:rPr>
          <w:rFonts w:eastAsiaTheme="minorHAnsi"/>
          <w:lang w:val="en-US"/>
        </w:rPr>
        <w:t>oncession</w:t>
      </w:r>
    </w:p>
    <w:p w:rsidR="00955091" w:rsidRPr="000D2961" w:rsidRDefault="00180034" w:rsidP="00B07DF5">
      <w:pPr>
        <w:jc w:val="both"/>
        <w:rPr>
          <w:rFonts w:eastAsiaTheme="minorHAnsi"/>
          <w:lang w:val="en-US" w:eastAsia="en-US"/>
        </w:rPr>
      </w:pPr>
      <w:r>
        <w:rPr>
          <w:rFonts w:eastAsiaTheme="minorHAnsi"/>
          <w:lang w:val="en-US" w:eastAsia="en-US"/>
        </w:rPr>
        <w:t>C</w:t>
      </w:r>
      <w:r w:rsidR="00955091" w:rsidRPr="000D2961">
        <w:rPr>
          <w:rFonts w:eastAsiaTheme="minorHAnsi"/>
          <w:lang w:val="en-US" w:eastAsia="en-US"/>
        </w:rPr>
        <w:t>urrent Commonwealth assistance available to help low-income Australians get and stay connected to phones and the internet is inadequate and poorly targeted. The current CTA payment rates and eligibility criteria no longer effectively meet the needs of low</w:t>
      </w:r>
      <w:r w:rsidR="00955091">
        <w:rPr>
          <w:rFonts w:eastAsiaTheme="minorHAnsi"/>
          <w:lang w:val="en-US" w:eastAsia="en-US"/>
        </w:rPr>
        <w:t>-</w:t>
      </w:r>
      <w:r w:rsidR="00955091" w:rsidRPr="000D2961">
        <w:rPr>
          <w:rFonts w:eastAsiaTheme="minorHAnsi"/>
          <w:lang w:val="en-US" w:eastAsia="en-US"/>
        </w:rPr>
        <w:t xml:space="preserve">income consumers. A recent ACCAN/South Australian Council of Social Services </w:t>
      </w:r>
      <w:r w:rsidR="00955091">
        <w:rPr>
          <w:rFonts w:eastAsiaTheme="minorHAnsi"/>
          <w:lang w:val="en-US" w:eastAsia="en-US"/>
        </w:rPr>
        <w:t xml:space="preserve">(SACOSS) </w:t>
      </w:r>
      <w:r w:rsidR="00955091" w:rsidRPr="000D2961">
        <w:rPr>
          <w:rFonts w:eastAsiaTheme="minorHAnsi"/>
          <w:lang w:val="en-US" w:eastAsia="en-US"/>
        </w:rPr>
        <w:t>report found clear evidence of a digital divide where low</w:t>
      </w:r>
      <w:r w:rsidR="00955091">
        <w:rPr>
          <w:rFonts w:eastAsiaTheme="minorHAnsi"/>
          <w:lang w:val="en-US" w:eastAsia="en-US"/>
        </w:rPr>
        <w:t>-</w:t>
      </w:r>
      <w:r w:rsidR="00955091" w:rsidRPr="000D2961">
        <w:rPr>
          <w:rFonts w:eastAsiaTheme="minorHAnsi"/>
          <w:lang w:val="en-US" w:eastAsia="en-US"/>
        </w:rPr>
        <w:t>income consumers are missing out on telecommunications because of affordability barriers, and are more likely to cut back or stop their use of telecommunications for financial reasons.</w:t>
      </w:r>
      <w:r w:rsidR="00955091" w:rsidRPr="000D2961">
        <w:rPr>
          <w:rFonts w:eastAsiaTheme="minorHAnsi"/>
          <w:vertAlign w:val="superscript"/>
          <w:lang w:val="en-US" w:eastAsia="en-US"/>
        </w:rPr>
        <w:footnoteReference w:id="6"/>
      </w:r>
      <w:r w:rsidR="00955091" w:rsidRPr="000D2961">
        <w:rPr>
          <w:rFonts w:eastAsiaTheme="minorHAnsi"/>
          <w:lang w:val="en-US" w:eastAsia="en-US"/>
        </w:rPr>
        <w:t xml:space="preserve"> Headline findings </w:t>
      </w:r>
      <w:r w:rsidR="00955091">
        <w:rPr>
          <w:rFonts w:eastAsiaTheme="minorHAnsi"/>
          <w:lang w:val="en-US" w:eastAsia="en-US"/>
        </w:rPr>
        <w:t xml:space="preserve">of this report </w:t>
      </w:r>
      <w:r w:rsidR="00955091" w:rsidRPr="000D2961">
        <w:rPr>
          <w:rFonts w:eastAsiaTheme="minorHAnsi"/>
          <w:lang w:val="en-US" w:eastAsia="en-US"/>
        </w:rPr>
        <w:t>are</w:t>
      </w:r>
      <w:r>
        <w:rPr>
          <w:rFonts w:eastAsiaTheme="minorHAnsi"/>
          <w:lang w:val="en-US" w:eastAsia="en-US"/>
        </w:rPr>
        <w:t xml:space="preserve"> that</w:t>
      </w:r>
      <w:r w:rsidR="00955091" w:rsidRPr="000D2961">
        <w:rPr>
          <w:rFonts w:eastAsiaTheme="minorHAnsi"/>
          <w:lang w:val="en-US" w:eastAsia="en-US"/>
        </w:rPr>
        <w:t>:</w:t>
      </w:r>
    </w:p>
    <w:p w:rsidR="00955091" w:rsidRPr="000D2961" w:rsidRDefault="00955091" w:rsidP="00B07DF5">
      <w:pPr>
        <w:numPr>
          <w:ilvl w:val="0"/>
          <w:numId w:val="25"/>
        </w:numPr>
        <w:autoSpaceDE w:val="0"/>
        <w:autoSpaceDN w:val="0"/>
        <w:adjustRightInd w:val="0"/>
        <w:spacing w:before="0" w:beforeAutospacing="0" w:after="0" w:afterAutospacing="0" w:line="276" w:lineRule="auto"/>
        <w:contextualSpacing/>
        <w:jc w:val="both"/>
        <w:rPr>
          <w:rFonts w:eastAsiaTheme="minorHAnsi" w:cs="Calibri"/>
          <w:lang w:val="en-US" w:eastAsia="en-US"/>
        </w:rPr>
      </w:pPr>
      <w:r w:rsidRPr="000D2961">
        <w:rPr>
          <w:rFonts w:eastAsiaTheme="minorHAnsi" w:cs="Calibri"/>
          <w:lang w:val="en-US" w:eastAsia="en-US"/>
        </w:rPr>
        <w:t>66% of low‐income consumers</w:t>
      </w:r>
      <w:r w:rsidRPr="000D2961">
        <w:rPr>
          <w:rFonts w:eastAsiaTheme="minorHAnsi" w:cs="Calibri"/>
          <w:sz w:val="14"/>
          <w:szCs w:val="14"/>
          <w:lang w:val="en-US" w:eastAsia="en-US"/>
        </w:rPr>
        <w:t xml:space="preserve"> </w:t>
      </w:r>
      <w:r w:rsidRPr="000D2961">
        <w:rPr>
          <w:rFonts w:eastAsiaTheme="minorHAnsi" w:cs="Calibri"/>
          <w:lang w:val="en-US" w:eastAsia="en-US"/>
        </w:rPr>
        <w:t>rated telecommunications costs in the top five most important factors in their day‐to‐day household budgets;</w:t>
      </w:r>
    </w:p>
    <w:p w:rsidR="00955091" w:rsidRPr="000D2961" w:rsidRDefault="00955091" w:rsidP="00B07DF5">
      <w:pPr>
        <w:numPr>
          <w:ilvl w:val="0"/>
          <w:numId w:val="25"/>
        </w:numPr>
        <w:autoSpaceDE w:val="0"/>
        <w:autoSpaceDN w:val="0"/>
        <w:adjustRightInd w:val="0"/>
        <w:spacing w:before="0" w:beforeAutospacing="0" w:after="0" w:afterAutospacing="0" w:line="276" w:lineRule="auto"/>
        <w:contextualSpacing/>
        <w:jc w:val="both"/>
        <w:rPr>
          <w:rFonts w:eastAsiaTheme="minorHAnsi" w:cs="Calibri"/>
          <w:lang w:val="en-US" w:eastAsia="en-US"/>
        </w:rPr>
      </w:pPr>
      <w:r w:rsidRPr="000D2961">
        <w:rPr>
          <w:rFonts w:eastAsiaTheme="minorHAnsi" w:cs="Calibri"/>
          <w:lang w:val="en-US" w:eastAsia="en-US"/>
        </w:rPr>
        <w:t>62% reported difficulty paying, having to cut back, or having to stop using one or more</w:t>
      </w:r>
    </w:p>
    <w:p w:rsidR="00955091" w:rsidRPr="000D2961" w:rsidRDefault="00955091" w:rsidP="00B07DF5">
      <w:pPr>
        <w:autoSpaceDE w:val="0"/>
        <w:autoSpaceDN w:val="0"/>
        <w:adjustRightInd w:val="0"/>
        <w:spacing w:before="0" w:beforeAutospacing="0" w:after="0" w:afterAutospacing="0" w:line="276" w:lineRule="auto"/>
        <w:ind w:left="360"/>
        <w:contextualSpacing/>
        <w:jc w:val="both"/>
        <w:rPr>
          <w:rFonts w:eastAsiaTheme="minorHAnsi" w:cs="Calibri"/>
          <w:lang w:val="en-US" w:eastAsia="en-US"/>
        </w:rPr>
      </w:pPr>
      <w:r w:rsidRPr="000D2961">
        <w:rPr>
          <w:rFonts w:eastAsiaTheme="minorHAnsi" w:cs="Calibri"/>
          <w:lang w:val="en-US" w:eastAsia="en-US"/>
        </w:rPr>
        <w:t>telecommunications services for financial reasons in the past 12 months;</w:t>
      </w:r>
    </w:p>
    <w:p w:rsidR="00955091" w:rsidRPr="00621047" w:rsidRDefault="00180034" w:rsidP="00B07DF5">
      <w:pPr>
        <w:numPr>
          <w:ilvl w:val="0"/>
          <w:numId w:val="25"/>
        </w:numPr>
        <w:autoSpaceDE w:val="0"/>
        <w:autoSpaceDN w:val="0"/>
        <w:adjustRightInd w:val="0"/>
        <w:spacing w:before="0" w:beforeAutospacing="0" w:after="0" w:afterAutospacing="0" w:line="276" w:lineRule="auto"/>
        <w:contextualSpacing/>
        <w:jc w:val="both"/>
        <w:rPr>
          <w:rFonts w:eastAsiaTheme="minorHAnsi" w:cs="Calibri"/>
          <w:lang w:val="en-US" w:eastAsia="en-US"/>
        </w:rPr>
      </w:pPr>
      <w:r>
        <w:rPr>
          <w:rFonts w:eastAsiaTheme="minorHAnsi" w:cs="Calibri"/>
          <w:lang w:val="en-US" w:eastAsia="en-US"/>
        </w:rPr>
        <w:t>t</w:t>
      </w:r>
      <w:r w:rsidR="00955091" w:rsidRPr="000D2961">
        <w:rPr>
          <w:rFonts w:eastAsiaTheme="minorHAnsi" w:cs="Calibri"/>
          <w:lang w:val="en-US" w:eastAsia="en-US"/>
        </w:rPr>
        <w:t>hose on Newstart, Youth Allowance, and Parenting Payment are most likely to have difficulty paying, be cutting back on, or stopping services, while those on Age Pension have the fewest problems.</w:t>
      </w:r>
    </w:p>
    <w:p w:rsidR="00955091" w:rsidRPr="000D2961" w:rsidRDefault="00955091" w:rsidP="00B07DF5">
      <w:pPr>
        <w:autoSpaceDE w:val="0"/>
        <w:autoSpaceDN w:val="0"/>
        <w:adjustRightInd w:val="0"/>
        <w:spacing w:after="0"/>
        <w:jc w:val="both"/>
        <w:rPr>
          <w:rFonts w:eastAsiaTheme="minorHAnsi" w:cs="Calibri"/>
          <w:lang w:val="en-US" w:eastAsia="en-US"/>
        </w:rPr>
      </w:pPr>
      <w:r w:rsidRPr="000D2961">
        <w:rPr>
          <w:rFonts w:eastAsiaTheme="minorHAnsi" w:cs="Calibri"/>
          <w:lang w:val="en-US" w:eastAsia="en-US"/>
        </w:rPr>
        <w:t xml:space="preserve">While per unit costs of telecommunications plans (data, voice minutes, </w:t>
      </w:r>
      <w:proofErr w:type="gramStart"/>
      <w:r w:rsidRPr="000D2961">
        <w:rPr>
          <w:rFonts w:eastAsiaTheme="minorHAnsi" w:cs="Calibri"/>
          <w:lang w:val="en-US" w:eastAsia="en-US"/>
        </w:rPr>
        <w:t>SMS</w:t>
      </w:r>
      <w:proofErr w:type="gramEnd"/>
      <w:r w:rsidRPr="000D2961">
        <w:rPr>
          <w:rFonts w:eastAsiaTheme="minorHAnsi" w:cs="Calibri"/>
          <w:lang w:val="en-US" w:eastAsia="en-US"/>
        </w:rPr>
        <w:t xml:space="preserve"> rates) are decreasing, the use of services is increasing significantly. The reduction in unit costs does not balance the increased use of services. There </w:t>
      </w:r>
      <w:r>
        <w:rPr>
          <w:rFonts w:eastAsiaTheme="minorHAnsi" w:cs="Calibri"/>
          <w:lang w:val="en-US" w:eastAsia="en-US"/>
        </w:rPr>
        <w:t>has been an increase in the</w:t>
      </w:r>
      <w:r w:rsidRPr="000D2961">
        <w:rPr>
          <w:rFonts w:eastAsiaTheme="minorHAnsi" w:cs="Calibri"/>
          <w:lang w:val="en-US" w:eastAsia="en-US"/>
        </w:rPr>
        <w:t xml:space="preserve"> number of connected devices in the average </w:t>
      </w:r>
      <w:r w:rsidR="00F50244">
        <w:rPr>
          <w:rFonts w:eastAsiaTheme="minorHAnsi" w:cs="Calibri"/>
          <w:lang w:val="en-US" w:eastAsia="en-US"/>
        </w:rPr>
        <w:t>household, currently more than nine</w:t>
      </w:r>
      <w:r w:rsidRPr="000D2961">
        <w:rPr>
          <w:rFonts w:eastAsiaTheme="minorHAnsi" w:cs="Calibri"/>
          <w:lang w:val="en-US" w:eastAsia="en-US"/>
        </w:rPr>
        <w:t xml:space="preserve">, and </w:t>
      </w:r>
      <w:r w:rsidR="00F27A77">
        <w:rPr>
          <w:rFonts w:eastAsiaTheme="minorHAnsi" w:cs="Calibri"/>
          <w:lang w:val="en-US" w:eastAsia="en-US"/>
        </w:rPr>
        <w:t xml:space="preserve">this is </w:t>
      </w:r>
      <w:r w:rsidRPr="000D2961">
        <w:rPr>
          <w:rFonts w:eastAsiaTheme="minorHAnsi" w:cs="Calibri"/>
          <w:lang w:val="en-US" w:eastAsia="en-US"/>
        </w:rPr>
        <w:t>expected to grow to 29 by 2020.</w:t>
      </w:r>
      <w:r w:rsidRPr="000D2961">
        <w:rPr>
          <w:rFonts w:eastAsiaTheme="minorHAnsi" w:cs="Calibri"/>
          <w:vertAlign w:val="superscript"/>
          <w:lang w:val="en-US" w:eastAsia="en-US"/>
        </w:rPr>
        <w:footnoteReference w:id="7"/>
      </w:r>
    </w:p>
    <w:p w:rsidR="00955091" w:rsidRPr="00F50244" w:rsidRDefault="00955091" w:rsidP="00B07DF5">
      <w:pPr>
        <w:autoSpaceDE w:val="0"/>
        <w:autoSpaceDN w:val="0"/>
        <w:adjustRightInd w:val="0"/>
        <w:jc w:val="both"/>
        <w:rPr>
          <w:rFonts w:eastAsiaTheme="minorHAnsi" w:cs="Calibri"/>
          <w:lang w:eastAsia="en-US"/>
        </w:rPr>
      </w:pPr>
      <w:r w:rsidRPr="000D2961">
        <w:rPr>
          <w:rFonts w:eastAsiaTheme="minorHAnsi" w:cs="Calibri"/>
          <w:lang w:val="en-US" w:eastAsia="en-US"/>
        </w:rPr>
        <w:t>ACCAN and SACOSS</w:t>
      </w:r>
      <w:r w:rsidR="00F27A77">
        <w:rPr>
          <w:rFonts w:eastAsiaTheme="minorHAnsi" w:cs="Calibri"/>
          <w:lang w:val="en-US" w:eastAsia="en-US"/>
        </w:rPr>
        <w:t xml:space="preserve"> also</w:t>
      </w:r>
      <w:r w:rsidRPr="000D2961">
        <w:rPr>
          <w:rFonts w:eastAsiaTheme="minorHAnsi" w:cs="Calibri"/>
          <w:lang w:val="en-US" w:eastAsia="en-US"/>
        </w:rPr>
        <w:t xml:space="preserve"> analysed the telecommunications data in the Australian Bureau of Statistics’ </w:t>
      </w:r>
      <w:r w:rsidRPr="000D2961">
        <w:rPr>
          <w:rFonts w:eastAsiaTheme="minorHAnsi" w:cs="Calibri"/>
          <w:i/>
          <w:lang w:val="en-US" w:eastAsia="en-US"/>
        </w:rPr>
        <w:t>2015-16 Household Expenditure Survey</w:t>
      </w:r>
      <w:r w:rsidRPr="000D2961">
        <w:rPr>
          <w:rFonts w:eastAsiaTheme="minorHAnsi" w:cs="Calibri"/>
          <w:i/>
          <w:vertAlign w:val="superscript"/>
          <w:lang w:val="en-US" w:eastAsia="en-US"/>
        </w:rPr>
        <w:footnoteReference w:id="8"/>
      </w:r>
      <w:r w:rsidRPr="000D2961">
        <w:rPr>
          <w:rFonts w:eastAsiaTheme="minorHAnsi" w:cs="Calibri"/>
          <w:i/>
          <w:lang w:val="en-US" w:eastAsia="en-US"/>
        </w:rPr>
        <w:t xml:space="preserve"> </w:t>
      </w:r>
      <w:r w:rsidR="00621047">
        <w:rPr>
          <w:rFonts w:eastAsiaTheme="minorHAnsi" w:cs="Calibri"/>
          <w:lang w:val="en-US" w:eastAsia="en-US"/>
        </w:rPr>
        <w:t xml:space="preserve">and found that: </w:t>
      </w:r>
      <w:bookmarkStart w:id="2" w:name="_GoBack"/>
      <w:bookmarkEnd w:id="2"/>
    </w:p>
    <w:p w:rsidR="00955091" w:rsidRPr="000D2961" w:rsidRDefault="00955091" w:rsidP="00B07DF5">
      <w:pPr>
        <w:numPr>
          <w:ilvl w:val="0"/>
          <w:numId w:val="25"/>
        </w:numPr>
        <w:autoSpaceDE w:val="0"/>
        <w:autoSpaceDN w:val="0"/>
        <w:adjustRightInd w:val="0"/>
        <w:spacing w:before="0" w:beforeAutospacing="0" w:after="0" w:afterAutospacing="0" w:line="276" w:lineRule="auto"/>
        <w:contextualSpacing/>
        <w:jc w:val="both"/>
        <w:rPr>
          <w:rFonts w:eastAsiaTheme="minorHAnsi" w:cs="Calibri"/>
          <w:lang w:val="en-NZ" w:eastAsia="en-US"/>
        </w:rPr>
      </w:pPr>
      <w:r w:rsidRPr="000D2961">
        <w:rPr>
          <w:rFonts w:eastAsiaTheme="minorHAnsi" w:cs="Calibri"/>
          <w:lang w:val="en-NZ" w:eastAsia="en-US"/>
        </w:rPr>
        <w:t>Telecommunications is a significant household expenditure item and on average, households spend more on telecommunications than on energy or water.</w:t>
      </w:r>
    </w:p>
    <w:p w:rsidR="00955091" w:rsidRPr="000D2961" w:rsidRDefault="00955091" w:rsidP="00B07DF5">
      <w:pPr>
        <w:numPr>
          <w:ilvl w:val="0"/>
          <w:numId w:val="25"/>
        </w:numPr>
        <w:autoSpaceDE w:val="0"/>
        <w:autoSpaceDN w:val="0"/>
        <w:adjustRightInd w:val="0"/>
        <w:spacing w:before="0" w:beforeAutospacing="0" w:after="0" w:afterAutospacing="0" w:line="276" w:lineRule="auto"/>
        <w:contextualSpacing/>
        <w:jc w:val="both"/>
        <w:rPr>
          <w:rFonts w:eastAsiaTheme="minorHAnsi" w:cs="Calibri"/>
          <w:lang w:val="en-NZ" w:eastAsia="en-US"/>
        </w:rPr>
      </w:pPr>
      <w:r w:rsidRPr="000D2961">
        <w:rPr>
          <w:rFonts w:eastAsiaTheme="minorHAnsi" w:cs="Calibri"/>
          <w:lang w:val="en-NZ" w:eastAsia="en-US"/>
        </w:rPr>
        <w:t>Children are a key factor in increasing telecommunications expenditure.</w:t>
      </w:r>
    </w:p>
    <w:p w:rsidR="00955091" w:rsidRPr="000D2961" w:rsidRDefault="00955091" w:rsidP="00B07DF5">
      <w:pPr>
        <w:numPr>
          <w:ilvl w:val="0"/>
          <w:numId w:val="25"/>
        </w:numPr>
        <w:autoSpaceDE w:val="0"/>
        <w:autoSpaceDN w:val="0"/>
        <w:adjustRightInd w:val="0"/>
        <w:spacing w:before="0" w:beforeAutospacing="0" w:after="0" w:afterAutospacing="0" w:line="276" w:lineRule="auto"/>
        <w:contextualSpacing/>
        <w:jc w:val="both"/>
        <w:rPr>
          <w:rFonts w:eastAsiaTheme="minorHAnsi" w:cs="Calibri"/>
          <w:lang w:val="en-NZ" w:eastAsia="en-US"/>
        </w:rPr>
      </w:pPr>
      <w:r w:rsidRPr="000D2961">
        <w:rPr>
          <w:rFonts w:eastAsiaTheme="minorHAnsi" w:cs="Calibri"/>
          <w:lang w:val="en-NZ" w:eastAsia="en-US"/>
        </w:rPr>
        <w:t xml:space="preserve">Telecommunications expenditure is significantly regressive, accounting for nearly three times the proportion of household disposable income for the lowest income quintile as for the highest quintile. </w:t>
      </w:r>
    </w:p>
    <w:p w:rsidR="00955091" w:rsidRPr="000D2961" w:rsidRDefault="00955091" w:rsidP="00B07DF5">
      <w:pPr>
        <w:numPr>
          <w:ilvl w:val="0"/>
          <w:numId w:val="25"/>
        </w:numPr>
        <w:autoSpaceDE w:val="0"/>
        <w:autoSpaceDN w:val="0"/>
        <w:adjustRightInd w:val="0"/>
        <w:spacing w:before="0" w:beforeAutospacing="0" w:after="0" w:afterAutospacing="0" w:line="276" w:lineRule="auto"/>
        <w:contextualSpacing/>
        <w:jc w:val="both"/>
        <w:rPr>
          <w:rFonts w:eastAsiaTheme="minorHAnsi" w:cs="Calibri"/>
          <w:lang w:val="en-NZ" w:eastAsia="en-US"/>
        </w:rPr>
      </w:pPr>
      <w:r w:rsidRPr="000D2961">
        <w:rPr>
          <w:rFonts w:eastAsiaTheme="minorHAnsi" w:cs="Calibri"/>
          <w:lang w:val="en-NZ" w:eastAsia="en-US"/>
        </w:rPr>
        <w:t xml:space="preserve">Lone person households, pensioners, and other social security recipients, and renters (particularly state housing): </w:t>
      </w:r>
    </w:p>
    <w:p w:rsidR="00955091" w:rsidRPr="000D2961" w:rsidRDefault="00955091" w:rsidP="00B07DF5">
      <w:pPr>
        <w:numPr>
          <w:ilvl w:val="1"/>
          <w:numId w:val="25"/>
        </w:numPr>
        <w:autoSpaceDE w:val="0"/>
        <w:autoSpaceDN w:val="0"/>
        <w:adjustRightInd w:val="0"/>
        <w:spacing w:before="0" w:beforeAutospacing="0" w:after="0" w:afterAutospacing="0" w:line="276" w:lineRule="auto"/>
        <w:contextualSpacing/>
        <w:jc w:val="both"/>
        <w:rPr>
          <w:rFonts w:eastAsiaTheme="minorHAnsi" w:cs="Calibri"/>
          <w:lang w:val="en-NZ" w:eastAsia="en-US"/>
        </w:rPr>
      </w:pPr>
      <w:r w:rsidRPr="000D2961">
        <w:rPr>
          <w:rFonts w:eastAsiaTheme="minorHAnsi" w:cs="Calibri"/>
          <w:lang w:val="en-NZ" w:eastAsia="en-US"/>
        </w:rPr>
        <w:t>spend proportionately more of their income on telecommunications than other households, but</w:t>
      </w:r>
    </w:p>
    <w:p w:rsidR="00955091" w:rsidRPr="000D2961" w:rsidRDefault="00955091" w:rsidP="00B07DF5">
      <w:pPr>
        <w:numPr>
          <w:ilvl w:val="1"/>
          <w:numId w:val="25"/>
        </w:numPr>
        <w:autoSpaceDE w:val="0"/>
        <w:autoSpaceDN w:val="0"/>
        <w:adjustRightInd w:val="0"/>
        <w:spacing w:before="0" w:beforeAutospacing="0" w:after="0" w:afterAutospacing="0" w:line="276" w:lineRule="auto"/>
        <w:contextualSpacing/>
        <w:jc w:val="both"/>
        <w:rPr>
          <w:rFonts w:eastAsiaTheme="minorHAnsi" w:cs="Calibri"/>
          <w:lang w:val="en-NZ" w:eastAsia="en-US"/>
        </w:rPr>
      </w:pPr>
      <w:proofErr w:type="gramStart"/>
      <w:r w:rsidRPr="000D2961">
        <w:rPr>
          <w:rFonts w:eastAsiaTheme="minorHAnsi" w:cs="Calibri"/>
          <w:lang w:val="en-NZ" w:eastAsia="en-US"/>
        </w:rPr>
        <w:lastRenderedPageBreak/>
        <w:t>spend</w:t>
      </w:r>
      <w:proofErr w:type="gramEnd"/>
      <w:r w:rsidRPr="000D2961">
        <w:rPr>
          <w:rFonts w:eastAsiaTheme="minorHAnsi" w:cs="Calibri"/>
          <w:lang w:val="en-NZ" w:eastAsia="en-US"/>
        </w:rPr>
        <w:t xml:space="preserve"> significantly less on telecommunications – and are therefore likely to be more digitally excluded. </w:t>
      </w:r>
    </w:p>
    <w:p w:rsidR="00955091" w:rsidRPr="00621047" w:rsidRDefault="00955091" w:rsidP="00B07DF5">
      <w:pPr>
        <w:numPr>
          <w:ilvl w:val="0"/>
          <w:numId w:val="25"/>
        </w:numPr>
        <w:autoSpaceDE w:val="0"/>
        <w:autoSpaceDN w:val="0"/>
        <w:adjustRightInd w:val="0"/>
        <w:spacing w:before="0" w:beforeAutospacing="0" w:after="0" w:afterAutospacing="0" w:line="276" w:lineRule="auto"/>
        <w:contextualSpacing/>
        <w:jc w:val="both"/>
        <w:rPr>
          <w:rFonts w:eastAsiaTheme="minorHAnsi" w:cs="Calibri"/>
          <w:lang w:val="en-NZ" w:eastAsia="en-US"/>
        </w:rPr>
      </w:pPr>
      <w:r w:rsidRPr="000D2961">
        <w:rPr>
          <w:rFonts w:eastAsiaTheme="minorHAnsi" w:cs="Calibri"/>
          <w:lang w:val="en-NZ" w:eastAsia="en-US"/>
        </w:rPr>
        <w:t>Since 2003 telecommunications expenditure has been increasing for households on lower incomes, while average households have seen decreases in recent years.</w:t>
      </w:r>
      <w:r w:rsidRPr="000D2961">
        <w:rPr>
          <w:rFonts w:eastAsiaTheme="minorHAnsi" w:cs="Calibri"/>
          <w:vertAlign w:val="superscript"/>
          <w:lang w:val="en-NZ" w:eastAsia="en-US"/>
        </w:rPr>
        <w:footnoteReference w:id="9"/>
      </w:r>
    </w:p>
    <w:p w:rsidR="00B07DF5" w:rsidRDefault="00955091" w:rsidP="00B07DF5">
      <w:pPr>
        <w:jc w:val="both"/>
        <w:rPr>
          <w:rFonts w:eastAsiaTheme="minorHAnsi" w:cs="Calibri"/>
          <w:b/>
          <w:lang w:val="en-US" w:eastAsia="en-US"/>
        </w:rPr>
      </w:pPr>
      <w:r w:rsidRPr="000D2961">
        <w:rPr>
          <w:rFonts w:eastAsiaTheme="minorHAnsi" w:cs="Calibri"/>
          <w:lang w:val="en-US" w:eastAsia="en-US"/>
        </w:rPr>
        <w:t xml:space="preserve">An updated CTA will help avoid the problems of the digital divide and support all citizens to participate fully in the digital economy and society, and with </w:t>
      </w:r>
      <w:r w:rsidR="00F27A77">
        <w:rPr>
          <w:rFonts w:eastAsiaTheme="minorHAnsi" w:cs="Calibri"/>
          <w:lang w:val="en-US" w:eastAsia="en-US"/>
        </w:rPr>
        <w:t>g</w:t>
      </w:r>
      <w:r w:rsidRPr="000D2961">
        <w:rPr>
          <w:rFonts w:eastAsiaTheme="minorHAnsi" w:cs="Calibri"/>
          <w:lang w:val="en-US" w:eastAsia="en-US"/>
        </w:rPr>
        <w:t>overnment</w:t>
      </w:r>
      <w:r w:rsidR="00F27A77">
        <w:rPr>
          <w:rFonts w:eastAsiaTheme="minorHAnsi" w:cs="Calibri"/>
          <w:lang w:val="en-US" w:eastAsia="en-US"/>
        </w:rPr>
        <w:t>.</w:t>
      </w:r>
      <w:r w:rsidRPr="000D2961">
        <w:rPr>
          <w:rFonts w:eastAsiaTheme="minorHAnsi" w:cs="Calibri"/>
          <w:lang w:val="en-US" w:eastAsia="en-US"/>
        </w:rPr>
        <w:t xml:space="preserve">  Low</w:t>
      </w:r>
      <w:r w:rsidR="00E00A22">
        <w:rPr>
          <w:rFonts w:eastAsiaTheme="minorHAnsi" w:cs="Calibri"/>
          <w:lang w:val="en-US" w:eastAsia="en-US"/>
        </w:rPr>
        <w:t>-</w:t>
      </w:r>
      <w:r w:rsidRPr="000D2961">
        <w:rPr>
          <w:rFonts w:eastAsiaTheme="minorHAnsi" w:cs="Calibri"/>
          <w:lang w:val="en-US" w:eastAsia="en-US"/>
        </w:rPr>
        <w:t xml:space="preserve">income consumers are likely to engage to a higher degree with </w:t>
      </w:r>
      <w:r w:rsidR="00E00A22">
        <w:rPr>
          <w:rFonts w:eastAsiaTheme="minorHAnsi" w:cs="Calibri"/>
          <w:lang w:val="en-US" w:eastAsia="en-US"/>
        </w:rPr>
        <w:t>g</w:t>
      </w:r>
      <w:r w:rsidRPr="000D2961">
        <w:rPr>
          <w:rFonts w:eastAsiaTheme="minorHAnsi" w:cs="Calibri"/>
          <w:lang w:val="en-US" w:eastAsia="en-US"/>
        </w:rPr>
        <w:t xml:space="preserve">overnment agencies, therefore the benefit </w:t>
      </w:r>
      <w:r>
        <w:rPr>
          <w:rFonts w:eastAsiaTheme="minorHAnsi" w:cs="Calibri"/>
          <w:lang w:val="en-US" w:eastAsia="en-US"/>
        </w:rPr>
        <w:t xml:space="preserve">of </w:t>
      </w:r>
      <w:r w:rsidRPr="000D2961">
        <w:rPr>
          <w:rFonts w:eastAsiaTheme="minorHAnsi" w:cs="Calibri"/>
          <w:lang w:val="en-US" w:eastAsia="en-US"/>
        </w:rPr>
        <w:t>ensuring that they can engage through a digital channel is likely to result in significant cost savings in program delivery costs.</w:t>
      </w:r>
      <w:r w:rsidRPr="000D2961">
        <w:rPr>
          <w:rFonts w:eastAsiaTheme="minorHAnsi" w:cs="Calibri"/>
          <w:vertAlign w:val="superscript"/>
          <w:lang w:val="en-US" w:eastAsia="en-US"/>
        </w:rPr>
        <w:footnoteReference w:id="10"/>
      </w:r>
      <w:r w:rsidR="00B07DF5" w:rsidRPr="00B07DF5">
        <w:rPr>
          <w:rFonts w:eastAsiaTheme="minorHAnsi" w:cs="Calibri"/>
          <w:b/>
          <w:lang w:val="en-US" w:eastAsia="en-US"/>
        </w:rPr>
        <w:t xml:space="preserve"> </w:t>
      </w:r>
    </w:p>
    <w:p w:rsidR="00955091" w:rsidRPr="00B07DF5" w:rsidRDefault="00B07DF5" w:rsidP="00B07DF5">
      <w:pPr>
        <w:jc w:val="both"/>
        <w:rPr>
          <w:rFonts w:eastAsiaTheme="minorHAnsi" w:cs="Calibri"/>
          <w:b/>
          <w:lang w:val="en-US" w:eastAsia="en-US"/>
        </w:rPr>
      </w:pPr>
      <w:r>
        <w:rPr>
          <w:rFonts w:eastAsiaTheme="minorHAnsi" w:cs="Calibri"/>
          <w:b/>
          <w:lang w:val="en-US" w:eastAsia="en-US"/>
        </w:rPr>
        <w:t>Recommendation</w:t>
      </w:r>
      <w:r w:rsidRPr="000D2961">
        <w:rPr>
          <w:rFonts w:eastAsiaTheme="minorHAnsi" w:cs="Calibri"/>
          <w:b/>
          <w:lang w:val="en-US" w:eastAsia="en-US"/>
        </w:rPr>
        <w:t xml:space="preserve">: Allocate additional funding for an updated </w:t>
      </w:r>
      <w:r>
        <w:rPr>
          <w:rFonts w:eastAsiaTheme="minorHAnsi" w:cs="Calibri"/>
          <w:b/>
          <w:lang w:val="en-US" w:eastAsia="en-US"/>
        </w:rPr>
        <w:t xml:space="preserve">CTA </w:t>
      </w:r>
      <w:r w:rsidRPr="000D2961">
        <w:rPr>
          <w:rFonts w:eastAsiaTheme="minorHAnsi" w:cs="Calibri"/>
          <w:b/>
          <w:lang w:val="en-US" w:eastAsia="en-US"/>
        </w:rPr>
        <w:t xml:space="preserve">with baseline levels that reflect the real cost of contemporary telecommunications services, and improved targeting to assist those who need it most.  </w:t>
      </w:r>
    </w:p>
    <w:p w:rsidR="00955091" w:rsidRPr="000D2961" w:rsidRDefault="00955091" w:rsidP="00C43DA7">
      <w:pPr>
        <w:autoSpaceDE w:val="0"/>
        <w:autoSpaceDN w:val="0"/>
        <w:adjustRightInd w:val="0"/>
        <w:spacing w:after="0"/>
        <w:jc w:val="both"/>
        <w:rPr>
          <w:rFonts w:eastAsiaTheme="minorHAnsi" w:cs="Calibri"/>
          <w:lang w:val="en-US" w:eastAsia="en-US"/>
        </w:rPr>
      </w:pPr>
      <w:r w:rsidRPr="000D2961">
        <w:rPr>
          <w:rFonts w:eastAsiaTheme="minorHAnsi" w:cs="Calibri"/>
          <w:lang w:val="en-US" w:eastAsia="en-US"/>
        </w:rPr>
        <w:t xml:space="preserve">As an alternative to altering the settings of the CTA, the Government </w:t>
      </w:r>
      <w:r w:rsidR="00E00A22">
        <w:rPr>
          <w:rFonts w:eastAsiaTheme="minorHAnsi" w:cs="Calibri"/>
          <w:lang w:val="en-US" w:eastAsia="en-US"/>
        </w:rPr>
        <w:t>should</w:t>
      </w:r>
      <w:r w:rsidRPr="000D2961">
        <w:rPr>
          <w:rFonts w:eastAsiaTheme="minorHAnsi" w:cs="Calibri"/>
          <w:lang w:val="en-US" w:eastAsia="en-US"/>
        </w:rPr>
        <w:t xml:space="preserve"> investigate possibilities for a Telecommunications Concession, much like the energy concessions available to consumers at the state level. A carefully designed concession would more effectively target government funding to where it is needed most, and would increase or decrease in line with the price of telecommunications services. </w:t>
      </w:r>
      <w:r w:rsidR="00E00A22">
        <w:rPr>
          <w:rFonts w:eastAsiaTheme="minorHAnsi" w:cs="Calibri"/>
          <w:lang w:val="en-US" w:eastAsia="en-US"/>
        </w:rPr>
        <w:t xml:space="preserve">A concession could also target support depending on household and family size. </w:t>
      </w:r>
      <w:r w:rsidRPr="000D2961">
        <w:rPr>
          <w:rFonts w:eastAsiaTheme="minorHAnsi" w:cs="Calibri"/>
          <w:lang w:val="en-US" w:eastAsia="en-US"/>
        </w:rPr>
        <w:t xml:space="preserve">New eligibility criteria would help to address inconsistencies in who is able to receive the support, and how much. An added benefit of a telecommunications concession is that it could be </w:t>
      </w:r>
      <w:r w:rsidR="00E00A22">
        <w:rPr>
          <w:rFonts w:eastAsiaTheme="minorHAnsi" w:cs="Calibri"/>
          <w:lang w:val="en-US" w:eastAsia="en-US"/>
        </w:rPr>
        <w:t>‘</w:t>
      </w:r>
      <w:r w:rsidRPr="000D2961">
        <w:rPr>
          <w:rFonts w:eastAsiaTheme="minorHAnsi" w:cs="Calibri"/>
          <w:lang w:val="en-US" w:eastAsia="en-US"/>
        </w:rPr>
        <w:t>tied</w:t>
      </w:r>
      <w:r w:rsidR="00E00A22">
        <w:rPr>
          <w:rFonts w:eastAsiaTheme="minorHAnsi" w:cs="Calibri"/>
          <w:lang w:val="en-US" w:eastAsia="en-US"/>
        </w:rPr>
        <w:t>’</w:t>
      </w:r>
      <w:r w:rsidRPr="000D2961">
        <w:rPr>
          <w:rFonts w:eastAsiaTheme="minorHAnsi" w:cs="Calibri"/>
          <w:lang w:val="en-US" w:eastAsia="en-US"/>
        </w:rPr>
        <w:t xml:space="preserve"> – in that it could only be used to contribute to the costs of maintaining telecommunications connectivity (unlike the CTA, which can be </w:t>
      </w:r>
      <w:r w:rsidR="00E00A22">
        <w:rPr>
          <w:rFonts w:eastAsiaTheme="minorHAnsi" w:cs="Calibri"/>
          <w:lang w:val="en-US" w:eastAsia="en-US"/>
        </w:rPr>
        <w:t>spent on</w:t>
      </w:r>
      <w:r w:rsidRPr="000D2961">
        <w:rPr>
          <w:rFonts w:eastAsiaTheme="minorHAnsi" w:cs="Calibri"/>
          <w:lang w:val="en-US" w:eastAsia="en-US"/>
        </w:rPr>
        <w:t xml:space="preserve"> anything). </w:t>
      </w:r>
    </w:p>
    <w:p w:rsidR="00955091" w:rsidRPr="000D2961" w:rsidRDefault="00724C22" w:rsidP="00955091">
      <w:pPr>
        <w:rPr>
          <w:rFonts w:eastAsiaTheme="minorHAnsi" w:cs="Calibri"/>
          <w:b/>
          <w:lang w:val="en-US" w:eastAsia="en-US"/>
        </w:rPr>
      </w:pPr>
      <w:r>
        <w:rPr>
          <w:rFonts w:eastAsiaTheme="minorHAnsi" w:cs="Calibri"/>
          <w:b/>
          <w:lang w:val="en-US" w:eastAsia="en-US"/>
        </w:rPr>
        <w:t>Recommendation</w:t>
      </w:r>
      <w:r w:rsidR="00955091" w:rsidRPr="000D2961">
        <w:rPr>
          <w:rFonts w:eastAsiaTheme="minorHAnsi" w:cs="Calibri"/>
          <w:b/>
          <w:lang w:val="en-US" w:eastAsia="en-US"/>
        </w:rPr>
        <w:t xml:space="preserve">: Investigate funding and possibilities for a </w:t>
      </w:r>
      <w:r w:rsidR="00802DBC">
        <w:rPr>
          <w:rFonts w:eastAsiaTheme="minorHAnsi" w:cs="Calibri"/>
          <w:b/>
          <w:lang w:val="en-US" w:eastAsia="en-US"/>
        </w:rPr>
        <w:t>T</w:t>
      </w:r>
      <w:r w:rsidR="00955091" w:rsidRPr="000D2961">
        <w:rPr>
          <w:rFonts w:eastAsiaTheme="minorHAnsi" w:cs="Calibri"/>
          <w:b/>
          <w:lang w:val="en-US" w:eastAsia="en-US"/>
        </w:rPr>
        <w:t xml:space="preserve">elecommunications </w:t>
      </w:r>
      <w:r w:rsidR="00802DBC">
        <w:rPr>
          <w:rFonts w:eastAsiaTheme="minorHAnsi" w:cs="Calibri"/>
          <w:b/>
          <w:lang w:val="en-US" w:eastAsia="en-US"/>
        </w:rPr>
        <w:t>C</w:t>
      </w:r>
      <w:r w:rsidR="00955091" w:rsidRPr="000D2961">
        <w:rPr>
          <w:rFonts w:eastAsiaTheme="minorHAnsi" w:cs="Calibri"/>
          <w:b/>
          <w:lang w:val="en-US" w:eastAsia="en-US"/>
        </w:rPr>
        <w:t xml:space="preserve">oncession that will better target government support and ensure that consumers receive an amount that is proportionate to their need. </w:t>
      </w:r>
    </w:p>
    <w:p w:rsidR="00955091" w:rsidRDefault="00955091" w:rsidP="00955091">
      <w:pPr>
        <w:pStyle w:val="Heading2"/>
      </w:pPr>
      <w:r w:rsidRPr="00AC01F1">
        <w:t>Assistance with NBN migration</w:t>
      </w:r>
    </w:p>
    <w:p w:rsidR="00955091" w:rsidRDefault="00955091" w:rsidP="00B07DF5">
      <w:pPr>
        <w:jc w:val="both"/>
        <w:rPr>
          <w:lang w:val="en-IE"/>
        </w:rPr>
      </w:pPr>
      <w:r>
        <w:rPr>
          <w:lang w:val="en-IE"/>
        </w:rPr>
        <w:t xml:space="preserve">For a number of consumers migrating to </w:t>
      </w:r>
      <w:r w:rsidR="00111576">
        <w:rPr>
          <w:lang w:val="en-IE"/>
        </w:rPr>
        <w:t>the NBN</w:t>
      </w:r>
      <w:r>
        <w:rPr>
          <w:lang w:val="en-IE"/>
        </w:rPr>
        <w:t xml:space="preserve"> will be too difficult to complete on their own. Unsuccessful migration may create a significant risk to the safety of vulnerable consumers by leaving consumers without a way to contact emergency services. This was recognised a number of years ago with funding allocated to assist vulnerable voice</w:t>
      </w:r>
      <w:r w:rsidR="00111576">
        <w:rPr>
          <w:lang w:val="en-IE"/>
        </w:rPr>
        <w:t>-</w:t>
      </w:r>
      <w:r>
        <w:rPr>
          <w:lang w:val="en-IE"/>
        </w:rPr>
        <w:t>only consumers ($150million over 10 years through the Department of Communications and the Arts’ Voice Only Migration contract with Telstra)</w:t>
      </w:r>
      <w:r w:rsidR="00C43DA7">
        <w:rPr>
          <w:lang w:val="en-IE"/>
        </w:rPr>
        <w:t>.</w:t>
      </w:r>
      <w:r>
        <w:rPr>
          <w:rStyle w:val="FootnoteReference"/>
          <w:lang w:val="en-IE"/>
        </w:rPr>
        <w:footnoteReference w:id="11"/>
      </w:r>
      <w:r>
        <w:rPr>
          <w:lang w:val="en-IE"/>
        </w:rPr>
        <w:t xml:space="preserve"> </w:t>
      </w:r>
    </w:p>
    <w:p w:rsidR="00955091" w:rsidRDefault="00955091" w:rsidP="00B07DF5">
      <w:pPr>
        <w:jc w:val="both"/>
        <w:rPr>
          <w:lang w:val="en-IE"/>
        </w:rPr>
      </w:pPr>
      <w:r>
        <w:rPr>
          <w:lang w:val="en-IE"/>
        </w:rPr>
        <w:t xml:space="preserve">As the process for migrating to </w:t>
      </w:r>
      <w:r w:rsidR="00111576">
        <w:rPr>
          <w:lang w:val="en-IE"/>
        </w:rPr>
        <w:t>the NBN</w:t>
      </w:r>
      <w:r>
        <w:rPr>
          <w:lang w:val="en-IE"/>
        </w:rPr>
        <w:t xml:space="preserve"> is increasingly moving to a self-install model, assistance is needed all the more. In circumstances where consumers are not tech savvy or there are complications within the premises (such as internal wiring that needs updating), consumers could either face hefty charges or be faced with having no services. </w:t>
      </w:r>
    </w:p>
    <w:p w:rsidR="00955091" w:rsidRDefault="00955091" w:rsidP="00B07DF5">
      <w:pPr>
        <w:jc w:val="both"/>
        <w:rPr>
          <w:lang w:val="en-IE"/>
        </w:rPr>
      </w:pPr>
      <w:r>
        <w:rPr>
          <w:lang w:val="en-IE"/>
        </w:rPr>
        <w:lastRenderedPageBreak/>
        <w:t>Assistance should be available to ensure that all vulnerable consumers can migrate successfully and continue to have services. No consu</w:t>
      </w:r>
      <w:r w:rsidR="00C43DA7">
        <w:rPr>
          <w:lang w:val="en-IE"/>
        </w:rPr>
        <w:t>mer should experience barriers</w:t>
      </w:r>
      <w:r>
        <w:rPr>
          <w:lang w:val="en-IE"/>
        </w:rPr>
        <w:t xml:space="preserve"> as a result of having to switch to</w:t>
      </w:r>
      <w:r w:rsidR="00111576">
        <w:rPr>
          <w:lang w:val="en-IE"/>
        </w:rPr>
        <w:t xml:space="preserve"> the</w:t>
      </w:r>
      <w:r>
        <w:rPr>
          <w:lang w:val="en-IE"/>
        </w:rPr>
        <w:t xml:space="preserve"> </w:t>
      </w:r>
      <w:r w:rsidR="00111576">
        <w:rPr>
          <w:lang w:val="en-IE"/>
        </w:rPr>
        <w:t>NBN</w:t>
      </w:r>
      <w:r>
        <w:rPr>
          <w:lang w:val="en-IE"/>
        </w:rPr>
        <w:t xml:space="preserve">. Extending this program could provide assistance with </w:t>
      </w:r>
      <w:r w:rsidR="00111576">
        <w:rPr>
          <w:lang w:val="en-IE"/>
        </w:rPr>
        <w:t xml:space="preserve">funding </w:t>
      </w:r>
      <w:r>
        <w:rPr>
          <w:lang w:val="en-IE"/>
        </w:rPr>
        <w:t>professional installation, additional costs associated with upgrading the premises to be suitable to switch, information about migrating and information about retail options for consumers. Without this assistance consumers may struggle to successfully migrate.</w:t>
      </w:r>
    </w:p>
    <w:p w:rsidR="00955091" w:rsidRPr="00347858" w:rsidRDefault="00955091" w:rsidP="00B07DF5">
      <w:pPr>
        <w:jc w:val="both"/>
      </w:pPr>
      <w:r w:rsidRPr="00347858">
        <w:rPr>
          <w:b/>
          <w:lang w:val="en-IE"/>
        </w:rPr>
        <w:t xml:space="preserve">Recommendation: </w:t>
      </w:r>
      <w:r w:rsidR="004554FC">
        <w:rPr>
          <w:b/>
          <w:lang w:val="en-IE"/>
        </w:rPr>
        <w:t xml:space="preserve">The Government should provide funding to assist vulnerable consumers to switch to the NBN. </w:t>
      </w:r>
    </w:p>
    <w:p w:rsidR="00955091" w:rsidRPr="00AC01F1" w:rsidRDefault="00955091" w:rsidP="00B07DF5">
      <w:pPr>
        <w:pStyle w:val="Heading2"/>
        <w:jc w:val="both"/>
      </w:pPr>
      <w:r>
        <w:t xml:space="preserve">Expand </w:t>
      </w:r>
      <w:r w:rsidR="00437A72">
        <w:t xml:space="preserve">the </w:t>
      </w:r>
      <w:r>
        <w:t>scope of</w:t>
      </w:r>
      <w:r w:rsidR="00437A72">
        <w:t xml:space="preserve"> the</w:t>
      </w:r>
      <w:r>
        <w:t xml:space="preserve"> ACCC Broadband Performance Monitoring </w:t>
      </w:r>
      <w:r w:rsidR="00FE0953">
        <w:t>Program</w:t>
      </w:r>
      <w:r>
        <w:t xml:space="preserve"> to include fixed wireless and satellite broadband</w:t>
      </w:r>
    </w:p>
    <w:p w:rsidR="00955091" w:rsidRDefault="00FA319C" w:rsidP="00B07DF5">
      <w:pPr>
        <w:jc w:val="both"/>
        <w:rPr>
          <w:lang w:val="en-IE"/>
        </w:rPr>
      </w:pPr>
      <w:r>
        <w:rPr>
          <w:lang w:val="en-IE"/>
        </w:rPr>
        <w:t>ACCAN welcomed t</w:t>
      </w:r>
      <w:r w:rsidR="00955091">
        <w:rPr>
          <w:lang w:val="en-IE"/>
        </w:rPr>
        <w:t xml:space="preserve">he announcement in April last year </w:t>
      </w:r>
      <w:r>
        <w:rPr>
          <w:lang w:val="en-IE"/>
        </w:rPr>
        <w:t xml:space="preserve">of </w:t>
      </w:r>
      <w:r w:rsidR="00955091">
        <w:rPr>
          <w:lang w:val="en-IE"/>
        </w:rPr>
        <w:t>fund</w:t>
      </w:r>
      <w:r>
        <w:rPr>
          <w:lang w:val="en-IE"/>
        </w:rPr>
        <w:t>ing</w:t>
      </w:r>
      <w:r w:rsidR="00955091">
        <w:rPr>
          <w:lang w:val="en-IE"/>
        </w:rPr>
        <w:t xml:space="preserve"> </w:t>
      </w:r>
      <w:r>
        <w:rPr>
          <w:lang w:val="en-IE"/>
        </w:rPr>
        <w:t xml:space="preserve">for </w:t>
      </w:r>
      <w:r w:rsidR="00955091">
        <w:rPr>
          <w:lang w:val="en-IE"/>
        </w:rPr>
        <w:t xml:space="preserve">the Broadband Performance Monitoring Program. This program will significantly </w:t>
      </w:r>
      <w:r>
        <w:rPr>
          <w:lang w:val="en-IE"/>
        </w:rPr>
        <w:t xml:space="preserve">improve </w:t>
      </w:r>
      <w:r w:rsidR="00955091">
        <w:rPr>
          <w:lang w:val="en-IE"/>
        </w:rPr>
        <w:t>consumers</w:t>
      </w:r>
      <w:r>
        <w:rPr>
          <w:lang w:val="en-IE"/>
        </w:rPr>
        <w:t>’</w:t>
      </w:r>
      <w:r w:rsidR="00955091">
        <w:rPr>
          <w:lang w:val="en-IE"/>
        </w:rPr>
        <w:t xml:space="preserve"> understanding of broadband speeds and ability to choose </w:t>
      </w:r>
      <w:r>
        <w:rPr>
          <w:lang w:val="en-IE"/>
        </w:rPr>
        <w:t xml:space="preserve">NBN </w:t>
      </w:r>
      <w:r w:rsidR="00955091">
        <w:rPr>
          <w:lang w:val="en-IE"/>
        </w:rPr>
        <w:t xml:space="preserve">plans and providers that suit their needs. </w:t>
      </w:r>
    </w:p>
    <w:p w:rsidR="00726363" w:rsidRDefault="00955091" w:rsidP="00B07DF5">
      <w:pPr>
        <w:jc w:val="both"/>
        <w:rPr>
          <w:lang w:val="en-IE"/>
        </w:rPr>
      </w:pPr>
      <w:r>
        <w:rPr>
          <w:lang w:val="en-IE"/>
        </w:rPr>
        <w:t>ACCAN is concerned that a</w:t>
      </w:r>
      <w:r w:rsidR="00FE0953">
        <w:rPr>
          <w:lang w:val="en-IE"/>
        </w:rPr>
        <w:t>round one</w:t>
      </w:r>
      <w:r>
        <w:rPr>
          <w:lang w:val="en-IE"/>
        </w:rPr>
        <w:t xml:space="preserve"> million households will not benefit from this program as they are in </w:t>
      </w:r>
      <w:r w:rsidR="00FE0953">
        <w:rPr>
          <w:lang w:val="en-IE"/>
        </w:rPr>
        <w:t>f</w:t>
      </w:r>
      <w:r>
        <w:rPr>
          <w:lang w:val="en-IE"/>
        </w:rPr>
        <w:t xml:space="preserve">ixed </w:t>
      </w:r>
      <w:r w:rsidR="00FE0953">
        <w:rPr>
          <w:lang w:val="en-IE"/>
        </w:rPr>
        <w:t>w</w:t>
      </w:r>
      <w:r>
        <w:rPr>
          <w:lang w:val="en-IE"/>
        </w:rPr>
        <w:t xml:space="preserve">ireless and </w:t>
      </w:r>
      <w:r w:rsidR="00FE0953">
        <w:rPr>
          <w:lang w:val="en-IE"/>
        </w:rPr>
        <w:t>s</w:t>
      </w:r>
      <w:r>
        <w:rPr>
          <w:lang w:val="en-IE"/>
        </w:rPr>
        <w:t>atellite areas,</w:t>
      </w:r>
      <w:r w:rsidR="00FE0953">
        <w:rPr>
          <w:lang w:val="en-IE"/>
        </w:rPr>
        <w:t xml:space="preserve"> and these</w:t>
      </w:r>
      <w:r>
        <w:rPr>
          <w:lang w:val="en-IE"/>
        </w:rPr>
        <w:t xml:space="preserve"> technologies </w:t>
      </w:r>
      <w:r w:rsidR="00FE0953">
        <w:rPr>
          <w:lang w:val="en-IE"/>
        </w:rPr>
        <w:t xml:space="preserve">are </w:t>
      </w:r>
      <w:r>
        <w:rPr>
          <w:lang w:val="en-IE"/>
        </w:rPr>
        <w:t>excluded from the current program. These households may have more to gain from such a program, as they have moved from</w:t>
      </w:r>
      <w:r w:rsidR="00FE0953">
        <w:rPr>
          <w:lang w:val="en-IE"/>
        </w:rPr>
        <w:t xml:space="preserve"> a</w:t>
      </w:r>
      <w:r>
        <w:rPr>
          <w:lang w:val="en-IE"/>
        </w:rPr>
        <w:t xml:space="preserve"> limited</w:t>
      </w:r>
      <w:r w:rsidR="00FE0953">
        <w:rPr>
          <w:lang w:val="en-IE"/>
        </w:rPr>
        <w:t xml:space="preserve"> to relatively large number of available service</w:t>
      </w:r>
      <w:r>
        <w:rPr>
          <w:lang w:val="en-IE"/>
        </w:rPr>
        <w:t xml:space="preserve"> provider</w:t>
      </w:r>
      <w:r w:rsidR="00FE0953">
        <w:rPr>
          <w:lang w:val="en-IE"/>
        </w:rPr>
        <w:t>s t</w:t>
      </w:r>
      <w:r w:rsidR="00550BBC">
        <w:rPr>
          <w:lang w:val="en-IE"/>
        </w:rPr>
        <w:t>o</w:t>
      </w:r>
      <w:r w:rsidR="00FE0953">
        <w:rPr>
          <w:lang w:val="en-IE"/>
        </w:rPr>
        <w:t xml:space="preserve"> choose from</w:t>
      </w:r>
      <w:r>
        <w:rPr>
          <w:lang w:val="en-IE"/>
        </w:rPr>
        <w:t xml:space="preserve"> thanks to the NBN. These consumers will find it difficult to navigate these new choices without an independent verification of speed expectations that the </w:t>
      </w:r>
      <w:r w:rsidR="00FE0953">
        <w:rPr>
          <w:lang w:val="en-IE"/>
        </w:rPr>
        <w:t xml:space="preserve">program </w:t>
      </w:r>
      <w:r>
        <w:rPr>
          <w:lang w:val="en-IE"/>
        </w:rPr>
        <w:t>would provide. Due to difference</w:t>
      </w:r>
      <w:r w:rsidR="00FE0953">
        <w:rPr>
          <w:lang w:val="en-IE"/>
        </w:rPr>
        <w:t>s</w:t>
      </w:r>
      <w:r>
        <w:rPr>
          <w:lang w:val="en-IE"/>
        </w:rPr>
        <w:t xml:space="preserve"> in the technologies and plans that are available, general information </w:t>
      </w:r>
      <w:r w:rsidR="00FE0953">
        <w:rPr>
          <w:lang w:val="en-IE"/>
        </w:rPr>
        <w:t xml:space="preserve">provided by the program </w:t>
      </w:r>
      <w:r>
        <w:rPr>
          <w:lang w:val="en-IE"/>
        </w:rPr>
        <w:t xml:space="preserve">will not </w:t>
      </w:r>
      <w:r w:rsidR="00FE0953">
        <w:rPr>
          <w:lang w:val="en-IE"/>
        </w:rPr>
        <w:t xml:space="preserve">include </w:t>
      </w:r>
      <w:r>
        <w:rPr>
          <w:lang w:val="en-IE"/>
        </w:rPr>
        <w:t xml:space="preserve">key information that these consumers need. Expanding the program </w:t>
      </w:r>
      <w:r w:rsidR="00FE0953">
        <w:rPr>
          <w:lang w:val="en-IE"/>
        </w:rPr>
        <w:t xml:space="preserve">to include fixed wireless and satellite technologies </w:t>
      </w:r>
      <w:r>
        <w:rPr>
          <w:lang w:val="en-IE"/>
        </w:rPr>
        <w:t xml:space="preserve">will deliver benefits to the NBN and the </w:t>
      </w:r>
      <w:r w:rsidR="00FE0953">
        <w:rPr>
          <w:lang w:val="en-IE"/>
        </w:rPr>
        <w:t>G</w:t>
      </w:r>
      <w:r>
        <w:rPr>
          <w:lang w:val="en-IE"/>
        </w:rPr>
        <w:t xml:space="preserve">overnment by ensuring that consumers’ needs are met and that </w:t>
      </w:r>
      <w:r w:rsidR="00FE0953">
        <w:rPr>
          <w:lang w:val="en-IE"/>
        </w:rPr>
        <w:t>they</w:t>
      </w:r>
      <w:r>
        <w:rPr>
          <w:lang w:val="en-IE"/>
        </w:rPr>
        <w:t xml:space="preserve"> have a positive experience over the </w:t>
      </w:r>
      <w:r w:rsidR="00FE0953">
        <w:rPr>
          <w:lang w:val="en-IE"/>
        </w:rPr>
        <w:t>NBN</w:t>
      </w:r>
      <w:r>
        <w:rPr>
          <w:lang w:val="en-IE"/>
        </w:rPr>
        <w:t>.</w:t>
      </w:r>
    </w:p>
    <w:p w:rsidR="00955091" w:rsidRDefault="00955091" w:rsidP="00B07DF5">
      <w:pPr>
        <w:jc w:val="both"/>
        <w:rPr>
          <w:b/>
          <w:bCs/>
        </w:rPr>
      </w:pPr>
      <w:r>
        <w:rPr>
          <w:b/>
          <w:bCs/>
        </w:rPr>
        <w:t xml:space="preserve">Recommendation: Allocate additional funding to the ACCC to expand its Broadband Performance Monitoring Program to include Fixed Wireless and Satellite areas. </w:t>
      </w:r>
    </w:p>
    <w:p w:rsidR="00DA2BCD" w:rsidRPr="00AC01F1" w:rsidRDefault="00DA2BCD" w:rsidP="00DA2BCD">
      <w:pPr>
        <w:pStyle w:val="Heading2"/>
      </w:pPr>
      <w:r>
        <w:t>National Disability Telecommunications Service</w:t>
      </w:r>
    </w:p>
    <w:p w:rsidR="00C43DA7" w:rsidRDefault="00DA2BCD" w:rsidP="00B07DF5">
      <w:pPr>
        <w:jc w:val="both"/>
      </w:pPr>
      <w:r>
        <w:t>Communications access has become an essential requirement for economic, social and community participation in Australia. While the majority of Australians take this connectivity for granted, many people with disability face barriers</w:t>
      </w:r>
      <w:r>
        <w:t xml:space="preserve"> that</w:t>
      </w:r>
      <w:r>
        <w:t xml:space="preserve"> mak</w:t>
      </w:r>
      <w:r>
        <w:t>e</w:t>
      </w:r>
      <w:r>
        <w:t xml:space="preserve"> it difficult and sometimes impossible to enjoy the benefits of connection. Barriers </w:t>
      </w:r>
      <w:r>
        <w:t>include:</w:t>
      </w:r>
      <w:r>
        <w:t xml:space="preserve"> </w:t>
      </w:r>
      <w:r>
        <w:t xml:space="preserve">lack of </w:t>
      </w:r>
      <w:r>
        <w:t>access to appropriate equipment and devices, lack of awareness about mainstream opt</w:t>
      </w:r>
      <w:r w:rsidR="00C43DA7">
        <w:t xml:space="preserve">ions, lack of equipment </w:t>
      </w:r>
      <w:r>
        <w:t>set-up</w:t>
      </w:r>
      <w:r w:rsidR="00C43DA7">
        <w:t>,</w:t>
      </w:r>
      <w:r>
        <w:t xml:space="preserve"> training and ongoing support</w:t>
      </w:r>
      <w:r>
        <w:t>, and</w:t>
      </w:r>
      <w:r>
        <w:t xml:space="preserve"> </w:t>
      </w:r>
      <w:r w:rsidR="00C43DA7">
        <w:t>un</w:t>
      </w:r>
      <w:r>
        <w:t>affordability</w:t>
      </w:r>
      <w:r>
        <w:t>.</w:t>
      </w:r>
      <w:r>
        <w:t xml:space="preserve"> </w:t>
      </w:r>
    </w:p>
    <w:p w:rsidR="00DA2BCD" w:rsidRDefault="00DA2BCD" w:rsidP="00B07DF5">
      <w:pPr>
        <w:keepLines/>
        <w:jc w:val="both"/>
      </w:pPr>
      <w:r>
        <w:lastRenderedPageBreak/>
        <w:t>One of the recurring messages from ACCAN’s member base is the lack of appropriate and accessible information, training, and support about communications products and services suitable for people with disability. To address this, ACCAN has repeatedly called for the development of a ‘one-stop-shop’ National Disability Telecommunications Service, a national resource for communications product and services information, training and support.</w:t>
      </w:r>
      <w:r w:rsidR="00B07DF5">
        <w:rPr>
          <w:rStyle w:val="FootnoteReference"/>
        </w:rPr>
        <w:footnoteReference w:id="12"/>
      </w:r>
      <w:r>
        <w:t xml:space="preserve"> A National Disability Telecommunications Service will benefit people with disability, their families and carers; increase economic, social and community participation for people with disability; and alleviate many of the barriers that people with disability currently face in accessing communications. </w:t>
      </w:r>
    </w:p>
    <w:p w:rsidR="00DA2BCD" w:rsidRPr="00CD2643" w:rsidRDefault="00DA2BCD" w:rsidP="00DA2BCD">
      <w:pPr>
        <w:rPr>
          <w:b/>
        </w:rPr>
      </w:pPr>
      <w:r w:rsidRPr="00F51DE8">
        <w:rPr>
          <w:b/>
        </w:rPr>
        <w:t xml:space="preserve">Recommendation: ACCAN recommends the Government allocate dedicated funding in the 2018-19 </w:t>
      </w:r>
      <w:r>
        <w:rPr>
          <w:b/>
        </w:rPr>
        <w:t>B</w:t>
      </w:r>
      <w:r w:rsidRPr="00F51DE8">
        <w:rPr>
          <w:b/>
        </w:rPr>
        <w:t xml:space="preserve">udget to establish a National Disability Telecommunications </w:t>
      </w:r>
      <w:r>
        <w:rPr>
          <w:b/>
        </w:rPr>
        <w:t>S</w:t>
      </w:r>
      <w:r w:rsidRPr="00F51DE8">
        <w:rPr>
          <w:b/>
        </w:rPr>
        <w:t>ervice.</w:t>
      </w:r>
    </w:p>
    <w:p w:rsidR="00DA2BCD" w:rsidRPr="00AC01F1" w:rsidRDefault="00DA2BCD" w:rsidP="00DA2BCD">
      <w:pPr>
        <w:pStyle w:val="Heading2"/>
      </w:pPr>
      <w:r w:rsidRPr="00AC01F1">
        <w:t xml:space="preserve">Audio Description </w:t>
      </w:r>
    </w:p>
    <w:p w:rsidR="00DA2BCD" w:rsidRDefault="00DA2BCD" w:rsidP="00B07DF5">
      <w:pPr>
        <w:jc w:val="both"/>
      </w:pPr>
      <w:r>
        <w:t xml:space="preserve">Audio description is an essential access feature that enables people who are blind or vision impaired to understand and enjoy television. There continues to be no audio description on any Australian television service, leaving hundreds of thousands of Australians who are blind or vision impaired without equitable access to televised news, information and entertainment. Many comparable countries such as the United Kingdom, the United States and Canada have mandated the provision of audio description services for their television broadcasters. The New Zealand Government funds national broadcasters to provide in excess of 40 hours per week of audio-described content on television. </w:t>
      </w:r>
    </w:p>
    <w:p w:rsidR="00DA2BCD" w:rsidRDefault="00DA2BCD" w:rsidP="00B07DF5">
      <w:pPr>
        <w:jc w:val="both"/>
      </w:pPr>
      <w:r>
        <w:t xml:space="preserve">In December 2017, the Department of Communications and the Arts provided the Audio Description Working Group’s report to the Government. The report outlines a number of possible options for introducing audio description across Australian television services. It is clear from the report that Government financial support will be integral in implementing any of the proposed options. </w:t>
      </w:r>
    </w:p>
    <w:p w:rsidR="00DA2BCD" w:rsidRPr="00DA2BCD" w:rsidRDefault="00DA2BCD" w:rsidP="00B07DF5">
      <w:pPr>
        <w:jc w:val="both"/>
        <w:rPr>
          <w:b/>
        </w:rPr>
      </w:pPr>
      <w:r w:rsidRPr="00F51DE8">
        <w:rPr>
          <w:b/>
        </w:rPr>
        <w:t>Recommendation: ACCAN recommends that the Government allocate</w:t>
      </w:r>
      <w:r>
        <w:rPr>
          <w:b/>
        </w:rPr>
        <w:t>s</w:t>
      </w:r>
      <w:r w:rsidRPr="00F51DE8">
        <w:rPr>
          <w:b/>
        </w:rPr>
        <w:t xml:space="preserve"> dedicated funding in the 2018-19 </w:t>
      </w:r>
      <w:r>
        <w:rPr>
          <w:b/>
        </w:rPr>
        <w:t>B</w:t>
      </w:r>
      <w:r w:rsidRPr="00F51DE8">
        <w:rPr>
          <w:b/>
        </w:rPr>
        <w:t>udget to introduce permanent audio description services across all Australian television broadcasters.</w:t>
      </w:r>
    </w:p>
    <w:sectPr w:rsidR="00DA2BCD" w:rsidRPr="00DA2BCD" w:rsidSect="00A13B92">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9E5" w:rsidRDefault="00A859E5" w:rsidP="00B14DFB">
      <w:r>
        <w:separator/>
      </w:r>
    </w:p>
  </w:endnote>
  <w:endnote w:type="continuationSeparator" w:id="0">
    <w:p w:rsidR="00A859E5" w:rsidRDefault="00A859E5"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34" w:rsidRDefault="001830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0F58CC" w:rsidP="000F58CC">
    <w:pPr>
      <w:spacing w:after="0"/>
      <w:rPr>
        <w:noProof/>
      </w:rPr>
    </w:pPr>
    <w:r w:rsidRPr="00E05115">
      <w:rPr>
        <w:color w:val="23B0E6"/>
      </w:rPr>
      <w:t>www.accan.org.au | info@accan.org.au | twitter: @ACCAN_AU</w:t>
    </w:r>
    <w:r w:rsidR="00F43B24">
      <w:rPr>
        <w:color w:val="23B0E6"/>
      </w:rPr>
      <w:ptab w:relativeTo="margin" w:alignment="right" w:leader="none"/>
    </w:r>
    <w:r w:rsidRPr="00C4251E">
      <w:fldChar w:fldCharType="begin"/>
    </w:r>
    <w:r w:rsidRPr="00C4251E">
      <w:instrText xml:space="preserve"> PAGE   \* MERGEFORMAT </w:instrText>
    </w:r>
    <w:r w:rsidRPr="00C4251E">
      <w:fldChar w:fldCharType="separate"/>
    </w:r>
    <w:r w:rsidR="0035171C">
      <w:rPr>
        <w:noProof/>
      </w:rPr>
      <w:t>2</w:t>
    </w:r>
    <w:r w:rsidRPr="00C4251E">
      <w:rPr>
        <w:noProof/>
      </w:rPr>
      <w:fldChar w:fldCharType="end"/>
    </w:r>
  </w:p>
  <w:p w:rsidR="00A13B92" w:rsidRPr="000F58CC" w:rsidRDefault="00A13B92" w:rsidP="00A13B9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92" w:rsidRDefault="00A13B92" w:rsidP="00A13B92">
    <w:pPr>
      <w:pStyle w:val="Footerpage1"/>
    </w:pPr>
    <w:r w:rsidRPr="004A0B0A">
      <w:rPr>
        <w:color w:val="44C8F5"/>
      </w:rPr>
      <w:t>Australian Communications Consumer Action Network (ACCAN)</w:t>
    </w:r>
  </w:p>
  <w:p w:rsidR="00A13B92" w:rsidRDefault="00A13B92" w:rsidP="00A13B92">
    <w:pPr>
      <w:pStyle w:val="Footerpage1"/>
      <w:rPr>
        <w:i/>
      </w:rPr>
    </w:pPr>
    <w:r w:rsidRPr="004A0B0A">
      <w:rPr>
        <w:i/>
        <w:color w:val="44C8F5"/>
      </w:rPr>
      <w:t>Australia’s peak telecommunications consumer organisation</w:t>
    </w:r>
  </w:p>
  <w:p w:rsidR="00A13B92" w:rsidRDefault="00A13B92" w:rsidP="00A13B92">
    <w:pPr>
      <w:pStyle w:val="Footerpage1"/>
    </w:pPr>
    <w:r w:rsidRPr="008E763A">
      <w:rPr>
        <w:noProof/>
        <w:lang w:val="en-US"/>
      </w:rPr>
      <mc:AlternateContent>
        <mc:Choice Requires="wps">
          <w:drawing>
            <wp:inline distT="0" distB="0" distL="0" distR="0" wp14:anchorId="03D50EAC" wp14:editId="1FA08AF1">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00BF754D">
      <w:t>PO Box 639, Broadway</w:t>
    </w:r>
    <w:r w:rsidRPr="008E763A">
      <w:t xml:space="preserve"> NSW 2007</w:t>
    </w:r>
  </w:p>
  <w:p w:rsidR="00A13B92" w:rsidRDefault="00A13B92" w:rsidP="00A13B92">
    <w:pPr>
      <w:pStyle w:val="Footerpage1"/>
    </w:pPr>
    <w:r w:rsidRPr="008E763A">
      <w:t>Tel: (02) 9288 4000 | Fax: (02) 9288 4019</w:t>
    </w:r>
    <w:r w:rsidR="00183034">
      <w:t xml:space="preserve"> | Contact us through the </w:t>
    </w:r>
    <w:hyperlink r:id="rId1" w:history="1">
      <w:r w:rsidR="00183034" w:rsidRPr="00FE6EAF">
        <w:rPr>
          <w:rStyle w:val="Hyperlink"/>
        </w:rPr>
        <w:t>National Relay Service</w:t>
      </w:r>
    </w:hyperlink>
  </w:p>
  <w:p w:rsidR="00A13B92" w:rsidRDefault="00A13B92"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9E5" w:rsidRDefault="00A859E5" w:rsidP="00B14DFB">
      <w:r>
        <w:separator/>
      </w:r>
    </w:p>
  </w:footnote>
  <w:footnote w:type="continuationSeparator" w:id="0">
    <w:p w:rsidR="00A859E5" w:rsidRDefault="00A859E5" w:rsidP="00B14DFB">
      <w:r>
        <w:continuationSeparator/>
      </w:r>
    </w:p>
  </w:footnote>
  <w:footnote w:id="1">
    <w:p w:rsidR="00955091" w:rsidRPr="00FD27AA" w:rsidRDefault="00955091" w:rsidP="00955091">
      <w:pPr>
        <w:pStyle w:val="FootnoteText"/>
        <w:spacing w:after="0"/>
      </w:pPr>
      <w:r>
        <w:rPr>
          <w:rStyle w:val="FootnoteReference"/>
        </w:rPr>
        <w:footnoteRef/>
      </w:r>
      <w:r>
        <w:t xml:space="preserve"> </w:t>
      </w:r>
      <w:hyperlink r:id="rId1" w:history="1">
        <w:r w:rsidRPr="00FD27AA">
          <w:rPr>
            <w:rStyle w:val="Hyperlink"/>
          </w:rPr>
          <w:t>https://www2.deloitte.com/au/en/pages/economics/articles/digital-government-transformation.html</w:t>
        </w:r>
      </w:hyperlink>
    </w:p>
  </w:footnote>
  <w:footnote w:id="2">
    <w:p w:rsidR="00955091" w:rsidRPr="00906B9D" w:rsidRDefault="00955091" w:rsidP="00955091">
      <w:pPr>
        <w:pStyle w:val="FootnoteText"/>
        <w:spacing w:after="0"/>
      </w:pPr>
      <w:r>
        <w:rPr>
          <w:rStyle w:val="FootnoteReference"/>
        </w:rPr>
        <w:footnoteRef/>
      </w:r>
      <w:r>
        <w:t xml:space="preserve"> See </w:t>
      </w:r>
      <w:hyperlink r:id="rId2" w:history="1">
        <w:r w:rsidRPr="00906B9D">
          <w:rPr>
            <w:rStyle w:val="Hyperlink"/>
          </w:rPr>
          <w:t>http://accan.org.au/our-work/research/1257-connectivity-costs</w:t>
        </w:r>
      </w:hyperlink>
    </w:p>
  </w:footnote>
  <w:footnote w:id="3">
    <w:p w:rsidR="00955091" w:rsidRPr="00906B9D" w:rsidRDefault="00955091" w:rsidP="00955091">
      <w:pPr>
        <w:pStyle w:val="FootnoteText"/>
        <w:spacing w:after="0"/>
      </w:pPr>
      <w:r>
        <w:rPr>
          <w:rStyle w:val="FootnoteReference"/>
        </w:rPr>
        <w:footnoteRef/>
      </w:r>
      <w:r>
        <w:t xml:space="preserve"> </w:t>
      </w:r>
      <w:hyperlink r:id="rId3" w:history="1">
        <w:r w:rsidRPr="00906B9D">
          <w:rPr>
            <w:rStyle w:val="Hyperlink"/>
          </w:rPr>
          <w:t>http://digitalinclusionindex.org.au/the-index-report/report/</w:t>
        </w:r>
      </w:hyperlink>
    </w:p>
  </w:footnote>
  <w:footnote w:id="4">
    <w:p w:rsidR="00955091" w:rsidRPr="004A03A6" w:rsidRDefault="00955091" w:rsidP="00621047">
      <w:pPr>
        <w:pStyle w:val="FootnoteText"/>
        <w:spacing w:after="0"/>
      </w:pPr>
      <w:r>
        <w:rPr>
          <w:rStyle w:val="FootnoteReference"/>
        </w:rPr>
        <w:footnoteRef/>
      </w:r>
      <w:r>
        <w:t xml:space="preserve"> ACMA, Mobile broadband boosts Australia’s economy, 2014 </w:t>
      </w:r>
      <w:r w:rsidRPr="0075293E">
        <w:t>http://www.acma.gov.au/Industry/Spectrum/Spectrum-projects/Mobile-broadband/mobile-broadband-boosts-australias-economy</w:t>
      </w:r>
    </w:p>
  </w:footnote>
  <w:footnote w:id="5">
    <w:p w:rsidR="00B141E4" w:rsidRPr="00550BBC" w:rsidRDefault="00B141E4">
      <w:pPr>
        <w:pStyle w:val="FootnoteText"/>
        <w:rPr>
          <w:lang w:val="en-US"/>
        </w:rPr>
      </w:pPr>
      <w:r>
        <w:rPr>
          <w:rStyle w:val="FootnoteReference"/>
        </w:rPr>
        <w:footnoteRef/>
      </w:r>
      <w:r>
        <w:t xml:space="preserve"> </w:t>
      </w:r>
      <w:proofErr w:type="gramStart"/>
      <w:r>
        <w:rPr>
          <w:lang w:val="en-US"/>
        </w:rPr>
        <w:t xml:space="preserve">Deloitte Access Economics, </w:t>
      </w:r>
      <w:r>
        <w:rPr>
          <w:i/>
          <w:lang w:val="en-US"/>
        </w:rPr>
        <w:t>5G Mobile – enabling businesses and economic growth</w:t>
      </w:r>
      <w:r>
        <w:rPr>
          <w:lang w:val="en-US"/>
        </w:rPr>
        <w:t>, AMTA, 2017, pp. 7-8.</w:t>
      </w:r>
      <w:proofErr w:type="gramEnd"/>
      <w:r>
        <w:rPr>
          <w:lang w:val="en-US"/>
        </w:rPr>
        <w:t xml:space="preserve"> </w:t>
      </w:r>
    </w:p>
  </w:footnote>
  <w:footnote w:id="6">
    <w:p w:rsidR="00955091" w:rsidRDefault="00955091" w:rsidP="00621047">
      <w:pPr>
        <w:pStyle w:val="FootnoteText"/>
        <w:spacing w:after="0"/>
      </w:pPr>
      <w:r>
        <w:rPr>
          <w:rStyle w:val="FootnoteReference"/>
        </w:rPr>
        <w:footnoteRef/>
      </w:r>
      <w:r>
        <w:t xml:space="preserve"> SACOSS and ACCCAN, Connectivity Costs: Telecommunications Affordability for Low‐Income Australians,</w:t>
      </w:r>
    </w:p>
    <w:p w:rsidR="00955091" w:rsidRPr="00F83E50" w:rsidRDefault="0035171C" w:rsidP="00621047">
      <w:pPr>
        <w:pStyle w:val="FootnoteText"/>
        <w:spacing w:after="0"/>
      </w:pPr>
      <w:hyperlink r:id="rId4" w:history="1">
        <w:r w:rsidR="00955091" w:rsidRPr="00F83E50">
          <w:rPr>
            <w:rStyle w:val="Hyperlink"/>
          </w:rPr>
          <w:t>http://accan.org.au/our‐work/research/1257‐connectivity‐costs</w:t>
        </w:r>
      </w:hyperlink>
    </w:p>
  </w:footnote>
  <w:footnote w:id="7">
    <w:p w:rsidR="00955091" w:rsidRPr="00FF743A" w:rsidRDefault="00955091" w:rsidP="00621047">
      <w:pPr>
        <w:pStyle w:val="FootnoteText"/>
        <w:spacing w:after="0"/>
      </w:pPr>
      <w:r>
        <w:rPr>
          <w:rStyle w:val="FootnoteReference"/>
        </w:rPr>
        <w:footnoteRef/>
      </w:r>
      <w:r>
        <w:t xml:space="preserve"> NBN, </w:t>
      </w:r>
      <w:r w:rsidRPr="00FF743A">
        <w:rPr>
          <w:i/>
        </w:rPr>
        <w:t>Internet uninterrupted: the connected future of Australian households</w:t>
      </w:r>
      <w:r w:rsidRPr="00FF743A">
        <w:t xml:space="preserve"> </w:t>
      </w:r>
      <w:hyperlink r:id="rId5" w:history="1">
        <w:r w:rsidRPr="00FF743A">
          <w:rPr>
            <w:rStyle w:val="Hyperlink"/>
          </w:rPr>
          <w:t>http://www.nbnco.com.au/blog/connected-homes/internet-uninterrupted-the-connected-future-of-Australian-households.html</w:t>
        </w:r>
      </w:hyperlink>
    </w:p>
  </w:footnote>
  <w:footnote w:id="8">
    <w:p w:rsidR="00955091" w:rsidRPr="00BA020E" w:rsidRDefault="00955091" w:rsidP="00621047">
      <w:pPr>
        <w:autoSpaceDE w:val="0"/>
        <w:autoSpaceDN w:val="0"/>
        <w:adjustRightInd w:val="0"/>
        <w:spacing w:before="0" w:beforeAutospacing="0" w:after="0" w:afterAutospacing="0"/>
        <w:rPr>
          <w:rFonts w:eastAsiaTheme="minorHAnsi" w:cs="Arial"/>
          <w:sz w:val="20"/>
          <w:szCs w:val="20"/>
          <w:lang w:val="en-US" w:eastAsia="en-US"/>
        </w:rPr>
      </w:pPr>
      <w:r w:rsidRPr="00BA020E">
        <w:rPr>
          <w:rStyle w:val="FootnoteReference"/>
          <w:sz w:val="20"/>
          <w:szCs w:val="20"/>
        </w:rPr>
        <w:footnoteRef/>
      </w:r>
      <w:r w:rsidRPr="00BA020E">
        <w:rPr>
          <w:sz w:val="20"/>
          <w:szCs w:val="20"/>
        </w:rPr>
        <w:t xml:space="preserve"> </w:t>
      </w:r>
      <w:proofErr w:type="gramStart"/>
      <w:r w:rsidRPr="00BA020E">
        <w:rPr>
          <w:rFonts w:eastAsiaTheme="minorHAnsi" w:cs="Arial"/>
          <w:sz w:val="20"/>
          <w:szCs w:val="20"/>
          <w:lang w:val="en-US" w:eastAsia="en-US"/>
        </w:rPr>
        <w:t xml:space="preserve">ABS (2017) </w:t>
      </w:r>
      <w:r w:rsidRPr="00BA020E">
        <w:rPr>
          <w:rFonts w:eastAsiaTheme="minorHAnsi" w:cs="Arial"/>
          <w:i/>
          <w:iCs/>
          <w:sz w:val="20"/>
          <w:szCs w:val="20"/>
          <w:lang w:val="en-US" w:eastAsia="en-US"/>
        </w:rPr>
        <w:t>6530.0 Household Expenditure Survey, Australia 2015-16</w:t>
      </w:r>
      <w:r w:rsidRPr="00BA020E">
        <w:rPr>
          <w:rFonts w:eastAsiaTheme="minorHAnsi" w:cs="Arial"/>
          <w:sz w:val="20"/>
          <w:szCs w:val="20"/>
          <w:lang w:val="en-US" w:eastAsia="en-US"/>
        </w:rPr>
        <w:t>, Australian Bureau of</w:t>
      </w:r>
      <w:r w:rsidR="00621047">
        <w:rPr>
          <w:rFonts w:eastAsiaTheme="minorHAnsi" w:cs="Arial"/>
          <w:sz w:val="20"/>
          <w:szCs w:val="20"/>
          <w:lang w:val="en-US" w:eastAsia="en-US"/>
        </w:rPr>
        <w:t xml:space="preserve"> </w:t>
      </w:r>
      <w:r>
        <w:rPr>
          <w:rFonts w:eastAsiaTheme="minorHAnsi" w:cs="Arial"/>
          <w:sz w:val="20"/>
          <w:szCs w:val="20"/>
          <w:lang w:val="en-US" w:eastAsia="en-US"/>
        </w:rPr>
        <w:t>Statistics, Canberra.</w:t>
      </w:r>
      <w:proofErr w:type="gramEnd"/>
      <w:r>
        <w:rPr>
          <w:rFonts w:eastAsiaTheme="minorHAnsi" w:cs="Arial"/>
          <w:sz w:val="20"/>
          <w:szCs w:val="20"/>
          <w:lang w:val="en-US" w:eastAsia="en-US"/>
        </w:rPr>
        <w:t xml:space="preserve"> </w:t>
      </w:r>
      <w:r w:rsidRPr="00BA020E">
        <w:rPr>
          <w:rFonts w:eastAsiaTheme="minorHAnsi" w:cs="Arial"/>
          <w:sz w:val="20"/>
          <w:szCs w:val="20"/>
          <w:lang w:val="en-US" w:eastAsia="en-US"/>
        </w:rPr>
        <w:t>http://www.abs.gov.au/AUSSTATS/abs@.nsf/ProductsbyReleaseDate/45244540252D2FDDCA25710</w:t>
      </w:r>
    </w:p>
    <w:p w:rsidR="00955091" w:rsidRPr="00BA020E" w:rsidRDefault="00955091" w:rsidP="00621047">
      <w:pPr>
        <w:pStyle w:val="FootnoteText"/>
        <w:spacing w:after="0"/>
        <w:rPr>
          <w:lang w:val="en-US"/>
        </w:rPr>
      </w:pPr>
      <w:r w:rsidRPr="00BA020E">
        <w:rPr>
          <w:rFonts w:cs="Arial"/>
          <w:lang w:val="en-US"/>
        </w:rPr>
        <w:t>800769AD8?OpenDocument</w:t>
      </w:r>
    </w:p>
  </w:footnote>
  <w:footnote w:id="9">
    <w:p w:rsidR="00955091" w:rsidRPr="00014017" w:rsidRDefault="00955091" w:rsidP="00621047">
      <w:pPr>
        <w:pStyle w:val="FootnoteText"/>
        <w:spacing w:after="0"/>
        <w:rPr>
          <w:lang w:val="en-US"/>
        </w:rPr>
      </w:pPr>
      <w:r>
        <w:rPr>
          <w:rStyle w:val="FootnoteReference"/>
        </w:rPr>
        <w:footnoteRef/>
      </w:r>
      <w:r>
        <w:t xml:space="preserve"> </w:t>
      </w:r>
      <w:proofErr w:type="gramStart"/>
      <w:r>
        <w:rPr>
          <w:lang w:val="en-US"/>
        </w:rPr>
        <w:t xml:space="preserve">Ogle, G. 2017, </w:t>
      </w:r>
      <w:r>
        <w:rPr>
          <w:i/>
          <w:lang w:val="en-US"/>
        </w:rPr>
        <w:t xml:space="preserve">Telecommunications Expenditure in Australia, </w:t>
      </w:r>
      <w:r>
        <w:rPr>
          <w:lang w:val="en-US"/>
        </w:rPr>
        <w:t>Australian Communications Consumer Action Network, Sydney.</w:t>
      </w:r>
      <w:proofErr w:type="gramEnd"/>
    </w:p>
  </w:footnote>
  <w:footnote w:id="10">
    <w:p w:rsidR="00955091" w:rsidRPr="004A03A6" w:rsidRDefault="00955091" w:rsidP="00621047">
      <w:pPr>
        <w:pStyle w:val="FootnoteText"/>
        <w:spacing w:after="0"/>
      </w:pPr>
      <w:r>
        <w:rPr>
          <w:rStyle w:val="FootnoteReference"/>
        </w:rPr>
        <w:footnoteRef/>
      </w:r>
      <w:r>
        <w:t xml:space="preserve"> Deloitte</w:t>
      </w:r>
      <w:r w:rsidR="00C43DA7">
        <w:t>,</w:t>
      </w:r>
      <w:r>
        <w:t xml:space="preserve"> Digital Government Transformation</w:t>
      </w:r>
      <w:r w:rsidR="00C43DA7">
        <w:t xml:space="preserve">, </w:t>
      </w:r>
      <w:r w:rsidR="00C43DA7" w:rsidRPr="00C43DA7">
        <w:t>https://www2.deloitte.com/au/en/pages/economics/articles/digital-government-transformation.html</w:t>
      </w:r>
    </w:p>
  </w:footnote>
  <w:footnote w:id="11">
    <w:p w:rsidR="00955091" w:rsidRPr="00020D74" w:rsidRDefault="00955091" w:rsidP="00621047">
      <w:pPr>
        <w:pStyle w:val="FootnoteText"/>
        <w:spacing w:after="0"/>
      </w:pPr>
      <w:r>
        <w:rPr>
          <w:rStyle w:val="FootnoteReference"/>
        </w:rPr>
        <w:footnoteRef/>
      </w:r>
      <w:r>
        <w:t xml:space="preserve"> </w:t>
      </w:r>
      <w:proofErr w:type="spellStart"/>
      <w:r>
        <w:t>DoCA</w:t>
      </w:r>
      <w:proofErr w:type="spellEnd"/>
      <w:r>
        <w:t xml:space="preserve"> 2016</w:t>
      </w:r>
      <w:r w:rsidR="00C43DA7">
        <w:t>-17</w:t>
      </w:r>
      <w:r>
        <w:t xml:space="preserve"> Annual Report, Table 5.1</w:t>
      </w:r>
      <w:r w:rsidR="00C43DA7">
        <w:t xml:space="preserve">, </w:t>
      </w:r>
      <w:r w:rsidR="00C43DA7" w:rsidRPr="00C43DA7">
        <w:t>https://www.communications.gov.au/sites/g/files/net301/f/dept_comms_arts_annual_report_2016-17.pdf</w:t>
      </w:r>
    </w:p>
  </w:footnote>
  <w:footnote w:id="12">
    <w:p w:rsidR="00B07DF5" w:rsidRPr="00B07DF5" w:rsidRDefault="00B07DF5" w:rsidP="00B07DF5">
      <w:pPr>
        <w:pStyle w:val="FootnoteText"/>
        <w:spacing w:after="0"/>
        <w:rPr>
          <w:lang w:val="en-US"/>
        </w:rPr>
      </w:pPr>
      <w:r>
        <w:rPr>
          <w:rStyle w:val="FootnoteReference"/>
        </w:rPr>
        <w:footnoteRef/>
      </w:r>
      <w:r>
        <w:t xml:space="preserve"> </w:t>
      </w:r>
      <w:r w:rsidRPr="00B07DF5">
        <w:t>https://accan.org.au/files/Submissions/ACCAN%20submission%20NDS%20outcomes%202017.pdf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34" w:rsidRDefault="001830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E45E4C">
    <w:pPr>
      <w:pStyle w:val="Header"/>
      <w:jc w:val="right"/>
    </w:pPr>
    <w:r>
      <w:rPr>
        <w:noProof/>
        <w:lang w:val="en-US"/>
      </w:rPr>
      <w:drawing>
        <wp:inline distT="0" distB="0" distL="0" distR="0" wp14:anchorId="0597D94D" wp14:editId="2D780629">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B14DFB">
    <w:pPr>
      <w:pStyle w:val="Header"/>
      <w:jc w:val="center"/>
    </w:pPr>
    <w:r>
      <w:rPr>
        <w:noProof/>
        <w:lang w:val="en-US"/>
      </w:rPr>
      <w:drawing>
        <wp:inline distT="0" distB="0" distL="0" distR="0" wp14:anchorId="70912CA8" wp14:editId="0C6B1A1A">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1">
    <w:nsid w:val="337C5FB2"/>
    <w:multiLevelType w:val="multilevel"/>
    <w:tmpl w:val="6AFEEB4C"/>
    <w:numStyleLink w:val="Bullets"/>
  </w:abstractNum>
  <w:abstractNum w:abstractNumId="2">
    <w:nsid w:val="33D9536F"/>
    <w:multiLevelType w:val="multilevel"/>
    <w:tmpl w:val="A7920A6E"/>
    <w:numStyleLink w:val="Headings"/>
  </w:abstractNum>
  <w:abstractNum w:abstractNumId="3">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4">
    <w:nsid w:val="39860C67"/>
    <w:multiLevelType w:val="multilevel"/>
    <w:tmpl w:val="A7920A6E"/>
    <w:numStyleLink w:val="Headings"/>
  </w:abstractNum>
  <w:abstractNum w:abstractNumId="5">
    <w:nsid w:val="3DF936BD"/>
    <w:multiLevelType w:val="multilevel"/>
    <w:tmpl w:val="A7920A6E"/>
    <w:numStyleLink w:val="Headings"/>
  </w:abstractNum>
  <w:abstractNum w:abstractNumId="6">
    <w:nsid w:val="464B7C3C"/>
    <w:multiLevelType w:val="hybridMultilevel"/>
    <w:tmpl w:val="DBAC06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nsid w:val="5A467144"/>
    <w:multiLevelType w:val="multilevel"/>
    <w:tmpl w:val="989E8E90"/>
    <w:numStyleLink w:val="Appendices"/>
  </w:abstractNum>
  <w:abstractNum w:abstractNumId="9">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6AAF098D"/>
    <w:multiLevelType w:val="multilevel"/>
    <w:tmpl w:val="A7920A6E"/>
    <w:numStyleLink w:val="Headings"/>
  </w:abstractNum>
  <w:abstractNum w:abstractNumId="11">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9"/>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num>
  <w:num w:numId="6">
    <w:abstractNumId w:val="0"/>
  </w:num>
  <w:num w:numId="7">
    <w:abstractNumId w:val="5"/>
  </w:num>
  <w:num w:numId="8">
    <w:abstractNumId w:val="1"/>
  </w:num>
  <w:num w:numId="9">
    <w:abstractNumId w:val="1"/>
  </w:num>
  <w:num w:numId="10">
    <w:abstractNumId w:val="1"/>
  </w:num>
  <w:num w:numId="11">
    <w:abstractNumId w:val="1"/>
  </w:num>
  <w:num w:numId="12">
    <w:abstractNumId w:val="0"/>
  </w:num>
  <w:num w:numId="13">
    <w:abstractNumId w:val="2"/>
  </w:num>
  <w:num w:numId="14">
    <w:abstractNumId w:val="2"/>
  </w:num>
  <w:num w:numId="15">
    <w:abstractNumId w:val="2"/>
  </w:num>
  <w:num w:numId="16">
    <w:abstractNumId w:val="12"/>
  </w:num>
  <w:num w:numId="17">
    <w:abstractNumId w:val="7"/>
  </w:num>
  <w:num w:numId="18">
    <w:abstractNumId w:val="8"/>
  </w:num>
  <w:num w:numId="19">
    <w:abstractNumId w:val="8"/>
  </w:num>
  <w:num w:numId="20">
    <w:abstractNumId w:val="11"/>
  </w:num>
  <w:num w:numId="21">
    <w:abstractNumId w:val="11"/>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9E5"/>
    <w:rsid w:val="00023BFE"/>
    <w:rsid w:val="00027253"/>
    <w:rsid w:val="00047257"/>
    <w:rsid w:val="000D51F4"/>
    <w:rsid w:val="000F58CC"/>
    <w:rsid w:val="00111576"/>
    <w:rsid w:val="00116A27"/>
    <w:rsid w:val="00147A7F"/>
    <w:rsid w:val="00180034"/>
    <w:rsid w:val="00183034"/>
    <w:rsid w:val="001C28E7"/>
    <w:rsid w:val="001C6657"/>
    <w:rsid w:val="002127F0"/>
    <w:rsid w:val="00234042"/>
    <w:rsid w:val="00236C46"/>
    <w:rsid w:val="002A629E"/>
    <w:rsid w:val="002B2510"/>
    <w:rsid w:val="002C4AE8"/>
    <w:rsid w:val="002E4872"/>
    <w:rsid w:val="003441E5"/>
    <w:rsid w:val="0035171C"/>
    <w:rsid w:val="0036351B"/>
    <w:rsid w:val="003873F9"/>
    <w:rsid w:val="003B1499"/>
    <w:rsid w:val="003E6503"/>
    <w:rsid w:val="003E76C5"/>
    <w:rsid w:val="003F6199"/>
    <w:rsid w:val="00437A72"/>
    <w:rsid w:val="004427B8"/>
    <w:rsid w:val="00446176"/>
    <w:rsid w:val="00447E1F"/>
    <w:rsid w:val="004552EA"/>
    <w:rsid w:val="004554FC"/>
    <w:rsid w:val="00472C7E"/>
    <w:rsid w:val="00472CA7"/>
    <w:rsid w:val="00477BDB"/>
    <w:rsid w:val="004902A9"/>
    <w:rsid w:val="004A01EB"/>
    <w:rsid w:val="004A55CC"/>
    <w:rsid w:val="004A791B"/>
    <w:rsid w:val="004B7462"/>
    <w:rsid w:val="004C055B"/>
    <w:rsid w:val="004C3886"/>
    <w:rsid w:val="004F2201"/>
    <w:rsid w:val="00511400"/>
    <w:rsid w:val="00542267"/>
    <w:rsid w:val="00550BBC"/>
    <w:rsid w:val="00553427"/>
    <w:rsid w:val="005820C9"/>
    <w:rsid w:val="005825C1"/>
    <w:rsid w:val="00592615"/>
    <w:rsid w:val="00593975"/>
    <w:rsid w:val="005A5DD0"/>
    <w:rsid w:val="005A673E"/>
    <w:rsid w:val="005C2EBF"/>
    <w:rsid w:val="00612958"/>
    <w:rsid w:val="00613698"/>
    <w:rsid w:val="00621047"/>
    <w:rsid w:val="00654E49"/>
    <w:rsid w:val="006578D7"/>
    <w:rsid w:val="00694BE3"/>
    <w:rsid w:val="006C7C58"/>
    <w:rsid w:val="006D153D"/>
    <w:rsid w:val="006D4B09"/>
    <w:rsid w:val="00724C22"/>
    <w:rsid w:val="00726363"/>
    <w:rsid w:val="007506AE"/>
    <w:rsid w:val="007571FD"/>
    <w:rsid w:val="007A3E1A"/>
    <w:rsid w:val="007D3F16"/>
    <w:rsid w:val="007F0737"/>
    <w:rsid w:val="00802DBC"/>
    <w:rsid w:val="008274CE"/>
    <w:rsid w:val="008338A0"/>
    <w:rsid w:val="0084071B"/>
    <w:rsid w:val="00874386"/>
    <w:rsid w:val="0088571C"/>
    <w:rsid w:val="00886444"/>
    <w:rsid w:val="008A19E7"/>
    <w:rsid w:val="008A34A1"/>
    <w:rsid w:val="008A6693"/>
    <w:rsid w:val="008D7013"/>
    <w:rsid w:val="008E1CC4"/>
    <w:rsid w:val="008F7E90"/>
    <w:rsid w:val="00927102"/>
    <w:rsid w:val="00955091"/>
    <w:rsid w:val="00962A84"/>
    <w:rsid w:val="009A227B"/>
    <w:rsid w:val="009B01E7"/>
    <w:rsid w:val="009C61C5"/>
    <w:rsid w:val="009D45C9"/>
    <w:rsid w:val="009F4B9D"/>
    <w:rsid w:val="00A022BC"/>
    <w:rsid w:val="00A13B92"/>
    <w:rsid w:val="00A4447D"/>
    <w:rsid w:val="00A615CC"/>
    <w:rsid w:val="00A859E5"/>
    <w:rsid w:val="00A96349"/>
    <w:rsid w:val="00AA686C"/>
    <w:rsid w:val="00AB69D1"/>
    <w:rsid w:val="00AC247A"/>
    <w:rsid w:val="00AD0282"/>
    <w:rsid w:val="00AD032B"/>
    <w:rsid w:val="00AD0EBD"/>
    <w:rsid w:val="00AE2840"/>
    <w:rsid w:val="00B02AEB"/>
    <w:rsid w:val="00B0437D"/>
    <w:rsid w:val="00B07DF5"/>
    <w:rsid w:val="00B141E4"/>
    <w:rsid w:val="00B14DFB"/>
    <w:rsid w:val="00B4140A"/>
    <w:rsid w:val="00B418A0"/>
    <w:rsid w:val="00B4327A"/>
    <w:rsid w:val="00B87233"/>
    <w:rsid w:val="00BA5C36"/>
    <w:rsid w:val="00BB496C"/>
    <w:rsid w:val="00BF754D"/>
    <w:rsid w:val="00C02722"/>
    <w:rsid w:val="00C12182"/>
    <w:rsid w:val="00C43DA7"/>
    <w:rsid w:val="00C613FC"/>
    <w:rsid w:val="00C860BB"/>
    <w:rsid w:val="00CD2643"/>
    <w:rsid w:val="00CF5B31"/>
    <w:rsid w:val="00D17C22"/>
    <w:rsid w:val="00D2777E"/>
    <w:rsid w:val="00D34878"/>
    <w:rsid w:val="00D3636E"/>
    <w:rsid w:val="00D36B68"/>
    <w:rsid w:val="00D62BCE"/>
    <w:rsid w:val="00D76C0E"/>
    <w:rsid w:val="00DA2BCD"/>
    <w:rsid w:val="00DB4164"/>
    <w:rsid w:val="00DD7C1C"/>
    <w:rsid w:val="00DE3597"/>
    <w:rsid w:val="00DF2349"/>
    <w:rsid w:val="00DF287A"/>
    <w:rsid w:val="00E00A22"/>
    <w:rsid w:val="00E05115"/>
    <w:rsid w:val="00E30643"/>
    <w:rsid w:val="00E45E4C"/>
    <w:rsid w:val="00E54047"/>
    <w:rsid w:val="00E81ECD"/>
    <w:rsid w:val="00E8505A"/>
    <w:rsid w:val="00E879CE"/>
    <w:rsid w:val="00EC1696"/>
    <w:rsid w:val="00EE1CFF"/>
    <w:rsid w:val="00EE718D"/>
    <w:rsid w:val="00F0418C"/>
    <w:rsid w:val="00F12A72"/>
    <w:rsid w:val="00F27A77"/>
    <w:rsid w:val="00F3581C"/>
    <w:rsid w:val="00F43B24"/>
    <w:rsid w:val="00F50244"/>
    <w:rsid w:val="00F61950"/>
    <w:rsid w:val="00F627A6"/>
    <w:rsid w:val="00F7402F"/>
    <w:rsid w:val="00F77AEE"/>
    <w:rsid w:val="00F860D4"/>
    <w:rsid w:val="00F91DBB"/>
    <w:rsid w:val="00FA319C"/>
    <w:rsid w:val="00FC7DE5"/>
    <w:rsid w:val="00FE09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paragraph" w:customStyle="1" w:styleId="BodyText1">
    <w:name w:val="Body Text1"/>
    <w:basedOn w:val="Normal"/>
    <w:qFormat/>
    <w:rsid w:val="00955091"/>
    <w:pPr>
      <w:spacing w:before="0" w:beforeAutospacing="0" w:after="200" w:afterAutospacing="0" w:line="276" w:lineRule="auto"/>
    </w:pPr>
    <w:rPr>
      <w:rFonts w:ascii="Arial" w:eastAsia="Calibri" w:hAnsi="Arial" w:cs="Arial"/>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paragraph" w:customStyle="1" w:styleId="BodyText1">
    <w:name w:val="Body Text1"/>
    <w:basedOn w:val="Normal"/>
    <w:qFormat/>
    <w:rsid w:val="00955091"/>
    <w:pPr>
      <w:spacing w:before="0" w:beforeAutospacing="0" w:after="200" w:afterAutospacing="0" w:line="276" w:lineRule="auto"/>
    </w:pPr>
    <w:rPr>
      <w:rFonts w:ascii="Arial" w:eastAsia="Calibr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5648">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relayservice.gov.au/" TargetMode="Externa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igitalinclusionindex.org.au/the-index-report/report/" TargetMode="External"/><Relationship Id="rId2" Type="http://schemas.openxmlformats.org/officeDocument/2006/relationships/hyperlink" Target="http://accan.org.au/our-work/research/1257-connectivity-costs" TargetMode="External"/><Relationship Id="rId1" Type="http://schemas.openxmlformats.org/officeDocument/2006/relationships/hyperlink" Target="https://www2.deloitte.com/au/en/pages/economics/articles/digital-government-transformation.html" TargetMode="External"/><Relationship Id="rId5" Type="http://schemas.openxmlformats.org/officeDocument/2006/relationships/hyperlink" Target="http://www.nbnco.com.au/blog/connected-homes/internet-uninterrupted-the-connected-future-of-Australian-households.html" TargetMode="External"/><Relationship Id="rId4" Type="http://schemas.openxmlformats.org/officeDocument/2006/relationships/hyperlink" Target="file:///C:\Users\rachel.thomas\AppData\Local\Microsoft\Windows\INetCache\Content.Outlook\VTJL1690\2SACOSS%20and%20ACCCAN,%20Connectivity%20Costs:%20Telecommunications%20Affordability%20for%20Low&#8208;Income%20Australia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3976F-66FF-4B92-9CD9-E4A4963E8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Template>
  <TotalTime>31</TotalTime>
  <Pages>9</Pages>
  <Words>2432</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Riddle</dc:creator>
  <cp:lastModifiedBy>Jeremy Riddle</cp:lastModifiedBy>
  <cp:revision>9</cp:revision>
  <cp:lastPrinted>2012-12-12T00:31:00Z</cp:lastPrinted>
  <dcterms:created xsi:type="dcterms:W3CDTF">2018-01-30T01:12:00Z</dcterms:created>
  <dcterms:modified xsi:type="dcterms:W3CDTF">2018-01-30T01:43:00Z</dcterms:modified>
</cp:coreProperties>
</file>